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渝湘复线巴水段白云山隧道南川区域高压外电接入专项分包采购</w:t>
      </w:r>
    </w:p>
    <w:p>
      <w:pPr>
        <w:pStyle w:val="42"/>
        <w:rPr>
          <w:rFonts w:hint="eastAsia"/>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7</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246996898"/>
      <w:bookmarkStart w:id="1" w:name="_Toc296602400"/>
      <w:bookmarkStart w:id="2" w:name="_Toc507319889"/>
      <w:bookmarkStart w:id="3" w:name="_Toc507428442"/>
      <w:bookmarkStart w:id="4" w:name="_Toc247085669"/>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8"/>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46996900"/>
      <w:bookmarkStart w:id="6" w:name="_Toc144974479"/>
      <w:bookmarkStart w:id="7" w:name="_Toc247096243"/>
      <w:bookmarkStart w:id="8" w:name="_Toc152042287"/>
      <w:bookmarkStart w:id="9" w:name="_Toc152045511"/>
      <w:bookmarkStart w:id="10" w:name="_Toc2000404"/>
      <w:bookmarkStart w:id="11" w:name="_Toc247085671"/>
      <w:bookmarkStart w:id="12" w:name="_Toc507319890"/>
      <w:bookmarkStart w:id="13" w:name="_Toc179632527"/>
      <w:bookmarkStart w:id="14" w:name="_Toc246996157"/>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11329213"/>
      <w:bookmarkStart w:id="19" w:name="_Toc10076"/>
      <w:bookmarkStart w:id="20" w:name="_Toc507319891"/>
      <w:bookmarkStart w:id="21" w:name="_Toc144974480"/>
      <w:bookmarkStart w:id="22" w:name="_Toc179632528"/>
      <w:bookmarkStart w:id="23" w:name="_Toc152042288"/>
      <w:bookmarkStart w:id="24" w:name="_Toc246996158"/>
      <w:bookmarkStart w:id="25" w:name="_Toc24874"/>
      <w:bookmarkStart w:id="26" w:name="_Toc152045512"/>
      <w:bookmarkStart w:id="27" w:name="_Toc246996901"/>
      <w:bookmarkStart w:id="28" w:name="_Toc6549"/>
      <w:bookmarkStart w:id="29" w:name="_Toc247085672"/>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渝湘复线巴水段白云山隧道南川区域高压外电接入专项分包采购</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144974481"/>
      <w:bookmarkStart w:id="31" w:name="_Toc246996159"/>
      <w:bookmarkStart w:id="32" w:name="_Toc10952"/>
      <w:bookmarkStart w:id="33" w:name="_Toc152042289"/>
      <w:bookmarkStart w:id="34" w:name="_Toc11329214"/>
      <w:bookmarkStart w:id="35" w:name="_Toc247085673"/>
      <w:bookmarkStart w:id="36" w:name="_Toc21343"/>
      <w:bookmarkStart w:id="37" w:name="_Toc152045513"/>
      <w:bookmarkStart w:id="38" w:name="_Toc246996902"/>
      <w:bookmarkStart w:id="39" w:name="_Toc507319892"/>
      <w:bookmarkStart w:id="40" w:name="_Toc179632529"/>
      <w:bookmarkStart w:id="41" w:name="_Toc18109"/>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highlight w:val="none"/>
          <w:lang w:val="en-US" w:eastAsia="zh-CN"/>
        </w:rPr>
        <w:t>重庆市南川区</w:t>
      </w:r>
      <w:r>
        <w:rPr>
          <w:rFonts w:hint="eastAsia" w:ascii="宋体" w:hAnsi="宋体" w:cs="宋体"/>
          <w:highlight w:val="none"/>
          <w:lang w:eastAsia="zh-CN"/>
        </w:rPr>
        <w:t>。</w:t>
      </w:r>
    </w:p>
    <w:p>
      <w:pPr>
        <w:pStyle w:val="13"/>
        <w:adjustRightInd w:val="0"/>
        <w:spacing w:line="400" w:lineRule="exact"/>
        <w:jc w:val="both"/>
        <w:rPr>
          <w:rFonts w:hint="eastAsia" w:ascii="宋体" w:hAnsi="宋体" w:cs="宋体"/>
          <w:szCs w:val="21"/>
          <w:highlight w:val="none"/>
        </w:rPr>
      </w:pPr>
      <w:r>
        <w:rPr>
          <w:rFonts w:hint="eastAsia" w:ascii="宋体" w:hAnsi="宋体" w:cs="宋体"/>
          <w:szCs w:val="21"/>
          <w:highlight w:val="none"/>
        </w:rPr>
        <w:t>2.2 项目概况：</w:t>
      </w:r>
      <w:r>
        <w:rPr>
          <w:rFonts w:hint="eastAsia" w:ascii="宋体" w:hAnsi="宋体" w:cs="宋体"/>
          <w:szCs w:val="21"/>
          <w:highlight w:val="none"/>
          <w:lang w:val="en-US" w:eastAsia="zh-CN"/>
        </w:rPr>
        <w:t>渝湘复线高速公路</w:t>
      </w:r>
      <w:r>
        <w:rPr>
          <w:rFonts w:hint="eastAsia" w:ascii="宋体" w:hAnsi="宋体" w:cs="宋体"/>
          <w:szCs w:val="21"/>
          <w:highlight w:val="none"/>
        </w:rPr>
        <w:t>巴水段起于天鹿大道东延线，与重庆绕城高速、南两高速十字型交叉，止于武隆区马鞍山隧道，连接水江至彭水段起点(水江互通起点),途经巴南区南泉街道、惠民街道、东泉街道、姜家镇、南川区白沙镇、黎香湖镇、大观镇、河图镇、石溪镇、鸣玉镇、峰岩乡、石墙镇、中桥乡。路线全长88.674Km。</w:t>
      </w:r>
      <w:r>
        <w:rPr>
          <w:rFonts w:hint="eastAsia" w:ascii="宋体" w:hAnsi="宋体" w:cs="宋体"/>
          <w:szCs w:val="21"/>
          <w:highlight w:val="none"/>
          <w:lang w:val="en-US" w:eastAsia="zh-CN"/>
        </w:rPr>
        <w:t>本次采购范围为</w:t>
      </w:r>
      <w:r>
        <w:rPr>
          <w:rFonts w:hint="eastAsia" w:ascii="宋体" w:hAnsi="宋体" w:cs="宋体"/>
          <w:szCs w:val="21"/>
          <w:highlight w:val="none"/>
        </w:rPr>
        <w:t>K76+541~K88+</w:t>
      </w:r>
      <w:r>
        <w:rPr>
          <w:rFonts w:hint="eastAsia" w:ascii="宋体" w:hAnsi="宋体" w:cs="宋体"/>
          <w:szCs w:val="21"/>
          <w:highlight w:val="none"/>
          <w:lang w:val="en-US" w:eastAsia="zh-CN"/>
        </w:rPr>
        <w:t>190段南川区域内高压外线接入分包。</w:t>
      </w:r>
    </w:p>
    <w:p>
      <w:pPr>
        <w:pStyle w:val="13"/>
        <w:adjustRightInd w:val="0"/>
        <w:spacing w:line="400" w:lineRule="exact"/>
        <w:jc w:val="both"/>
        <w:rPr>
          <w:rFonts w:hint="eastAsia" w:ascii="宋体" w:hAnsi="宋体" w:cs="宋体"/>
          <w:szCs w:val="21"/>
          <w:highlight w:val="none"/>
          <w:lang w:val="en-US" w:eastAsia="zh-CN"/>
        </w:rPr>
      </w:pPr>
      <w:r>
        <w:rPr>
          <w:rFonts w:hint="eastAsia" w:ascii="宋体" w:hAnsi="宋体" w:cs="宋体"/>
          <w:highlight w:val="none"/>
        </w:rPr>
        <w:t>2.3 比选范围：</w:t>
      </w:r>
      <w:r>
        <w:rPr>
          <w:rFonts w:hint="eastAsia" w:ascii="宋体" w:hAnsi="宋体" w:cs="宋体"/>
          <w:highlight w:val="none"/>
          <w:lang w:val="en-US" w:eastAsia="zh-CN"/>
        </w:rPr>
        <w:t>渝湘复线巴水段</w:t>
      </w:r>
      <w:r>
        <w:rPr>
          <w:rFonts w:hint="eastAsia" w:ascii="宋体" w:hAnsi="宋体" w:cs="宋体"/>
          <w:szCs w:val="21"/>
          <w:highlight w:val="none"/>
        </w:rPr>
        <w:t>K76+541~K88+</w:t>
      </w:r>
      <w:r>
        <w:rPr>
          <w:rFonts w:hint="eastAsia" w:ascii="宋体" w:hAnsi="宋体" w:cs="宋体"/>
          <w:szCs w:val="21"/>
          <w:highlight w:val="none"/>
          <w:lang w:val="en-US" w:eastAsia="zh-CN"/>
        </w:rPr>
        <w:t>190段白云山隧道内1#变电所、2#变电所及风机房变电所涉及到的外线接入材料设备供应及施工、以及配电房内供配电设备调试、检测、确保通电验收等一切相关工作。</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工期要求：45天；预计</w:t>
      </w:r>
      <w:r>
        <w:rPr>
          <w:rFonts w:hint="eastAsia" w:ascii="宋体" w:hAnsi="宋体" w:eastAsia="宋体" w:cs="宋体"/>
          <w:b w:val="0"/>
          <w:bCs w:val="0"/>
          <w:kern w:val="2"/>
          <w:sz w:val="21"/>
          <w:szCs w:val="24"/>
          <w:highlight w:val="none"/>
          <w:lang w:val="en-US" w:eastAsia="zh-CN" w:bidi="ar-SA"/>
        </w:rPr>
        <w:t>完</w:t>
      </w:r>
      <w:r>
        <w:rPr>
          <w:rFonts w:hint="eastAsia" w:ascii="宋体" w:hAnsi="宋体" w:cs="宋体"/>
          <w:b w:val="0"/>
          <w:bCs w:val="0"/>
          <w:kern w:val="2"/>
          <w:sz w:val="21"/>
          <w:szCs w:val="24"/>
          <w:highlight w:val="none"/>
          <w:lang w:val="en-US" w:eastAsia="zh-CN" w:bidi="ar-SA"/>
        </w:rPr>
        <w:t>工</w:t>
      </w:r>
      <w:r>
        <w:rPr>
          <w:rFonts w:hint="eastAsia" w:ascii="宋体" w:hAnsi="宋体" w:eastAsia="宋体" w:cs="宋体"/>
          <w:b w:val="0"/>
          <w:bCs w:val="0"/>
          <w:kern w:val="2"/>
          <w:sz w:val="21"/>
          <w:szCs w:val="24"/>
          <w:highlight w:val="none"/>
          <w:lang w:val="en-US" w:eastAsia="zh-CN" w:bidi="ar-SA"/>
        </w:rPr>
        <w:t>日期：202</w:t>
      </w:r>
      <w:r>
        <w:rPr>
          <w:rFonts w:hint="eastAsia" w:ascii="宋体" w:hAnsi="宋体" w:cs="宋体"/>
          <w:b w:val="0"/>
          <w:bCs w:val="0"/>
          <w:kern w:val="2"/>
          <w:sz w:val="21"/>
          <w:szCs w:val="24"/>
          <w:highlight w:val="none"/>
          <w:lang w:val="en-US" w:eastAsia="zh-CN" w:bidi="ar-SA"/>
        </w:rPr>
        <w:t>4年8月底</w:t>
      </w:r>
      <w:r>
        <w:rPr>
          <w:rFonts w:hint="eastAsia" w:ascii="宋体" w:hAnsi="宋体" w:eastAsia="宋体" w:cs="宋体"/>
          <w:b w:val="0"/>
          <w:bCs w:val="0"/>
          <w:kern w:val="2"/>
          <w:sz w:val="21"/>
          <w:szCs w:val="24"/>
          <w:highlight w:val="none"/>
          <w:lang w:val="en-US" w:eastAsia="zh-CN" w:bidi="ar-SA"/>
        </w:rPr>
        <w:t>。</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2.5 标段划分：本项目划分为一个标段。</w:t>
      </w:r>
    </w:p>
    <w:p>
      <w:pPr>
        <w:pStyle w:val="4"/>
        <w:spacing w:before="120" w:after="0" w:line="360" w:lineRule="auto"/>
        <w:rPr>
          <w:rFonts w:hint="eastAsia" w:ascii="宋体" w:hAnsi="宋体" w:eastAsia="宋体" w:cs="宋体"/>
          <w:highlight w:val="none"/>
        </w:rPr>
      </w:pPr>
      <w:bookmarkStart w:id="43" w:name="_Toc7065"/>
      <w:bookmarkStart w:id="44" w:name="_Toc507319893"/>
      <w:bookmarkStart w:id="45" w:name="_Toc247085674"/>
      <w:bookmarkStart w:id="46" w:name="_Toc144974482"/>
      <w:bookmarkStart w:id="47" w:name="_Toc152042290"/>
      <w:bookmarkStart w:id="48" w:name="_Toc246996160"/>
      <w:bookmarkStart w:id="49" w:name="_Toc30356"/>
      <w:bookmarkStart w:id="50" w:name="_Toc11329215"/>
      <w:bookmarkStart w:id="51" w:name="_Toc152045514"/>
      <w:bookmarkStart w:id="52" w:name="_Toc179632530"/>
      <w:bookmarkStart w:id="53" w:name="_Toc10171"/>
      <w:bookmarkStart w:id="54" w:name="_Toc246996903"/>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247085675"/>
      <w:bookmarkStart w:id="56" w:name="_Toc152042291"/>
      <w:bookmarkStart w:id="57" w:name="_Toc144974483"/>
      <w:bookmarkStart w:id="58" w:name="_Toc152045515"/>
      <w:bookmarkStart w:id="59" w:name="_Toc179632531"/>
      <w:bookmarkStart w:id="60" w:name="_Toc246996904"/>
      <w:bookmarkStart w:id="61" w:name="_Toc246996161"/>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（1）具有独立法人资格。</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（2）具有有效的营业执照。</w:t>
      </w:r>
    </w:p>
    <w:p>
      <w:pPr>
        <w:spacing w:line="400" w:lineRule="exact"/>
        <w:ind w:firstLine="420" w:firstLineChars="200"/>
        <w:rPr>
          <w:rFonts w:hint="default"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（3）具有有效的四级及以上级别的承装(修、试）电力设施许可证。</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（4）具有有效的电力工程施工总承包三级或输变电工程专业承包三级及以上资质。</w:t>
      </w:r>
    </w:p>
    <w:p>
      <w:pPr>
        <w:spacing w:line="400" w:lineRule="exact"/>
        <w:ind w:firstLine="420" w:firstLineChars="200"/>
        <w:rPr>
          <w:rFonts w:hint="default"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（5）具有有效的施工企业安全生产许可证。</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业绩要求：报价人2021年1月1日至投标截止日（以合同签订时间为准）至少完成一个合同额100万元以上10kv及以上高压外线工程施工业绩。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507319894"/>
      <w:bookmarkStart w:id="63" w:name="_Toc14361"/>
      <w:bookmarkStart w:id="64" w:name="_Toc11329216"/>
      <w:bookmarkStart w:id="65" w:name="_Toc25619"/>
      <w:bookmarkStart w:id="66" w:name="_Toc12460"/>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ascii="宋体" w:hAnsi="宋体"/>
          <w:szCs w:val="21"/>
        </w:rPr>
      </w:pPr>
      <w:bookmarkStart w:id="67" w:name="_Toc152045516"/>
      <w:bookmarkStart w:id="68" w:name="_Toc152042292"/>
      <w:bookmarkStart w:id="69" w:name="_Toc246996162"/>
      <w:bookmarkStart w:id="70" w:name="_Toc246996905"/>
      <w:bookmarkStart w:id="71" w:name="_Toc144974484"/>
      <w:bookmarkStart w:id="72" w:name="_Toc507319895"/>
      <w:bookmarkStart w:id="73" w:name="_Toc247085676"/>
      <w:bookmarkStart w:id="74" w:name="_Toc11329217"/>
      <w:bookmarkStart w:id="75" w:name="_Toc179632532"/>
      <w:bookmarkStart w:id="76" w:name="_Toc31493"/>
      <w:bookmarkStart w:id="77" w:name="_Toc16686"/>
      <w:bookmarkStart w:id="78" w:name="_Toc9131"/>
      <w:r>
        <w:rPr>
          <w:rFonts w:hint="eastAsia" w:ascii="宋体" w:hAnsi="宋体"/>
          <w:szCs w:val="21"/>
        </w:rPr>
        <w:t>凡愿意参加的潜在报价人，在开标截止日202</w:t>
      </w:r>
      <w:r>
        <w:rPr>
          <w:rFonts w:hint="eastAsia" w:ascii="宋体" w:hAnsi="宋体"/>
          <w:szCs w:val="21"/>
          <w:lang w:val="en-US" w:eastAsia="zh-CN"/>
        </w:rPr>
        <w:t>4</w:t>
      </w:r>
      <w:r>
        <w:rPr>
          <w:rFonts w:hint="eastAsia" w:ascii="宋体" w:hAnsi="宋体"/>
          <w:szCs w:val="21"/>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19日下</w:t>
      </w:r>
      <w:r>
        <w:rPr>
          <w:rFonts w:hint="eastAsia" w:ascii="宋体" w:hAnsi="宋体"/>
          <w:szCs w:val="21"/>
          <w:highlight w:val="none"/>
        </w:rPr>
        <w:t>午</w:t>
      </w:r>
      <w:r>
        <w:rPr>
          <w:rFonts w:hint="eastAsia" w:ascii="宋体" w:hAnsi="宋体"/>
          <w:szCs w:val="21"/>
          <w:highlight w:val="none"/>
          <w:lang w:val="en-US" w:eastAsia="zh-CN"/>
        </w:rPr>
        <w:t>15：00</w:t>
      </w:r>
      <w:r>
        <w:rPr>
          <w:rFonts w:hint="eastAsia" w:ascii="宋体" w:hAnsi="宋体"/>
          <w:szCs w:val="21"/>
          <w:highlight w:val="none"/>
        </w:rPr>
        <w:t>前，</w:t>
      </w:r>
      <w:r>
        <w:rPr>
          <w:rFonts w:hint="eastAsia" w:ascii="宋体" w:hAnsi="宋体"/>
          <w:szCs w:val="21"/>
        </w:rPr>
        <w:t>在重庆高速集团官网（http://www.cegc.com.cn/gw/newsInfoMenu.html?id=42&amp;key=2）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ascii="宋体" w:hAnsi="宋体" w:cs="宋体"/>
          <w:szCs w:val="21"/>
        </w:rPr>
      </w:pPr>
      <w:bookmarkStart w:id="79" w:name="_Toc179632534"/>
      <w:bookmarkStart w:id="80" w:name="_Toc152042293"/>
      <w:bookmarkStart w:id="81" w:name="_Toc152045517"/>
      <w:bookmarkStart w:id="82" w:name="_Toc21615"/>
      <w:bookmarkStart w:id="83" w:name="_Toc507319897"/>
      <w:bookmarkStart w:id="84" w:name="_Toc144974485"/>
      <w:bookmarkStart w:id="85" w:name="_Toc246996907"/>
      <w:bookmarkStart w:id="86" w:name="_Toc11329219"/>
      <w:bookmarkStart w:id="87" w:name="_Toc393"/>
      <w:bookmarkStart w:id="88" w:name="_Toc247085678"/>
      <w:bookmarkStart w:id="89" w:name="_Toc246996164"/>
      <w:bookmarkStart w:id="90" w:name="_Toc18402"/>
      <w:r>
        <w:rPr>
          <w:rFonts w:hint="eastAsia" w:ascii="宋体" w:hAnsi="宋体" w:cs="宋体"/>
          <w:szCs w:val="21"/>
        </w:rPr>
        <w:t>5.1</w:t>
      </w:r>
      <w:r>
        <w:rPr>
          <w:rFonts w:hint="eastAsia" w:ascii="宋体" w:hAnsi="宋体" w:cs="宋体"/>
          <w:szCs w:val="21"/>
          <w:highlight w:val="none"/>
        </w:rPr>
        <w:t>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 xml:space="preserve"> 7 </w:t>
      </w:r>
      <w:r>
        <w:rPr>
          <w:rFonts w:hint="eastAsia" w:ascii="宋体" w:hAnsi="宋体"/>
          <w:szCs w:val="21"/>
          <w:highlight w:val="none"/>
        </w:rPr>
        <w:t>月</w:t>
      </w:r>
      <w:r>
        <w:rPr>
          <w:rFonts w:hint="eastAsia" w:ascii="宋体" w:hAnsi="宋体"/>
          <w:szCs w:val="21"/>
          <w:highlight w:val="none"/>
          <w:u w:val="single"/>
          <w:lang w:val="en-US" w:eastAsia="zh-CN"/>
        </w:rPr>
        <w:t xml:space="preserve"> 19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lang w:val="en-US" w:eastAsia="zh-CN"/>
        </w:rPr>
        <w:t xml:space="preserve"> 15 </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r>
        <w:rPr>
          <w:rFonts w:hint="eastAsia" w:ascii="宋体" w:hAnsi="宋体" w:cs="宋体"/>
          <w:szCs w:val="21"/>
        </w:rPr>
        <w:t>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5.2递交地址：报价人将完整的报价资料递交</w:t>
      </w:r>
      <w:r>
        <w:rPr>
          <w:rFonts w:hint="eastAsia" w:ascii="宋体" w:hAnsi="宋体" w:cs="宋体"/>
          <w:szCs w:val="21"/>
          <w:lang w:val="en-US" w:eastAsia="zh-CN"/>
        </w:rPr>
        <w:t>或邮寄</w:t>
      </w:r>
      <w:r>
        <w:rPr>
          <w:rFonts w:hint="eastAsia" w:ascii="宋体" w:hAnsi="宋体" w:cs="宋体"/>
          <w:szCs w:val="21"/>
        </w:rPr>
        <w:t>至重庆市渝北区新南路52号东界龙湖一楼重庆首讯科技股份有限公司东界龙湖办公区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default" w:ascii="宋体" w:hAnsi="宋体" w:eastAsia="宋体" w:cs="宋体"/>
                <w:szCs w:val="21"/>
                <w:highlight w:val="none"/>
                <w:lang w:val="en-US" w:eastAsia="zh-CN"/>
              </w:rPr>
            </w:pPr>
            <w:r>
              <w:rPr>
                <w:rFonts w:hint="eastAsia" w:ascii="宋体" w:hAnsi="宋体" w:cs="宋体"/>
                <w:szCs w:val="21"/>
                <w:highlight w:val="none"/>
              </w:rPr>
              <w:t>地址：重庆市</w:t>
            </w:r>
            <w:r>
              <w:rPr>
                <w:rFonts w:hint="eastAsia" w:ascii="宋体" w:hAnsi="宋体" w:cs="宋体"/>
                <w:szCs w:val="21"/>
                <w:highlight w:val="none"/>
                <w:lang w:val="en-US" w:eastAsia="zh-CN"/>
              </w:rPr>
              <w:t>渝北区新南路52号重庆首讯科技股份有限公司</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杨  工  </w:t>
            </w:r>
            <w:r>
              <w:rPr>
                <w:rFonts w:hint="eastAsia" w:ascii="宋体" w:hAnsi="宋体" w:cs="宋体"/>
                <w:szCs w:val="21"/>
                <w:highlight w:val="none"/>
              </w:rPr>
              <w:t>电 话：</w:t>
            </w:r>
            <w:r>
              <w:rPr>
                <w:rFonts w:hint="eastAsia" w:ascii="宋体" w:hAnsi="宋体" w:cs="宋体"/>
                <w:szCs w:val="21"/>
                <w:highlight w:val="none"/>
                <w:lang w:val="en-US" w:eastAsia="zh-CN"/>
              </w:rPr>
              <w:t>15826128288</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3"/>
        <w:spacing w:before="0" w:after="0" w:line="360" w:lineRule="auto"/>
        <w:jc w:val="center"/>
        <w:rPr>
          <w:rFonts w:hint="eastAsia" w:ascii="宋体" w:hAnsi="宋体" w:cs="宋体"/>
          <w:highlight w:val="none"/>
        </w:rPr>
      </w:pPr>
      <w:bookmarkStart w:id="91" w:name="_Toc507319898"/>
      <w:bookmarkStart w:id="92" w:name="_Toc246996916"/>
      <w:bookmarkStart w:id="93" w:name="_Toc144974495"/>
      <w:bookmarkStart w:id="94" w:name="_Toc21719"/>
      <w:bookmarkStart w:id="95" w:name="_Toc152045527"/>
      <w:bookmarkStart w:id="96" w:name="_Toc247085687"/>
      <w:bookmarkStart w:id="97" w:name="_Toc2000405"/>
      <w:bookmarkStart w:id="98" w:name="_Toc246996173"/>
      <w:bookmarkStart w:id="99" w:name="_Toc179632544"/>
      <w:bookmarkStart w:id="100" w:name="_Toc152042303"/>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1"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址：重庆市南岸区四公里内环入口高速集团首讯科技大楼</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渝湘复线巴水段白云山隧道南川区域高压外电接入专项分包采购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2" w:name="_Hlt227984024"/>
            <w:bookmarkEnd w:id="102"/>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bCs/>
                <w:kern w:val="0"/>
                <w:szCs w:val="21"/>
                <w:highlight w:val="none"/>
              </w:rPr>
            </w:pPr>
            <w:r>
              <w:rPr>
                <w:rFonts w:hint="eastAsia" w:ascii="宋体" w:hAnsi="宋体"/>
                <w:b/>
                <w:bCs/>
                <w:szCs w:val="21"/>
                <w:highlight w:val="none"/>
                <w:lang w:eastAsia="zh-CN"/>
              </w:rPr>
              <w:t>渝湘复线巴水段白云山隧道南川区域高压外电接入专项分包采购</w:t>
            </w:r>
            <w:r>
              <w:rPr>
                <w:rFonts w:hint="eastAsia" w:ascii="宋体" w:hAnsi="宋体"/>
                <w:b/>
                <w:bCs/>
                <w:szCs w:val="21"/>
                <w:highlight w:val="none"/>
                <w:lang w:val="en-US" w:eastAsia="zh-CN"/>
              </w:rPr>
              <w:t>总限价为1684080.10元，本项目采用单项限价，报价人所报单价不得超过采购人发布的单项限价，若有单项报价高于采购人发布的单项限价，</w:t>
            </w:r>
            <w:r>
              <w:rPr>
                <w:rFonts w:hint="eastAsia" w:ascii="宋体" w:hAnsi="宋体" w:cs="宋体"/>
                <w:b/>
                <w:szCs w:val="21"/>
                <w:highlight w:val="none"/>
              </w:rPr>
              <w:t>其竞争性比选响应文件视为重大偏差，竞争</w:t>
            </w:r>
            <w:bookmarkStart w:id="309" w:name="_GoBack"/>
            <w:bookmarkEnd w:id="309"/>
            <w:r>
              <w:rPr>
                <w:rFonts w:hint="eastAsia" w:ascii="宋体" w:hAnsi="宋体" w:cs="宋体"/>
                <w:b/>
                <w:szCs w:val="21"/>
                <w:highlight w:val="none"/>
              </w:rPr>
              <w:t>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numPr>
                <w:ilvl w:val="0"/>
                <w:numId w:val="0"/>
              </w:numPr>
              <w:spacing w:line="400" w:lineRule="exact"/>
              <w:rPr>
                <w:rFonts w:hint="default"/>
                <w:lang w:val="en-US" w:eastAsia="zh-CN"/>
              </w:rPr>
            </w:pPr>
            <w:r>
              <w:rPr>
                <w:rFonts w:hint="eastAsia"/>
                <w:lang w:val="en-US" w:eastAsia="zh-CN"/>
              </w:rPr>
              <w:t>一、工程费用</w:t>
            </w:r>
          </w:p>
          <w:p>
            <w:pPr>
              <w:numPr>
                <w:ilvl w:val="0"/>
                <w:numId w:val="2"/>
              </w:numPr>
              <w:spacing w:line="40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按月支付，乙方按规定时间报送进度报表，经采购人审批后，于本月支付上月已完合格工程量的80%；</w:t>
            </w:r>
          </w:p>
          <w:p>
            <w:pPr>
              <w:numPr>
                <w:ilvl w:val="0"/>
                <w:numId w:val="2"/>
              </w:numPr>
              <w:spacing w:line="40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项目通电并结算后支付至结算金额的97%；</w:t>
            </w:r>
          </w:p>
          <w:p>
            <w:pPr>
              <w:numPr>
                <w:ilvl w:val="0"/>
                <w:numId w:val="2"/>
              </w:numPr>
              <w:spacing w:line="40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剩余3%稳定运行1年后，施工方提出支付申请后1个月内支付。</w:t>
            </w:r>
          </w:p>
          <w:p>
            <w:pPr>
              <w:spacing w:line="400" w:lineRule="exact"/>
              <w:ind w:firstLine="420" w:firstLineChars="200"/>
              <w:rPr>
                <w:rFonts w:hint="eastAsia"/>
                <w:lang w:val="en-US" w:eastAsia="zh-CN"/>
              </w:rPr>
            </w:pPr>
            <w:r>
              <w:rPr>
                <w:rFonts w:hint="eastAsia"/>
                <w:lang w:val="en-US" w:eastAsia="zh-CN"/>
              </w:rPr>
              <w:t>（4）乙方</w:t>
            </w:r>
            <w:r>
              <w:rPr>
                <w:rFonts w:hint="default"/>
                <w:lang w:eastAsia="zh-CN"/>
              </w:rPr>
              <w:t>每次应按计量金额</w:t>
            </w:r>
            <w:r>
              <w:rPr>
                <w:rFonts w:hint="eastAsia"/>
                <w:lang w:val="en-US" w:eastAsia="zh-CN"/>
              </w:rPr>
              <w:t>提供税率为3%的等额增值税专用发票给甲方</w:t>
            </w:r>
            <w:r>
              <w:rPr>
                <w:rFonts w:hint="default"/>
                <w:lang w:eastAsia="zh-CN"/>
              </w:rPr>
              <w:t>作为支付凭证</w:t>
            </w:r>
            <w:r>
              <w:rPr>
                <w:rFonts w:hint="eastAsia"/>
                <w:lang w:val="en-US" w:eastAsia="zh-CN"/>
              </w:rPr>
              <w:t>。</w:t>
            </w:r>
          </w:p>
          <w:p>
            <w:pPr>
              <w:pStyle w:val="42"/>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二、安全生产费</w:t>
            </w:r>
          </w:p>
          <w:p>
            <w:pPr>
              <w:pStyle w:val="4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甲方收到业主的预付款后，工程开工一个月内向乙方支付安全生产费用的50%。安全生产费按实结算，工程竣工结算后结余的安全生产费用，应当退回甲方。</w:t>
            </w:r>
          </w:p>
          <w:p>
            <w:pPr>
              <w:pStyle w:val="42"/>
              <w:jc w:val="left"/>
              <w:rPr>
                <w:rFonts w:hint="default"/>
                <w:lang w:val="en-US" w:eastAsia="zh-CN"/>
              </w:rPr>
            </w:pPr>
            <w:r>
              <w:rPr>
                <w:rFonts w:hint="default" w:ascii="Times New Roman" w:hAnsi="Times New Roman" w:eastAsia="宋体" w:cs="Times New Roman"/>
                <w:kern w:val="2"/>
                <w:sz w:val="21"/>
                <w:szCs w:val="24"/>
                <w:highlight w:val="none"/>
                <w:lang w:val="en-US" w:eastAsia="zh-CN" w:bidi="ar-SA"/>
              </w:rPr>
              <w:t>乙方应按照甲方《关于工程(维护》类安全生产费据实支付的业务指》中安全生产法结算的要求，提供相应结算材料，确保安全生产投入。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乙方在本项目工作开展期间，其项目经理、项目安全负责人必须驻施工现场开展工作，其在岗驻场工作时间按计划工期的工作日天数按实计量，若不在岗将处以1千元/人·天的违约处理。若离开必须书面向业主请假，未经批准擅自离开，按1千元/人·天处违约处理。</w:t>
            </w:r>
          </w:p>
          <w:p>
            <w:pPr>
              <w:numPr>
                <w:ilvl w:val="0"/>
                <w:numId w:val="3"/>
              </w:numPr>
              <w:spacing w:line="400" w:lineRule="exact"/>
              <w:ind w:firstLine="420" w:firstLineChars="200"/>
              <w:rPr>
                <w:rFonts w:hint="eastAsia"/>
                <w:highlight w:val="none"/>
                <w:lang w:val="en-US" w:eastAsia="zh-CN"/>
              </w:rPr>
            </w:pPr>
            <w:r>
              <w:rPr>
                <w:rFonts w:hint="eastAsia"/>
                <w:highlight w:val="none"/>
                <w:lang w:val="en-US" w:eastAsia="zh-CN"/>
              </w:rPr>
              <w:t>乙方在本项目工作开展期间，更换项目经理，甲方按5万元/人进行违约处理；更换安全负责人，甲方按2万元/人进行违约处理。新更换的人员不低于比选文件人员资质要求。</w:t>
            </w:r>
          </w:p>
          <w:p>
            <w:pPr>
              <w:numPr>
                <w:ilvl w:val="0"/>
                <w:numId w:val="3"/>
              </w:numPr>
              <w:spacing w:line="400" w:lineRule="exact"/>
              <w:ind w:firstLine="420" w:firstLineChars="200"/>
              <w:rPr>
                <w:rFonts w:hint="eastAsia"/>
                <w:highlight w:val="none"/>
                <w:lang w:val="en-US" w:eastAsia="zh-CN"/>
              </w:rPr>
            </w:pPr>
            <w:r>
              <w:rPr>
                <w:rFonts w:hint="eastAsia"/>
                <w:highlight w:val="none"/>
                <w:lang w:val="en-US" w:eastAsia="zh-CN"/>
              </w:rPr>
              <w:t>乙方分包的工程项目，不得再行转包或分包，否则将无条件被认为乙方违约，由此引起的一切责任、事故和损失由乙方负责。此外，乙方还应当向甲方支付 1 万元违约金，甲方有权终止或解除合同。</w:t>
            </w:r>
          </w:p>
          <w:p>
            <w:pPr>
              <w:numPr>
                <w:ilvl w:val="0"/>
                <w:numId w:val="3"/>
              </w:numPr>
              <w:spacing w:line="400" w:lineRule="exact"/>
              <w:ind w:firstLine="420" w:firstLineChars="200"/>
              <w:rPr>
                <w:rFonts w:hint="eastAsia"/>
                <w:highlight w:val="none"/>
                <w:lang w:val="en-US" w:eastAsia="zh-CN"/>
              </w:rPr>
            </w:pPr>
            <w:r>
              <w:rPr>
                <w:rFonts w:hint="eastAsia"/>
                <w:highlight w:val="none"/>
                <w:lang w:val="en-US" w:eastAsia="zh-CN"/>
              </w:rPr>
              <w:t>在施工过程中由乙方分包的工程项目质量经检验达不到验收规范和评定标准，不能保证工程质量，或因乙方分包的工程项目进度不能满足采购人和甲方制定的进度目标要求，则甲方有权终止合同，由此造成的损失由乙方承担。此外，乙方还应当向甲方支付  1 万元违约金。</w:t>
            </w:r>
          </w:p>
          <w:p>
            <w:pPr>
              <w:numPr>
                <w:ilvl w:val="0"/>
                <w:numId w:val="3"/>
              </w:numPr>
              <w:spacing w:line="400" w:lineRule="exact"/>
              <w:ind w:firstLine="420" w:firstLineChars="200"/>
              <w:rPr>
                <w:rFonts w:hint="eastAsia"/>
                <w:highlight w:val="none"/>
                <w:lang w:val="en-US" w:eastAsia="zh-CN"/>
              </w:rPr>
            </w:pPr>
            <w:r>
              <w:rPr>
                <w:rFonts w:hint="eastAsia"/>
                <w:highlight w:val="none"/>
                <w:lang w:val="en-US" w:eastAsia="zh-CN"/>
              </w:rPr>
              <w:t>除上一条款外，合同签订后，不经双方协商同意，任何一方不得随意变更或解除。如乙方未经甲方同意，单方解除合同时（如中途未征得甲方同意无故退场），甲方将按照乙方完成工作量的80%进行结算，同时乙方还需支付甲方  1 万元违约金，并且由乙方赔偿甲方因影响施工计划造成的经济损失；如甲方中途无故解除合同，按乙方完成工作量的100%进行结算，应赔偿乙方因此造成的经济损失。</w:t>
            </w:r>
          </w:p>
          <w:p>
            <w:pPr>
              <w:numPr>
                <w:ilvl w:val="0"/>
                <w:numId w:val="3"/>
              </w:numPr>
              <w:spacing w:line="400" w:lineRule="exact"/>
              <w:ind w:firstLine="420" w:firstLineChars="200"/>
              <w:rPr>
                <w:rFonts w:hint="eastAsia"/>
                <w:highlight w:val="none"/>
                <w:lang w:val="en-US" w:eastAsia="zh-CN"/>
              </w:rPr>
            </w:pPr>
            <w:r>
              <w:rPr>
                <w:rFonts w:hint="eastAsia"/>
                <w:highlight w:val="none"/>
                <w:lang w:val="en-US" w:eastAsia="zh-CN"/>
              </w:rPr>
              <w:t>因乙方原因，出现下列情况之一的，甲方有权采取认为合理的一切措施进行处理，由此引起的损失由乙方承担。</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4.1乙方的主要人员、机械设备及流动资金不能按时到位的，严重制约了工程的施工；</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4.2进度滞后该工程总体进度计划的10％或落到工程管理曲线下线以下的；</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4.3不按施工技术规范和标准要求施工，造成工程质量低劣的达不到验收标准的；</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4. 4不遵守甲方的管理，不能服从采购人和监理人的指令，造成工程不能管理无法推进。</w:t>
            </w:r>
          </w:p>
          <w:p>
            <w:pPr>
              <w:spacing w:line="400" w:lineRule="exact"/>
              <w:ind w:firstLine="420" w:firstLineChars="200"/>
              <w:rPr>
                <w:rFonts w:hint="eastAsia"/>
                <w:highlight w:val="none"/>
                <w:lang w:val="en-US" w:eastAsia="zh-CN"/>
              </w:rPr>
            </w:pPr>
            <w:r>
              <w:rPr>
                <w:rFonts w:hint="eastAsia"/>
                <w:highlight w:val="none"/>
                <w:lang w:val="en-US" w:eastAsia="zh-CN"/>
              </w:rPr>
              <w:t>5.乙方应按本合同规定的工期及质量要求完成，否则应偿付给甲方10000元/天的逾期违约金，并承担甲方项目部延期完成任务以后后续发生的管理费用，限额为 5％本合同的签约合同价。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9"/>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1、报价人须缴纳投标保证金</w:t>
            </w:r>
            <w:r>
              <w:rPr>
                <w:rFonts w:hint="eastAsia" w:ascii="宋体" w:hAnsi="宋体" w:eastAsia="宋体" w:cs="宋体"/>
                <w:sz w:val="21"/>
                <w:szCs w:val="21"/>
                <w:highlight w:val="none"/>
                <w:lang w:val="en-US" w:eastAsia="zh-CN"/>
              </w:rPr>
              <w:t>30000</w:t>
            </w:r>
            <w:r>
              <w:rPr>
                <w:rFonts w:hint="eastAsia" w:ascii="宋体" w:hAnsi="宋体" w:eastAsia="宋体" w:cs="宋体"/>
                <w:sz w:val="21"/>
                <w:szCs w:val="21"/>
                <w:highlight w:val="none"/>
              </w:rPr>
              <w:t>元，由报价人从公司基本账户将投标保证金汇至以下指定账户：</w:t>
            </w:r>
          </w:p>
          <w:p>
            <w:pPr>
              <w:pStyle w:val="149"/>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保证金到账截止时间：202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hAnsi="宋体" w:cs="宋体"/>
                <w:sz w:val="21"/>
                <w:szCs w:val="21"/>
                <w:highlight w:val="none"/>
                <w:lang w:val="en-US" w:eastAsia="zh-CN"/>
              </w:rPr>
              <w:t>7</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19</w:t>
            </w:r>
            <w:r>
              <w:rPr>
                <w:rFonts w:hint="eastAsia" w:ascii="宋体" w:hAnsi="宋体" w:eastAsia="宋体" w:cs="宋体"/>
                <w:sz w:val="21"/>
                <w:szCs w:val="21"/>
                <w:highlight w:val="none"/>
              </w:rPr>
              <w:t>日</w:t>
            </w:r>
            <w:r>
              <w:rPr>
                <w:rFonts w:hint="eastAsia" w:hAnsi="宋体" w:cs="宋体"/>
                <w:sz w:val="21"/>
                <w:szCs w:val="21"/>
                <w:highlight w:val="none"/>
                <w:lang w:val="en-US" w:eastAsia="zh-CN"/>
              </w:rPr>
              <w:t>15</w:t>
            </w:r>
            <w:r>
              <w:rPr>
                <w:rFonts w:hint="eastAsia" w:ascii="宋体" w:hAnsi="宋体" w:eastAsia="宋体" w:cs="宋体"/>
                <w:sz w:val="21"/>
                <w:szCs w:val="21"/>
                <w:highlight w:val="none"/>
              </w:rPr>
              <w:t>时00分前；</w:t>
            </w:r>
          </w:p>
          <w:p>
            <w:pPr>
              <w:pStyle w:val="149"/>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int="eastAsia" w:ascii="宋体" w:hAnsi="宋体" w:eastAsia="宋体" w:cs="宋体"/>
                <w:sz w:val="21"/>
                <w:szCs w:val="21"/>
              </w:rPr>
            </w:pPr>
            <w:r>
              <w:rPr>
                <w:rFonts w:hint="eastAsia" w:hAnsi="宋体" w:cs="宋体"/>
                <w:sz w:val="21"/>
                <w:szCs w:val="21"/>
                <w:lang w:val="en-US" w:eastAsia="zh-CN"/>
              </w:rPr>
              <w:t>此前参与本项目竞争性比选并缴纳投标保证金的，可使用此前缴纳的投标保证金。</w:t>
            </w:r>
          </w:p>
          <w:p>
            <w:pPr>
              <w:pStyle w:val="149"/>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2、投标保证金退还方式</w:t>
            </w:r>
          </w:p>
          <w:p>
            <w:pPr>
              <w:pStyle w:val="149"/>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未中标报价人的投标保证金，于该项目结果公示期结束</w:t>
            </w:r>
            <w:r>
              <w:rPr>
                <w:rFonts w:hint="eastAsia" w:hAnsi="宋体" w:cs="宋体"/>
                <w:sz w:val="21"/>
                <w:szCs w:val="21"/>
                <w:lang w:val="en-US" w:eastAsia="zh-CN"/>
              </w:rPr>
              <w:t>且由报价人提供相应资料给采购人后20</w:t>
            </w:r>
            <w:r>
              <w:rPr>
                <w:rFonts w:hint="eastAsia" w:ascii="宋体" w:hAnsi="宋体" w:eastAsia="宋体" w:cs="宋体"/>
                <w:sz w:val="21"/>
                <w:szCs w:val="21"/>
              </w:rPr>
              <w:t>个工作日内无息退还至报价人基本账户。</w:t>
            </w:r>
          </w:p>
          <w:p>
            <w:pPr>
              <w:pStyle w:val="149"/>
              <w:keepNext w:val="0"/>
              <w:keepLines w:val="0"/>
              <w:pageBreakBefore w:val="0"/>
              <w:widowControl w:val="0"/>
              <w:kinsoku/>
              <w:wordWrap/>
              <w:overflowPunct/>
              <w:topLinePunct w:val="0"/>
              <w:bidi w:val="0"/>
              <w:snapToGrid/>
              <w:spacing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s="宋体"/>
                <w:sz w:val="21"/>
                <w:szCs w:val="21"/>
                <w:lang w:eastAsia="zh-CN"/>
              </w:rPr>
              <w:t>中选人</w:t>
            </w:r>
            <w:r>
              <w:rPr>
                <w:rFonts w:hint="eastAsia" w:ascii="宋体" w:hAnsi="宋体" w:eastAsia="宋体" w:cs="宋体"/>
                <w:sz w:val="21"/>
                <w:szCs w:val="21"/>
              </w:rPr>
              <w:t>的投标保证金，自合同签订后</w:t>
            </w:r>
            <w:r>
              <w:rPr>
                <w:rFonts w:hint="eastAsia" w:hAnsi="宋体" w:cs="宋体"/>
                <w:sz w:val="21"/>
                <w:szCs w:val="21"/>
                <w:lang w:val="en-US" w:eastAsia="zh-CN"/>
              </w:rPr>
              <w:t>且中选人提供相应资料给采购人后20</w:t>
            </w:r>
            <w:r>
              <w:rPr>
                <w:rFonts w:hint="eastAsia" w:ascii="宋体" w:hAnsi="宋体" w:eastAsia="宋体" w:cs="宋体"/>
                <w:sz w:val="21"/>
                <w:szCs w:val="21"/>
              </w:rPr>
              <w:t>个工作日内无息退还至</w:t>
            </w:r>
            <w:r>
              <w:rPr>
                <w:rFonts w:hint="eastAsia" w:hAnsi="宋体" w:cs="宋体"/>
                <w:sz w:val="21"/>
                <w:szCs w:val="21"/>
                <w:lang w:eastAsia="zh-CN"/>
              </w:rPr>
              <w:t>中选人</w:t>
            </w:r>
            <w:r>
              <w:rPr>
                <w:rFonts w:hint="eastAsia" w:ascii="宋体" w:hAnsi="宋体" w:eastAsia="宋体" w:cs="宋体"/>
                <w:sz w:val="21"/>
                <w:szCs w:val="21"/>
              </w:rPr>
              <w:t>基本账户。</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9"/>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履约担保作为本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9"/>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2、履约保证金的金额：合同金额的10%。</w:t>
            </w:r>
          </w:p>
          <w:p>
            <w:pPr>
              <w:pStyle w:val="149"/>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3、履约保证金有效期：自双方签订的合同文件生效之日起，至合同约定的工程验收完成止。</w:t>
            </w:r>
          </w:p>
          <w:p>
            <w:pPr>
              <w:pStyle w:val="149"/>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4、履约保证金缴纳方式：现金或银行保函</w:t>
            </w:r>
          </w:p>
          <w:p>
            <w:pPr>
              <w:pStyle w:val="37"/>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lang w:val="en-US" w:eastAsia="zh-CN"/>
              </w:rPr>
              <w:t>则需</w:t>
            </w:r>
            <w:r>
              <w:rPr>
                <w:rFonts w:hint="eastAsia" w:ascii="宋体" w:hAnsi="宋体" w:eastAsia="宋体" w:cs="宋体"/>
                <w:i w:val="0"/>
                <w:caps w:val="0"/>
                <w:color w:val="auto"/>
                <w:spacing w:val="0"/>
                <w:sz w:val="21"/>
                <w:szCs w:val="21"/>
              </w:rPr>
              <w:t>备注</w:t>
            </w:r>
            <w:r>
              <w:rPr>
                <w:rFonts w:hint="eastAsia" w:ascii="宋体" w:hAnsi="宋体" w:eastAsia="宋体" w:cs="宋体"/>
                <w:i w:val="0"/>
                <w:caps w:val="0"/>
                <w:color w:val="auto"/>
                <w:spacing w:val="0"/>
                <w:sz w:val="21"/>
                <w:szCs w:val="21"/>
                <w:lang w:eastAsia="zh-CN"/>
              </w:rPr>
              <w:t>，</w:t>
            </w:r>
            <w:r>
              <w:rPr>
                <w:rFonts w:hint="eastAsia" w:ascii="宋体" w:hAnsi="宋体" w:eastAsia="宋体" w:cs="宋体"/>
                <w:i w:val="0"/>
                <w:caps w:val="0"/>
                <w:color w:val="auto"/>
                <w:spacing w:val="0"/>
                <w:sz w:val="21"/>
                <w:szCs w:val="21"/>
              </w:rPr>
              <w:t>转款备注：</w:t>
            </w:r>
            <w:r>
              <w:rPr>
                <w:rFonts w:hint="eastAsia" w:cs="宋体"/>
                <w:i w:val="0"/>
                <w:caps w:val="0"/>
                <w:color w:val="auto"/>
                <w:spacing w:val="0"/>
                <w:sz w:val="21"/>
                <w:szCs w:val="21"/>
                <w:lang w:eastAsia="zh-CN"/>
              </w:rPr>
              <w:t>渝湘复线巴水段白云山隧道南川区域高压外电接入专项分包采购</w:t>
            </w:r>
            <w:r>
              <w:rPr>
                <w:rFonts w:hint="eastAsia" w:ascii="宋体" w:hAnsi="宋体" w:eastAsia="宋体" w:cs="宋体"/>
                <w:i w:val="0"/>
                <w:caps w:val="0"/>
                <w:color w:val="auto"/>
                <w:spacing w:val="0"/>
                <w:sz w:val="21"/>
                <w:szCs w:val="21"/>
                <w:lang w:val="en-US" w:eastAsia="zh-CN"/>
              </w:rPr>
              <w:t>履约</w:t>
            </w:r>
            <w:r>
              <w:rPr>
                <w:rFonts w:hint="eastAsia" w:ascii="宋体" w:hAnsi="宋体" w:eastAsia="宋体" w:cs="宋体"/>
                <w:i w:val="0"/>
                <w:caps w:val="0"/>
                <w:color w:val="auto"/>
                <w:spacing w:val="0"/>
                <w:sz w:val="21"/>
                <w:szCs w:val="21"/>
              </w:rPr>
              <w:t>保证金</w:t>
            </w:r>
          </w:p>
          <w:p>
            <w:pPr>
              <w:pStyle w:val="149"/>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6、履约保证金退还：缴纳现金保函的，在完成合同约定的全部工作内容后28天后无息退还剩余部分。</w:t>
            </w:r>
          </w:p>
          <w:p>
            <w:pPr>
              <w:pStyle w:val="149"/>
              <w:keepNext w:val="0"/>
              <w:keepLines w:val="0"/>
              <w:pageBreakBefore w:val="0"/>
              <w:kinsoku/>
              <w:wordWrap/>
              <w:overflowPunct/>
              <w:topLinePunct w:val="0"/>
              <w:bidi w:val="0"/>
              <w:snapToGrid/>
              <w:spacing w:beforeAutospacing="0" w:afterAutospacing="0" w:line="360" w:lineRule="auto"/>
              <w:ind w:firstLine="422" w:firstLineChars="200"/>
              <w:textAlignment w:val="auto"/>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资料复印件加盖投标单位法人章并装入投标文件中。</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9"/>
              <w:spacing w:line="400" w:lineRule="exact"/>
              <w:ind w:firstLine="420" w:firstLineChars="200"/>
              <w:rPr>
                <w:rFonts w:hint="default"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97" w:type="dxa"/>
            <w:vAlign w:val="center"/>
          </w:tcPr>
          <w:p>
            <w:pPr>
              <w:pStyle w:val="149"/>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9"/>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9"/>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default" w:hAnsi="宋体"/>
                <w:color w:val="auto"/>
                <w:kern w:val="2"/>
                <w:sz w:val="21"/>
                <w:szCs w:val="21"/>
                <w:highlight w:val="none"/>
                <w:lang w:val="en-US"/>
              </w:rPr>
            </w:pPr>
            <w:r>
              <w:rPr>
                <w:rFonts w:hint="eastAsia" w:hAnsi="宋体"/>
                <w:color w:val="auto"/>
                <w:kern w:val="2"/>
                <w:sz w:val="21"/>
                <w:szCs w:val="21"/>
                <w:highlight w:val="none"/>
                <w:lang w:val="en-US" w:eastAsia="zh-CN"/>
              </w:rPr>
              <w:t>竞争性比选响应文件密封到一个封袋中，在封套上写明：渝湘复线巴水段白云山隧道南川区域高压外电接入专项分包采购项目竞争性比选响应文件（加盖报价人的公章）。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pStyle w:val="149"/>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22</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rPr>
              <w:t>中标候选人公示</w:t>
            </w:r>
          </w:p>
        </w:tc>
        <w:tc>
          <w:tcPr>
            <w:tcW w:w="7104" w:type="dxa"/>
            <w:vAlign w:val="center"/>
          </w:tcPr>
          <w:p>
            <w:pPr>
              <w:spacing w:line="400" w:lineRule="exact"/>
              <w:ind w:firstLine="420" w:firstLineChars="200"/>
              <w:rPr>
                <w:rFonts w:hint="eastAsia" w:hAnsi="宋体"/>
                <w:color w:val="auto"/>
                <w:kern w:val="2"/>
                <w:sz w:val="21"/>
                <w:szCs w:val="21"/>
                <w:highlight w:val="none"/>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97" w:type="dxa"/>
            <w:vAlign w:val="center"/>
          </w:tcPr>
          <w:p>
            <w:pPr>
              <w:pStyle w:val="149"/>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23</w:t>
            </w:r>
          </w:p>
        </w:tc>
        <w:tc>
          <w:tcPr>
            <w:tcW w:w="2106" w:type="dxa"/>
            <w:vAlign w:val="center"/>
          </w:tcPr>
          <w:p>
            <w:pPr>
              <w:pStyle w:val="149"/>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9"/>
              <w:spacing w:line="400" w:lineRule="exact"/>
              <w:ind w:firstLine="420" w:firstLineChars="200"/>
              <w:rPr>
                <w:rFonts w:hint="default" w:hAnsi="宋体"/>
                <w:color w:val="auto"/>
                <w:kern w:val="2"/>
                <w:sz w:val="21"/>
                <w:szCs w:val="21"/>
                <w:highlight w:val="none"/>
                <w:lang w:val="en-US"/>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重庆市南岸区新南路52号重庆首讯科技有限公司</w:t>
            </w:r>
          </w:p>
          <w:p>
            <w:pPr>
              <w:pStyle w:val="149"/>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24</w:t>
            </w:r>
          </w:p>
        </w:tc>
        <w:tc>
          <w:tcPr>
            <w:tcW w:w="9210" w:type="dxa"/>
            <w:gridSpan w:val="2"/>
            <w:vAlign w:val="center"/>
          </w:tcPr>
          <w:p>
            <w:pPr>
              <w:pStyle w:val="149"/>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24</w:t>
            </w:r>
            <w:r>
              <w:rPr>
                <w:rFonts w:hint="eastAsia" w:hAnsi="宋体"/>
                <w:color w:val="auto"/>
                <w:kern w:val="2"/>
                <w:sz w:val="21"/>
                <w:szCs w:val="21"/>
                <w:highlight w:val="none"/>
              </w:rPr>
              <w:t>.1</w:t>
            </w:r>
          </w:p>
        </w:tc>
        <w:tc>
          <w:tcPr>
            <w:tcW w:w="9210" w:type="dxa"/>
            <w:gridSpan w:val="2"/>
            <w:vAlign w:val="center"/>
          </w:tcPr>
          <w:p>
            <w:pPr>
              <w:pStyle w:val="149"/>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1"/>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3" w:name="_Toc17532"/>
      <w:bookmarkStart w:id="104" w:name="_Toc11329222"/>
      <w:bookmarkStart w:id="105" w:name="_Toc11284"/>
      <w:bookmarkStart w:id="106" w:name="_Toc30198"/>
      <w:r>
        <w:rPr>
          <w:rFonts w:hint="eastAsia" w:ascii="宋体" w:hAnsi="宋体" w:eastAsia="宋体" w:cs="宋体"/>
          <w:sz w:val="28"/>
          <w:szCs w:val="28"/>
          <w:highlight w:val="none"/>
        </w:rPr>
        <w:t xml:space="preserve">附录1  </w:t>
      </w:r>
      <w:bookmarkEnd w:id="103"/>
      <w:bookmarkEnd w:id="104"/>
      <w:bookmarkEnd w:id="105"/>
      <w:bookmarkEnd w:id="106"/>
      <w:bookmarkStart w:id="107" w:name="_Toc12773"/>
      <w:bookmarkStart w:id="108" w:name="_Toc25591"/>
      <w:bookmarkStart w:id="109" w:name="_Toc27096"/>
      <w:bookmarkStart w:id="110" w:name="_Toc11329226"/>
      <w:r>
        <w:rPr>
          <w:rFonts w:hint="eastAsia" w:ascii="宋体" w:hAnsi="宋体" w:eastAsia="宋体" w:cs="宋体"/>
          <w:bCs w:val="0"/>
          <w:sz w:val="28"/>
          <w:szCs w:val="28"/>
          <w:highlight w:val="none"/>
        </w:rPr>
        <w:t>资格审查文件（项目主要管理人员最低要求）</w:t>
      </w:r>
      <w:bookmarkEnd w:id="107"/>
      <w:bookmarkEnd w:id="108"/>
      <w:bookmarkEnd w:id="109"/>
      <w:bookmarkEnd w:id="110"/>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1" w:name="_Toc388534043"/>
            <w:bookmarkStart w:id="112"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项目经理</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①具有注册二级建造师（机电工程）；</w:t>
            </w:r>
          </w:p>
          <w:p>
            <w:pPr>
              <w:keepNext w:val="0"/>
              <w:keepLines w:val="0"/>
              <w:widowControl/>
              <w:suppressLineNumbers w:val="0"/>
              <w:spacing w:before="0" w:beforeAutospacing="0" w:after="0" w:afterAutospacing="0"/>
              <w:ind w:left="0" w:right="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②持有有效的省级交通运输主管部门或建设主管部门颁发的安全生产考核合格证B证；</w:t>
            </w:r>
          </w:p>
          <w:p>
            <w:pPr>
              <w:keepNext w:val="0"/>
              <w:keepLines w:val="0"/>
              <w:widowControl/>
              <w:suppressLineNumbers w:val="0"/>
              <w:spacing w:before="0" w:beforeAutospacing="0" w:after="0" w:afterAutospacing="0"/>
              <w:ind w:left="0" w:right="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③担任过1个10kv及以上高压外线工程施工项目的项目经理。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项目总工</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①担任过1个10kv及以上高压外线工程施工项目的项目总工或项目经理。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专职安全员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持有有效的省级交通运输主管部门或省级建设主管部门颁发的安全生产考核合格证C证。</w:t>
            </w:r>
          </w:p>
        </w:tc>
      </w:tr>
    </w:tbl>
    <w:p>
      <w:pPr>
        <w:spacing w:line="400" w:lineRule="exact"/>
        <w:jc w:val="left"/>
        <w:rPr>
          <w:rFonts w:hint="eastAsia" w:hAnsi="宋体"/>
          <w:b w:val="0"/>
          <w:bCs w:val="0"/>
          <w:color w:val="auto"/>
          <w:sz w:val="21"/>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w:t>
      </w:r>
      <w:r>
        <w:rPr>
          <w:rFonts w:hint="eastAsia" w:hAnsi="宋体" w:cs="Times New Roman"/>
          <w:b w:val="0"/>
          <w:bCs w:val="0"/>
          <w:color w:val="auto"/>
          <w:sz w:val="21"/>
          <w:szCs w:val="21"/>
          <w:highlight w:val="none"/>
          <w:lang w:val="en-US" w:eastAsia="zh-CN"/>
        </w:rPr>
        <w:t>1.</w:t>
      </w:r>
      <w:r>
        <w:rPr>
          <w:rFonts w:hint="eastAsia" w:ascii="Times New Roman" w:hAnsi="宋体" w:cs="Times New Roman"/>
          <w:b w:val="0"/>
          <w:bCs w:val="0"/>
          <w:color w:val="auto"/>
          <w:sz w:val="21"/>
          <w:szCs w:val="21"/>
          <w:highlight w:val="none"/>
          <w:lang w:val="en-US" w:eastAsia="zh-CN"/>
        </w:rPr>
        <w:t>需提供项目主要管理人员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以上人员相关资质证件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及由社保局出具的报价人为以上人员缴纳近三个月的养老保险证明（带有社保部门公章或社保部门的有效电子印章）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hAnsi="宋体"/>
          <w:b w:val="0"/>
          <w:bCs w:val="0"/>
          <w:color w:val="auto"/>
          <w:sz w:val="21"/>
          <w:szCs w:val="21"/>
          <w:highlight w:val="none"/>
          <w:lang w:val="en-US" w:eastAsia="zh-CN"/>
        </w:rPr>
        <w:t>2.</w:t>
      </w:r>
      <w:r>
        <w:rPr>
          <w:rFonts w:hint="eastAsia" w:ascii="Times New Roman" w:hAnsi="宋体" w:cs="Times New Roman"/>
          <w:b w:val="0"/>
          <w:bCs w:val="0"/>
          <w:color w:val="auto"/>
          <w:sz w:val="21"/>
          <w:szCs w:val="21"/>
          <w:highlight w:val="none"/>
          <w:lang w:val="en-US" w:eastAsia="zh-CN"/>
        </w:rPr>
        <w:t>需</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val="en-US" w:eastAsia="zh-CN"/>
        </w:rPr>
        <w:t>项目经理及总共</w:t>
      </w:r>
      <w:r>
        <w:rPr>
          <w:rFonts w:hint="eastAsia" w:ascii="宋体" w:hAnsi="宋体" w:eastAsia="宋体" w:cs="宋体"/>
          <w:color w:val="auto"/>
          <w:szCs w:val="21"/>
          <w:highlight w:val="none"/>
        </w:rPr>
        <w:t>业绩合同、竣工验收资料复印件。</w:t>
      </w:r>
    </w:p>
    <w:p>
      <w:pPr>
        <w:pStyle w:val="42"/>
        <w:rPr>
          <w:rFonts w:hint="default" w:eastAsia="宋体"/>
          <w:lang w:val="en-US" w:eastAsia="zh-CN"/>
        </w:rPr>
      </w:pPr>
    </w:p>
    <w:p>
      <w:pPr>
        <w:pStyle w:val="28"/>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13" w:name="_Toc8293"/>
      <w:bookmarkStart w:id="114" w:name="_Toc27148"/>
      <w:bookmarkStart w:id="115" w:name="_Toc21487"/>
      <w:bookmarkStart w:id="116" w:name="_Toc11329227"/>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3"/>
      <w:bookmarkEnd w:id="114"/>
      <w:bookmarkEnd w:id="115"/>
      <w:bookmarkEnd w:id="11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17" w:name="_Toc507319900"/>
            <w:bookmarkStart w:id="118" w:name="_Toc23696"/>
            <w:bookmarkStart w:id="119" w:name="_Toc413241584"/>
            <w:r>
              <w:rPr>
                <w:rFonts w:hint="eastAsia" w:ascii="宋体" w:hAnsi="宋体" w:cs="宋体"/>
                <w:szCs w:val="21"/>
                <w:highlight w:val="none"/>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rFonts w:hint="default" w:eastAsia="宋体"/>
                <w:highlight w:val="none"/>
                <w:lang w:val="en-US" w:eastAsia="zh-CN"/>
              </w:rPr>
            </w:pPr>
            <w:r>
              <w:rPr>
                <w:rFonts w:hint="eastAsia" w:hAnsi="宋体"/>
                <w:bCs/>
                <w:color w:val="auto"/>
                <w:szCs w:val="21"/>
                <w:highlight w:val="none"/>
                <w:lang w:val="en-US" w:eastAsia="zh-CN"/>
              </w:rPr>
              <w:t>1.满足项目及工期要求的人员（</w:t>
            </w:r>
            <w:r>
              <w:rPr>
                <w:rFonts w:hint="eastAsia"/>
                <w:b/>
                <w:color w:val="auto"/>
                <w:highlight w:val="none"/>
                <w:lang w:eastAsia="zh-CN"/>
              </w:rPr>
              <w:t>报价人自行承诺即可）</w:t>
            </w:r>
          </w:p>
        </w:tc>
      </w:tr>
    </w:tbl>
    <w:p>
      <w:pPr>
        <w:pStyle w:val="149"/>
        <w:adjustRightInd/>
        <w:spacing w:line="360" w:lineRule="auto"/>
        <w:jc w:val="both"/>
        <w:rPr>
          <w:rFonts w:hint="eastAsia" w:hAnsi="宋体"/>
          <w:b w:val="0"/>
          <w:bCs w:val="0"/>
          <w:color w:val="FF0000"/>
          <w:sz w:val="21"/>
          <w:szCs w:val="21"/>
          <w:highlight w:val="none"/>
        </w:rPr>
      </w:pPr>
      <w:r>
        <w:rPr>
          <w:rFonts w:hint="eastAsia" w:hAnsi="宋体"/>
          <w:b w:val="0"/>
          <w:bCs w:val="0"/>
          <w:color w:val="auto"/>
          <w:sz w:val="21"/>
          <w:szCs w:val="21"/>
          <w:highlight w:val="none"/>
        </w:rPr>
        <w:t>注：</w:t>
      </w:r>
      <w:r>
        <w:rPr>
          <w:rFonts w:hint="eastAsia" w:ascii="Times New Roman" w:hAnsi="宋体" w:cs="Times New Roman"/>
          <w:b w:val="0"/>
          <w:bCs w:val="0"/>
          <w:color w:val="auto"/>
          <w:sz w:val="21"/>
          <w:szCs w:val="21"/>
          <w:highlight w:val="none"/>
          <w:lang w:val="en-US" w:eastAsia="zh-CN"/>
        </w:rPr>
        <w:t>以上人员不得</w:t>
      </w:r>
      <w:r>
        <w:rPr>
          <w:rFonts w:hint="eastAsia" w:hAnsi="宋体" w:cs="Times New Roman"/>
          <w:b w:val="0"/>
          <w:bCs w:val="0"/>
          <w:color w:val="auto"/>
          <w:sz w:val="21"/>
          <w:szCs w:val="21"/>
          <w:highlight w:val="none"/>
          <w:lang w:val="en-US" w:eastAsia="zh-CN"/>
        </w:rPr>
        <w:t>在其他项目</w:t>
      </w:r>
      <w:r>
        <w:rPr>
          <w:rFonts w:hint="eastAsia" w:ascii="Times New Roman" w:hAnsi="宋体" w:cs="Times New Roman"/>
          <w:b w:val="0"/>
          <w:bCs w:val="0"/>
          <w:color w:val="auto"/>
          <w:sz w:val="21"/>
          <w:szCs w:val="21"/>
          <w:highlight w:val="none"/>
          <w:lang w:val="en-US" w:eastAsia="zh-CN"/>
        </w:rPr>
        <w:t>重复任职。</w:t>
      </w:r>
    </w:p>
    <w:bookmarkEnd w:id="117"/>
    <w:bookmarkEnd w:id="118"/>
    <w:bookmarkEnd w:id="119"/>
    <w:p>
      <w:pPr>
        <w:pStyle w:val="4"/>
        <w:rPr>
          <w:rStyle w:val="77"/>
          <w:rFonts w:hint="eastAsia" w:ascii="宋体" w:hAnsi="宋体" w:eastAsia="宋体" w:cs="宋体"/>
          <w:b w:val="0"/>
          <w:bCs w:val="0"/>
          <w:sz w:val="28"/>
          <w:szCs w:val="28"/>
          <w:highlight w:val="none"/>
        </w:rPr>
      </w:pPr>
    </w:p>
    <w:p>
      <w:pPr>
        <w:pStyle w:val="4"/>
        <w:rPr>
          <w:rFonts w:hint="eastAsia" w:hAnsi="宋体"/>
          <w:b w:val="0"/>
          <w:sz w:val="28"/>
          <w:szCs w:val="28"/>
          <w:highlight w:val="none"/>
        </w:rPr>
      </w:pPr>
      <w:bookmarkStart w:id="120" w:name="_Toc17384"/>
      <w:bookmarkStart w:id="121" w:name="_Toc4169"/>
      <w:bookmarkStart w:id="122" w:name="_Toc6096"/>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0"/>
      <w:bookmarkEnd w:id="121"/>
      <w:bookmarkEnd w:id="122"/>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60" w:type="dxa"/>
          </w:tcPr>
          <w:p>
            <w:pPr>
              <w:ind w:firstLine="420" w:firstLineChars="200"/>
              <w:rPr>
                <w:rFonts w:hint="default"/>
                <w:highlight w:val="none"/>
                <w:lang w:val="en-US"/>
              </w:rPr>
            </w:pPr>
            <w:r>
              <w:rPr>
                <w:rFonts w:hint="eastAsia" w:ascii="宋体" w:hAnsi="宋体" w:cs="宋体"/>
                <w:caps/>
                <w:szCs w:val="21"/>
                <w:highlight w:val="none"/>
                <w:lang w:val="en-US" w:eastAsia="zh-CN"/>
              </w:rPr>
              <w:t>1.满足项目工期及质量要求的施工机具。（</w:t>
            </w:r>
            <w:r>
              <w:rPr>
                <w:rFonts w:hint="eastAsia"/>
                <w:b/>
                <w:color w:val="auto"/>
                <w:highlight w:val="none"/>
                <w:lang w:eastAsia="zh-CN"/>
              </w:rPr>
              <w:t>报价人自行承诺即可）</w:t>
            </w:r>
          </w:p>
        </w:tc>
      </w:tr>
      <w:bookmarkEnd w:id="111"/>
      <w:bookmarkEnd w:id="112"/>
    </w:tbl>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23" w:name="_Toc507319957"/>
      <w:bookmarkStart w:id="124" w:name="_Toc152045587"/>
      <w:bookmarkStart w:id="125" w:name="_Toc179632605"/>
      <w:bookmarkStart w:id="126" w:name="_Toc246996230"/>
      <w:bookmarkStart w:id="127" w:name="_Toc246996973"/>
      <w:bookmarkStart w:id="128" w:name="_Toc144974554"/>
      <w:bookmarkStart w:id="129" w:name="_Toc2000406"/>
      <w:bookmarkStart w:id="130" w:name="_Toc152042364"/>
      <w:bookmarkStart w:id="131" w:name="_Toc7682"/>
      <w:bookmarkStart w:id="132" w:name="_Toc247085745"/>
      <w:r>
        <w:rPr>
          <w:rFonts w:hint="eastAsia" w:ascii="宋体" w:hAnsi="宋体" w:cs="宋体"/>
          <w:highlight w:val="none"/>
        </w:rPr>
        <w:t>第三章 评标办法（</w:t>
      </w:r>
      <w:r>
        <w:rPr>
          <w:rFonts w:hint="eastAsia" w:ascii="宋体" w:hAnsi="宋体" w:cs="宋体"/>
          <w:highlight w:val="none"/>
          <w:lang w:val="en-US" w:eastAsia="zh-CN"/>
        </w:rPr>
        <w:t>综合评估法</w:t>
      </w:r>
      <w:r>
        <w:rPr>
          <w:rFonts w:hint="eastAsia" w:ascii="宋体" w:hAnsi="宋体" w:cs="宋体"/>
          <w:highlight w:val="none"/>
        </w:rPr>
        <w:t>）</w:t>
      </w:r>
      <w:bookmarkEnd w:id="123"/>
      <w:bookmarkEnd w:id="124"/>
      <w:bookmarkEnd w:id="125"/>
      <w:bookmarkEnd w:id="126"/>
      <w:bookmarkEnd w:id="127"/>
      <w:bookmarkEnd w:id="128"/>
      <w:bookmarkEnd w:id="129"/>
      <w:bookmarkEnd w:id="130"/>
      <w:bookmarkEnd w:id="131"/>
      <w:bookmarkEnd w:id="132"/>
    </w:p>
    <w:p>
      <w:pPr>
        <w:pStyle w:val="4"/>
        <w:spacing w:before="0" w:after="0" w:line="360" w:lineRule="auto"/>
        <w:rPr>
          <w:rFonts w:hint="eastAsia" w:ascii="宋体" w:hAnsi="宋体" w:cs="宋体"/>
          <w:color w:val="auto"/>
          <w:sz w:val="28"/>
          <w:szCs w:val="28"/>
          <w:highlight w:val="none"/>
          <w:lang w:val="en-US" w:eastAsia="zh-CN"/>
        </w:rPr>
      </w:pPr>
      <w:bookmarkStart w:id="133" w:name="_Toc30647"/>
      <w:r>
        <w:rPr>
          <w:rFonts w:hint="eastAsia" w:ascii="宋体" w:hAnsi="宋体" w:cs="宋体"/>
          <w:color w:val="auto"/>
          <w:sz w:val="28"/>
          <w:szCs w:val="28"/>
          <w:highlight w:val="none"/>
        </w:rPr>
        <w:t>评标方法</w:t>
      </w:r>
      <w:r>
        <w:rPr>
          <w:rFonts w:hint="eastAsia" w:ascii="宋体" w:hAnsi="宋体" w:cs="宋体"/>
          <w:color w:val="auto"/>
          <w:sz w:val="28"/>
          <w:szCs w:val="28"/>
          <w:highlight w:val="none"/>
          <w:lang w:val="en-US" w:eastAsia="zh-CN"/>
        </w:rPr>
        <w:t>前附表</w:t>
      </w:r>
      <w:bookmarkEnd w:id="133"/>
    </w:p>
    <w:tbl>
      <w:tblPr>
        <w:tblStyle w:val="43"/>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3"/>
        <w:gridCol w:w="1135"/>
        <w:gridCol w:w="1220"/>
        <w:gridCol w:w="421"/>
        <w:gridCol w:w="5562"/>
        <w:gridCol w:w="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tblHeader/>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条款号</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评审因素</w:t>
            </w:r>
          </w:p>
        </w:tc>
        <w:tc>
          <w:tcPr>
            <w:tcW w:w="720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p>
        </w:tc>
        <w:tc>
          <w:tcPr>
            <w:tcW w:w="11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eastAsia="zh-CN"/>
              </w:rPr>
              <w:t>评审</w:t>
            </w:r>
            <w:r>
              <w:rPr>
                <w:rFonts w:hint="default" w:ascii="Times New Roman" w:hAnsi="Times New Roman" w:cs="Times New Roman" w:eastAsiaTheme="minorEastAsia"/>
                <w:color w:val="auto"/>
                <w:kern w:val="0"/>
                <w:sz w:val="21"/>
                <w:szCs w:val="21"/>
              </w:rPr>
              <w:t>方法</w:t>
            </w:r>
          </w:p>
        </w:tc>
        <w:tc>
          <w:tcPr>
            <w:tcW w:w="72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color w:val="auto"/>
              </w:rPr>
            </w:pPr>
            <w:r>
              <w:rPr>
                <w:rFonts w:hint="default"/>
                <w:color w:val="auto"/>
              </w:rPr>
              <w:t>本次评审采用综合评估法。评审委员会按照本章第2.2款规定的评分标准进行打分，按得分由高到低顺序推荐</w:t>
            </w:r>
            <w:r>
              <w:rPr>
                <w:rFonts w:hint="eastAsia"/>
                <w:color w:val="auto"/>
                <w:u w:val="single"/>
                <w:lang w:val="en-US" w:eastAsia="zh-CN"/>
              </w:rPr>
              <w:t>2名</w:t>
            </w:r>
            <w:r>
              <w:rPr>
                <w:rFonts w:hint="default"/>
                <w:color w:val="auto"/>
              </w:rPr>
              <w:t>中选候选人。若出现综合评分相等时，以技术部分得分高的优先；技术部分得分也相等的，</w:t>
            </w:r>
            <w:r>
              <w:rPr>
                <w:rFonts w:hint="eastAsia"/>
                <w:color w:val="auto"/>
                <w:lang w:val="en-US" w:eastAsia="zh-CN"/>
              </w:rPr>
              <w:t>以商务部分得分高的优先；均相等的以免交</w:t>
            </w:r>
            <w:r>
              <w:rPr>
                <w:rFonts w:hint="eastAsia" w:hAnsi="宋体"/>
                <w:snapToGrid w:val="0"/>
                <w:color w:val="auto"/>
                <w:kern w:val="0"/>
                <w:szCs w:val="21"/>
              </w:rPr>
              <w:t>免交投标担保及履约担保</w:t>
            </w:r>
            <w:r>
              <w:rPr>
                <w:rFonts w:hint="eastAsia" w:hAnsi="宋体"/>
                <w:snapToGrid w:val="0"/>
                <w:color w:val="auto"/>
                <w:kern w:val="0"/>
                <w:szCs w:val="21"/>
                <w:lang w:val="en-US" w:eastAsia="zh-CN"/>
              </w:rPr>
              <w:t>的单位优先，若均为免交单位，则以评标委员会投标确定</w:t>
            </w:r>
            <w:r>
              <w:rPr>
                <w:rFonts w:hint="eastAsia" w:hAnsi="宋体"/>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2.1.1</w:t>
            </w:r>
          </w:p>
        </w:tc>
        <w:tc>
          <w:tcPr>
            <w:tcW w:w="113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资格评审标准</w:t>
            </w: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rPr>
              <w:t>营业执照</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eastAsiaTheme="minorEastAsia"/>
                <w:szCs w:val="21"/>
                <w:lang w:val="en-US" w:eastAsia="zh-CN"/>
              </w:rPr>
              <w:t>8</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eastAsia="zh-CN"/>
              </w:rPr>
            </w:pPr>
            <w:r>
              <w:rPr>
                <w:rFonts w:hint="eastAsia" w:ascii="宋体" w:hAnsi="宋体" w:cs="宋体"/>
                <w:szCs w:val="21"/>
                <w:highlight w:val="none"/>
                <w:shd w:val="clear" w:color="auto" w:fill="FFFFFF"/>
                <w:lang w:val="en-US" w:eastAsia="zh-CN"/>
              </w:rPr>
              <w:t>资质要求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eastAsiaTheme="minorEastAsia"/>
                <w:szCs w:val="21"/>
                <w:lang w:val="en-US" w:eastAsia="zh-CN"/>
              </w:rPr>
              <w:t>8</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业绩要求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eastAsiaTheme="minorEastAsia"/>
                <w:szCs w:val="21"/>
                <w:lang w:val="en-US" w:eastAsia="zh-CN"/>
              </w:rPr>
              <w:t>8</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信誉要求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eastAsiaTheme="minorEastAsia"/>
                <w:szCs w:val="21"/>
                <w:lang w:val="en-US" w:eastAsia="zh-CN"/>
              </w:rPr>
              <w:t>8</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snapToGrid w:val="0"/>
                <w:color w:val="auto"/>
                <w:kern w:val="0"/>
                <w:sz w:val="21"/>
                <w:szCs w:val="21"/>
              </w:rPr>
              <w:t>2.1.2</w:t>
            </w:r>
          </w:p>
        </w:tc>
        <w:tc>
          <w:tcPr>
            <w:tcW w:w="113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snapToGrid w:val="0"/>
                <w:color w:val="auto"/>
                <w:kern w:val="0"/>
                <w:sz w:val="21"/>
                <w:szCs w:val="21"/>
              </w:rPr>
              <w:t>形式评审标准</w:t>
            </w: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名称</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与</w:t>
            </w:r>
            <w:r>
              <w:rPr>
                <w:rFonts w:hint="default" w:ascii="Times New Roman" w:hAnsi="Times New Roman" w:cs="Times New Roman" w:eastAsiaTheme="minorEastAsia"/>
                <w:color w:val="auto"/>
                <w:kern w:val="0"/>
                <w:sz w:val="21"/>
                <w:szCs w:val="21"/>
                <w:lang w:eastAsia="zh-CN"/>
              </w:rPr>
              <w:t>资质证书及</w:t>
            </w:r>
            <w:r>
              <w:rPr>
                <w:rFonts w:hint="default" w:ascii="Times New Roman" w:hAnsi="Times New Roman" w:cs="Times New Roman" w:eastAsiaTheme="minorEastAsia"/>
                <w:color w:val="auto"/>
                <w:kern w:val="0"/>
                <w:sz w:val="21"/>
                <w:szCs w:val="21"/>
              </w:rPr>
              <w:t>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snapToGrid w:val="0"/>
                <w:color w:val="auto"/>
                <w:kern w:val="0"/>
                <w:sz w:val="21"/>
                <w:szCs w:val="21"/>
                <w:lang w:eastAsia="zh-CN"/>
              </w:rPr>
              <w:t>比选函</w:t>
            </w:r>
            <w:r>
              <w:rPr>
                <w:rFonts w:hint="default" w:ascii="Times New Roman" w:hAnsi="Times New Roman" w:cs="Times New Roman" w:eastAsiaTheme="minorEastAsia"/>
                <w:snapToGrid w:val="0"/>
                <w:color w:val="auto"/>
                <w:kern w:val="0"/>
                <w:sz w:val="21"/>
                <w:szCs w:val="21"/>
              </w:rPr>
              <w:t>签名盖章</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比选函</w:t>
            </w:r>
            <w:r>
              <w:rPr>
                <w:rFonts w:hint="default" w:ascii="Times New Roman" w:hAnsi="Times New Roman" w:cs="Times New Roman" w:eastAsiaTheme="minorEastAsia"/>
                <w:color w:val="auto"/>
                <w:kern w:val="0"/>
                <w:sz w:val="21"/>
                <w:szCs w:val="21"/>
              </w:rPr>
              <w:t>格式规定签名、盖章的位置有法定代表人或其委托代理人签名（或盖章）、加盖单位法人章。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格式</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须知”第</w:t>
            </w:r>
            <w:r>
              <w:rPr>
                <w:rFonts w:hint="eastAsia" w:hAnsi="宋体" w:eastAsiaTheme="minorEastAsia"/>
                <w:color w:val="auto"/>
                <w:sz w:val="21"/>
                <w:szCs w:val="21"/>
                <w:lang w:val="en-US" w:eastAsia="zh-CN"/>
              </w:rPr>
              <w:t>21</w:t>
            </w:r>
            <w:r>
              <w:rPr>
                <w:rFonts w:hint="default" w:ascii="Times New Roman" w:hAnsi="Times New Roman" w:cs="Times New Roman" w:eastAsiaTheme="minorEastAsia"/>
                <w:color w:val="auto"/>
                <w:kern w:val="0"/>
                <w:sz w:val="21"/>
                <w:szCs w:val="21"/>
              </w:rPr>
              <w:t>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snapToGrid w:val="0"/>
                <w:color w:val="auto"/>
                <w:kern w:val="0"/>
                <w:sz w:val="21"/>
                <w:szCs w:val="21"/>
              </w:rPr>
            </w:pP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份数</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须知”第</w:t>
            </w:r>
            <w:r>
              <w:rPr>
                <w:rFonts w:hint="eastAsia" w:cs="Times New Roman" w:eastAsiaTheme="minorEastAsia"/>
                <w:color w:val="auto"/>
                <w:kern w:val="0"/>
                <w:sz w:val="21"/>
                <w:szCs w:val="21"/>
                <w:lang w:val="en-US" w:eastAsia="zh-CN"/>
              </w:rPr>
              <w:t>21</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snapToGrid w:val="0"/>
                <w:color w:val="auto"/>
                <w:kern w:val="0"/>
                <w:sz w:val="21"/>
                <w:szCs w:val="21"/>
                <w:lang w:eastAsia="zh-CN"/>
              </w:rPr>
              <w:t>比选文件</w:t>
            </w:r>
            <w:r>
              <w:rPr>
                <w:rFonts w:hint="default" w:ascii="Times New Roman" w:hAnsi="Times New Roman" w:cs="Times New Roman" w:eastAsiaTheme="minorEastAsia"/>
                <w:snapToGrid w:val="0"/>
                <w:color w:val="auto"/>
                <w:kern w:val="0"/>
                <w:sz w:val="21"/>
                <w:szCs w:val="21"/>
              </w:rPr>
              <w:t>的签署</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八</w:t>
            </w:r>
            <w:r>
              <w:rPr>
                <w:rFonts w:hint="default" w:ascii="Times New Roman" w:hAnsi="Times New Roman" w:cs="Times New Roman" w:eastAsiaTheme="minorEastAsia"/>
                <w:color w:val="auto"/>
                <w:kern w:val="0"/>
                <w:sz w:val="21"/>
                <w:szCs w:val="21"/>
              </w:rPr>
              <w:t xml:space="preserve">章 </w:t>
            </w: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委托代理人</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2.1.3</w:t>
            </w:r>
          </w:p>
        </w:tc>
        <w:tc>
          <w:tcPr>
            <w:tcW w:w="11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响应性评审标准</w:t>
            </w:r>
          </w:p>
        </w:tc>
        <w:tc>
          <w:tcPr>
            <w:tcW w:w="1641"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rPr>
            </w:pPr>
            <w:r>
              <w:rPr>
                <w:rFonts w:hint="eastAsia" w:cs="Times New Roman" w:eastAsiaTheme="minorEastAsia"/>
                <w:color w:val="auto"/>
                <w:kern w:val="0"/>
                <w:sz w:val="21"/>
                <w:szCs w:val="21"/>
                <w:lang w:val="en-US" w:eastAsia="zh-CN"/>
              </w:rPr>
              <w:t>比选范围</w:t>
            </w:r>
          </w:p>
        </w:tc>
        <w:tc>
          <w:tcPr>
            <w:tcW w:w="556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4</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eastAsia" w:ascii="Times New Roman" w:hAnsi="Times New Roman" w:cs="Times New Roman" w:eastAsiaTheme="minorEastAsia"/>
                <w:color w:val="auto"/>
                <w:kern w:val="0"/>
                <w:sz w:val="21"/>
                <w:szCs w:val="21"/>
                <w:lang w:eastAsia="zh-CN"/>
              </w:rPr>
            </w:pPr>
            <w:r>
              <w:rPr>
                <w:rFonts w:hint="eastAsia" w:ascii="宋体" w:hAnsi="宋体" w:cs="宋体"/>
                <w:b w:val="0"/>
                <w:bCs w:val="0"/>
                <w:kern w:val="2"/>
                <w:sz w:val="21"/>
                <w:szCs w:val="24"/>
                <w:highlight w:val="none"/>
                <w:lang w:val="en-US" w:eastAsia="zh-CN" w:bidi="ar-SA"/>
              </w:rPr>
              <w:t>工期</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权利义务</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after="62" w:afterLines="20"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w:t>
            </w:r>
            <w:r>
              <w:rPr>
                <w:rFonts w:hint="default" w:ascii="Times New Roman" w:hAnsi="Times New Roman" w:cs="Times New Roman" w:eastAsiaTheme="minorEastAsia"/>
                <w:color w:val="auto"/>
                <w:kern w:val="0"/>
                <w:sz w:val="21"/>
                <w:szCs w:val="21"/>
                <w:highlight w:val="none"/>
              </w:rPr>
              <w:t>第四章“合同条款及格式”规定，</w:t>
            </w:r>
            <w:r>
              <w:rPr>
                <w:rFonts w:hint="eastAsia" w:cs="Times New Roman" w:eastAsiaTheme="minorEastAsia"/>
                <w:color w:val="auto"/>
                <w:kern w:val="0"/>
                <w:sz w:val="21"/>
                <w:szCs w:val="21"/>
                <w:highlight w:val="none"/>
                <w:lang w:eastAsia="zh-CN"/>
              </w:rPr>
              <w:t>比选</w:t>
            </w:r>
            <w:r>
              <w:rPr>
                <w:rFonts w:hint="eastAsia" w:cs="Times New Roman" w:eastAsiaTheme="minorEastAsia"/>
                <w:color w:val="auto"/>
                <w:kern w:val="0"/>
                <w:sz w:val="21"/>
                <w:szCs w:val="21"/>
                <w:lang w:eastAsia="zh-CN"/>
              </w:rPr>
              <w:t>文件</w:t>
            </w:r>
            <w:r>
              <w:rPr>
                <w:rFonts w:hint="default" w:ascii="Times New Roman" w:hAnsi="Times New Roman" w:cs="Times New Roman" w:eastAsiaTheme="minorEastAsia"/>
                <w:color w:val="auto"/>
                <w:kern w:val="0"/>
                <w:sz w:val="21"/>
                <w:szCs w:val="21"/>
              </w:rPr>
              <w:t>不应附有比选人不能接受的条件。（由</w:t>
            </w: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承诺，承诺书格式详见第六章</w:t>
            </w: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报价</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报价不得超过比选人发布的最高限价和各分项限价，否则</w:t>
            </w:r>
            <w:r>
              <w:rPr>
                <w:rFonts w:hint="eastAsia" w:ascii="Times New Roman" w:hAnsi="Times New Roman" w:cs="Times New Roman" w:eastAsiaTheme="minorEastAsia"/>
                <w:color w:val="auto"/>
                <w:kern w:val="0"/>
                <w:sz w:val="21"/>
                <w:szCs w:val="21"/>
                <w:lang w:eastAsia="zh-CN"/>
              </w:rPr>
              <w:t>评审</w:t>
            </w:r>
            <w:r>
              <w:rPr>
                <w:rFonts w:hint="default" w:ascii="Times New Roman" w:hAnsi="Times New Roman" w:cs="Times New Roman" w:eastAsiaTheme="minorEastAsia"/>
                <w:color w:val="auto"/>
                <w:kern w:val="0"/>
                <w:sz w:val="21"/>
                <w:szCs w:val="21"/>
              </w:rPr>
              <w:t>委员会将按否决</w:t>
            </w: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snapToGrid w:val="0"/>
                <w:color w:val="auto"/>
                <w:kern w:val="0"/>
                <w:sz w:val="21"/>
                <w:szCs w:val="21"/>
              </w:rPr>
            </w:pPr>
            <w:r>
              <w:rPr>
                <w:rFonts w:hint="default" w:ascii="Times New Roman" w:hAnsi="Times New Roman" w:cs="Times New Roman" w:eastAsiaTheme="minorEastAsia"/>
                <w:snapToGrid w:val="0"/>
                <w:color w:val="auto"/>
                <w:kern w:val="0"/>
                <w:sz w:val="21"/>
                <w:szCs w:val="21"/>
              </w:rPr>
              <w:t>报价唯一</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质量要求</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6</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2.2.1</w:t>
            </w:r>
          </w:p>
        </w:tc>
        <w:tc>
          <w:tcPr>
            <w:tcW w:w="2776" w:type="dxa"/>
            <w:gridSpan w:val="3"/>
            <w:tcBorders>
              <w:bottom w:val="single" w:color="auto" w:sz="4" w:space="0"/>
            </w:tcBorders>
            <w:vAlign w:val="center"/>
          </w:tcPr>
          <w:p>
            <w:pPr>
              <w:keepNext w:val="0"/>
              <w:keepLines w:val="0"/>
              <w:pageBreakBefore w:val="0"/>
              <w:widowControl w:val="0"/>
              <w:tabs>
                <w:tab w:val="left" w:pos="1875"/>
              </w:tabs>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分值构成</w:t>
            </w:r>
            <w:r>
              <w:rPr>
                <w:rFonts w:hint="eastAsia"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rPr>
              <w:t>总分</w:t>
            </w:r>
            <w:r>
              <w:rPr>
                <w:rFonts w:hint="eastAsia" w:ascii="Times New Roman" w:hAnsi="Times New Roman" w:cs="Times New Roman" w:eastAsiaTheme="minorEastAsia"/>
                <w:color w:val="auto"/>
                <w:kern w:val="0"/>
                <w:sz w:val="21"/>
                <w:szCs w:val="21"/>
                <w:lang w:val="en-US" w:eastAsia="zh-CN"/>
              </w:rPr>
              <w:t>100</w:t>
            </w:r>
            <w:r>
              <w:rPr>
                <w:rFonts w:hint="default" w:ascii="Times New Roman" w:hAnsi="Times New Roman" w:cs="Times New Roman" w:eastAsiaTheme="minorEastAsia"/>
                <w:color w:val="auto"/>
                <w:kern w:val="0"/>
                <w:sz w:val="21"/>
                <w:szCs w:val="21"/>
              </w:rPr>
              <w:t>分)</w:t>
            </w:r>
          </w:p>
        </w:tc>
        <w:tc>
          <w:tcPr>
            <w:tcW w:w="5562"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1.报价</w:t>
            </w:r>
            <w:r>
              <w:rPr>
                <w:rFonts w:hint="eastAsia" w:cs="Times New Roman" w:eastAsiaTheme="minorEastAsia"/>
                <w:color w:val="auto"/>
                <w:kern w:val="0"/>
                <w:sz w:val="21"/>
                <w:szCs w:val="21"/>
                <w:u w:val="single"/>
                <w:lang w:val="en-US" w:eastAsia="zh-CN"/>
              </w:rPr>
              <w:t>7</w:t>
            </w:r>
            <w:r>
              <w:rPr>
                <w:rFonts w:hint="default" w:ascii="Times New Roman" w:hAnsi="Times New Roman" w:cs="Times New Roman" w:eastAsiaTheme="minorEastAsia"/>
                <w:color w:val="auto"/>
                <w:kern w:val="0"/>
                <w:sz w:val="21"/>
                <w:szCs w:val="21"/>
                <w:u w:val="single"/>
              </w:rPr>
              <w:t>0</w:t>
            </w:r>
            <w:r>
              <w:rPr>
                <w:rFonts w:hint="default" w:ascii="Times New Roman" w:hAnsi="Times New Roman" w:cs="Times New Roman" w:eastAsiaTheme="minorEastAsia"/>
                <w:color w:val="auto"/>
                <w:kern w:val="0"/>
                <w:sz w:val="21"/>
                <w:szCs w:val="21"/>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2.商务部分</w:t>
            </w:r>
            <w:r>
              <w:rPr>
                <w:rFonts w:hint="eastAsia" w:cs="Times New Roman" w:eastAsiaTheme="minorEastAsia"/>
                <w:color w:val="auto"/>
                <w:kern w:val="0"/>
                <w:sz w:val="21"/>
                <w:szCs w:val="21"/>
                <w:u w:val="single"/>
                <w:lang w:val="en-US" w:eastAsia="zh-CN"/>
              </w:rPr>
              <w:t>1</w:t>
            </w:r>
            <w:r>
              <w:rPr>
                <w:rFonts w:hint="default" w:ascii="Times New Roman" w:hAnsi="Times New Roman" w:cs="Times New Roman" w:eastAsiaTheme="minorEastAsia"/>
                <w:color w:val="auto"/>
                <w:kern w:val="0"/>
                <w:sz w:val="21"/>
                <w:szCs w:val="21"/>
                <w:u w:val="single"/>
              </w:rPr>
              <w:t>0</w:t>
            </w:r>
            <w:r>
              <w:rPr>
                <w:rFonts w:hint="default" w:ascii="Times New Roman" w:hAnsi="Times New Roman" w:cs="Times New Roman" w:eastAsiaTheme="minorEastAsia"/>
                <w:color w:val="auto"/>
                <w:kern w:val="0"/>
                <w:sz w:val="21"/>
                <w:szCs w:val="21"/>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3.技术部分</w:t>
            </w:r>
            <w:r>
              <w:rPr>
                <w:rFonts w:hint="eastAsia" w:cs="Times New Roman" w:eastAsiaTheme="minorEastAsia"/>
                <w:color w:val="auto"/>
                <w:kern w:val="0"/>
                <w:sz w:val="21"/>
                <w:szCs w:val="21"/>
                <w:u w:val="single"/>
                <w:lang w:val="en-US" w:eastAsia="zh-CN"/>
              </w:rPr>
              <w:t>2</w:t>
            </w:r>
            <w:r>
              <w:rPr>
                <w:rFonts w:hint="default" w:ascii="Times New Roman" w:hAnsi="Times New Roman" w:cs="Times New Roman" w:eastAsiaTheme="minorEastAsia"/>
                <w:color w:val="auto"/>
                <w:kern w:val="0"/>
                <w:sz w:val="21"/>
                <w:szCs w:val="21"/>
                <w:u w:val="single"/>
              </w:rPr>
              <w:t>0</w:t>
            </w:r>
            <w:r>
              <w:rPr>
                <w:rFonts w:hint="default" w:ascii="Times New Roman" w:hAnsi="Times New Roman" w:cs="Times New Roman" w:eastAsiaTheme="minorEastAsia"/>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2.2.2</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kern w:val="0"/>
                <w:sz w:val="21"/>
                <w:szCs w:val="21"/>
                <w:lang w:val="en-US" w:eastAsia="zh-CN" w:bidi="ar"/>
              </w:rPr>
              <w:t>评审基准价计算方法</w:t>
            </w:r>
          </w:p>
        </w:tc>
        <w:tc>
          <w:tcPr>
            <w:tcW w:w="164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总报价</w:t>
            </w:r>
          </w:p>
        </w:tc>
        <w:tc>
          <w:tcPr>
            <w:tcW w:w="5562" w:type="dxa"/>
            <w:vAlign w:val="top"/>
          </w:tcPr>
          <w:p>
            <w:pPr>
              <w:adjustRightInd w:val="0"/>
              <w:snapToGrid w:val="0"/>
              <w:spacing w:line="400" w:lineRule="exact"/>
              <w:ind w:firstLine="420" w:firstLineChars="200"/>
              <w:rPr>
                <w:rFonts w:hint="eastAsia" w:ascii="Times New Roman" w:hAnsi="Times New Roman" w:cs="Times New Roman" w:eastAsiaTheme="minorEastAsia"/>
                <w:snapToGrid w:val="0"/>
                <w:color w:val="auto"/>
                <w:kern w:val="0"/>
                <w:szCs w:val="21"/>
                <w:lang w:val="en-US" w:eastAsia="zh-CN"/>
              </w:rPr>
            </w:pPr>
            <w:r>
              <w:rPr>
                <w:rFonts w:hint="default" w:ascii="Times New Roman" w:hAnsi="Times New Roman" w:cs="Times New Roman" w:eastAsiaTheme="minorEastAsia"/>
                <w:color w:val="auto"/>
                <w:kern w:val="0"/>
                <w:sz w:val="21"/>
                <w:szCs w:val="21"/>
              </w:rPr>
              <w:t>在通过初步评审后且不高于最高限价和不低于最高限价85%的报价中去掉六分之一（不能整除的按小数前整数取整，不足六家报价则不去掉）的最低价和相同家数的最高价后的算术平均值为</w:t>
            </w:r>
            <w:r>
              <w:rPr>
                <w:rFonts w:hint="eastAsia" w:cs="Times New Roman" w:eastAsiaTheme="minorEastAsia"/>
                <w:color w:val="auto"/>
                <w:kern w:val="0"/>
                <w:sz w:val="21"/>
                <w:szCs w:val="21"/>
                <w:lang w:eastAsia="zh-CN"/>
              </w:rPr>
              <w:t>评审</w:t>
            </w:r>
            <w:r>
              <w:rPr>
                <w:rFonts w:hint="default" w:ascii="Times New Roman" w:hAnsi="Times New Roman" w:cs="Times New Roman" w:eastAsiaTheme="minorEastAsia"/>
                <w:color w:val="auto"/>
                <w:kern w:val="0"/>
                <w:sz w:val="21"/>
                <w:szCs w:val="21"/>
              </w:rPr>
              <w:t>基准价</w:t>
            </w:r>
            <w:r>
              <w:rPr>
                <w:rFonts w:hint="eastAsia" w:cs="Times New Roman" w:eastAsiaTheme="minorEastAsia"/>
                <w:color w:val="auto"/>
                <w:kern w:val="0"/>
                <w:sz w:val="21"/>
                <w:szCs w:val="21"/>
                <w:lang w:eastAsia="zh-CN"/>
              </w:rPr>
              <w:t>。</w:t>
            </w:r>
          </w:p>
          <w:p>
            <w:pPr>
              <w:autoSpaceDN w:val="0"/>
              <w:adjustRightInd w:val="0"/>
              <w:snapToGrid w:val="0"/>
              <w:spacing w:line="400" w:lineRule="exact"/>
              <w:ind w:firstLine="420" w:firstLineChars="200"/>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评审基准价计算的最终结果取小数点后两位，第三位四舍五入。</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rPr>
                <w:rFonts w:hint="default" w:ascii="Times New Roman" w:hAnsi="Times New Roman" w:cs="Times New Roman" w:eastAsiaTheme="minorEastAsia"/>
                <w:color w:val="auto"/>
                <w:kern w:val="0"/>
                <w:sz w:val="21"/>
                <w:szCs w:val="21"/>
              </w:rPr>
            </w:pPr>
            <w:r>
              <w:rPr>
                <w:rFonts w:hint="default" w:ascii="Times New Roman" w:hAnsi="Times New Roman" w:cs="Times New Roman"/>
                <w:snapToGrid w:val="0"/>
                <w:color w:val="auto"/>
                <w:kern w:val="0"/>
                <w:szCs w:val="21"/>
              </w:rPr>
              <w:t>在评审基准价计算完成后（除计算错误外），在后续的评审中不得再对其作出调整。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2.2.4</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snapToGrid w:val="0"/>
                <w:color w:val="auto"/>
                <w:kern w:val="0"/>
                <w:szCs w:val="21"/>
              </w:rPr>
              <w:t>偏差率计算</w:t>
            </w:r>
          </w:p>
        </w:tc>
        <w:tc>
          <w:tcPr>
            <w:tcW w:w="7203" w:type="dxa"/>
            <w:gridSpan w:val="3"/>
            <w:vAlign w:val="center"/>
          </w:tcPr>
          <w:p>
            <w:pPr>
              <w:autoSpaceDN w:val="0"/>
              <w:adjustRightInd w:val="0"/>
              <w:snapToGrid w:val="0"/>
              <w:spacing w:line="400" w:lineRule="exact"/>
              <w:ind w:firstLine="420" w:firstLineChars="200"/>
              <w:rPr>
                <w:rFonts w:hint="default" w:ascii="Times New Roman" w:hAnsi="Times New Roman" w:cs="Times New Roman" w:eastAsiaTheme="minorEastAsia"/>
                <w:snapToGrid w:val="0"/>
                <w:color w:val="auto"/>
                <w:kern w:val="0"/>
                <w:sz w:val="21"/>
                <w:szCs w:val="21"/>
              </w:rPr>
            </w:pPr>
            <w:r>
              <w:rPr>
                <w:rFonts w:hint="eastAsia" w:cs="Times New Roman" w:eastAsiaTheme="minorEastAsia"/>
                <w:snapToGrid w:val="0"/>
                <w:color w:val="auto"/>
                <w:kern w:val="0"/>
                <w:sz w:val="21"/>
                <w:szCs w:val="21"/>
                <w:lang w:eastAsia="zh-CN"/>
              </w:rPr>
              <w:t>比选</w:t>
            </w:r>
            <w:r>
              <w:rPr>
                <w:rFonts w:hint="default" w:ascii="Times New Roman" w:hAnsi="Times New Roman" w:cs="Times New Roman" w:eastAsiaTheme="minorEastAsia"/>
                <w:snapToGrid w:val="0"/>
                <w:color w:val="auto"/>
                <w:kern w:val="0"/>
                <w:sz w:val="21"/>
                <w:szCs w:val="21"/>
              </w:rPr>
              <w:t>报价的偏差率计算公式</w:t>
            </w:r>
          </w:p>
          <w:p>
            <w:pPr>
              <w:autoSpaceDN w:val="0"/>
              <w:adjustRightInd w:val="0"/>
              <w:snapToGrid w:val="0"/>
              <w:spacing w:line="400" w:lineRule="exact"/>
              <w:ind w:firstLine="420" w:firstLineChars="200"/>
              <w:rPr>
                <w:rFonts w:hint="default" w:ascii="Times New Roman" w:hAnsi="Times New Roman" w:cs="Times New Roman" w:eastAsiaTheme="minorEastAsia"/>
                <w:snapToGrid w:val="0"/>
                <w:color w:val="auto"/>
                <w:kern w:val="0"/>
                <w:sz w:val="21"/>
                <w:szCs w:val="21"/>
              </w:rPr>
            </w:pPr>
            <w:r>
              <w:rPr>
                <w:rFonts w:hint="default" w:ascii="Times New Roman" w:hAnsi="Times New Roman" w:cs="Times New Roman" w:eastAsiaTheme="minorEastAsia"/>
                <w:snapToGrid w:val="0"/>
                <w:color w:val="auto"/>
                <w:kern w:val="0"/>
                <w:sz w:val="21"/>
                <w:szCs w:val="21"/>
              </w:rPr>
              <w:t>偏差率=100%×（</w:t>
            </w:r>
            <w:r>
              <w:rPr>
                <w:rFonts w:hint="eastAsia" w:cs="Times New Roman" w:eastAsiaTheme="minorEastAsia"/>
                <w:snapToGrid w:val="0"/>
                <w:color w:val="auto"/>
                <w:kern w:val="0"/>
                <w:sz w:val="21"/>
                <w:szCs w:val="21"/>
                <w:lang w:eastAsia="zh-CN"/>
              </w:rPr>
              <w:t>报价人比选</w:t>
            </w:r>
            <w:r>
              <w:rPr>
                <w:rFonts w:hint="default" w:ascii="Times New Roman" w:hAnsi="Times New Roman" w:cs="Times New Roman" w:eastAsiaTheme="minorEastAsia"/>
                <w:snapToGrid w:val="0"/>
                <w:color w:val="auto"/>
                <w:kern w:val="0"/>
                <w:sz w:val="21"/>
                <w:szCs w:val="21"/>
              </w:rPr>
              <w:t>报价-评审基准价）/评审基准价</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snapToGrid w:val="0"/>
                <w:color w:val="auto"/>
                <w:kern w:val="0"/>
                <w:sz w:val="21"/>
                <w:szCs w:val="21"/>
              </w:rPr>
              <w:t>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2.2.3（1）</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报价评分标准</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rPr>
              <w:t>（</w:t>
            </w:r>
            <w:r>
              <w:rPr>
                <w:rFonts w:hint="eastAsia" w:cs="Times New Roman" w:eastAsiaTheme="minorEastAsia"/>
                <w:color w:val="auto"/>
                <w:kern w:val="0"/>
                <w:sz w:val="21"/>
                <w:szCs w:val="21"/>
                <w:lang w:val="en-US" w:eastAsia="zh-CN"/>
              </w:rPr>
              <w:t>7</w:t>
            </w:r>
            <w:r>
              <w:rPr>
                <w:rFonts w:hint="default" w:ascii="Times New Roman" w:hAnsi="Times New Roman" w:cs="Times New Roman" w:eastAsiaTheme="minorEastAsia"/>
                <w:color w:val="auto"/>
                <w:kern w:val="0"/>
                <w:sz w:val="21"/>
                <w:szCs w:val="21"/>
                <w:lang w:val="en-US" w:eastAsia="zh-CN"/>
              </w:rPr>
              <w:t>0</w:t>
            </w:r>
            <w:r>
              <w:rPr>
                <w:rFonts w:hint="default" w:ascii="Times New Roman" w:hAnsi="Times New Roman" w:cs="Times New Roman" w:eastAsiaTheme="minorEastAsia"/>
                <w:color w:val="auto"/>
                <w:kern w:val="0"/>
                <w:sz w:val="21"/>
                <w:szCs w:val="21"/>
              </w:rPr>
              <w:t>分）</w:t>
            </w:r>
          </w:p>
        </w:tc>
        <w:tc>
          <w:tcPr>
            <w:tcW w:w="7203" w:type="dxa"/>
            <w:gridSpan w:val="3"/>
            <w:vAlign w:val="center"/>
          </w:tcPr>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snapToGrid w:val="0"/>
                <w:color w:val="auto"/>
                <w:kern w:val="0"/>
                <w:sz w:val="21"/>
                <w:szCs w:val="21"/>
              </w:rPr>
            </w:pPr>
            <w:r>
              <w:rPr>
                <w:rFonts w:hint="default" w:ascii="Times New Roman" w:hAnsi="Times New Roman" w:cs="Times New Roman" w:eastAsiaTheme="minorEastAsia"/>
                <w:snapToGrid w:val="0"/>
                <w:color w:val="auto"/>
                <w:kern w:val="0"/>
                <w:sz w:val="21"/>
                <w:szCs w:val="21"/>
              </w:rPr>
              <w:t>所有通过初步评审的有效</w:t>
            </w:r>
            <w:r>
              <w:rPr>
                <w:rFonts w:hint="eastAsia" w:ascii="Times New Roman" w:hAnsi="Times New Roman" w:cs="Times New Roman" w:eastAsiaTheme="minorEastAsia"/>
                <w:snapToGrid w:val="0"/>
                <w:color w:val="auto"/>
                <w:kern w:val="0"/>
                <w:sz w:val="21"/>
                <w:szCs w:val="21"/>
                <w:lang w:eastAsia="zh-CN"/>
              </w:rPr>
              <w:t>比选</w:t>
            </w:r>
            <w:r>
              <w:rPr>
                <w:rFonts w:hint="default" w:ascii="Times New Roman" w:hAnsi="Times New Roman" w:cs="Times New Roman" w:eastAsiaTheme="minorEastAsia"/>
                <w:snapToGrid w:val="0"/>
                <w:color w:val="auto"/>
                <w:kern w:val="0"/>
                <w:sz w:val="21"/>
                <w:szCs w:val="21"/>
              </w:rPr>
              <w:t>总报价得本附表2.2.1项规定分值的满分</w:t>
            </w:r>
            <w:r>
              <w:rPr>
                <w:rFonts w:hint="eastAsia" w:ascii="Times New Roman" w:hAnsi="Times New Roman" w:cs="Times New Roman" w:eastAsiaTheme="minorEastAsia"/>
                <w:snapToGrid w:val="0"/>
                <w:color w:val="auto"/>
                <w:kern w:val="0"/>
                <w:sz w:val="21"/>
                <w:szCs w:val="21"/>
                <w:lang w:val="en-US" w:eastAsia="zh-CN"/>
              </w:rPr>
              <w:t>5</w:t>
            </w:r>
            <w:r>
              <w:rPr>
                <w:rFonts w:hint="default" w:ascii="Times New Roman" w:hAnsi="Times New Roman" w:cs="Times New Roman" w:eastAsiaTheme="minorEastAsia"/>
                <w:snapToGrid w:val="0"/>
                <w:color w:val="auto"/>
                <w:kern w:val="0"/>
                <w:sz w:val="21"/>
                <w:szCs w:val="21"/>
                <w:lang w:val="en-US" w:eastAsia="zh-CN"/>
              </w:rPr>
              <w:t>0</w:t>
            </w:r>
            <w:r>
              <w:rPr>
                <w:rFonts w:hint="default" w:ascii="Times New Roman" w:hAnsi="Times New Roman" w:cs="Times New Roman" w:eastAsiaTheme="minorEastAsia"/>
                <w:snapToGrid w:val="0"/>
                <w:color w:val="auto"/>
                <w:kern w:val="0"/>
                <w:sz w:val="21"/>
                <w:szCs w:val="21"/>
              </w:rPr>
              <w:t>分。</w:t>
            </w:r>
            <w:r>
              <w:rPr>
                <w:rFonts w:ascii="Times New Roman" w:hAnsi="Times New Roman" w:cs="Times New Roman"/>
                <w:snapToGrid w:val="0"/>
                <w:color w:val="auto"/>
                <w:kern w:val="0"/>
                <w:sz w:val="21"/>
                <w:szCs w:val="21"/>
              </w:rPr>
              <w:t>在此基础上，</w:t>
            </w:r>
            <w:r>
              <w:rPr>
                <w:rFonts w:hint="eastAsia" w:ascii="Times New Roman" w:hAnsi="Times New Roman" w:cs="Times New Roman"/>
                <w:snapToGrid w:val="0"/>
                <w:color w:val="auto"/>
                <w:kern w:val="0"/>
                <w:sz w:val="21"/>
                <w:szCs w:val="21"/>
                <w:lang w:eastAsia="zh-CN"/>
              </w:rPr>
              <w:t>比选</w:t>
            </w:r>
            <w:r>
              <w:rPr>
                <w:rFonts w:ascii="Times New Roman" w:hAnsi="Times New Roman" w:cs="Times New Roman"/>
                <w:snapToGrid w:val="0"/>
                <w:color w:val="auto"/>
                <w:kern w:val="0"/>
                <w:sz w:val="21"/>
                <w:szCs w:val="21"/>
              </w:rPr>
              <w:t>总报价与评审基准价相比，每增加</w:t>
            </w:r>
            <w:r>
              <w:rPr>
                <w:rFonts w:ascii="Times New Roman" w:hAnsi="Times New Roman" w:cs="Times New Roman"/>
                <w:snapToGrid w:val="0"/>
                <w:color w:val="auto"/>
                <w:kern w:val="0"/>
                <w:sz w:val="21"/>
                <w:szCs w:val="21"/>
                <w:u w:val="single"/>
              </w:rPr>
              <w:t>1%</w:t>
            </w:r>
            <w:r>
              <w:rPr>
                <w:rFonts w:ascii="Times New Roman" w:hAnsi="Times New Roman" w:cs="Times New Roman"/>
                <w:snapToGrid w:val="0"/>
                <w:color w:val="auto"/>
                <w:kern w:val="0"/>
                <w:sz w:val="21"/>
                <w:szCs w:val="21"/>
              </w:rPr>
              <w:t>扣</w:t>
            </w:r>
            <w:r>
              <w:rPr>
                <w:rFonts w:ascii="Times New Roman" w:hAnsi="Times New Roman" w:cs="Times New Roman"/>
                <w:snapToGrid w:val="0"/>
                <w:color w:val="auto"/>
                <w:kern w:val="0"/>
                <w:sz w:val="21"/>
                <w:szCs w:val="21"/>
                <w:u w:val="single"/>
              </w:rPr>
              <w:t>0.</w:t>
            </w:r>
            <w:r>
              <w:rPr>
                <w:rFonts w:hint="eastAsia" w:ascii="Times New Roman" w:hAnsi="Times New Roman" w:cs="Times New Roman"/>
                <w:snapToGrid w:val="0"/>
                <w:color w:val="auto"/>
                <w:kern w:val="0"/>
                <w:sz w:val="21"/>
                <w:szCs w:val="21"/>
                <w:u w:val="single"/>
                <w:lang w:val="en-US" w:eastAsia="zh-CN"/>
              </w:rPr>
              <w:t>5</w:t>
            </w:r>
            <w:r>
              <w:rPr>
                <w:rFonts w:ascii="Times New Roman" w:hAnsi="Times New Roman" w:cs="Times New Roman"/>
                <w:snapToGrid w:val="0"/>
                <w:color w:val="auto"/>
                <w:kern w:val="0"/>
                <w:sz w:val="21"/>
                <w:szCs w:val="21"/>
              </w:rPr>
              <w:t>分，每减少</w:t>
            </w:r>
            <w:r>
              <w:rPr>
                <w:rFonts w:ascii="Times New Roman" w:hAnsi="Times New Roman" w:cs="Times New Roman"/>
                <w:snapToGrid w:val="0"/>
                <w:color w:val="auto"/>
                <w:kern w:val="0"/>
                <w:sz w:val="21"/>
                <w:szCs w:val="21"/>
                <w:u w:val="single"/>
              </w:rPr>
              <w:t>1%</w:t>
            </w:r>
            <w:r>
              <w:rPr>
                <w:rFonts w:ascii="Times New Roman" w:hAnsi="Times New Roman" w:cs="Times New Roman"/>
                <w:snapToGrid w:val="0"/>
                <w:color w:val="auto"/>
                <w:kern w:val="0"/>
                <w:sz w:val="21"/>
                <w:szCs w:val="21"/>
              </w:rPr>
              <w:t>扣</w:t>
            </w:r>
            <w:r>
              <w:rPr>
                <w:rFonts w:ascii="Times New Roman" w:hAnsi="Times New Roman" w:cs="Times New Roman"/>
                <w:snapToGrid w:val="0"/>
                <w:color w:val="auto"/>
                <w:kern w:val="0"/>
                <w:sz w:val="21"/>
                <w:szCs w:val="21"/>
                <w:u w:val="single"/>
              </w:rPr>
              <w:t>0.</w:t>
            </w:r>
            <w:r>
              <w:rPr>
                <w:rFonts w:hint="eastAsia" w:ascii="Times New Roman" w:hAnsi="Times New Roman" w:cs="Times New Roman"/>
                <w:snapToGrid w:val="0"/>
                <w:color w:val="auto"/>
                <w:kern w:val="0"/>
                <w:sz w:val="21"/>
                <w:szCs w:val="21"/>
                <w:u w:val="single"/>
                <w:lang w:val="en-US" w:eastAsia="zh-CN"/>
              </w:rPr>
              <w:t>3</w:t>
            </w:r>
            <w:r>
              <w:rPr>
                <w:rFonts w:ascii="Times New Roman" w:hAnsi="Times New Roman" w:cs="Times New Roman"/>
                <w:snapToGrid w:val="0"/>
                <w:color w:val="auto"/>
                <w:kern w:val="0"/>
                <w:sz w:val="21"/>
                <w:szCs w:val="21"/>
              </w:rPr>
              <w:t>分，</w:t>
            </w:r>
            <w:r>
              <w:rPr>
                <w:rFonts w:hint="default" w:ascii="Times New Roman" w:hAnsi="Times New Roman" w:cs="Times New Roman" w:eastAsiaTheme="minorEastAsia"/>
                <w:snapToGrid w:val="0"/>
                <w:color w:val="auto"/>
                <w:kern w:val="0"/>
                <w:sz w:val="21"/>
                <w:szCs w:val="21"/>
              </w:rPr>
              <w:t>扣完为止。</w:t>
            </w:r>
          </w:p>
          <w:p>
            <w:pPr>
              <w:adjustRightInd w:val="0"/>
              <w:snapToGrid w:val="0"/>
              <w:spacing w:line="400" w:lineRule="exact"/>
              <w:ind w:firstLine="420" w:firstLineChars="200"/>
              <w:rPr>
                <w:rFonts w:ascii="Times New Roman" w:hAnsi="Times New Roman" w:cs="Times New Roman"/>
                <w:snapToGrid w:val="0"/>
                <w:color w:val="auto"/>
                <w:kern w:val="0"/>
                <w:sz w:val="21"/>
                <w:szCs w:val="21"/>
              </w:rPr>
            </w:pPr>
            <w:r>
              <w:rPr>
                <w:rFonts w:ascii="Times New Roman" w:hAnsi="Times New Roman" w:cs="Times New Roman"/>
                <w:snapToGrid w:val="0"/>
                <w:color w:val="auto"/>
                <w:kern w:val="0"/>
                <w:sz w:val="21"/>
                <w:szCs w:val="21"/>
              </w:rPr>
              <w:t>按插入法计算得分。</w:t>
            </w:r>
          </w:p>
          <w:p>
            <w:pPr>
              <w:adjustRightInd w:val="0"/>
              <w:snapToGrid w:val="0"/>
              <w:spacing w:line="400" w:lineRule="exact"/>
              <w:ind w:firstLine="420" w:firstLineChars="200"/>
              <w:rPr>
                <w:rFonts w:ascii="Times New Roman" w:hAnsi="Times New Roman" w:cs="Times New Roman"/>
                <w:snapToGrid w:val="0"/>
                <w:color w:val="auto"/>
                <w:kern w:val="0"/>
                <w:sz w:val="21"/>
                <w:szCs w:val="21"/>
              </w:rPr>
            </w:pPr>
            <w:r>
              <w:rPr>
                <w:rFonts w:ascii="Times New Roman" w:hAnsi="Times New Roman" w:cs="Times New Roman"/>
                <w:snapToGrid w:val="0"/>
                <w:color w:val="auto"/>
                <w:kern w:val="0"/>
                <w:sz w:val="21"/>
                <w:szCs w:val="21"/>
              </w:rPr>
              <w:t>未参与评审基准价计算的</w:t>
            </w:r>
            <w:r>
              <w:rPr>
                <w:rFonts w:hint="eastAsia" w:cs="Times New Roman"/>
                <w:snapToGrid w:val="0"/>
                <w:color w:val="auto"/>
                <w:kern w:val="0"/>
                <w:sz w:val="21"/>
                <w:szCs w:val="21"/>
                <w:lang w:eastAsia="zh-CN"/>
              </w:rPr>
              <w:t>比选</w:t>
            </w:r>
            <w:r>
              <w:rPr>
                <w:rFonts w:ascii="Times New Roman" w:hAnsi="Times New Roman" w:cs="Times New Roman"/>
                <w:snapToGrid w:val="0"/>
                <w:color w:val="auto"/>
                <w:kern w:val="0"/>
                <w:sz w:val="21"/>
                <w:szCs w:val="21"/>
              </w:rPr>
              <w:t>总报价，仍应参加计算相应分值。</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color w:val="auto"/>
                <w:kern w:val="2"/>
                <w:sz w:val="21"/>
                <w:szCs w:val="21"/>
                <w:lang w:val="en-US" w:eastAsia="zh-CN" w:bidi="ar"/>
              </w:rPr>
            </w:pPr>
            <w:r>
              <w:rPr>
                <w:rFonts w:hint="eastAsia" w:ascii="Times New Roman" w:hAnsi="Times New Roman" w:cs="Times New Roman"/>
                <w:snapToGrid w:val="0"/>
                <w:color w:val="auto"/>
                <w:kern w:val="0"/>
                <w:sz w:val="21"/>
                <w:szCs w:val="21"/>
                <w:lang w:eastAsia="zh-CN"/>
              </w:rPr>
              <w:t>比选</w:t>
            </w:r>
            <w:r>
              <w:rPr>
                <w:rFonts w:ascii="Times New Roman" w:hAnsi="Times New Roman" w:cs="Times New Roman"/>
                <w:snapToGrid w:val="0"/>
                <w:color w:val="auto"/>
                <w:kern w:val="0"/>
                <w:sz w:val="21"/>
                <w:szCs w:val="21"/>
              </w:rPr>
              <w:t>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2.2.3</w:t>
            </w:r>
          </w:p>
          <w:p>
            <w:pPr>
              <w:pStyle w:val="41"/>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11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kern w:val="2"/>
                <w:sz w:val="21"/>
                <w:szCs w:val="21"/>
                <w:highlight w:val="none"/>
                <w:lang w:val="en-US" w:eastAsia="zh-CN" w:bidi="ar"/>
              </w:rPr>
              <w:t>商务评分标准（</w:t>
            </w:r>
            <w:r>
              <w:rPr>
                <w:rFonts w:hint="eastAsia" w:cs="Times New Roman" w:eastAsiaTheme="minorEastAsia"/>
                <w:b w:val="0"/>
                <w:bCs/>
                <w:color w:val="auto"/>
                <w:kern w:val="2"/>
                <w:sz w:val="21"/>
                <w:szCs w:val="21"/>
                <w:highlight w:val="none"/>
                <w:lang w:val="en-US" w:eastAsia="zh-CN" w:bidi="ar"/>
              </w:rPr>
              <w:t>10</w:t>
            </w:r>
            <w:r>
              <w:rPr>
                <w:rFonts w:hint="default" w:ascii="Times New Roman" w:hAnsi="Times New Roman" w:cs="Times New Roman" w:eastAsiaTheme="minorEastAsia"/>
                <w:b w:val="0"/>
                <w:bCs/>
                <w:color w:val="auto"/>
                <w:kern w:val="2"/>
                <w:sz w:val="21"/>
                <w:szCs w:val="21"/>
                <w:highlight w:val="none"/>
                <w:lang w:val="en-US" w:eastAsia="zh-CN" w:bidi="ar"/>
              </w:rPr>
              <w:t>分）</w:t>
            </w:r>
          </w:p>
        </w:tc>
        <w:tc>
          <w:tcPr>
            <w:tcW w:w="1641" w:type="dxa"/>
            <w:gridSpan w:val="2"/>
            <w:vAlign w:val="center"/>
          </w:tcPr>
          <w:p>
            <w:pPr>
              <w:snapToGrid w:val="0"/>
              <w:spacing w:line="400" w:lineRule="exact"/>
              <w:jc w:val="center"/>
              <w:rPr>
                <w:rFonts w:hint="eastAsia" w:ascii="宋体" w:hAnsi="宋体" w:eastAsia="宋体" w:cs="宋体"/>
                <w:sz w:val="22"/>
                <w:szCs w:val="22"/>
              </w:rPr>
            </w:pPr>
          </w:p>
          <w:p>
            <w:pPr>
              <w:pStyle w:val="2"/>
              <w:jc w:val="center"/>
              <w:rPr>
                <w:rFonts w:hint="eastAsia" w:ascii="宋体" w:hAnsi="宋体" w:eastAsia="宋体" w:cs="宋体"/>
              </w:rPr>
            </w:pPr>
          </w:p>
          <w:p>
            <w:pPr>
              <w:snapToGrid w:val="0"/>
              <w:spacing w:line="400" w:lineRule="exact"/>
              <w:jc w:val="center"/>
              <w:rPr>
                <w:rFonts w:hint="eastAsia" w:ascii="宋体" w:hAnsi="宋体" w:eastAsia="宋体" w:cs="宋体"/>
                <w:sz w:val="22"/>
                <w:szCs w:val="22"/>
              </w:rPr>
            </w:pPr>
            <w:r>
              <w:rPr>
                <w:rFonts w:hint="eastAsia" w:ascii="宋体" w:hAnsi="宋体" w:eastAsia="宋体" w:cs="宋体"/>
                <w:sz w:val="22"/>
                <w:szCs w:val="22"/>
              </w:rPr>
              <w:t>业绩要求（</w:t>
            </w:r>
            <w:r>
              <w:rPr>
                <w:rFonts w:hint="eastAsia" w:ascii="宋体" w:hAnsi="宋体" w:eastAsia="宋体" w:cs="宋体"/>
                <w:sz w:val="22"/>
                <w:szCs w:val="22"/>
                <w:lang w:val="en-US" w:eastAsia="zh-CN"/>
              </w:rPr>
              <w:t>7</w:t>
            </w:r>
            <w:r>
              <w:rPr>
                <w:rFonts w:hint="eastAsia" w:ascii="宋体" w:hAnsi="宋体" w:eastAsia="宋体" w:cs="宋体"/>
                <w:sz w:val="22"/>
                <w:szCs w:val="22"/>
              </w:rPr>
              <w:t>分）</w:t>
            </w:r>
          </w:p>
          <w:p>
            <w:pPr>
              <w:snapToGrid w:val="0"/>
              <w:spacing w:line="400" w:lineRule="exact"/>
              <w:jc w:val="center"/>
              <w:rPr>
                <w:rFonts w:hint="eastAsia" w:ascii="宋体" w:hAnsi="宋体" w:eastAsia="宋体" w:cs="宋体"/>
                <w:color w:val="auto"/>
                <w:kern w:val="2"/>
                <w:sz w:val="21"/>
                <w:szCs w:val="21"/>
                <w:lang w:val="en-US" w:eastAsia="zh-CN" w:bidi="ar"/>
              </w:rPr>
            </w:pPr>
          </w:p>
        </w:tc>
        <w:tc>
          <w:tcPr>
            <w:tcW w:w="5562" w:type="dxa"/>
            <w:vAlign w:val="center"/>
          </w:tcPr>
          <w:p>
            <w:pPr>
              <w:numPr>
                <w:ilvl w:val="0"/>
                <w:numId w:val="4"/>
              </w:numPr>
              <w:snapToGrid w:val="0"/>
              <w:spacing w:line="400" w:lineRule="exact"/>
              <w:ind w:left="0" w:leftChars="0" w:firstLine="420" w:firstLineChars="200"/>
              <w:rPr>
                <w:rFonts w:hint="eastAsia"/>
                <w:lang w:val="en-US" w:eastAsia="zh-CN"/>
              </w:rPr>
            </w:pPr>
            <w:r>
              <w:rPr>
                <w:rFonts w:hint="eastAsia"/>
                <w:lang w:val="en-US" w:eastAsia="zh-CN"/>
              </w:rPr>
              <w:t>满足资格条件的业绩要求得3分；</w:t>
            </w:r>
          </w:p>
          <w:p>
            <w:pPr>
              <w:numPr>
                <w:ilvl w:val="0"/>
                <w:numId w:val="4"/>
              </w:numPr>
              <w:snapToGrid w:val="0"/>
              <w:spacing w:line="400" w:lineRule="exact"/>
              <w:ind w:left="0" w:leftChars="0" w:firstLine="420" w:firstLineChars="200"/>
              <w:rPr>
                <w:rFonts w:hint="eastAsia"/>
                <w:lang w:val="en-US" w:eastAsia="zh-CN"/>
              </w:rPr>
            </w:pPr>
            <w:r>
              <w:rPr>
                <w:rFonts w:hint="eastAsia"/>
                <w:lang w:val="en-US" w:eastAsia="zh-CN"/>
              </w:rPr>
              <w:t>在满足资格要求基础上2021年1月1日至投标截止日（以合同签订时间为准）每额外完成一个合同额100万元以上的10kv及以上高压外线工程施工业绩的得1分，满分2分。</w:t>
            </w:r>
          </w:p>
          <w:p>
            <w:pPr>
              <w:numPr>
                <w:ilvl w:val="0"/>
                <w:numId w:val="4"/>
              </w:numPr>
              <w:snapToGrid w:val="0"/>
              <w:spacing w:line="400" w:lineRule="exact"/>
              <w:ind w:left="0" w:leftChars="0" w:firstLine="420" w:firstLineChars="200"/>
              <w:rPr>
                <w:rFonts w:hint="eastAsia"/>
                <w:lang w:val="en-US" w:eastAsia="zh-CN"/>
              </w:rPr>
            </w:pPr>
            <w:r>
              <w:rPr>
                <w:rFonts w:hint="eastAsia"/>
                <w:lang w:val="en-US" w:eastAsia="zh-CN"/>
              </w:rPr>
              <w:t>在满足资格要求基础上2021年1月1日至投标截止日（以合同签订时间为准）每额外完成一个合同额100万元以上的10kv及以上高速公路高压外线工程施工业绩的得2分，满分2分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cs="宋体"/>
                <w:color w:val="auto"/>
                <w:kern w:val="0"/>
                <w:sz w:val="21"/>
                <w:szCs w:val="24"/>
                <w:highlight w:val="none"/>
                <w:lang w:eastAsia="zh-CN"/>
              </w:rPr>
            </w:pPr>
            <w:r>
              <w:rPr>
                <w:rFonts w:hint="eastAsia" w:ascii="宋体" w:hAnsi="宋体" w:eastAsia="宋体" w:cs="宋体"/>
                <w:color w:val="auto"/>
                <w:kern w:val="0"/>
                <w:sz w:val="21"/>
                <w:szCs w:val="24"/>
                <w:highlight w:val="none"/>
              </w:rPr>
              <w:t>注：</w:t>
            </w:r>
            <w:r>
              <w:rPr>
                <w:rFonts w:hint="eastAsia" w:ascii="宋体" w:hAnsi="宋体" w:cs="宋体"/>
                <w:color w:val="auto"/>
                <w:kern w:val="0"/>
                <w:sz w:val="21"/>
                <w:szCs w:val="24"/>
                <w:highlight w:val="none"/>
                <w:lang w:eastAsia="zh-CN"/>
              </w:rPr>
              <w:t>（</w:t>
            </w:r>
            <w:r>
              <w:rPr>
                <w:rFonts w:hint="eastAsia" w:ascii="宋体" w:hAnsi="宋体" w:cs="宋体"/>
                <w:color w:val="auto"/>
                <w:kern w:val="0"/>
                <w:sz w:val="21"/>
                <w:szCs w:val="24"/>
                <w:highlight w:val="none"/>
                <w:lang w:val="en-US" w:eastAsia="zh-CN"/>
              </w:rPr>
              <w:t>1</w:t>
            </w:r>
            <w:r>
              <w:rPr>
                <w:rFonts w:hint="eastAsia" w:ascii="宋体" w:hAnsi="宋体" w:cs="宋体"/>
                <w:color w:val="auto"/>
                <w:kern w:val="0"/>
                <w:sz w:val="21"/>
                <w:szCs w:val="24"/>
                <w:highlight w:val="none"/>
                <w:lang w:eastAsia="zh-CN"/>
              </w:rPr>
              <w:t>）同一业绩不重复得分；</w:t>
            </w:r>
          </w:p>
          <w:p>
            <w:pPr>
              <w:numPr>
                <w:ilvl w:val="0"/>
                <w:numId w:val="0"/>
              </w:numPr>
              <w:snapToGrid w:val="0"/>
              <w:spacing w:line="400" w:lineRule="exact"/>
              <w:ind w:left="420" w:leftChars="200" w:firstLine="0" w:firstLineChars="0"/>
              <w:rPr>
                <w:rFonts w:hint="eastAsia"/>
                <w:lang w:val="en-US" w:eastAsia="zh-CN"/>
              </w:rPr>
            </w:pPr>
            <w:r>
              <w:rPr>
                <w:rFonts w:hint="eastAsia" w:ascii="宋体" w:hAnsi="宋体" w:eastAsia="宋体" w:cs="宋体"/>
                <w:color w:val="auto"/>
                <w:kern w:val="0"/>
                <w:sz w:val="21"/>
                <w:szCs w:val="24"/>
                <w:highlight w:val="none"/>
                <w:lang w:val="en-US" w:eastAsia="zh-CN"/>
              </w:rPr>
              <w:t>（</w:t>
            </w:r>
            <w:r>
              <w:rPr>
                <w:rFonts w:hint="eastAsia" w:ascii="宋体" w:hAnsi="宋体" w:cs="宋体"/>
                <w:color w:val="auto"/>
                <w:kern w:val="0"/>
                <w:sz w:val="21"/>
                <w:szCs w:val="24"/>
                <w:highlight w:val="none"/>
                <w:lang w:val="en-US" w:eastAsia="zh-CN"/>
              </w:rPr>
              <w:t>2</w:t>
            </w:r>
            <w:r>
              <w:rPr>
                <w:rFonts w:hint="eastAsia" w:ascii="宋体" w:hAnsi="宋体" w:eastAsia="宋体" w:cs="宋体"/>
                <w:color w:val="auto"/>
                <w:kern w:val="0"/>
                <w:sz w:val="21"/>
                <w:szCs w:val="24"/>
                <w:highlight w:val="none"/>
                <w:lang w:val="en-US" w:eastAsia="zh-CN"/>
              </w:rPr>
              <w:t>）</w:t>
            </w:r>
            <w:r>
              <w:rPr>
                <w:rFonts w:hint="eastAsia" w:ascii="宋体" w:hAnsi="宋体" w:cs="宋体"/>
                <w:color w:val="auto"/>
                <w:kern w:val="0"/>
                <w:sz w:val="21"/>
                <w:szCs w:val="24"/>
                <w:highlight w:val="none"/>
                <w:lang w:val="en-US" w:eastAsia="zh-CN"/>
              </w:rPr>
              <w:t>提供业绩合同、</w:t>
            </w:r>
            <w:r>
              <w:rPr>
                <w:rFonts w:hint="eastAsia" w:ascii="宋体" w:hAnsi="宋体" w:cs="宋体"/>
                <w:color w:val="auto"/>
                <w:szCs w:val="21"/>
                <w:highlight w:val="none"/>
                <w:lang w:val="en-US" w:eastAsia="zh-CN"/>
              </w:rPr>
              <w:t>合同对应的增值税专用发票、</w:t>
            </w:r>
            <w:r>
              <w:rPr>
                <w:rFonts w:hint="eastAsia" w:ascii="宋体" w:hAnsi="宋体" w:cs="宋体"/>
                <w:color w:val="auto"/>
                <w:kern w:val="0"/>
                <w:sz w:val="21"/>
                <w:szCs w:val="24"/>
                <w:highlight w:val="none"/>
                <w:lang w:val="en-US" w:eastAsia="zh-CN"/>
              </w:rPr>
              <w:t>竣工验收资料复印件</w:t>
            </w:r>
            <w:r>
              <w:rPr>
                <w:rFonts w:hint="eastAsia" w:ascii="宋体" w:hAnsi="宋体" w:eastAsia="宋体" w:cs="宋体"/>
                <w:color w:val="auto"/>
                <w:kern w:val="0"/>
                <w:sz w:val="21"/>
                <w:szCs w:val="24"/>
                <w:highlight w:val="none"/>
                <w:lang w:val="en-US" w:eastAsia="zh-CN"/>
              </w:rPr>
              <w:t>并加盖投标单位法人章</w:t>
            </w:r>
            <w:r>
              <w:rPr>
                <w:rFonts w:hint="eastAsia" w:ascii="宋体" w:hAnsi="宋体" w:cs="宋体"/>
                <w:color w:val="auto"/>
                <w:kern w:val="0"/>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rPr>
            </w:pPr>
          </w:p>
        </w:tc>
        <w:tc>
          <w:tcPr>
            <w:tcW w:w="1641" w:type="dxa"/>
            <w:gridSpan w:val="2"/>
            <w:vAlign w:val="center"/>
          </w:tcPr>
          <w:p>
            <w:pPr>
              <w:snapToGrid w:val="0"/>
              <w:spacing w:line="400" w:lineRule="exact"/>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财务要求</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5562" w:type="dxa"/>
            <w:vAlign w:val="center"/>
          </w:tcPr>
          <w:p>
            <w:pPr>
              <w:numPr>
                <w:ilvl w:val="0"/>
                <w:numId w:val="0"/>
              </w:numPr>
              <w:snapToGrid w:val="0"/>
              <w:spacing w:line="400" w:lineRule="exact"/>
              <w:ind w:left="0" w:leftChars="0"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kern w:val="0"/>
                <w:sz w:val="21"/>
                <w:szCs w:val="21"/>
                <w:lang w:val="en-US" w:eastAsia="zh-CN"/>
              </w:rPr>
              <w:t>投标人2021年、2022年以及2023年经营状况良好，3</w:t>
            </w:r>
            <w:r>
              <w:rPr>
                <w:rFonts w:hint="eastAsia" w:ascii="宋体" w:hAnsi="宋体" w:eastAsia="宋体" w:cs="宋体"/>
                <w:kern w:val="0"/>
                <w:sz w:val="21"/>
                <w:szCs w:val="21"/>
                <w:lang w:eastAsia="zh-CN"/>
              </w:rPr>
              <w:t>年</w:t>
            </w:r>
            <w:r>
              <w:rPr>
                <w:rFonts w:hint="eastAsia" w:ascii="宋体" w:hAnsi="宋体" w:eastAsia="宋体" w:cs="宋体"/>
                <w:kern w:val="0"/>
                <w:sz w:val="21"/>
                <w:szCs w:val="21"/>
                <w:lang w:val="en-US" w:eastAsia="zh-CN"/>
              </w:rPr>
              <w:t>均</w:t>
            </w:r>
            <w:r>
              <w:rPr>
                <w:rFonts w:hint="eastAsia" w:ascii="宋体" w:hAnsi="宋体" w:eastAsia="宋体" w:cs="宋体"/>
                <w:kern w:val="0"/>
                <w:sz w:val="21"/>
                <w:szCs w:val="21"/>
                <w:lang w:eastAsia="zh-CN"/>
              </w:rPr>
              <w:t>不</w:t>
            </w:r>
            <w:r>
              <w:rPr>
                <w:rFonts w:hint="eastAsia" w:ascii="宋体" w:hAnsi="宋体" w:eastAsia="宋体" w:cs="宋体"/>
                <w:kern w:val="0"/>
                <w:sz w:val="21"/>
                <w:szCs w:val="21"/>
                <w:lang w:val="en-US" w:eastAsia="zh-CN"/>
              </w:rPr>
              <w:t>亏损得3分，</w:t>
            </w:r>
            <w:r>
              <w:rPr>
                <w:rFonts w:hint="eastAsia" w:ascii="宋体" w:hAnsi="宋体" w:eastAsia="宋体" w:cs="宋体"/>
                <w:kern w:val="0"/>
                <w:sz w:val="21"/>
                <w:szCs w:val="21"/>
                <w:lang w:eastAsia="zh-CN"/>
              </w:rPr>
              <w:t>仅有</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年不亏损得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分，</w:t>
            </w:r>
            <w:r>
              <w:rPr>
                <w:rFonts w:hint="eastAsia" w:ascii="宋体" w:hAnsi="宋体" w:eastAsia="宋体" w:cs="宋体"/>
                <w:kern w:val="0"/>
                <w:sz w:val="21"/>
                <w:szCs w:val="21"/>
                <w:lang w:val="en-US" w:eastAsia="zh-CN"/>
              </w:rPr>
              <w:t>有1年不亏损得1分，</w:t>
            </w:r>
            <w:r>
              <w:rPr>
                <w:rFonts w:hint="eastAsia" w:ascii="宋体" w:hAnsi="宋体" w:eastAsia="宋体" w:cs="宋体"/>
                <w:kern w:val="0"/>
                <w:sz w:val="21"/>
                <w:szCs w:val="21"/>
                <w:lang w:eastAsia="zh-CN"/>
              </w:rPr>
              <w:t>3年均存在亏损不得分，</w:t>
            </w:r>
            <w:r>
              <w:rPr>
                <w:rFonts w:hint="eastAsia" w:ascii="宋体" w:hAnsi="宋体" w:eastAsia="宋体" w:cs="宋体"/>
                <w:kern w:val="0"/>
                <w:sz w:val="21"/>
                <w:szCs w:val="21"/>
                <w:lang w:val="en-US" w:eastAsia="zh-CN"/>
              </w:rPr>
              <w:t>满分3分</w:t>
            </w:r>
            <w:r>
              <w:rPr>
                <w:rFonts w:hint="eastAsia" w:ascii="宋体" w:hAnsi="宋体" w:eastAsia="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1895"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2.2.3（3）</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Cs/>
                <w:color w:val="auto"/>
                <w:sz w:val="21"/>
                <w:szCs w:val="21"/>
              </w:rPr>
              <w:t>技术部分评分标准</w:t>
            </w:r>
            <w:r>
              <w:rPr>
                <w:rFonts w:hint="eastAsia" w:cs="Times New Roman" w:eastAsiaTheme="minorEastAsia"/>
                <w:bCs/>
                <w:color w:val="auto"/>
                <w:sz w:val="21"/>
                <w:szCs w:val="21"/>
                <w:lang w:eastAsia="zh-CN"/>
              </w:rPr>
              <w:t>（</w:t>
            </w:r>
            <w:r>
              <w:rPr>
                <w:rFonts w:hint="eastAsia" w:cs="Times New Roman" w:eastAsiaTheme="minorEastAsia"/>
                <w:bCs/>
                <w:color w:val="auto"/>
                <w:sz w:val="21"/>
                <w:szCs w:val="21"/>
                <w:lang w:val="en-US" w:eastAsia="zh-CN"/>
              </w:rPr>
              <w:t>20分）</w:t>
            </w:r>
          </w:p>
        </w:tc>
        <w:tc>
          <w:tcPr>
            <w:tcW w:w="1641" w:type="dxa"/>
            <w:gridSpan w:val="2"/>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施工组织设计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tc>
        <w:tc>
          <w:tcPr>
            <w:tcW w:w="5562" w:type="dxa"/>
            <w:vAlign w:val="center"/>
          </w:tcPr>
          <w:p>
            <w:pPr>
              <w:keepNext w:val="0"/>
              <w:keepLines w:val="0"/>
              <w:suppressLineNumbers w:val="0"/>
              <w:spacing w:before="0" w:beforeAutospacing="0" w:after="62" w:afterLines="20" w:afterAutospacing="0" w:line="400" w:lineRule="exact"/>
              <w:ind w:left="0" w:right="0"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从总体施工组织布置及规划，主要工程项目的施工方案、方法与技术措施，工期（需包含设备供应计划、人员、机械安排计划等）和资金保证体系及保证措施，工程质量、安全、环保、水保管理体系及保证措施，项目风险预测与防范，事故应急预案，支付保障措施（有关民工工资等的按期支付保证措施），交通组织方案，缺陷责任期配合措施等各个方面进行施工组织设计编制。</w:t>
            </w:r>
          </w:p>
          <w:p>
            <w:pPr>
              <w:snapToGrid w:val="0"/>
              <w:spacing w:line="400" w:lineRule="exact"/>
              <w:ind w:firstLine="210" w:firstLineChars="100"/>
              <w:jc w:val="left"/>
              <w:rPr>
                <w:rFonts w:hint="eastAsia" w:ascii="宋体" w:hAnsi="宋体" w:eastAsia="宋体" w:cs="宋体"/>
                <w:color w:val="auto"/>
                <w:kern w:val="0"/>
                <w:sz w:val="21"/>
                <w:szCs w:val="21"/>
              </w:rPr>
            </w:pPr>
            <w:r>
              <w:rPr>
                <w:rFonts w:hint="eastAsia" w:ascii="宋体" w:hAnsi="宋体" w:eastAsia="宋体" w:cs="宋体"/>
                <w:kern w:val="0"/>
                <w:sz w:val="21"/>
                <w:szCs w:val="21"/>
                <w:lang w:val="en-US" w:eastAsia="zh-CN" w:bidi="ar-SA"/>
              </w:rPr>
              <w:t>施工组织设计编制合理、可实施性高得20~16分；施工组织设计编制较合理、可实施性较高得16~12分；施工组织设计编制不合理、可实施性不高得12~0分。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3</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eastAsia" w:ascii="Times New Roman" w:hAnsi="Times New Roman" w:cs="Times New Roman" w:eastAsiaTheme="minorEastAsia"/>
                <w:color w:val="auto"/>
                <w:kern w:val="0"/>
                <w:sz w:val="21"/>
                <w:szCs w:val="21"/>
                <w:lang w:eastAsia="zh-CN"/>
              </w:rPr>
            </w:pPr>
            <w:r>
              <w:rPr>
                <w:rFonts w:hint="eastAsia" w:ascii="Times New Roman" w:hAnsi="Times New Roman" w:cs="Times New Roman" w:eastAsiaTheme="minorEastAsia"/>
                <w:color w:val="auto"/>
                <w:sz w:val="21"/>
                <w:szCs w:val="21"/>
                <w:lang w:eastAsia="zh-CN"/>
              </w:rPr>
              <w:t>评审程序</w:t>
            </w:r>
          </w:p>
        </w:tc>
        <w:tc>
          <w:tcPr>
            <w:tcW w:w="7203" w:type="dxa"/>
            <w:gridSpan w:val="3"/>
          </w:tcPr>
          <w:p>
            <w:pPr>
              <w:pStyle w:val="1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color w:val="auto"/>
              </w:rPr>
            </w:pPr>
            <w:r>
              <w:rPr>
                <w:rFonts w:hint="default"/>
                <w:color w:val="auto"/>
              </w:rPr>
              <w:t>1</w:t>
            </w:r>
            <w:r>
              <w:rPr>
                <w:rFonts w:hint="eastAsia"/>
                <w:color w:val="auto"/>
                <w:lang w:eastAsia="zh-CN"/>
              </w:rPr>
              <w:t>.评审</w:t>
            </w:r>
            <w:r>
              <w:rPr>
                <w:rFonts w:hint="default"/>
                <w:color w:val="auto"/>
              </w:rPr>
              <w:t>委员会对所有</w:t>
            </w:r>
            <w:r>
              <w:rPr>
                <w:rFonts w:hint="eastAsia"/>
                <w:color w:val="auto"/>
                <w:lang w:eastAsia="zh-CN"/>
              </w:rPr>
              <w:t>报价人</w:t>
            </w:r>
            <w:r>
              <w:rPr>
                <w:rFonts w:hint="default"/>
                <w:color w:val="auto"/>
              </w:rPr>
              <w:t>的</w:t>
            </w:r>
            <w:r>
              <w:rPr>
                <w:rFonts w:hint="eastAsia"/>
                <w:color w:val="auto"/>
                <w:lang w:eastAsia="zh-CN"/>
              </w:rPr>
              <w:t>比选文件</w:t>
            </w:r>
            <w:r>
              <w:rPr>
                <w:rFonts w:hint="default"/>
                <w:color w:val="auto"/>
              </w:rPr>
              <w:t>按本章</w:t>
            </w:r>
            <w:r>
              <w:rPr>
                <w:rFonts w:hint="eastAsia"/>
                <w:color w:val="auto"/>
                <w:lang w:eastAsia="zh-CN"/>
              </w:rPr>
              <w:t>评审</w:t>
            </w:r>
            <w:r>
              <w:rPr>
                <w:rFonts w:hint="default"/>
                <w:color w:val="auto"/>
              </w:rPr>
              <w:t>办法</w:t>
            </w:r>
            <w:r>
              <w:rPr>
                <w:rFonts w:hint="eastAsia"/>
                <w:color w:val="auto"/>
                <w:lang w:val="en-US" w:eastAsia="zh-CN"/>
              </w:rPr>
              <w:t>3.1</w:t>
            </w:r>
            <w:r>
              <w:rPr>
                <w:rFonts w:hint="default"/>
                <w:color w:val="auto"/>
              </w:rPr>
              <w:t>款进行初步评审。</w:t>
            </w:r>
          </w:p>
          <w:p>
            <w:pPr>
              <w:pStyle w:val="1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color w:val="auto"/>
              </w:rPr>
            </w:pPr>
            <w:r>
              <w:rPr>
                <w:rFonts w:hint="default"/>
                <w:color w:val="auto"/>
              </w:rPr>
              <w:t>2</w:t>
            </w:r>
            <w:r>
              <w:rPr>
                <w:rFonts w:hint="eastAsia"/>
                <w:color w:val="auto"/>
                <w:lang w:eastAsia="zh-CN"/>
              </w:rPr>
              <w:t>.</w:t>
            </w:r>
            <w:r>
              <w:rPr>
                <w:rFonts w:hint="default"/>
                <w:color w:val="auto"/>
              </w:rPr>
              <w:t>对初步评审合格的</w:t>
            </w:r>
            <w:r>
              <w:rPr>
                <w:rFonts w:hint="eastAsia"/>
                <w:color w:val="auto"/>
                <w:lang w:eastAsia="zh-CN"/>
              </w:rPr>
              <w:t>报价人</w:t>
            </w:r>
            <w:r>
              <w:rPr>
                <w:rFonts w:hint="default"/>
                <w:color w:val="auto"/>
              </w:rPr>
              <w:t>按本章</w:t>
            </w:r>
            <w:r>
              <w:rPr>
                <w:rFonts w:hint="eastAsia"/>
                <w:color w:val="auto"/>
                <w:lang w:eastAsia="zh-CN"/>
              </w:rPr>
              <w:t>评审</w:t>
            </w:r>
            <w:r>
              <w:rPr>
                <w:rFonts w:hint="default"/>
                <w:color w:val="auto"/>
              </w:rPr>
              <w:t>办法2.2.3</w:t>
            </w:r>
            <w:r>
              <w:rPr>
                <w:rFonts w:hint="eastAsia"/>
                <w:color w:val="auto"/>
                <w:lang w:eastAsia="zh-CN"/>
              </w:rPr>
              <w:t>（</w:t>
            </w:r>
            <w:r>
              <w:rPr>
                <w:rFonts w:hint="eastAsia"/>
                <w:color w:val="auto"/>
                <w:lang w:val="en-US" w:eastAsia="zh-CN"/>
              </w:rPr>
              <w:t>3</w:t>
            </w:r>
            <w:r>
              <w:rPr>
                <w:rFonts w:hint="eastAsia"/>
                <w:color w:val="auto"/>
                <w:lang w:eastAsia="zh-CN"/>
              </w:rPr>
              <w:t>）</w:t>
            </w:r>
            <w:r>
              <w:rPr>
                <w:rFonts w:hint="default"/>
                <w:color w:val="auto"/>
              </w:rPr>
              <w:t>及3.2.1项的规定对技术部分进行评审。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cs="Times New Roman"/>
                <w:snapToGrid w:val="0"/>
                <w:color w:val="auto"/>
                <w:kern w:val="0"/>
                <w:szCs w:val="21"/>
              </w:rPr>
            </w:pPr>
            <w:r>
              <w:rPr>
                <w:rFonts w:ascii="Times New Roman" w:hAnsi="Times New Roman" w:cs="Times New Roman"/>
                <w:snapToGrid w:val="0"/>
                <w:color w:val="auto"/>
                <w:kern w:val="0"/>
                <w:szCs w:val="21"/>
              </w:rPr>
              <w:t>3.按本章评审办法前附表第2.2.</w:t>
            </w:r>
            <w:r>
              <w:rPr>
                <w:rFonts w:hint="eastAsia" w:ascii="Times New Roman" w:hAnsi="Times New Roman" w:cs="Times New Roman"/>
                <w:snapToGrid w:val="0"/>
                <w:color w:val="auto"/>
                <w:kern w:val="0"/>
                <w:szCs w:val="21"/>
                <w:lang w:val="en-US" w:eastAsia="zh-CN"/>
              </w:rPr>
              <w:t>3</w:t>
            </w:r>
            <w:r>
              <w:rPr>
                <w:rFonts w:ascii="Times New Roman" w:hAnsi="Times New Roman" w:cs="Times New Roman"/>
                <w:snapToGrid w:val="0"/>
                <w:color w:val="auto"/>
                <w:kern w:val="0"/>
                <w:szCs w:val="21"/>
              </w:rPr>
              <w:t>（2）目及第3.2.1（2）目的规定对商务部分进行评审。</w:t>
            </w:r>
          </w:p>
          <w:p>
            <w:pPr>
              <w:adjustRightInd w:val="0"/>
              <w:snapToGrid w:val="0"/>
              <w:spacing w:line="400" w:lineRule="exact"/>
              <w:ind w:firstLine="420" w:firstLineChars="200"/>
              <w:rPr>
                <w:rFonts w:ascii="Times New Roman" w:hAnsi="Times New Roman" w:cs="Times New Roman"/>
                <w:snapToGrid w:val="0"/>
                <w:color w:val="auto"/>
                <w:kern w:val="0"/>
                <w:szCs w:val="21"/>
              </w:rPr>
            </w:pPr>
            <w:r>
              <w:rPr>
                <w:rFonts w:hint="eastAsia"/>
                <w:color w:val="auto"/>
                <w:lang w:val="en-US" w:eastAsia="zh-CN"/>
              </w:rPr>
              <w:t>4</w:t>
            </w:r>
            <w:r>
              <w:rPr>
                <w:rFonts w:hint="eastAsia"/>
                <w:color w:val="auto"/>
                <w:lang w:eastAsia="zh-CN"/>
              </w:rPr>
              <w:t>.</w:t>
            </w:r>
            <w:r>
              <w:rPr>
                <w:rFonts w:ascii="Times New Roman" w:hAnsi="Times New Roman" w:cs="Times New Roman"/>
                <w:snapToGrid w:val="0"/>
                <w:color w:val="auto"/>
                <w:kern w:val="0"/>
                <w:szCs w:val="21"/>
              </w:rPr>
              <w:t>经评审合格的</w:t>
            </w:r>
            <w:r>
              <w:rPr>
                <w:rFonts w:hint="eastAsia" w:cs="Times New Roman"/>
                <w:snapToGrid w:val="0"/>
                <w:color w:val="auto"/>
                <w:kern w:val="0"/>
                <w:szCs w:val="21"/>
                <w:lang w:eastAsia="zh-CN"/>
              </w:rPr>
              <w:t>报价人</w:t>
            </w:r>
            <w:r>
              <w:rPr>
                <w:rFonts w:ascii="Times New Roman" w:hAnsi="Times New Roman" w:cs="Times New Roman"/>
                <w:snapToGrid w:val="0"/>
                <w:color w:val="auto"/>
                <w:kern w:val="0"/>
                <w:szCs w:val="21"/>
              </w:rPr>
              <w:t>按照本章第2.2.</w:t>
            </w:r>
            <w:r>
              <w:rPr>
                <w:rFonts w:hint="eastAsia" w:ascii="Times New Roman" w:hAnsi="Times New Roman" w:cs="Times New Roman"/>
                <w:snapToGrid w:val="0"/>
                <w:color w:val="auto"/>
                <w:kern w:val="0"/>
                <w:szCs w:val="21"/>
                <w:lang w:val="en-US" w:eastAsia="zh-CN"/>
              </w:rPr>
              <w:t>2</w:t>
            </w:r>
            <w:r>
              <w:rPr>
                <w:rFonts w:ascii="Times New Roman" w:hAnsi="Times New Roman" w:cs="Times New Roman"/>
                <w:snapToGrid w:val="0"/>
                <w:color w:val="auto"/>
                <w:kern w:val="0"/>
                <w:szCs w:val="21"/>
              </w:rPr>
              <w:t>项计算方法计算评审基准价，并按本附表第3.2.1（</w:t>
            </w:r>
            <w:r>
              <w:rPr>
                <w:rFonts w:hint="eastAsia" w:ascii="Times New Roman" w:hAnsi="Times New Roman" w:cs="Times New Roman"/>
                <w:snapToGrid w:val="0"/>
                <w:color w:val="auto"/>
                <w:kern w:val="0"/>
                <w:szCs w:val="21"/>
                <w:lang w:val="en-US" w:eastAsia="zh-CN"/>
              </w:rPr>
              <w:t>1</w:t>
            </w:r>
            <w:r>
              <w:rPr>
                <w:rFonts w:ascii="Times New Roman" w:hAnsi="Times New Roman" w:cs="Times New Roman"/>
                <w:snapToGrid w:val="0"/>
                <w:color w:val="auto"/>
                <w:kern w:val="0"/>
                <w:szCs w:val="21"/>
              </w:rPr>
              <w:t>）目规定的评分方法对</w:t>
            </w:r>
            <w:r>
              <w:rPr>
                <w:rFonts w:hint="eastAsia" w:cs="Times New Roman"/>
                <w:snapToGrid w:val="0"/>
                <w:color w:val="auto"/>
                <w:kern w:val="0"/>
                <w:szCs w:val="21"/>
                <w:lang w:eastAsia="zh-CN"/>
              </w:rPr>
              <w:t>比选</w:t>
            </w:r>
            <w:r>
              <w:rPr>
                <w:rFonts w:ascii="Times New Roman" w:hAnsi="Times New Roman" w:cs="Times New Roman"/>
                <w:snapToGrid w:val="0"/>
                <w:color w:val="auto"/>
                <w:kern w:val="0"/>
                <w:szCs w:val="21"/>
              </w:rPr>
              <w:t>报价进行评分。</w:t>
            </w:r>
          </w:p>
          <w:p>
            <w:pPr>
              <w:adjustRightInd w:val="0"/>
              <w:snapToGrid w:val="0"/>
              <w:spacing w:line="400" w:lineRule="exact"/>
              <w:ind w:firstLine="420" w:firstLineChars="200"/>
              <w:rPr>
                <w:rFonts w:hint="default"/>
                <w:color w:val="auto"/>
              </w:rPr>
            </w:pPr>
            <w:r>
              <w:rPr>
                <w:rFonts w:hint="eastAsia" w:ascii="Times New Roman" w:hAnsi="Times New Roman" w:cs="Times New Roman"/>
                <w:snapToGrid w:val="0"/>
                <w:color w:val="auto"/>
                <w:kern w:val="0"/>
                <w:szCs w:val="21"/>
                <w:lang w:val="en-US" w:eastAsia="zh-CN"/>
              </w:rPr>
              <w:t>5</w:t>
            </w:r>
            <w:r>
              <w:rPr>
                <w:rFonts w:hint="eastAsia" w:ascii="Times New Roman" w:hAnsi="Times New Roman" w:cs="Times New Roman"/>
                <w:snapToGrid w:val="0"/>
                <w:color w:val="auto"/>
                <w:kern w:val="0"/>
                <w:szCs w:val="21"/>
                <w:lang w:eastAsia="zh-CN"/>
              </w:rPr>
              <w:t>.</w:t>
            </w:r>
            <w:r>
              <w:rPr>
                <w:rFonts w:hint="default" w:ascii="Times New Roman" w:hAnsi="Times New Roman" w:cs="Times New Roman"/>
                <w:snapToGrid w:val="0"/>
                <w:color w:val="auto"/>
                <w:kern w:val="0"/>
                <w:szCs w:val="21"/>
              </w:rPr>
              <w:t>对技术部分、商务部分、</w:t>
            </w:r>
            <w:r>
              <w:rPr>
                <w:rFonts w:hint="eastAsia" w:cs="Times New Roman"/>
                <w:snapToGrid w:val="0"/>
                <w:color w:val="auto"/>
                <w:kern w:val="0"/>
                <w:szCs w:val="21"/>
                <w:lang w:eastAsia="zh-CN"/>
              </w:rPr>
              <w:t>比选</w:t>
            </w:r>
            <w:r>
              <w:rPr>
                <w:rFonts w:hint="default" w:ascii="Times New Roman" w:hAnsi="Times New Roman" w:cs="Times New Roman"/>
                <w:snapToGrid w:val="0"/>
                <w:color w:val="auto"/>
                <w:kern w:val="0"/>
                <w:szCs w:val="21"/>
              </w:rPr>
              <w:t>报价得分进行汇总，确定综合得分由高至低前</w:t>
            </w:r>
            <w:r>
              <w:rPr>
                <w:rFonts w:hint="default" w:ascii="Times New Roman" w:hAnsi="Times New Roman" w:cs="Times New Roman"/>
                <w:snapToGrid w:val="0"/>
                <w:color w:val="auto"/>
                <w:kern w:val="0"/>
                <w:szCs w:val="21"/>
                <w:lang w:eastAsia="zh-CN"/>
              </w:rPr>
              <w:t>二</w:t>
            </w:r>
            <w:r>
              <w:rPr>
                <w:rFonts w:hint="default" w:ascii="Times New Roman" w:hAnsi="Times New Roman" w:cs="Times New Roman"/>
                <w:snapToGrid w:val="0"/>
                <w:color w:val="auto"/>
                <w:kern w:val="0"/>
                <w:szCs w:val="21"/>
              </w:rPr>
              <w:t>名</w:t>
            </w:r>
            <w:r>
              <w:rPr>
                <w:rFonts w:hint="eastAsia" w:cs="Times New Roman"/>
                <w:snapToGrid w:val="0"/>
                <w:color w:val="auto"/>
                <w:kern w:val="0"/>
                <w:szCs w:val="21"/>
                <w:lang w:eastAsia="zh-CN"/>
              </w:rPr>
              <w:t>报价人</w:t>
            </w:r>
            <w:r>
              <w:rPr>
                <w:rFonts w:hint="default" w:ascii="Times New Roman" w:hAnsi="Times New Roman" w:cs="Times New Roman"/>
                <w:snapToGrid w:val="0"/>
                <w:color w:val="auto"/>
                <w:kern w:val="0"/>
                <w:szCs w:val="21"/>
              </w:rPr>
              <w:t>为</w:t>
            </w:r>
            <w:r>
              <w:rPr>
                <w:rFonts w:hint="eastAsia" w:ascii="Times New Roman" w:hAnsi="Times New Roman" w:cs="Times New Roman"/>
                <w:snapToGrid w:val="0"/>
                <w:color w:val="auto"/>
                <w:kern w:val="0"/>
                <w:szCs w:val="21"/>
                <w:lang w:eastAsia="zh-CN"/>
              </w:rPr>
              <w:t>中选</w:t>
            </w:r>
            <w:r>
              <w:rPr>
                <w:rFonts w:hint="default" w:ascii="Times New Roman" w:hAnsi="Times New Roman" w:cs="Times New Roman"/>
                <w:snapToGrid w:val="0"/>
                <w:color w:val="auto"/>
                <w:kern w:val="0"/>
                <w:szCs w:val="21"/>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3.2.1</w:t>
            </w:r>
          </w:p>
        </w:tc>
        <w:tc>
          <w:tcPr>
            <w:tcW w:w="1220" w:type="dxa"/>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技术部分评审标准</w:t>
            </w:r>
          </w:p>
        </w:tc>
        <w:tc>
          <w:tcPr>
            <w:tcW w:w="6073" w:type="dxa"/>
            <w:gridSpan w:val="3"/>
          </w:tcPr>
          <w:p>
            <w:pPr>
              <w:adjustRightInd w:val="0"/>
              <w:snapToGrid w:val="0"/>
              <w:spacing w:beforeLines="0" w:after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部分评分</w:t>
            </w:r>
            <w:r>
              <w:rPr>
                <w:rFonts w:hint="eastAsia" w:ascii="宋体" w:hAnsi="宋体" w:eastAsia="宋体" w:cs="宋体"/>
                <w:color w:val="auto"/>
                <w:szCs w:val="21"/>
                <w:highlight w:val="none"/>
                <w:lang w:val="en-US" w:eastAsia="zh-CN"/>
              </w:rPr>
              <w:t>主观评分</w:t>
            </w:r>
            <w:r>
              <w:rPr>
                <w:rFonts w:hint="eastAsia" w:ascii="宋体" w:hAnsi="宋体" w:eastAsia="宋体" w:cs="宋体"/>
                <w:color w:val="auto"/>
                <w:szCs w:val="21"/>
                <w:highlight w:val="none"/>
                <w:lang w:eastAsia="zh-CN"/>
              </w:rPr>
              <w:t>。</w:t>
            </w:r>
          </w:p>
          <w:p>
            <w:pPr>
              <w:adjustRightInd w:val="0"/>
              <w:snapToGrid w:val="0"/>
              <w:spacing w:beforeLines="0" w:after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客观评分</w:t>
            </w:r>
            <w:r>
              <w:rPr>
                <w:rFonts w:hint="eastAsia" w:ascii="宋体" w:hAnsi="宋体" w:eastAsia="宋体" w:cs="宋体"/>
                <w:color w:val="auto"/>
                <w:szCs w:val="21"/>
                <w:highlight w:val="none"/>
              </w:rPr>
              <w:t>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pPr>
              <w:adjustRightInd w:val="0"/>
              <w:snapToGrid w:val="0"/>
              <w:spacing w:beforeLines="0"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2"/>
                <w:highlight w:val="none"/>
                <w:lang w:val="en-US" w:eastAsia="zh-CN"/>
              </w:rPr>
              <w:t>主观评分</w:t>
            </w:r>
            <w:r>
              <w:rPr>
                <w:rFonts w:hint="eastAsia" w:ascii="宋体" w:hAnsi="宋体" w:eastAsia="宋体" w:cs="宋体"/>
                <w:color w:val="auto"/>
                <w:szCs w:val="22"/>
                <w:highlight w:val="none"/>
              </w:rPr>
              <w:t>评标委员会按照优、良、差</w:t>
            </w:r>
            <w:r>
              <w:rPr>
                <w:rFonts w:hint="eastAsia" w:ascii="宋体" w:hAnsi="宋体" w:eastAsia="宋体" w:cs="宋体"/>
                <w:color w:val="auto"/>
                <w:szCs w:val="22"/>
                <w:highlight w:val="none"/>
                <w:lang w:val="en-US" w:eastAsia="zh-CN"/>
              </w:rPr>
              <w:t>三</w:t>
            </w:r>
            <w:r>
              <w:rPr>
                <w:rFonts w:hint="eastAsia" w:ascii="宋体" w:hAnsi="宋体" w:eastAsia="宋体" w:cs="宋体"/>
                <w:color w:val="auto"/>
                <w:szCs w:val="22"/>
                <w:highlight w:val="none"/>
              </w:rPr>
              <w:t>个档次进行评分，</w:t>
            </w:r>
            <w:r>
              <w:rPr>
                <w:rFonts w:hint="eastAsia" w:ascii="宋体" w:hAnsi="宋体" w:eastAsia="宋体" w:cs="宋体"/>
                <w:snapToGrid w:val="0"/>
                <w:color w:val="auto"/>
                <w:kern w:val="0"/>
                <w:szCs w:val="21"/>
                <w:highlight w:val="none"/>
                <w:lang w:val="en-US" w:eastAsia="zh-CN"/>
              </w:rPr>
              <w:t>若评委</w:t>
            </w:r>
            <w:r>
              <w:rPr>
                <w:rFonts w:hint="eastAsia" w:ascii="宋体" w:hAnsi="宋体" w:eastAsia="宋体" w:cs="宋体"/>
                <w:snapToGrid w:val="0"/>
                <w:color w:val="auto"/>
                <w:kern w:val="0"/>
                <w:szCs w:val="21"/>
                <w:highlight w:val="none"/>
              </w:rPr>
              <w:t>对投标人</w:t>
            </w:r>
            <w:r>
              <w:rPr>
                <w:rFonts w:hint="eastAsia" w:ascii="宋体" w:hAnsi="宋体" w:eastAsia="宋体" w:cs="宋体"/>
                <w:color w:val="auto"/>
                <w:kern w:val="0"/>
                <w:highlight w:val="none"/>
                <w:lang w:val="en-US" w:eastAsia="zh-CN"/>
              </w:rPr>
              <w:t>技术部分</w:t>
            </w:r>
            <w:r>
              <w:rPr>
                <w:rFonts w:hint="eastAsia" w:ascii="宋体" w:hAnsi="宋体" w:eastAsia="宋体" w:cs="宋体"/>
                <w:snapToGrid w:val="0"/>
                <w:color w:val="auto"/>
                <w:kern w:val="0"/>
                <w:szCs w:val="21"/>
                <w:highlight w:val="none"/>
                <w:lang w:val="en-US" w:eastAsia="zh-CN"/>
              </w:rPr>
              <w:t>评分低于该部分总分的60%的</w:t>
            </w:r>
            <w:r>
              <w:rPr>
                <w:rFonts w:hint="eastAsia" w:ascii="宋体" w:hAnsi="宋体" w:eastAsia="宋体" w:cs="宋体"/>
                <w:snapToGrid w:val="0"/>
                <w:color w:val="auto"/>
                <w:kern w:val="0"/>
                <w:szCs w:val="21"/>
                <w:highlight w:val="none"/>
              </w:rPr>
              <w:t>须注明</w:t>
            </w:r>
            <w:r>
              <w:rPr>
                <w:rFonts w:hint="eastAsia" w:ascii="宋体" w:hAnsi="宋体" w:eastAsia="宋体" w:cs="宋体"/>
                <w:snapToGrid w:val="0"/>
                <w:color w:val="auto"/>
                <w:kern w:val="0"/>
                <w:szCs w:val="21"/>
                <w:highlight w:val="none"/>
                <w:lang w:val="en-US" w:eastAsia="zh-CN"/>
              </w:rPr>
              <w:t>详实</w:t>
            </w:r>
            <w:r>
              <w:rPr>
                <w:rFonts w:hint="eastAsia" w:ascii="宋体" w:hAnsi="宋体" w:eastAsia="宋体" w:cs="宋体"/>
                <w:snapToGrid w:val="0"/>
                <w:color w:val="auto"/>
                <w:kern w:val="0"/>
                <w:szCs w:val="21"/>
                <w:highlight w:val="none"/>
              </w:rPr>
              <w:t>理由，</w:t>
            </w: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缺项的该项得0分。</w:t>
            </w:r>
          </w:p>
          <w:p>
            <w:pPr>
              <w:adjustRightInd w:val="0"/>
              <w:snapToGrid w:val="0"/>
              <w:spacing w:beforeLines="0"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取</w:t>
            </w:r>
            <w:r>
              <w:rPr>
                <w:rFonts w:hint="eastAsia" w:ascii="宋体" w:hAnsi="宋体" w:eastAsia="宋体" w:cs="宋体"/>
                <w:snapToGrid w:val="0"/>
                <w:color w:val="auto"/>
                <w:kern w:val="0"/>
                <w:szCs w:val="21"/>
                <w:highlight w:val="none"/>
              </w:rPr>
              <w:t>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算术平均值为该投标人</w:t>
            </w:r>
            <w:r>
              <w:rPr>
                <w:rFonts w:hint="eastAsia" w:ascii="宋体" w:hAnsi="宋体" w:eastAsia="宋体" w:cs="宋体"/>
                <w:snapToGrid w:val="0"/>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得分。</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20" w:firstLineChars="200"/>
              <w:jc w:val="left"/>
              <w:rPr>
                <w:rFonts w:hint="eastAsia" w:eastAsia="宋体" w:cs="Times New Roman"/>
                <w:snapToGrid w:val="0"/>
                <w:color w:val="auto"/>
                <w:kern w:val="0"/>
                <w:szCs w:val="21"/>
                <w:lang w:eastAsia="zh-CN"/>
              </w:rPr>
            </w:pP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color w:val="auto"/>
                <w:kern w:val="0"/>
                <w:szCs w:val="21"/>
                <w:highlight w:val="none"/>
              </w:rPr>
              <w:t>得分的最终结果保留两位小数，</w:t>
            </w:r>
            <w:r>
              <w:rPr>
                <w:rFonts w:hint="eastAsia" w:ascii="宋体" w:hAnsi="宋体" w:eastAsia="宋体" w:cs="宋体"/>
                <w:color w:val="auto"/>
                <w:kern w:val="0"/>
                <w:szCs w:val="21"/>
                <w:highlight w:val="none"/>
                <w:lang w:val="en-US" w:eastAsia="zh-CN"/>
              </w:rPr>
              <w:t>小数点后</w:t>
            </w:r>
            <w:r>
              <w:rPr>
                <w:rFonts w:hint="eastAsia" w:ascii="宋体" w:hAnsi="宋体" w:eastAsia="宋体" w:cs="宋体"/>
                <w:color w:val="auto"/>
                <w:kern w:val="0"/>
                <w:szCs w:val="21"/>
                <w:highlight w:val="none"/>
              </w:rPr>
              <w:t>第三位四舍五</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3.2.2</w:t>
            </w:r>
          </w:p>
        </w:tc>
        <w:tc>
          <w:tcPr>
            <w:tcW w:w="1220" w:type="dxa"/>
          </w:tcPr>
          <w:p>
            <w:pPr>
              <w:pStyle w:val="13"/>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eastAsia" w:cs="Times New Roman"/>
                <w:snapToGrid w:val="0"/>
                <w:color w:val="auto"/>
                <w:kern w:val="0"/>
                <w:szCs w:val="21"/>
                <w:lang w:eastAsia="zh-CN"/>
              </w:rPr>
            </w:pPr>
            <w:r>
              <w:rPr>
                <w:rFonts w:hint="eastAsia" w:ascii="宋体" w:hAnsi="宋体" w:cs="宋体"/>
                <w:color w:val="auto"/>
                <w:szCs w:val="22"/>
                <w:highlight w:val="none"/>
                <w:lang w:val="en-US" w:eastAsia="zh-CN"/>
              </w:rPr>
              <w:t>商务部分</w:t>
            </w:r>
            <w:r>
              <w:rPr>
                <w:rFonts w:hint="eastAsia" w:ascii="宋体" w:hAnsi="宋体" w:eastAsia="宋体" w:cs="宋体"/>
                <w:color w:val="auto"/>
                <w:szCs w:val="22"/>
                <w:highlight w:val="none"/>
              </w:rPr>
              <w:t>评审标准</w:t>
            </w:r>
          </w:p>
        </w:tc>
        <w:tc>
          <w:tcPr>
            <w:tcW w:w="6073" w:type="dxa"/>
            <w:gridSpan w:val="3"/>
          </w:tcPr>
          <w:p>
            <w:pPr>
              <w:pStyle w:val="13"/>
              <w:keepNext w:val="0"/>
              <w:keepLines w:val="0"/>
              <w:pageBreakBefore w:val="0"/>
              <w:widowControl w:val="0"/>
              <w:kinsoku/>
              <w:wordWrap/>
              <w:overflowPunct/>
              <w:topLinePunct w:val="0"/>
              <w:autoSpaceDE/>
              <w:autoSpaceDN/>
              <w:bidi w:val="0"/>
              <w:adjustRightInd w:val="0"/>
              <w:snapToGrid w:val="0"/>
              <w:spacing w:line="400" w:lineRule="exact"/>
              <w:ind w:firstLine="420"/>
              <w:jc w:val="center"/>
              <w:rPr>
                <w:rFonts w:hint="eastAsia" w:cs="Times New Roman"/>
                <w:snapToGrid w:val="0"/>
                <w:color w:val="auto"/>
                <w:kern w:val="0"/>
                <w:szCs w:val="21"/>
                <w:lang w:eastAsia="zh-CN"/>
              </w:rPr>
            </w:pPr>
            <w:r>
              <w:rPr>
                <w:rFonts w:hint="eastAsia" w:ascii="宋体" w:hAnsi="宋体" w:eastAsia="宋体" w:cs="宋体"/>
                <w:color w:val="auto"/>
                <w:szCs w:val="21"/>
                <w:highlight w:val="none"/>
                <w:lang w:val="en-US" w:eastAsia="zh-CN"/>
              </w:rPr>
              <w:t>客观评分</w:t>
            </w:r>
            <w:r>
              <w:rPr>
                <w:rFonts w:hint="eastAsia" w:ascii="宋体" w:hAnsi="宋体" w:eastAsia="宋体" w:cs="宋体"/>
                <w:color w:val="auto"/>
                <w:szCs w:val="21"/>
                <w:highlight w:val="none"/>
              </w:rPr>
              <w:t>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3.2.3</w:t>
            </w:r>
          </w:p>
        </w:tc>
        <w:tc>
          <w:tcPr>
            <w:tcW w:w="1220" w:type="dxa"/>
          </w:tcPr>
          <w:p>
            <w:pPr>
              <w:pStyle w:val="13"/>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rPr>
                <w:rFonts w:hint="default" w:ascii="Times New Roman" w:hAnsi="Times New Roman" w:cs="Times New Roman" w:eastAsiaTheme="minorEastAsia"/>
                <w:color w:val="auto"/>
                <w:sz w:val="21"/>
                <w:szCs w:val="21"/>
                <w:highlight w:val="yellow"/>
              </w:rPr>
            </w:pPr>
            <w:r>
              <w:rPr>
                <w:rFonts w:hint="eastAsia" w:cs="Times New Roman"/>
                <w:snapToGrid w:val="0"/>
                <w:color w:val="auto"/>
                <w:kern w:val="0"/>
                <w:szCs w:val="21"/>
                <w:lang w:eastAsia="zh-CN"/>
              </w:rPr>
              <w:t>报价人</w:t>
            </w:r>
            <w:r>
              <w:rPr>
                <w:rFonts w:ascii="Times New Roman" w:hAnsi="Times New Roman" w:cs="Times New Roman"/>
                <w:snapToGrid w:val="0"/>
                <w:color w:val="auto"/>
                <w:kern w:val="0"/>
                <w:szCs w:val="21"/>
              </w:rPr>
              <w:t>得分</w:t>
            </w:r>
          </w:p>
        </w:tc>
        <w:tc>
          <w:tcPr>
            <w:tcW w:w="6073" w:type="dxa"/>
            <w:gridSpan w:val="3"/>
          </w:tcPr>
          <w:p>
            <w:pPr>
              <w:pStyle w:val="13"/>
              <w:keepNext w:val="0"/>
              <w:keepLines w:val="0"/>
              <w:pageBreakBefore w:val="0"/>
              <w:widowControl w:val="0"/>
              <w:kinsoku/>
              <w:wordWrap/>
              <w:overflowPunct/>
              <w:topLinePunct w:val="0"/>
              <w:autoSpaceDE/>
              <w:autoSpaceDN/>
              <w:bidi w:val="0"/>
              <w:adjustRightInd w:val="0"/>
              <w:snapToGrid w:val="0"/>
              <w:spacing w:line="400" w:lineRule="exact"/>
              <w:ind w:firstLine="420"/>
              <w:jc w:val="center"/>
              <w:rPr>
                <w:rFonts w:hint="default" w:ascii="Times New Roman" w:hAnsi="Times New Roman" w:cs="Times New Roman" w:eastAsiaTheme="minorEastAsia"/>
                <w:color w:val="auto"/>
                <w:sz w:val="21"/>
                <w:szCs w:val="21"/>
                <w:highlight w:val="yellow"/>
              </w:rPr>
            </w:pPr>
            <w:r>
              <w:rPr>
                <w:rFonts w:hint="eastAsia" w:cs="Times New Roman"/>
                <w:snapToGrid w:val="0"/>
                <w:color w:val="auto"/>
                <w:kern w:val="0"/>
                <w:szCs w:val="21"/>
                <w:lang w:eastAsia="zh-CN"/>
              </w:rPr>
              <w:t>报价人</w:t>
            </w:r>
            <w:r>
              <w:rPr>
                <w:rFonts w:ascii="Times New Roman" w:hAnsi="Times New Roman" w:cs="Times New Roman"/>
                <w:snapToGrid w:val="0"/>
                <w:color w:val="auto"/>
                <w:kern w:val="0"/>
                <w:szCs w:val="21"/>
              </w:rPr>
              <w:t>得分=A+B+C</w:t>
            </w:r>
          </w:p>
        </w:tc>
      </w:tr>
    </w:tbl>
    <w:p>
      <w:pPr>
        <w:rPr>
          <w:rFonts w:hint="eastAsia"/>
          <w:lang w:val="en-US" w:eastAsia="zh-CN"/>
        </w:rPr>
      </w:pPr>
    </w:p>
    <w:p>
      <w:pPr>
        <w:keepNext w:val="0"/>
        <w:keepLines w:val="0"/>
        <w:pageBreakBefore w:val="0"/>
        <w:widowControl w:val="0"/>
        <w:numPr>
          <w:ilvl w:val="0"/>
          <w:numId w:val="5"/>
        </w:numPr>
        <w:kinsoku/>
        <w:wordWrap/>
        <w:overflowPunct/>
        <w:topLinePunct w:val="0"/>
        <w:autoSpaceDE/>
        <w:autoSpaceDN/>
        <w:bidi w:val="0"/>
        <w:adjustRightInd w:val="0"/>
        <w:snapToGrid w:val="0"/>
        <w:spacing w:line="420" w:lineRule="exact"/>
        <w:ind w:firstLine="0" w:firstLineChars="0"/>
        <w:textAlignment w:val="auto"/>
        <w:rPr>
          <w:b/>
          <w:bCs/>
          <w:color w:val="auto"/>
          <w:sz w:val="32"/>
          <w:szCs w:val="36"/>
        </w:rPr>
      </w:pPr>
      <w:bookmarkStart w:id="134" w:name="_Toc21541"/>
      <w:bookmarkStart w:id="135" w:name="_Toc75963227"/>
      <w:bookmarkStart w:id="136" w:name="_Toc8445"/>
      <w:bookmarkStart w:id="137" w:name="_Toc1656"/>
      <w:r>
        <w:rPr>
          <w:rFonts w:hint="eastAsia"/>
          <w:b/>
          <w:bCs/>
          <w:color w:val="auto"/>
          <w:sz w:val="32"/>
          <w:szCs w:val="36"/>
          <w:lang w:eastAsia="zh-CN"/>
        </w:rPr>
        <w:t>评审</w:t>
      </w:r>
      <w:r>
        <w:rPr>
          <w:rFonts w:hint="eastAsia"/>
          <w:b/>
          <w:bCs/>
          <w:color w:val="auto"/>
          <w:sz w:val="32"/>
          <w:szCs w:val="36"/>
        </w:rPr>
        <w:t>方法</w:t>
      </w:r>
      <w:bookmarkEnd w:id="134"/>
      <w:bookmarkEnd w:id="135"/>
      <w:bookmarkEnd w:id="136"/>
      <w:bookmarkEnd w:id="137"/>
    </w:p>
    <w:p>
      <w:pPr>
        <w:pageBreakBefore w:val="0"/>
        <w:widowControl w:val="0"/>
        <w:kinsoku/>
        <w:wordWrap/>
        <w:overflowPunct/>
        <w:topLinePunct w:val="0"/>
        <w:autoSpaceDE w:val="0"/>
        <w:autoSpaceDN w:val="0"/>
        <w:bidi w:val="0"/>
        <w:adjustRightInd w:val="0"/>
        <w:snapToGrid w:val="0"/>
        <w:spacing w:line="420" w:lineRule="exact"/>
        <w:ind w:left="1" w:firstLine="420"/>
        <w:textAlignment w:val="auto"/>
        <w:rPr>
          <w:rFonts w:ascii="宋体" w:hAnsi="宋体"/>
          <w:color w:val="auto"/>
          <w:kern w:val="0"/>
          <w:szCs w:val="21"/>
        </w:rPr>
      </w:pPr>
      <w:r>
        <w:rPr>
          <w:rFonts w:hint="eastAsia" w:ascii="宋体" w:hAnsi="宋体"/>
          <w:color w:val="auto"/>
          <w:kern w:val="0"/>
          <w:szCs w:val="21"/>
        </w:rPr>
        <w:t>本次评审采用</w:t>
      </w:r>
      <w:r>
        <w:rPr>
          <w:rFonts w:hint="eastAsia" w:ascii="宋体" w:hAnsi="宋体"/>
          <w:color w:val="auto"/>
          <w:kern w:val="0"/>
          <w:szCs w:val="21"/>
          <w:lang w:eastAsia="zh-CN"/>
        </w:rPr>
        <w:t>综合评估</w:t>
      </w:r>
      <w:r>
        <w:rPr>
          <w:rFonts w:hint="eastAsia" w:ascii="宋体" w:hAnsi="宋体"/>
          <w:color w:val="auto"/>
          <w:kern w:val="0"/>
          <w:szCs w:val="21"/>
        </w:rPr>
        <w:t>法。</w:t>
      </w:r>
      <w:r>
        <w:rPr>
          <w:rFonts w:hint="eastAsia" w:ascii="宋体" w:hAnsi="宋体"/>
          <w:color w:val="auto"/>
          <w:kern w:val="0"/>
          <w:szCs w:val="21"/>
          <w:lang w:eastAsia="zh-CN"/>
        </w:rPr>
        <w:t>评审委员会</w:t>
      </w:r>
      <w:r>
        <w:rPr>
          <w:rFonts w:hint="eastAsia" w:ascii="宋体" w:hAnsi="宋体"/>
          <w:color w:val="auto"/>
          <w:kern w:val="0"/>
          <w:szCs w:val="21"/>
        </w:rPr>
        <w:t>对满足</w:t>
      </w:r>
      <w:r>
        <w:rPr>
          <w:rFonts w:ascii="宋体" w:hAnsi="宋体"/>
          <w:color w:val="auto"/>
          <w:kern w:val="0"/>
          <w:szCs w:val="21"/>
        </w:rPr>
        <w:t>比选</w:t>
      </w:r>
      <w:r>
        <w:rPr>
          <w:rFonts w:hint="eastAsia" w:ascii="宋体" w:hAnsi="宋体"/>
          <w:color w:val="auto"/>
          <w:kern w:val="0"/>
          <w:szCs w:val="21"/>
        </w:rPr>
        <w:t>文件实质性要求的</w:t>
      </w:r>
      <w:r>
        <w:rPr>
          <w:rFonts w:hint="eastAsia" w:ascii="宋体" w:hAnsi="宋体"/>
          <w:color w:val="auto"/>
          <w:kern w:val="0"/>
          <w:szCs w:val="21"/>
          <w:lang w:eastAsia="zh-CN"/>
        </w:rPr>
        <w:t>比选文件</w:t>
      </w:r>
      <w:r>
        <w:rPr>
          <w:rFonts w:hint="eastAsia" w:ascii="宋体" w:hAnsi="宋体"/>
          <w:color w:val="auto"/>
          <w:kern w:val="0"/>
          <w:szCs w:val="21"/>
        </w:rPr>
        <w:t>，按照本章第</w:t>
      </w:r>
      <w:r>
        <w:rPr>
          <w:rFonts w:ascii="宋体" w:hAnsi="宋体"/>
          <w:color w:val="auto"/>
          <w:kern w:val="0"/>
          <w:szCs w:val="21"/>
        </w:rPr>
        <w:t xml:space="preserve"> </w:t>
      </w:r>
      <w:r>
        <w:rPr>
          <w:rFonts w:hint="eastAsia" w:ascii="宋体" w:hAnsi="宋体"/>
          <w:color w:val="auto"/>
          <w:kern w:val="0"/>
          <w:szCs w:val="21"/>
          <w:lang w:val="en-US" w:eastAsia="zh-CN"/>
        </w:rPr>
        <w:t>2.1</w:t>
      </w:r>
      <w:r>
        <w:rPr>
          <w:rFonts w:ascii="宋体" w:hAnsi="宋体"/>
          <w:color w:val="auto"/>
          <w:kern w:val="0"/>
          <w:szCs w:val="21"/>
        </w:rPr>
        <w:t xml:space="preserve"> </w:t>
      </w:r>
      <w:r>
        <w:rPr>
          <w:rFonts w:hint="eastAsia" w:ascii="宋体" w:hAnsi="宋体"/>
          <w:color w:val="auto"/>
          <w:kern w:val="0"/>
          <w:szCs w:val="21"/>
        </w:rPr>
        <w:t>款规定进行评审，并按</w:t>
      </w:r>
      <w:r>
        <w:rPr>
          <w:rFonts w:hint="eastAsia" w:ascii="宋体" w:hAnsi="宋体"/>
          <w:color w:val="auto"/>
          <w:kern w:val="0"/>
          <w:szCs w:val="21"/>
          <w:lang w:eastAsia="zh-CN"/>
        </w:rPr>
        <w:t>综合得分由高到低的顺序</w:t>
      </w:r>
      <w:r>
        <w:rPr>
          <w:rFonts w:hint="eastAsia" w:ascii="宋体" w:hAnsi="宋体"/>
          <w:color w:val="auto"/>
          <w:kern w:val="0"/>
          <w:szCs w:val="21"/>
        </w:rPr>
        <w:t>推荐</w:t>
      </w:r>
      <w:r>
        <w:rPr>
          <w:rFonts w:hint="eastAsia" w:ascii="宋体" w:hAnsi="宋体"/>
          <w:color w:val="auto"/>
          <w:kern w:val="0"/>
          <w:szCs w:val="21"/>
          <w:lang w:val="en-US" w:eastAsia="zh-CN"/>
        </w:rPr>
        <w:t>2</w:t>
      </w:r>
      <w:r>
        <w:rPr>
          <w:rFonts w:ascii="宋体" w:hAnsi="宋体"/>
          <w:color w:val="auto"/>
          <w:kern w:val="0"/>
          <w:szCs w:val="21"/>
        </w:rPr>
        <w:t>名中选候选人，或根据比选人授权直接确定中选人，但</w:t>
      </w:r>
      <w:r>
        <w:rPr>
          <w:rFonts w:hint="eastAsia" w:ascii="宋体" w:hAnsi="宋体"/>
          <w:color w:val="auto"/>
          <w:kern w:val="0"/>
          <w:szCs w:val="21"/>
          <w:lang w:eastAsia="zh-CN"/>
        </w:rPr>
        <w:t>比选</w:t>
      </w:r>
      <w:r>
        <w:rPr>
          <w:rFonts w:hint="eastAsia" w:ascii="宋体" w:hAnsi="宋体"/>
          <w:color w:val="auto"/>
          <w:kern w:val="0"/>
          <w:szCs w:val="21"/>
        </w:rPr>
        <w:t>报价</w:t>
      </w:r>
      <w:r>
        <w:rPr>
          <w:rFonts w:ascii="宋体" w:hAnsi="宋体"/>
          <w:color w:val="auto"/>
          <w:kern w:val="0"/>
          <w:szCs w:val="21"/>
        </w:rPr>
        <w:t>低于其成本的除外。</w:t>
      </w:r>
    </w:p>
    <w:p>
      <w:pPr>
        <w:keepNext/>
        <w:keepLines/>
        <w:pageBreakBefore w:val="0"/>
        <w:widowControl w:val="0"/>
        <w:numPr>
          <w:ilvl w:val="0"/>
          <w:numId w:val="5"/>
        </w:numPr>
        <w:kinsoku/>
        <w:wordWrap/>
        <w:overflowPunct/>
        <w:topLinePunct w:val="0"/>
        <w:autoSpaceDE/>
        <w:autoSpaceDN/>
        <w:bidi w:val="0"/>
        <w:adjustRightInd w:val="0"/>
        <w:snapToGrid w:val="0"/>
        <w:spacing w:line="420" w:lineRule="exact"/>
        <w:ind w:left="0" w:leftChars="0" w:firstLine="0" w:firstLineChars="0"/>
        <w:textAlignment w:val="auto"/>
        <w:rPr>
          <w:b/>
          <w:bCs/>
          <w:color w:val="auto"/>
          <w:sz w:val="32"/>
          <w:szCs w:val="36"/>
        </w:rPr>
      </w:pPr>
      <w:bookmarkStart w:id="138" w:name="_Toc360722800"/>
      <w:bookmarkStart w:id="139" w:name="_Toc200513199"/>
      <w:bookmarkStart w:id="140" w:name="_Toc3454"/>
      <w:bookmarkStart w:id="141" w:name="_Toc300754713"/>
      <w:bookmarkStart w:id="142" w:name="_Toc224103385"/>
      <w:bookmarkStart w:id="143" w:name="_Toc2105"/>
      <w:bookmarkStart w:id="144" w:name="_Toc18597"/>
      <w:bookmarkStart w:id="145" w:name="_Toc75963228"/>
      <w:bookmarkStart w:id="146" w:name="_Toc241483911"/>
      <w:bookmarkStart w:id="147" w:name="_Toc237171529"/>
      <w:r>
        <w:rPr>
          <w:rFonts w:hint="eastAsia"/>
          <w:b/>
          <w:bCs/>
          <w:color w:val="auto"/>
          <w:sz w:val="32"/>
          <w:szCs w:val="36"/>
        </w:rPr>
        <w:t>评审标准</w:t>
      </w:r>
      <w:bookmarkEnd w:id="138"/>
      <w:bookmarkEnd w:id="139"/>
      <w:bookmarkEnd w:id="140"/>
      <w:bookmarkEnd w:id="141"/>
      <w:bookmarkEnd w:id="142"/>
      <w:bookmarkEnd w:id="143"/>
      <w:bookmarkEnd w:id="144"/>
      <w:bookmarkEnd w:id="145"/>
      <w:bookmarkEnd w:id="146"/>
      <w:bookmarkEnd w:id="147"/>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148" w:name="_Toc224103386"/>
      <w:bookmarkStart w:id="149" w:name="_Toc237171530"/>
      <w:bookmarkStart w:id="150" w:name="_Toc360722801"/>
      <w:bookmarkStart w:id="151" w:name="_Toc200513200"/>
      <w:bookmarkStart w:id="152" w:name="_Toc241483912"/>
      <w:bookmarkStart w:id="153" w:name="_Toc300754714"/>
      <w:r>
        <w:rPr>
          <w:rFonts w:hint="default" w:ascii="Times New Roman" w:hAnsi="Times New Roman" w:cs="Times New Roman"/>
          <w:b/>
          <w:color w:val="auto"/>
          <w:kern w:val="0"/>
          <w:szCs w:val="21"/>
        </w:rPr>
        <w:t>2.1</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初步评审标准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资格评审标准：见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形式</w:t>
      </w:r>
      <w:r>
        <w:rPr>
          <w:rFonts w:hint="default" w:ascii="Times New Roman" w:hAnsi="Times New Roman" w:cs="Times New Roman"/>
          <w:color w:val="auto"/>
          <w:kern w:val="0"/>
          <w:szCs w:val="21"/>
        </w:rPr>
        <w:t>评审标准：见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响应性评审标准：见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154" w:name="_Toc360722802"/>
      <w:bookmarkStart w:id="155" w:name="_Toc237171531"/>
      <w:bookmarkStart w:id="156" w:name="_Toc241483913"/>
      <w:bookmarkStart w:id="157" w:name="_Toc200513201"/>
      <w:bookmarkStart w:id="158" w:name="_Toc224103387"/>
      <w:bookmarkStart w:id="159" w:name="_Toc300754715"/>
      <w:r>
        <w:rPr>
          <w:rFonts w:hint="default" w:ascii="Times New Roman" w:hAnsi="Times New Roman" w:cs="Times New Roman"/>
          <w:b/>
          <w:color w:val="auto"/>
          <w:kern w:val="0"/>
          <w:szCs w:val="21"/>
        </w:rPr>
        <w:t>2.2</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分值构成与评分标准</w:t>
      </w:r>
      <w:bookmarkEnd w:id="154"/>
      <w:bookmarkEnd w:id="155"/>
      <w:bookmarkEnd w:id="156"/>
      <w:bookmarkEnd w:id="157"/>
      <w:bookmarkEnd w:id="158"/>
      <w:bookmarkEnd w:id="159"/>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分值构成</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eastAsia" w:cs="Times New Roman"/>
          <w:color w:val="auto"/>
          <w:kern w:val="0"/>
          <w:szCs w:val="21"/>
          <w:lang w:eastAsia="zh-CN"/>
        </w:rPr>
        <w:t>比选</w:t>
      </w:r>
      <w:r>
        <w:rPr>
          <w:rFonts w:hint="default" w:ascii="Times New Roman" w:hAnsi="Times New Roman" w:cs="Times New Roman"/>
          <w:color w:val="auto"/>
          <w:kern w:val="0"/>
          <w:szCs w:val="21"/>
        </w:rPr>
        <w:t>报价：见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基准价计算</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基准价计算方法：见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评分标准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（1）</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报价评分标准：见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（2）商务部分评分标准：见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（3）技术部分评分标准：见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2.2.4 </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报价的偏差率计算</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eastAsia" w:cs="Times New Roman"/>
          <w:color w:val="auto"/>
          <w:kern w:val="0"/>
          <w:szCs w:val="21"/>
          <w:lang w:eastAsia="zh-CN"/>
        </w:rPr>
        <w:t>比选</w:t>
      </w:r>
      <w:r>
        <w:rPr>
          <w:rFonts w:hint="default" w:ascii="Times New Roman" w:hAnsi="Times New Roman" w:cs="Times New Roman"/>
          <w:color w:val="auto"/>
          <w:kern w:val="0"/>
          <w:szCs w:val="21"/>
        </w:rPr>
        <w:t>报价的偏差率计算公式：见评审办法前附表。</w:t>
      </w:r>
    </w:p>
    <w:bookmarkEnd w:id="148"/>
    <w:bookmarkEnd w:id="149"/>
    <w:bookmarkEnd w:id="150"/>
    <w:bookmarkEnd w:id="151"/>
    <w:bookmarkEnd w:id="152"/>
    <w:bookmarkEnd w:id="153"/>
    <w:p>
      <w:pPr>
        <w:keepNext/>
        <w:keepLines/>
        <w:pageBreakBefore w:val="0"/>
        <w:widowControl w:val="0"/>
        <w:kinsoku/>
        <w:wordWrap/>
        <w:overflowPunct/>
        <w:topLinePunct w:val="0"/>
        <w:autoSpaceDE/>
        <w:autoSpaceDN/>
        <w:bidi w:val="0"/>
        <w:adjustRightInd w:val="0"/>
        <w:snapToGrid w:val="0"/>
        <w:spacing w:line="420" w:lineRule="exact"/>
        <w:ind w:firstLine="0" w:firstLineChars="0"/>
        <w:textAlignment w:val="auto"/>
        <w:rPr>
          <w:b/>
          <w:bCs/>
          <w:color w:val="auto"/>
          <w:sz w:val="32"/>
          <w:szCs w:val="36"/>
        </w:rPr>
      </w:pPr>
      <w:bookmarkStart w:id="160" w:name="_Toc241483914"/>
      <w:bookmarkStart w:id="161" w:name="_Toc1805"/>
      <w:bookmarkStart w:id="162" w:name="_Toc200513202"/>
      <w:bookmarkStart w:id="163" w:name="_Toc4398"/>
      <w:bookmarkStart w:id="164" w:name="_Toc6430"/>
      <w:bookmarkStart w:id="165" w:name="_Toc237171532"/>
      <w:bookmarkStart w:id="166" w:name="_Toc300754716"/>
      <w:bookmarkStart w:id="167" w:name="_Toc360722803"/>
      <w:bookmarkStart w:id="168" w:name="_Toc75963229"/>
      <w:bookmarkStart w:id="169" w:name="_Toc224103388"/>
      <w:r>
        <w:rPr>
          <w:rFonts w:hint="eastAsia"/>
          <w:b/>
          <w:bCs/>
          <w:color w:val="auto"/>
          <w:sz w:val="32"/>
          <w:szCs w:val="36"/>
        </w:rPr>
        <w:t>3.</w:t>
      </w:r>
      <w:r>
        <w:rPr>
          <w:rFonts w:hint="eastAsia"/>
          <w:b/>
          <w:bCs/>
          <w:color w:val="auto"/>
          <w:sz w:val="32"/>
          <w:szCs w:val="36"/>
          <w:lang w:val="en-US" w:eastAsia="zh-CN"/>
        </w:rPr>
        <w:t xml:space="preserve"> </w:t>
      </w:r>
      <w:r>
        <w:rPr>
          <w:rFonts w:hint="eastAsia"/>
          <w:b/>
          <w:bCs/>
          <w:color w:val="auto"/>
          <w:sz w:val="32"/>
          <w:szCs w:val="36"/>
          <w:lang w:eastAsia="zh-CN"/>
        </w:rPr>
        <w:t>评审</w:t>
      </w:r>
      <w:r>
        <w:rPr>
          <w:rFonts w:hint="eastAsia"/>
          <w:b/>
          <w:bCs/>
          <w:color w:val="auto"/>
          <w:sz w:val="32"/>
          <w:szCs w:val="36"/>
        </w:rPr>
        <w:t>程序</w:t>
      </w:r>
      <w:bookmarkEnd w:id="160"/>
      <w:bookmarkEnd w:id="161"/>
      <w:bookmarkEnd w:id="162"/>
      <w:bookmarkEnd w:id="163"/>
      <w:bookmarkEnd w:id="164"/>
      <w:bookmarkEnd w:id="165"/>
      <w:bookmarkEnd w:id="166"/>
      <w:bookmarkEnd w:id="167"/>
      <w:bookmarkEnd w:id="168"/>
      <w:bookmarkEnd w:id="169"/>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170" w:name="_Toc241483915"/>
      <w:bookmarkStart w:id="171" w:name="_Toc237171533"/>
      <w:bookmarkStart w:id="172" w:name="_Toc360722804"/>
      <w:bookmarkStart w:id="173" w:name="_Toc300754717"/>
      <w:bookmarkStart w:id="174" w:name="_Toc224103389"/>
      <w:bookmarkStart w:id="175" w:name="_Toc200513203"/>
      <w:r>
        <w:rPr>
          <w:rFonts w:hint="default" w:ascii="Times New Roman" w:hAnsi="Times New Roman" w:cs="Times New Roman"/>
          <w:b/>
          <w:color w:val="auto"/>
          <w:kern w:val="0"/>
          <w:szCs w:val="21"/>
        </w:rPr>
        <w:t>3.1</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初步评审</w:t>
      </w:r>
      <w:bookmarkEnd w:id="170"/>
      <w:bookmarkEnd w:id="171"/>
      <w:bookmarkEnd w:id="172"/>
      <w:bookmarkEnd w:id="173"/>
      <w:bookmarkEnd w:id="174"/>
      <w:bookmarkEnd w:id="175"/>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依据本章第 2.1 款规定的标准对</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进行初步评审。</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依据本章第 2.1 款规定的标准对</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进行初步评审。有一项不符合评审标准的，作否决</w:t>
      </w:r>
      <w:r>
        <w:rPr>
          <w:rFonts w:hint="eastAsia" w:cs="Times New Roman"/>
          <w:color w:val="auto"/>
          <w:kern w:val="0"/>
          <w:szCs w:val="21"/>
          <w:lang w:eastAsia="zh-CN"/>
        </w:rPr>
        <w:t>比选</w:t>
      </w:r>
      <w:r>
        <w:rPr>
          <w:rFonts w:hint="default" w:ascii="Times New Roman" w:hAnsi="Times New Roman" w:cs="Times New Roman"/>
          <w:color w:val="auto"/>
          <w:kern w:val="0"/>
          <w:szCs w:val="21"/>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3.1.2</w:t>
      </w:r>
      <w:r>
        <w:rPr>
          <w:rFonts w:hint="eastAsia" w:ascii="Times New Roman" w:hAnsi="Times New Roman" w:cs="Times New Roman"/>
          <w:color w:val="auto"/>
          <w:kern w:val="0"/>
          <w:szCs w:val="21"/>
          <w:lang w:val="en-US" w:eastAsia="zh-CN"/>
        </w:rPr>
        <w:t xml:space="preserve"> </w:t>
      </w:r>
      <w:r>
        <w:rPr>
          <w:rFonts w:hint="eastAsia" w:cs="Times New Roman"/>
          <w:color w:val="auto"/>
          <w:kern w:val="0"/>
          <w:szCs w:val="21"/>
          <w:lang w:eastAsia="zh-CN"/>
        </w:rPr>
        <w:t>报价人</w:t>
      </w:r>
      <w:r>
        <w:rPr>
          <w:rFonts w:hint="default" w:ascii="Times New Roman" w:hAnsi="Times New Roman" w:cs="Times New Roman"/>
          <w:color w:val="auto"/>
          <w:kern w:val="0"/>
          <w:szCs w:val="21"/>
        </w:rPr>
        <w:t>有以下情形之一的，其</w:t>
      </w:r>
      <w:r>
        <w:rPr>
          <w:rFonts w:hint="eastAsia" w:cs="Times New Roman"/>
          <w:color w:val="auto"/>
          <w:kern w:val="0"/>
          <w:szCs w:val="21"/>
          <w:lang w:eastAsia="zh-CN"/>
        </w:rPr>
        <w:t>比选</w:t>
      </w:r>
      <w:r>
        <w:rPr>
          <w:rFonts w:hint="default" w:ascii="Times New Roman" w:hAnsi="Times New Roman" w:cs="Times New Roman"/>
          <w:color w:val="auto"/>
          <w:kern w:val="0"/>
          <w:szCs w:val="21"/>
        </w:rPr>
        <w:t>作否决处理：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（1）第二章“</w:t>
      </w:r>
      <w:r>
        <w:rPr>
          <w:rFonts w:hint="eastAsia" w:cs="Times New Roman"/>
          <w:color w:val="auto"/>
          <w:kern w:val="0"/>
          <w:szCs w:val="21"/>
          <w:lang w:eastAsia="zh-CN"/>
        </w:rPr>
        <w:t>报价人</w:t>
      </w:r>
      <w:r>
        <w:rPr>
          <w:rFonts w:hint="default" w:ascii="Times New Roman" w:hAnsi="Times New Roman" w:cs="Times New Roman"/>
          <w:color w:val="auto"/>
          <w:kern w:val="0"/>
          <w:szCs w:val="21"/>
        </w:rPr>
        <w:t>须知”第 1.4.3 项规定的任何一种情形的；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（2）串通</w:t>
      </w:r>
      <w:r>
        <w:rPr>
          <w:rFonts w:hint="eastAsia" w:cs="Times New Roman"/>
          <w:color w:val="auto"/>
          <w:kern w:val="0"/>
          <w:szCs w:val="21"/>
          <w:lang w:eastAsia="zh-CN"/>
        </w:rPr>
        <w:t>比选</w:t>
      </w:r>
      <w:r>
        <w:rPr>
          <w:rFonts w:hint="default" w:ascii="Times New Roman" w:hAnsi="Times New Roman" w:cs="Times New Roman"/>
          <w:color w:val="auto"/>
          <w:kern w:val="0"/>
          <w:szCs w:val="21"/>
        </w:rPr>
        <w:t>或弄虚作假或有其他违法行为的；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（3）不按</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要求澄清、说明或补正的。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（4）本比选文件约定的其他情形。</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3.1.3</w:t>
      </w:r>
      <w:r>
        <w:rPr>
          <w:rFonts w:hint="eastAsia" w:ascii="Times New Roman" w:hAnsi="Times New Roman" w:cs="Times New Roman"/>
          <w:color w:val="auto"/>
          <w:kern w:val="0"/>
          <w:szCs w:val="21"/>
          <w:lang w:val="en-US" w:eastAsia="zh-CN"/>
        </w:rPr>
        <w:t xml:space="preserve"> </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报价有算术错误的，</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按以下原则对</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报价进行修正，修正的价格经</w:t>
      </w:r>
      <w:r>
        <w:rPr>
          <w:rFonts w:hint="eastAsia" w:cs="Times New Roman"/>
          <w:color w:val="auto"/>
          <w:kern w:val="0"/>
          <w:szCs w:val="21"/>
          <w:lang w:eastAsia="zh-CN"/>
        </w:rPr>
        <w:t>报价人</w:t>
      </w:r>
      <w:r>
        <w:rPr>
          <w:rFonts w:hint="default" w:ascii="Times New Roman" w:hAnsi="Times New Roman" w:cs="Times New Roman"/>
          <w:color w:val="auto"/>
          <w:kern w:val="0"/>
          <w:szCs w:val="21"/>
        </w:rPr>
        <w:t>书面确认后具有约束力。</w:t>
      </w:r>
      <w:r>
        <w:rPr>
          <w:rFonts w:hint="eastAsia" w:cs="Times New Roman"/>
          <w:color w:val="auto"/>
          <w:kern w:val="0"/>
          <w:szCs w:val="21"/>
          <w:lang w:eastAsia="zh-CN"/>
        </w:rPr>
        <w:t>报价人</w:t>
      </w:r>
      <w:r>
        <w:rPr>
          <w:rFonts w:hint="default" w:ascii="Times New Roman" w:hAnsi="Times New Roman" w:cs="Times New Roman"/>
          <w:color w:val="auto"/>
          <w:kern w:val="0"/>
          <w:szCs w:val="21"/>
        </w:rPr>
        <w:t>不接受修正价格的，其</w:t>
      </w:r>
      <w:r>
        <w:rPr>
          <w:rFonts w:hint="eastAsia" w:cs="Times New Roman"/>
          <w:color w:val="auto"/>
          <w:kern w:val="0"/>
          <w:szCs w:val="21"/>
          <w:lang w:eastAsia="zh-CN"/>
        </w:rPr>
        <w:t>比选</w:t>
      </w:r>
      <w:r>
        <w:rPr>
          <w:rFonts w:hint="default" w:ascii="Times New Roman" w:hAnsi="Times New Roman" w:cs="Times New Roman"/>
          <w:color w:val="auto"/>
          <w:kern w:val="0"/>
          <w:szCs w:val="21"/>
        </w:rPr>
        <w:t>作否决</w:t>
      </w:r>
      <w:r>
        <w:rPr>
          <w:rFonts w:hint="eastAsia" w:cs="Times New Roman"/>
          <w:color w:val="auto"/>
          <w:kern w:val="0"/>
          <w:szCs w:val="21"/>
          <w:lang w:eastAsia="zh-CN"/>
        </w:rPr>
        <w:t>比选</w:t>
      </w:r>
      <w:r>
        <w:rPr>
          <w:rFonts w:hint="default" w:ascii="Times New Roman" w:hAnsi="Times New Roman" w:cs="Times New Roman"/>
          <w:color w:val="auto"/>
          <w:kern w:val="0"/>
          <w:szCs w:val="21"/>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中的大写金额与小写金额不一致的，以大写金额为准；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（2）单价金额小数点或者百分比有明显错位的，以修正后的单价为准；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（3）总价金额与按单价汇总金额不一致的，以单价金额计算结果为准。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cs="Times New Roman"/>
          <w:color w:val="auto"/>
          <w:spacing w:val="1"/>
          <w:kern w:val="0"/>
          <w:szCs w:val="21"/>
        </w:rPr>
        <w:t>4</w:t>
      </w:r>
      <w:r>
        <w:rPr>
          <w:rFonts w:hint="default" w:ascii="Times New Roman" w:hAnsi="Times New Roman" w:cs="Times New Roman"/>
          <w:color w:val="auto"/>
          <w:kern w:val="0"/>
          <w:szCs w:val="21"/>
        </w:rPr>
        <w:t>）</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中，若</w:t>
      </w:r>
      <w:r>
        <w:rPr>
          <w:rFonts w:hint="eastAsia" w:cs="Times New Roman"/>
          <w:color w:val="auto"/>
          <w:kern w:val="0"/>
          <w:szCs w:val="21"/>
          <w:lang w:eastAsia="zh-CN"/>
        </w:rPr>
        <w:t>比选函</w:t>
      </w:r>
      <w:r>
        <w:rPr>
          <w:rFonts w:hint="default" w:ascii="Times New Roman" w:hAnsi="Times New Roman" w:cs="Times New Roman"/>
          <w:color w:val="auto"/>
          <w:kern w:val="0"/>
          <w:szCs w:val="21"/>
        </w:rPr>
        <w:t>的</w:t>
      </w:r>
      <w:r>
        <w:rPr>
          <w:rFonts w:hint="eastAsia" w:cs="Times New Roman"/>
          <w:color w:val="auto"/>
          <w:kern w:val="0"/>
          <w:szCs w:val="21"/>
          <w:lang w:eastAsia="zh-CN"/>
        </w:rPr>
        <w:t>比选</w:t>
      </w:r>
      <w:r>
        <w:rPr>
          <w:rFonts w:hint="default" w:ascii="Times New Roman" w:hAnsi="Times New Roman" w:cs="Times New Roman"/>
          <w:color w:val="auto"/>
          <w:kern w:val="0"/>
          <w:szCs w:val="21"/>
        </w:rPr>
        <w:t>总报价与</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报价清单总价不一致，以</w:t>
      </w:r>
      <w:r>
        <w:rPr>
          <w:rFonts w:hint="eastAsia" w:cs="Times New Roman"/>
          <w:color w:val="auto"/>
          <w:kern w:val="0"/>
          <w:szCs w:val="21"/>
          <w:lang w:eastAsia="zh-CN"/>
        </w:rPr>
        <w:t>比选函</w:t>
      </w:r>
      <w:r>
        <w:rPr>
          <w:rFonts w:hint="default" w:ascii="Times New Roman" w:hAnsi="Times New Roman" w:cs="Times New Roman"/>
          <w:color w:val="auto"/>
          <w:kern w:val="0"/>
          <w:szCs w:val="21"/>
        </w:rPr>
        <w:t>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同时出现两种以上不一致的，按照上述规定的顺序修正。</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176" w:name="_Toc360722805"/>
      <w:bookmarkStart w:id="177" w:name="_Toc224103390"/>
      <w:bookmarkStart w:id="178" w:name="_Toc200513204"/>
      <w:bookmarkStart w:id="179" w:name="_Toc237171534"/>
      <w:bookmarkStart w:id="180" w:name="_Toc241483916"/>
      <w:bookmarkStart w:id="181" w:name="_Toc300754718"/>
      <w:r>
        <w:rPr>
          <w:rFonts w:hint="default" w:ascii="Times New Roman" w:hAnsi="Times New Roman" w:cs="Times New Roman"/>
          <w:b/>
          <w:color w:val="auto"/>
          <w:kern w:val="0"/>
          <w:szCs w:val="21"/>
        </w:rPr>
        <w:t>3.2</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详细评审</w:t>
      </w:r>
      <w:bookmarkEnd w:id="176"/>
      <w:bookmarkEnd w:id="177"/>
      <w:bookmarkEnd w:id="178"/>
      <w:bookmarkEnd w:id="179"/>
      <w:bookmarkEnd w:id="180"/>
      <w:bookmarkEnd w:id="181"/>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按本章第2.2款规定的量化因素和分值进行打分，并计算出综合评估得分。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r>
        <w:rPr>
          <w:rFonts w:hint="default" w:ascii="Times New Roman" w:hAnsi="Times New Roman" w:cs="Times New Roman"/>
          <w:color w:val="auto"/>
          <w:kern w:val="0"/>
          <w:szCs w:val="21"/>
          <w:lang w:eastAsia="zh-CN"/>
        </w:rPr>
        <w:t>按评审办法前附表</w:t>
      </w:r>
      <w:r>
        <w:rPr>
          <w:rFonts w:hint="default" w:ascii="Times New Roman" w:hAnsi="Times New Roman" w:cs="Times New Roman"/>
          <w:color w:val="auto"/>
          <w:kern w:val="0"/>
          <w:szCs w:val="21"/>
        </w:rPr>
        <w:t>规定的评审因素和分值对</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报价计算出得分A；</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r>
        <w:rPr>
          <w:rFonts w:hint="default" w:ascii="Times New Roman" w:hAnsi="Times New Roman" w:cs="Times New Roman"/>
          <w:color w:val="auto"/>
          <w:kern w:val="0"/>
          <w:szCs w:val="21"/>
          <w:lang w:eastAsia="zh-CN"/>
        </w:rPr>
        <w:t>按评审办法前附表</w:t>
      </w:r>
      <w:r>
        <w:rPr>
          <w:rFonts w:hint="default" w:ascii="Times New Roman" w:hAnsi="Times New Roman" w:cs="Times New Roman"/>
          <w:color w:val="auto"/>
          <w:kern w:val="0"/>
          <w:szCs w:val="21"/>
        </w:rPr>
        <w:t>规定的评审因素和分值对商务部分计算出得分B；</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r>
        <w:rPr>
          <w:rFonts w:hint="default" w:ascii="Times New Roman" w:hAnsi="Times New Roman" w:cs="Times New Roman"/>
          <w:color w:val="auto"/>
          <w:kern w:val="0"/>
          <w:szCs w:val="21"/>
          <w:lang w:eastAsia="zh-CN"/>
        </w:rPr>
        <w:t>按评审办法前附表</w:t>
      </w:r>
      <w:r>
        <w:rPr>
          <w:rFonts w:hint="default" w:ascii="Times New Roman" w:hAnsi="Times New Roman" w:cs="Times New Roman"/>
          <w:color w:val="auto"/>
          <w:kern w:val="0"/>
          <w:szCs w:val="21"/>
        </w:rPr>
        <w:t>规定的评审因素和分值对技术部分计算出得分C；</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评分分值计算保留小数点后两位，小数点后第三位“四舍五入”。</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3.2.3</w:t>
      </w:r>
      <w:r>
        <w:rPr>
          <w:rFonts w:hint="eastAsia" w:ascii="Times New Roman" w:hAnsi="Times New Roman" w:cs="Times New Roman"/>
          <w:color w:val="auto"/>
          <w:kern w:val="0"/>
          <w:szCs w:val="21"/>
          <w:lang w:val="en-US" w:eastAsia="zh-CN"/>
        </w:rPr>
        <w:t xml:space="preserve"> </w:t>
      </w:r>
      <w:r>
        <w:rPr>
          <w:rFonts w:hint="eastAsia" w:cs="Times New Roman"/>
          <w:color w:val="auto"/>
          <w:kern w:val="0"/>
          <w:szCs w:val="21"/>
          <w:lang w:eastAsia="zh-CN"/>
        </w:rPr>
        <w:t>报价人</w:t>
      </w:r>
      <w:r>
        <w:rPr>
          <w:rFonts w:hint="default" w:ascii="Times New Roman" w:hAnsi="Times New Roman" w:cs="Times New Roman"/>
          <w:color w:val="auto"/>
          <w:kern w:val="0"/>
          <w:szCs w:val="21"/>
        </w:rPr>
        <w:t>得分=A+B+C</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3.2.4</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发现</w:t>
      </w:r>
      <w:r>
        <w:rPr>
          <w:rFonts w:hint="eastAsia" w:cs="Times New Roman"/>
          <w:color w:val="auto"/>
          <w:kern w:val="0"/>
          <w:szCs w:val="21"/>
          <w:lang w:eastAsia="zh-CN"/>
        </w:rPr>
        <w:t>报价人</w:t>
      </w:r>
      <w:r>
        <w:rPr>
          <w:rFonts w:hint="default" w:ascii="Times New Roman" w:hAnsi="Times New Roman" w:cs="Times New Roman"/>
          <w:color w:val="auto"/>
          <w:kern w:val="0"/>
          <w:szCs w:val="21"/>
        </w:rPr>
        <w:t>的报价明显低于其他</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报价，或者在设有标底时明显低于标底，使得其</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报价可能低于其个别成本的，应当要求该</w:t>
      </w:r>
      <w:r>
        <w:rPr>
          <w:rFonts w:hint="eastAsia" w:cs="Times New Roman"/>
          <w:color w:val="auto"/>
          <w:kern w:val="0"/>
          <w:szCs w:val="21"/>
          <w:lang w:eastAsia="zh-CN"/>
        </w:rPr>
        <w:t>报价人</w:t>
      </w:r>
      <w:r>
        <w:rPr>
          <w:rFonts w:hint="default" w:ascii="Times New Roman" w:hAnsi="Times New Roman" w:cs="Times New Roman"/>
          <w:color w:val="auto"/>
          <w:kern w:val="0"/>
          <w:szCs w:val="21"/>
        </w:rPr>
        <w:t>做出书面说明并提供相应的证明材料。</w:t>
      </w:r>
      <w:r>
        <w:rPr>
          <w:rFonts w:hint="eastAsia" w:cs="Times New Roman"/>
          <w:color w:val="auto"/>
          <w:kern w:val="0"/>
          <w:szCs w:val="21"/>
          <w:lang w:eastAsia="zh-CN"/>
        </w:rPr>
        <w:t>报价人</w:t>
      </w:r>
      <w:r>
        <w:rPr>
          <w:rFonts w:hint="default" w:ascii="Times New Roman" w:hAnsi="Times New Roman" w:cs="Times New Roman"/>
          <w:color w:val="auto"/>
          <w:kern w:val="0"/>
          <w:szCs w:val="21"/>
        </w:rPr>
        <w:t>不能合理说明或者不能提供相应证明材料的，由</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认定该</w:t>
      </w:r>
      <w:r>
        <w:rPr>
          <w:rFonts w:hint="eastAsia" w:cs="Times New Roman"/>
          <w:color w:val="auto"/>
          <w:kern w:val="0"/>
          <w:szCs w:val="21"/>
          <w:lang w:eastAsia="zh-CN"/>
        </w:rPr>
        <w:t>报价人</w:t>
      </w:r>
      <w:r>
        <w:rPr>
          <w:rFonts w:hint="default" w:ascii="Times New Roman" w:hAnsi="Times New Roman" w:cs="Times New Roman"/>
          <w:color w:val="auto"/>
          <w:kern w:val="0"/>
          <w:szCs w:val="21"/>
        </w:rPr>
        <w:t>以低于成本报价</w:t>
      </w:r>
      <w:r>
        <w:rPr>
          <w:rFonts w:hint="eastAsia" w:cs="Times New Roman"/>
          <w:color w:val="auto"/>
          <w:kern w:val="0"/>
          <w:szCs w:val="21"/>
          <w:lang w:eastAsia="zh-CN"/>
        </w:rPr>
        <w:t>比选</w:t>
      </w:r>
      <w:r>
        <w:rPr>
          <w:rFonts w:hint="default" w:ascii="Times New Roman" w:hAnsi="Times New Roman" w:cs="Times New Roman"/>
          <w:color w:val="auto"/>
          <w:kern w:val="0"/>
          <w:szCs w:val="21"/>
        </w:rPr>
        <w:t>，其比选作否决</w:t>
      </w:r>
      <w:r>
        <w:rPr>
          <w:rFonts w:hint="eastAsia" w:cs="Times New Roman"/>
          <w:color w:val="auto"/>
          <w:kern w:val="0"/>
          <w:szCs w:val="21"/>
          <w:lang w:eastAsia="zh-CN"/>
        </w:rPr>
        <w:t>比选</w:t>
      </w:r>
      <w:r>
        <w:rPr>
          <w:rFonts w:hint="default" w:ascii="Times New Roman" w:hAnsi="Times New Roman" w:cs="Times New Roman"/>
          <w:color w:val="auto"/>
          <w:kern w:val="0"/>
          <w:szCs w:val="21"/>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color w:val="auto"/>
          <w:szCs w:val="21"/>
        </w:rPr>
      </w:pPr>
      <w:bookmarkStart w:id="182" w:name="_Toc237171535"/>
      <w:bookmarkStart w:id="183" w:name="_Toc241483917"/>
      <w:bookmarkStart w:id="184" w:name="_Toc200513205"/>
      <w:bookmarkStart w:id="185" w:name="_Toc300754719"/>
      <w:bookmarkStart w:id="186" w:name="_Toc224103391"/>
      <w:bookmarkStart w:id="187" w:name="_Toc360722806"/>
      <w:r>
        <w:rPr>
          <w:rFonts w:hint="default" w:ascii="Times New Roman" w:hAnsi="Times New Roman" w:cs="Times New Roman"/>
          <w:b/>
          <w:color w:val="auto"/>
          <w:kern w:val="0"/>
          <w:szCs w:val="21"/>
        </w:rPr>
        <w:t>3.3</w:t>
      </w:r>
      <w:r>
        <w:rPr>
          <w:rFonts w:hint="eastAsia" w:ascii="Times New Roman" w:hAnsi="Times New Roman" w:cs="Times New Roman"/>
          <w:b/>
          <w:color w:val="auto"/>
          <w:kern w:val="0"/>
          <w:szCs w:val="21"/>
          <w:lang w:val="en-US" w:eastAsia="zh-CN"/>
        </w:rPr>
        <w:t xml:space="preserve"> </w:t>
      </w:r>
      <w:r>
        <w:rPr>
          <w:rFonts w:hint="eastAsia" w:cs="Times New Roman"/>
          <w:b/>
          <w:color w:val="auto"/>
          <w:kern w:val="0"/>
          <w:szCs w:val="21"/>
          <w:lang w:eastAsia="zh-CN"/>
        </w:rPr>
        <w:t>比选文件</w:t>
      </w:r>
      <w:r>
        <w:rPr>
          <w:rFonts w:hint="default" w:ascii="Times New Roman" w:hAnsi="Times New Roman" w:cs="Times New Roman"/>
          <w:b/>
          <w:color w:val="auto"/>
          <w:kern w:val="0"/>
          <w:szCs w:val="21"/>
        </w:rPr>
        <w:t>的澄清和补正</w:t>
      </w:r>
      <w:bookmarkEnd w:id="182"/>
      <w:bookmarkEnd w:id="183"/>
      <w:bookmarkEnd w:id="184"/>
      <w:bookmarkEnd w:id="185"/>
      <w:bookmarkEnd w:id="186"/>
      <w:bookmarkEnd w:id="187"/>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在</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过程中，</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可以书面形式要求</w:t>
      </w:r>
      <w:r>
        <w:rPr>
          <w:rFonts w:hint="eastAsia" w:cs="Times New Roman"/>
          <w:color w:val="auto"/>
          <w:kern w:val="0"/>
          <w:szCs w:val="21"/>
          <w:lang w:eastAsia="zh-CN"/>
        </w:rPr>
        <w:t>报价人</w:t>
      </w:r>
      <w:r>
        <w:rPr>
          <w:rFonts w:hint="default" w:ascii="Times New Roman" w:hAnsi="Times New Roman" w:cs="Times New Roman"/>
          <w:color w:val="auto"/>
          <w:kern w:val="0"/>
          <w:szCs w:val="21"/>
        </w:rPr>
        <w:t>对所提交</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中不明确的内容进行书面澄清或说明，或者对细微偏差进行补正。</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不接受</w:t>
      </w:r>
      <w:r>
        <w:rPr>
          <w:rFonts w:hint="eastAsia" w:cs="Times New Roman"/>
          <w:color w:val="auto"/>
          <w:kern w:val="0"/>
          <w:szCs w:val="21"/>
          <w:lang w:eastAsia="zh-CN"/>
        </w:rPr>
        <w:t>报价人</w:t>
      </w:r>
      <w:r>
        <w:rPr>
          <w:rFonts w:hint="default" w:ascii="Times New Roman" w:hAnsi="Times New Roman" w:cs="Times New Roman"/>
          <w:color w:val="auto"/>
          <w:kern w:val="0"/>
          <w:szCs w:val="21"/>
        </w:rPr>
        <w:t>主动提出的澄清、说明或补正。</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澄清、说明和补正不得改变比选文件的实质性内容（算术性错误修正的除外）。</w:t>
      </w:r>
      <w:r>
        <w:rPr>
          <w:rFonts w:hint="eastAsia" w:cs="Times New Roman"/>
          <w:color w:val="auto"/>
          <w:kern w:val="0"/>
          <w:szCs w:val="21"/>
          <w:lang w:eastAsia="zh-CN"/>
        </w:rPr>
        <w:t>报价人</w:t>
      </w:r>
      <w:r>
        <w:rPr>
          <w:rFonts w:hint="default" w:ascii="Times New Roman" w:hAnsi="Times New Roman" w:cs="Times New Roman"/>
          <w:color w:val="auto"/>
          <w:kern w:val="0"/>
          <w:szCs w:val="21"/>
        </w:rPr>
        <w:t>的书面澄清、说明和补正属于比选文件的组成部分。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对</w:t>
      </w:r>
      <w:r>
        <w:rPr>
          <w:rFonts w:hint="eastAsia" w:cs="Times New Roman"/>
          <w:color w:val="auto"/>
          <w:kern w:val="0"/>
          <w:szCs w:val="21"/>
          <w:lang w:eastAsia="zh-CN"/>
        </w:rPr>
        <w:t>报价人</w:t>
      </w:r>
      <w:r>
        <w:rPr>
          <w:rFonts w:hint="default" w:ascii="Times New Roman" w:hAnsi="Times New Roman" w:cs="Times New Roman"/>
          <w:color w:val="auto"/>
          <w:kern w:val="0"/>
          <w:szCs w:val="21"/>
        </w:rPr>
        <w:t>提交的澄清、说明或补正有疑问的，可以要求</w:t>
      </w:r>
      <w:r>
        <w:rPr>
          <w:rFonts w:hint="eastAsia" w:cs="Times New Roman"/>
          <w:color w:val="auto"/>
          <w:kern w:val="0"/>
          <w:szCs w:val="21"/>
          <w:lang w:eastAsia="zh-CN"/>
        </w:rPr>
        <w:t>报价人</w:t>
      </w:r>
      <w:r>
        <w:rPr>
          <w:rFonts w:hint="default" w:ascii="Times New Roman" w:hAnsi="Times New Roman" w:cs="Times New Roman"/>
          <w:color w:val="auto"/>
          <w:kern w:val="0"/>
          <w:szCs w:val="21"/>
        </w:rPr>
        <w:t>进一步澄清、说明或补正，直至满足</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的要求。</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188" w:name="_Toc300754720"/>
      <w:bookmarkStart w:id="189" w:name="_Toc224103392"/>
      <w:bookmarkStart w:id="190" w:name="_Toc360722807"/>
      <w:bookmarkStart w:id="191" w:name="_Toc200513206"/>
      <w:bookmarkStart w:id="192" w:name="_Toc237171536"/>
      <w:bookmarkStart w:id="193" w:name="_Toc241483918"/>
      <w:r>
        <w:rPr>
          <w:rFonts w:hint="default" w:ascii="Times New Roman" w:hAnsi="Times New Roman" w:cs="Times New Roman"/>
          <w:b/>
          <w:color w:val="auto"/>
          <w:kern w:val="0"/>
          <w:szCs w:val="21"/>
        </w:rPr>
        <w:t>3.4</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lang w:eastAsia="zh-CN"/>
        </w:rPr>
        <w:t>评审</w:t>
      </w:r>
      <w:r>
        <w:rPr>
          <w:rFonts w:hint="default" w:ascii="Times New Roman" w:hAnsi="Times New Roman" w:cs="Times New Roman"/>
          <w:b/>
          <w:color w:val="auto"/>
          <w:kern w:val="0"/>
          <w:szCs w:val="21"/>
        </w:rPr>
        <w:t>结果</w:t>
      </w:r>
      <w:bookmarkEnd w:id="188"/>
      <w:bookmarkEnd w:id="189"/>
      <w:bookmarkEnd w:id="190"/>
      <w:bookmarkEnd w:id="191"/>
      <w:bookmarkEnd w:id="192"/>
      <w:bookmarkEnd w:id="193"/>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r>
        <w:rPr>
          <w:rFonts w:hint="default" w:ascii="Times New Roman" w:hAnsi="Times New Roman" w:cs="Times New Roman"/>
          <w:color w:val="auto"/>
          <w:spacing w:val="-1"/>
          <w:kern w:val="0"/>
          <w:szCs w:val="21"/>
        </w:rPr>
        <w:t>4</w:t>
      </w:r>
      <w:r>
        <w:rPr>
          <w:rFonts w:hint="default" w:ascii="Times New Roman" w:hAnsi="Times New Roman" w:cs="Times New Roman"/>
          <w:color w:val="auto"/>
          <w:kern w:val="0"/>
          <w:szCs w:val="21"/>
        </w:rPr>
        <w:t>.1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除第二章“</w:t>
      </w:r>
      <w:r>
        <w:rPr>
          <w:rFonts w:hint="eastAsia" w:cs="Times New Roman"/>
          <w:color w:val="auto"/>
          <w:kern w:val="0"/>
          <w:szCs w:val="21"/>
          <w:lang w:eastAsia="zh-CN"/>
        </w:rPr>
        <w:t>报价人</w:t>
      </w:r>
      <w:r>
        <w:rPr>
          <w:rFonts w:hint="default" w:ascii="Times New Roman" w:hAnsi="Times New Roman" w:cs="Times New Roman"/>
          <w:color w:val="auto"/>
          <w:kern w:val="0"/>
          <w:szCs w:val="21"/>
        </w:rPr>
        <w:t>须知”前</w:t>
      </w:r>
      <w:r>
        <w:rPr>
          <w:rFonts w:hint="default" w:ascii="Times New Roman" w:hAnsi="Times New Roman" w:cs="Times New Roman"/>
          <w:color w:val="auto"/>
          <w:spacing w:val="1"/>
          <w:kern w:val="0"/>
          <w:szCs w:val="21"/>
        </w:rPr>
        <w:t>附</w:t>
      </w:r>
      <w:r>
        <w:rPr>
          <w:rFonts w:hint="default" w:ascii="Times New Roman" w:hAnsi="Times New Roman" w:cs="Times New Roman"/>
          <w:color w:val="auto"/>
          <w:kern w:val="0"/>
          <w:szCs w:val="21"/>
        </w:rPr>
        <w:t>表授权直</w:t>
      </w:r>
      <w:r>
        <w:rPr>
          <w:rFonts w:hint="default" w:ascii="Times New Roman" w:hAnsi="Times New Roman" w:cs="Times New Roman"/>
          <w:color w:val="auto"/>
          <w:spacing w:val="1"/>
          <w:kern w:val="0"/>
          <w:szCs w:val="21"/>
        </w:rPr>
        <w:t>接</w:t>
      </w:r>
      <w:r>
        <w:rPr>
          <w:rFonts w:hint="default" w:ascii="Times New Roman" w:hAnsi="Times New Roman" w:cs="Times New Roman"/>
          <w:color w:val="auto"/>
          <w:kern w:val="0"/>
          <w:szCs w:val="21"/>
        </w:rPr>
        <w:t>确定中选人外，</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按照</w:t>
      </w:r>
      <w:r>
        <w:rPr>
          <w:rFonts w:hint="default" w:ascii="Times New Roman" w:hAnsi="Times New Roman" w:cs="Times New Roman"/>
          <w:color w:val="auto"/>
          <w:spacing w:val="1"/>
          <w:kern w:val="0"/>
          <w:szCs w:val="21"/>
        </w:rPr>
        <w:t>得分</w:t>
      </w:r>
      <w:r>
        <w:rPr>
          <w:rFonts w:hint="default" w:ascii="Times New Roman" w:hAnsi="Times New Roman" w:cs="Times New Roman"/>
          <w:color w:val="auto"/>
          <w:kern w:val="0"/>
          <w:szCs w:val="21"/>
        </w:rPr>
        <w:t>由高到低的顺序推荐中选候选人。</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4" w:firstLineChars="200"/>
        <w:textAlignment w:val="auto"/>
        <w:rPr>
          <w:rFonts w:hint="default" w:ascii="Times New Roman" w:hAnsi="Times New Roman" w:cs="Times New Roman"/>
          <w:color w:val="auto"/>
        </w:rPr>
      </w:pPr>
      <w:r>
        <w:rPr>
          <w:rFonts w:hint="default" w:ascii="Times New Roman" w:hAnsi="Times New Roman" w:cs="Times New Roman"/>
          <w:color w:val="auto"/>
          <w:spacing w:val="1"/>
          <w:kern w:val="0"/>
          <w:szCs w:val="21"/>
        </w:rPr>
        <w:t>3</w:t>
      </w:r>
      <w:r>
        <w:rPr>
          <w:rFonts w:hint="default" w:ascii="Times New Roman" w:hAnsi="Times New Roman" w:cs="Times New Roman"/>
          <w:color w:val="auto"/>
          <w:kern w:val="0"/>
          <w:szCs w:val="21"/>
        </w:rPr>
        <w:t>.4.2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完成</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后，应当向比选人提交书面</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报告。</w:t>
      </w:r>
    </w:p>
    <w:p>
      <w:pPr>
        <w:jc w:val="both"/>
        <w:rPr>
          <w:rStyle w:val="82"/>
          <w:rFonts w:hint="eastAsia"/>
          <w:b/>
          <w:bCs/>
          <w:highlight w:val="none"/>
          <w:lang w:val="en-US" w:eastAsia="zh-CN"/>
        </w:rPr>
      </w:pPr>
      <w:r>
        <w:rPr>
          <w:rFonts w:hint="eastAsia" w:ascii="宋体" w:hAnsi="宋体" w:cs="宋体"/>
          <w:color w:val="auto"/>
          <w:szCs w:val="21"/>
          <w:highlight w:val="none"/>
        </w:rPr>
        <w:br w:type="page"/>
      </w:r>
    </w:p>
    <w:p>
      <w:pPr>
        <w:spacing w:line="360" w:lineRule="auto"/>
        <w:ind w:firstLine="883" w:firstLineChars="200"/>
        <w:jc w:val="center"/>
        <w:rPr>
          <w:rFonts w:hint="default"/>
          <w:highlight w:val="none"/>
          <w:lang w:val="en-US" w:eastAsia="zh-CN"/>
        </w:rPr>
      </w:pPr>
      <w:bookmarkStart w:id="194" w:name="_Toc13787"/>
      <w:r>
        <w:rPr>
          <w:rStyle w:val="82"/>
          <w:rFonts w:hint="eastAsia"/>
          <w:b/>
          <w:bCs/>
          <w:highlight w:val="none"/>
          <w:lang w:val="en-US" w:eastAsia="zh-CN"/>
        </w:rPr>
        <w:t>第四章 报价说明</w:t>
      </w:r>
      <w:bookmarkEnd w:id="194"/>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3、“安全生产费”</w:t>
      </w:r>
      <w:r>
        <w:rPr>
          <w:rFonts w:hint="eastAsia" w:ascii="宋体" w:hAnsi="宋体" w:cs="宋体"/>
          <w:b w:val="0"/>
          <w:bCs w:val="0"/>
          <w:sz w:val="21"/>
          <w:szCs w:val="21"/>
          <w:highlight w:val="none"/>
          <w:lang w:val="en-US" w:eastAsia="zh-CN"/>
        </w:rPr>
        <w:t>为不可竞争性费用</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en-US" w:eastAsia="zh-CN"/>
        </w:rPr>
        <w:t>为投标报价的2%，</w:t>
      </w:r>
      <w:r>
        <w:rPr>
          <w:rFonts w:hint="eastAsia" w:ascii="宋体" w:hAnsi="宋体" w:eastAsia="宋体" w:cs="宋体"/>
          <w:b w:val="0"/>
          <w:bCs w:val="0"/>
          <w:sz w:val="21"/>
          <w:szCs w:val="21"/>
          <w:highlight w:val="none"/>
          <w:lang w:val="en-US" w:eastAsia="zh-CN"/>
        </w:rPr>
        <w:t>不得</w:t>
      </w:r>
      <w:r>
        <w:rPr>
          <w:rFonts w:hint="eastAsia" w:ascii="宋体" w:hAnsi="宋体" w:cs="宋体"/>
          <w:b w:val="0"/>
          <w:bCs w:val="0"/>
          <w:sz w:val="21"/>
          <w:szCs w:val="21"/>
          <w:highlight w:val="none"/>
          <w:lang w:val="en-US" w:eastAsia="zh-CN"/>
        </w:rPr>
        <w:t>随意</w:t>
      </w:r>
      <w:r>
        <w:rPr>
          <w:rFonts w:hint="eastAsia" w:ascii="宋体" w:hAnsi="宋体" w:eastAsia="宋体" w:cs="宋体"/>
          <w:b w:val="0"/>
          <w:bCs w:val="0"/>
          <w:sz w:val="21"/>
          <w:szCs w:val="21"/>
          <w:highlight w:val="none"/>
          <w:lang w:val="en-US" w:eastAsia="zh-CN"/>
        </w:rPr>
        <w:t>调整</w:t>
      </w:r>
      <w:r>
        <w:rPr>
          <w:rFonts w:hint="eastAsia" w:ascii="宋体" w:hAnsi="宋体" w:cs="宋体"/>
          <w:b w:val="0"/>
          <w:bCs w:val="0"/>
          <w:sz w:val="21"/>
          <w:szCs w:val="21"/>
          <w:highlight w:val="none"/>
          <w:lang w:val="en-US" w:eastAsia="zh-CN"/>
        </w:rPr>
        <w:t>，据实结算，</w:t>
      </w:r>
      <w:r>
        <w:rPr>
          <w:rFonts w:hint="eastAsia" w:ascii="宋体" w:hAnsi="宋体" w:eastAsia="宋体" w:cs="宋体"/>
          <w:b w:val="0"/>
          <w:bCs w:val="0"/>
          <w:sz w:val="21"/>
          <w:szCs w:val="21"/>
          <w:highlight w:val="none"/>
          <w:lang w:val="en-US" w:eastAsia="zh-CN"/>
        </w:rPr>
        <w:t>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5、报价人应结合施工现场实际和现在的市场情况、自身技术及管理水平、经营状况、机械设备及制定的施工方案的要求自行报价，该报价不低于报价人完成该项目的成本。</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6、工程量清单中所列工程数量是估算的数量，仅作为报价的共同基础，不能作为最终结算与支付的依据。实际支付应按实际完成的工程量*工程量清单的单价来计算支付金额。</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7、工程量清单中所列工程量的变动，丝毫不会降低或影响合同条款的效力，也不免除报价人按规定的标准进行施工和修复缺陷的责任。</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9、工程量清单中的任何内容不得随意删除或涂改，若有误，在有效时间内书面向采购人提出，以“补遗”资料为准。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10、不同单项及单位工程中的分部分项工程量清单中相同项目（项目特征及工作内容相同）的应报价统一，如有差异，按最低的一个报价进行结算；材料设备单价处理办法相同。</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13、工程量清单中的任何内容不得随意删除或涂改，若有误，在有效时间内书面向采购人提出，以“补遗”资料为准。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14、报价中的单价和合价全部以人民币（元）表示。</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16、合同为单价合同，合同期间不予调价。</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17、报价人应严格按照工程量清单进行报价，不得随意修改采购人发布的工程量清单数量、公式及相关内容。</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18、报价人提供的材料设备需在报价清单中明确品牌及型号</w:t>
      </w:r>
      <w:r>
        <w:rPr>
          <w:rFonts w:hint="eastAsia" w:ascii="宋体" w:hAnsi="宋体" w:cs="宋体"/>
          <w:b w:val="0"/>
          <w:bCs w:val="0"/>
          <w:sz w:val="21"/>
          <w:szCs w:val="21"/>
          <w:highlight w:val="none"/>
          <w:lang w:val="en-US" w:eastAsia="zh-CN"/>
        </w:rPr>
        <w:t>，且报价人提供的设备质保期为2年，自本项目交工验收合格之日起计算</w:t>
      </w:r>
      <w:r>
        <w:rPr>
          <w:rFonts w:hint="eastAsia" w:ascii="宋体" w:hAnsi="宋体" w:eastAsia="宋体" w:cs="宋体"/>
          <w:b w:val="0"/>
          <w:bCs w:val="0"/>
          <w:sz w:val="21"/>
          <w:szCs w:val="21"/>
          <w:highlight w:val="none"/>
          <w:lang w:val="en-US" w:eastAsia="zh-CN"/>
        </w:rPr>
        <w:t xml:space="preserve">。 </w:t>
      </w:r>
    </w:p>
    <w:p>
      <w:pPr>
        <w:pStyle w:val="28"/>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95" w:name="_Toc247085872"/>
      <w:bookmarkStart w:id="196" w:name="_Toc246997097"/>
      <w:bookmarkStart w:id="197" w:name="_Toc179632806"/>
      <w:bookmarkStart w:id="198" w:name="_Toc152042575"/>
      <w:bookmarkStart w:id="199" w:name="_Toc246996354"/>
      <w:bookmarkStart w:id="200" w:name="_Toc152045786"/>
      <w:bookmarkStart w:id="201" w:name="_Toc144974855"/>
    </w:p>
    <w:p>
      <w:pPr>
        <w:pStyle w:val="3"/>
        <w:spacing w:before="0" w:after="0" w:line="360" w:lineRule="auto"/>
        <w:jc w:val="center"/>
        <w:rPr>
          <w:rFonts w:hint="eastAsia" w:ascii="宋体" w:hAnsi="宋体" w:cs="宋体"/>
          <w:highlight w:val="none"/>
        </w:rPr>
      </w:pPr>
      <w:bookmarkStart w:id="202" w:name="_Toc246997083"/>
      <w:bookmarkStart w:id="203" w:name="_Toc247085855"/>
      <w:bookmarkStart w:id="204" w:name="_Toc514858705"/>
      <w:bookmarkStart w:id="205" w:name="_Toc246996340"/>
      <w:bookmarkStart w:id="206" w:name="_Toc144974834"/>
      <w:bookmarkStart w:id="207" w:name="_Toc179632789"/>
      <w:bookmarkStart w:id="208" w:name="_Toc152045772"/>
      <w:bookmarkStart w:id="209" w:name="_Toc152042554"/>
      <w:bookmarkStart w:id="210" w:name="_Toc24503"/>
      <w:bookmarkStart w:id="211" w:name="_Toc2000409"/>
      <w:r>
        <w:rPr>
          <w:rFonts w:hint="eastAsia" w:ascii="宋体" w:hAnsi="宋体" w:cs="宋体"/>
          <w:highlight w:val="none"/>
        </w:rPr>
        <w:t>第五章  工程量清单</w:t>
      </w:r>
      <w:bookmarkEnd w:id="202"/>
      <w:bookmarkEnd w:id="203"/>
      <w:bookmarkEnd w:id="204"/>
      <w:bookmarkEnd w:id="205"/>
      <w:bookmarkEnd w:id="206"/>
      <w:bookmarkEnd w:id="207"/>
      <w:bookmarkEnd w:id="208"/>
      <w:bookmarkEnd w:id="209"/>
      <w:bookmarkEnd w:id="210"/>
      <w:bookmarkEnd w:id="211"/>
    </w:p>
    <w:p>
      <w:pPr>
        <w:ind w:firstLine="420"/>
        <w:jc w:val="left"/>
        <w:rPr>
          <w:rFonts w:hint="eastAsia" w:ascii="宋体" w:hAnsi="宋体" w:cs="宋体"/>
          <w:b/>
          <w:highlight w:val="none"/>
        </w:rPr>
      </w:pPr>
      <w:bookmarkStart w:id="212" w:name="_Toc247085866"/>
      <w:bookmarkStart w:id="213" w:name="_Toc152042571"/>
      <w:bookmarkStart w:id="214" w:name="_Toc152045782"/>
      <w:bookmarkStart w:id="215" w:name="_Toc246996350"/>
      <w:bookmarkStart w:id="216" w:name="_Toc179632800"/>
      <w:bookmarkStart w:id="217" w:name="_Toc247096438"/>
      <w:bookmarkStart w:id="218" w:name="_Toc144974851"/>
      <w:bookmarkStart w:id="219" w:name="_Toc246997093"/>
    </w:p>
    <w:p>
      <w:pPr>
        <w:jc w:val="center"/>
        <w:rPr>
          <w:rFonts w:hint="eastAsia" w:ascii="宋体" w:hAnsi="宋体" w:cs="宋体"/>
          <w:b/>
          <w:highlight w:val="none"/>
        </w:rPr>
      </w:pPr>
      <w:r>
        <w:rPr>
          <w:rFonts w:hint="eastAsia" w:ascii="宋体" w:hAnsi="宋体" w:cs="宋体"/>
          <w:b/>
          <w:kern w:val="0"/>
          <w:sz w:val="24"/>
          <w:highlight w:val="none"/>
        </w:rPr>
        <w:t>详见竞争性比选文件附件。</w:t>
      </w: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rPr>
          <w:rFonts w:hint="eastAsia" w:ascii="宋体" w:hAnsi="宋体" w:cs="宋体"/>
          <w:b/>
          <w:highlight w:val="none"/>
        </w:rPr>
      </w:pPr>
    </w:p>
    <w:p>
      <w:pPr>
        <w:jc w:val="center"/>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hint="eastAsia" w:ascii="宋体" w:hAnsi="宋体" w:cs="宋体"/>
          <w:b/>
          <w:highlight w:val="none"/>
        </w:rPr>
      </w:pPr>
    </w:p>
    <w:p>
      <w:pPr>
        <w:jc w:val="center"/>
        <w:rPr>
          <w:rFonts w:hint="eastAsia" w:ascii="宋体" w:hAnsi="宋体" w:cs="宋体"/>
          <w:b/>
          <w:highlight w:val="none"/>
        </w:rPr>
      </w:pPr>
    </w:p>
    <w:p>
      <w:pPr>
        <w:pStyle w:val="3"/>
        <w:spacing w:before="0" w:after="0" w:line="360" w:lineRule="auto"/>
        <w:jc w:val="center"/>
        <w:rPr>
          <w:rFonts w:hint="eastAsia" w:ascii="宋体" w:hAnsi="宋体" w:cs="宋体"/>
          <w:highlight w:val="none"/>
        </w:rPr>
      </w:pPr>
      <w:bookmarkStart w:id="220" w:name="_Toc503951042"/>
      <w:bookmarkStart w:id="221" w:name="_Toc2000410"/>
      <w:bookmarkStart w:id="222" w:name="_Toc447827048"/>
      <w:bookmarkStart w:id="223" w:name="_Toc514858706"/>
      <w:bookmarkStart w:id="224" w:name="_Toc12440"/>
      <w:bookmarkStart w:id="225" w:name="_Toc513633963"/>
      <w:r>
        <w:rPr>
          <w:rFonts w:hint="eastAsia" w:ascii="宋体" w:hAnsi="宋体" w:cs="宋体"/>
          <w:highlight w:val="none"/>
        </w:rPr>
        <w:t>第六章  图  纸</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jc w:val="center"/>
        <w:rPr>
          <w:rFonts w:hint="eastAsia" w:ascii="宋体" w:hAnsi="宋体" w:cs="宋体"/>
          <w:b/>
          <w:highlight w:val="none"/>
        </w:rPr>
      </w:pPr>
      <w:r>
        <w:rPr>
          <w:rFonts w:hint="eastAsia" w:ascii="宋体" w:hAnsi="宋体" w:cs="宋体"/>
          <w:b/>
          <w:kern w:val="0"/>
          <w:sz w:val="24"/>
          <w:highlight w:val="none"/>
        </w:rPr>
        <w:t>详见竞争性比选文件附件。</w:t>
      </w:r>
    </w:p>
    <w:p>
      <w:pPr>
        <w:spacing w:line="400" w:lineRule="exact"/>
        <w:rPr>
          <w:rFonts w:hint="eastAsia" w:ascii="宋体" w:hAnsi="宋体" w:cs="宋体"/>
          <w:highlight w:val="none"/>
        </w:rPr>
      </w:pPr>
      <w:r>
        <w:rPr>
          <w:rFonts w:hint="eastAsia" w:ascii="宋体" w:hAnsi="宋体" w:cs="宋体"/>
          <w:highlight w:val="none"/>
        </w:rPr>
        <w:br w:type="page"/>
      </w:r>
      <w:bookmarkStart w:id="226" w:name="_Toc144974854"/>
      <w:bookmarkStart w:id="227" w:name="_Toc152045785"/>
      <w:bookmarkStart w:id="228" w:name="_Toc152042574"/>
    </w:p>
    <w:p>
      <w:pPr>
        <w:pStyle w:val="3"/>
        <w:spacing w:before="0" w:after="0" w:line="360" w:lineRule="auto"/>
        <w:jc w:val="center"/>
        <w:rPr>
          <w:rFonts w:hint="eastAsia" w:ascii="宋体" w:hAnsi="宋体" w:cs="宋体"/>
          <w:highlight w:val="none"/>
        </w:rPr>
      </w:pPr>
      <w:bookmarkStart w:id="229" w:name="_Toc179632804"/>
      <w:bookmarkStart w:id="230" w:name="_Toc246996353"/>
      <w:bookmarkStart w:id="231" w:name="_Toc246997096"/>
      <w:bookmarkStart w:id="232" w:name="_Toc10887"/>
      <w:bookmarkStart w:id="233" w:name="_Toc247085870"/>
      <w:bookmarkStart w:id="234" w:name="_Toc447827049"/>
      <w:bookmarkStart w:id="235" w:name="_Toc2000411"/>
      <w:bookmarkStart w:id="236" w:name="_Toc514858707"/>
      <w:bookmarkStart w:id="237" w:name="_Toc503951043"/>
      <w:bookmarkStart w:id="238" w:name="_Toc513633964"/>
      <w:r>
        <w:rPr>
          <w:rFonts w:hint="eastAsia" w:ascii="宋体" w:hAnsi="宋体" w:cs="宋体"/>
          <w:highlight w:val="none"/>
        </w:rPr>
        <w:t>第七章  技术标准和工作要求</w:t>
      </w:r>
      <w:bookmarkEnd w:id="226"/>
      <w:bookmarkEnd w:id="227"/>
      <w:bookmarkEnd w:id="228"/>
      <w:bookmarkEnd w:id="229"/>
      <w:bookmarkEnd w:id="230"/>
      <w:bookmarkEnd w:id="231"/>
      <w:bookmarkEnd w:id="232"/>
      <w:bookmarkEnd w:id="233"/>
      <w:bookmarkEnd w:id="234"/>
      <w:bookmarkEnd w:id="235"/>
      <w:bookmarkEnd w:id="236"/>
      <w:bookmarkEnd w:id="237"/>
      <w:bookmarkEnd w:id="238"/>
    </w:p>
    <w:bookmarkEnd w:id="195"/>
    <w:bookmarkEnd w:id="196"/>
    <w:bookmarkEnd w:id="197"/>
    <w:bookmarkEnd w:id="198"/>
    <w:bookmarkEnd w:id="199"/>
    <w:bookmarkEnd w:id="200"/>
    <w:bookmarkEnd w:id="201"/>
    <w:p>
      <w:pPr>
        <w:pStyle w:val="3"/>
        <w:spacing w:before="0" w:after="0" w:line="360" w:lineRule="auto"/>
        <w:jc w:val="center"/>
        <w:rPr>
          <w:rFonts w:hint="default" w:ascii="宋体" w:hAnsi="宋体" w:eastAsia="宋体" w:cs="宋体"/>
          <w:highlight w:val="none"/>
          <w:lang w:val="en-US" w:eastAsia="zh-CN"/>
        </w:rPr>
      </w:pPr>
      <w:bookmarkStart w:id="239" w:name="_Toc514858708"/>
      <w:bookmarkStart w:id="240" w:name="_Toc2000412"/>
      <w:bookmarkStart w:id="241" w:name="_Toc12089"/>
      <w:bookmarkStart w:id="242" w:name="_Toc514430114"/>
      <w:bookmarkStart w:id="243" w:name="_Toc152045787"/>
      <w:bookmarkStart w:id="244" w:name="_Toc179632807"/>
      <w:bookmarkStart w:id="245" w:name="_Toc144974856"/>
      <w:bookmarkStart w:id="246" w:name="_Toc152042576"/>
      <w:bookmarkStart w:id="247" w:name="_Toc507320039"/>
      <w:bookmarkStart w:id="248" w:name="_Toc246996355"/>
      <w:bookmarkStart w:id="249" w:name="_Toc247085873"/>
      <w:bookmarkStart w:id="250" w:name="_Toc246997098"/>
      <w:r>
        <w:rPr>
          <w:rFonts w:hint="eastAsia"/>
          <w:sz w:val="24"/>
          <w:szCs w:val="24"/>
          <w:highlight w:val="none"/>
          <w:lang w:val="en-US" w:eastAsia="zh-CN"/>
        </w:rPr>
        <w:t>见图纸和清单说明</w:t>
      </w:r>
      <w:r>
        <w:rPr>
          <w:rFonts w:hint="eastAsia" w:ascii="宋体" w:hAnsi="宋体" w:cs="宋体"/>
          <w:sz w:val="24"/>
          <w:szCs w:val="24"/>
          <w:highlight w:val="none"/>
          <w:lang w:val="en-US" w:eastAsia="zh-CN"/>
        </w:rPr>
        <w:t>。</w:t>
      </w:r>
      <w:r>
        <w:rPr>
          <w:rFonts w:hint="eastAsia" w:ascii="宋体" w:hAnsi="宋体" w:cs="宋体"/>
          <w:highlight w:val="none"/>
        </w:rPr>
        <w:br w:type="page"/>
      </w:r>
      <w:r>
        <w:rPr>
          <w:rFonts w:hint="eastAsia" w:ascii="宋体" w:hAnsi="宋体" w:cs="宋体"/>
          <w:highlight w:val="none"/>
        </w:rPr>
        <w:t xml:space="preserve">第八章  </w:t>
      </w:r>
      <w:bookmarkEnd w:id="239"/>
      <w:bookmarkEnd w:id="240"/>
      <w:bookmarkEnd w:id="241"/>
      <w:bookmarkEnd w:id="242"/>
      <w:r>
        <w:rPr>
          <w:rFonts w:hint="eastAsia" w:ascii="宋体" w:hAnsi="宋体" w:cs="宋体"/>
          <w:highlight w:val="none"/>
          <w:lang w:val="en-US" w:eastAsia="zh-CN"/>
        </w:rPr>
        <w:t>合同范本</w:t>
      </w:r>
    </w:p>
    <w:p>
      <w:pPr>
        <w:spacing w:line="360" w:lineRule="auto"/>
        <w:ind w:firstLine="482" w:firstLineChars="200"/>
        <w:jc w:val="center"/>
        <w:rPr>
          <w:rFonts w:hint="eastAsia" w:ascii="宋体" w:hAnsi="宋体" w:cs="宋体"/>
          <w:szCs w:val="21"/>
          <w:highlight w:val="none"/>
        </w:rPr>
      </w:pPr>
      <w:r>
        <w:rPr>
          <w:rFonts w:hint="eastAsia" w:ascii="宋体" w:hAnsi="宋体" w:cs="宋体"/>
          <w:b/>
          <w:kern w:val="0"/>
          <w:sz w:val="24"/>
          <w:highlight w:val="none"/>
        </w:rPr>
        <w:t>详见竞争性比选文件附件。</w:t>
      </w: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51" w:name="_Toc513633965"/>
    </w:p>
    <w:p>
      <w:pPr>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252" w:name="_Toc24853"/>
      <w:bookmarkStart w:id="253" w:name="_Toc514858709"/>
      <w:bookmarkStart w:id="254" w:name="_Toc2000413"/>
      <w:r>
        <w:rPr>
          <w:rFonts w:hint="eastAsia" w:ascii="宋体" w:hAnsi="宋体" w:cs="宋体"/>
          <w:highlight w:val="none"/>
        </w:rPr>
        <w:t>第九章  竞争性比选响应文件格式</w:t>
      </w:r>
      <w:bookmarkEnd w:id="251"/>
      <w:bookmarkEnd w:id="252"/>
      <w:bookmarkEnd w:id="253"/>
      <w:bookmarkEnd w:id="254"/>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55" w:name="_Toc503951046"/>
      <w:bookmarkStart w:id="256" w:name="_Toc513633967"/>
      <w:bookmarkStart w:id="257" w:name="_Toc514858710"/>
      <w:bookmarkStart w:id="258" w:name="_Toc503971829"/>
      <w:bookmarkStart w:id="259" w:name="_Toc513646738"/>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55"/>
      <w:bookmarkEnd w:id="256"/>
      <w:bookmarkEnd w:id="257"/>
      <w:bookmarkEnd w:id="258"/>
      <w:bookmarkEnd w:id="259"/>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260" w:name="_Toc5459"/>
      <w:bookmarkStart w:id="261" w:name="_Toc11329273"/>
      <w:bookmarkStart w:id="262" w:name="_Toc1368"/>
      <w:bookmarkStart w:id="263" w:name="_Toc28780"/>
      <w:r>
        <w:rPr>
          <w:rFonts w:hint="eastAsia" w:ascii="宋体" w:hAnsi="宋体" w:eastAsia="宋体" w:cs="宋体"/>
          <w:highlight w:val="none"/>
        </w:rPr>
        <w:t>目    录</w:t>
      </w:r>
      <w:bookmarkEnd w:id="243"/>
      <w:bookmarkEnd w:id="244"/>
      <w:bookmarkEnd w:id="245"/>
      <w:bookmarkEnd w:id="246"/>
      <w:bookmarkEnd w:id="247"/>
      <w:bookmarkEnd w:id="248"/>
      <w:bookmarkEnd w:id="249"/>
      <w:bookmarkEnd w:id="250"/>
      <w:bookmarkEnd w:id="260"/>
      <w:bookmarkEnd w:id="261"/>
      <w:bookmarkEnd w:id="262"/>
      <w:bookmarkEnd w:id="263"/>
    </w:p>
    <w:p>
      <w:pPr>
        <w:numPr>
          <w:ilvl w:val="0"/>
          <w:numId w:val="6"/>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6"/>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、报价人基本信息及其他材料</w:t>
      </w:r>
    </w:p>
    <w:p>
      <w:p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五、承诺书</w:t>
      </w:r>
    </w:p>
    <w:p>
      <w:pPr>
        <w:spacing w:line="400" w:lineRule="exact"/>
        <w:rPr>
          <w:rFonts w:hint="default" w:ascii="宋体" w:hAnsi="宋体" w:cs="宋体"/>
          <w:highlight w:val="none"/>
          <w:lang w:val="en-US" w:eastAsia="zh-CN"/>
        </w:rPr>
      </w:pPr>
      <w:r>
        <w:rPr>
          <w:rFonts w:hint="eastAsia" w:ascii="宋体" w:hAnsi="宋体" w:cs="宋体"/>
          <w:highlight w:val="none"/>
          <w:lang w:val="en-US" w:eastAsia="zh-CN"/>
        </w:rPr>
        <w:t>六、其他</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264" w:name="_Toc8870"/>
      <w:bookmarkStart w:id="265" w:name="_Toc11329274"/>
      <w:bookmarkStart w:id="266" w:name="_Toc29547"/>
      <w:bookmarkStart w:id="267" w:name="_Toc25874"/>
      <w:bookmarkStart w:id="268" w:name="_Toc15863"/>
      <w:bookmarkStart w:id="269" w:name="_Toc503951048"/>
      <w:bookmarkStart w:id="270" w:name="_Toc513633969"/>
      <w:bookmarkStart w:id="271" w:name="_Toc447827053"/>
      <w:r>
        <w:rPr>
          <w:rFonts w:hint="eastAsia" w:ascii="宋体" w:hAnsi="宋体" w:eastAsia="宋体" w:cs="宋体"/>
          <w:sz w:val="28"/>
          <w:highlight w:val="none"/>
        </w:rPr>
        <w:t>一、</w:t>
      </w:r>
      <w:bookmarkEnd w:id="264"/>
      <w:bookmarkEnd w:id="265"/>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66"/>
      <w:bookmarkEnd w:id="267"/>
      <w:bookmarkEnd w:id="268"/>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000000"/>
          <w:sz w:val="24"/>
          <w:highlight w:val="none"/>
          <w:u w:val="single"/>
          <w:lang w:val="en-US" w:eastAsia="zh-CN"/>
        </w:rPr>
        <w:t>渝湘复线巴水段白云山隧道南川区域高压外电接入专项分包采购</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项目实施</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r>
        <w:rPr>
          <w:rFonts w:hint="eastAsia" w:asciiTheme="minorEastAsia" w:hAnsiTheme="minorEastAsia" w:eastAsiaTheme="minorEastAsia" w:cstheme="minorEastAsia"/>
          <w:color w:val="000000"/>
          <w:sz w:val="21"/>
          <w:szCs w:val="21"/>
          <w:highlight w:val="none"/>
          <w:lang w:eastAsia="zh-CN"/>
        </w:rPr>
        <w:t>、竞争比选</w:t>
      </w:r>
      <w:r>
        <w:rPr>
          <w:rFonts w:hint="eastAsia" w:asciiTheme="minorEastAsia" w:hAnsiTheme="minorEastAsia" w:eastAsiaTheme="minorEastAsia" w:cstheme="minorEastAsia"/>
          <w:color w:val="000000"/>
          <w:sz w:val="21"/>
          <w:szCs w:val="21"/>
          <w:highlight w:val="none"/>
        </w:rPr>
        <w:t>响应单位将按</w:t>
      </w:r>
      <w:r>
        <w:rPr>
          <w:rFonts w:hint="eastAsia" w:asciiTheme="minorEastAsia" w:hAnsiTheme="minorEastAsia" w:eastAsiaTheme="minorEastAsia" w:cstheme="minorEastAsia"/>
          <w:color w:val="000000"/>
          <w:sz w:val="21"/>
          <w:szCs w:val="21"/>
          <w:highlight w:val="none"/>
          <w:lang w:eastAsia="zh-CN"/>
        </w:rPr>
        <w:t>竞争比选</w:t>
      </w:r>
      <w:r>
        <w:rPr>
          <w:rFonts w:hint="eastAsia" w:asciiTheme="minorEastAsia" w:hAnsiTheme="minorEastAsia" w:eastAsiaTheme="minorEastAsia" w:cstheme="minorEastAsia"/>
          <w:color w:val="000000"/>
          <w:sz w:val="21"/>
          <w:szCs w:val="21"/>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r>
        <w:rPr>
          <w:rFonts w:hint="eastAsia" w:asciiTheme="minorEastAsia" w:hAnsiTheme="minorEastAsia" w:eastAsiaTheme="minorEastAsia" w:cstheme="minorEastAsia"/>
          <w:color w:val="000000"/>
          <w:sz w:val="21"/>
          <w:szCs w:val="21"/>
          <w:highlight w:val="none"/>
          <w:lang w:eastAsia="zh-CN"/>
        </w:rPr>
        <w:t>、竞争比选</w:t>
      </w:r>
      <w:r>
        <w:rPr>
          <w:rFonts w:hint="eastAsia" w:asciiTheme="minorEastAsia" w:hAnsiTheme="minorEastAsia" w:eastAsiaTheme="minorEastAsia" w:cstheme="minorEastAsia"/>
          <w:color w:val="000000"/>
          <w:sz w:val="21"/>
          <w:szCs w:val="21"/>
          <w:highlight w:val="none"/>
        </w:rPr>
        <w:t>响应单位已详细审查全部</w:t>
      </w:r>
      <w:r>
        <w:rPr>
          <w:rFonts w:hint="eastAsia" w:asciiTheme="minorEastAsia" w:hAnsiTheme="minorEastAsia" w:eastAsiaTheme="minorEastAsia" w:cstheme="minorEastAsia"/>
          <w:color w:val="000000"/>
          <w:sz w:val="21"/>
          <w:szCs w:val="21"/>
          <w:highlight w:val="none"/>
          <w:lang w:eastAsia="zh-CN"/>
        </w:rPr>
        <w:t>竞争比选</w:t>
      </w:r>
      <w:r>
        <w:rPr>
          <w:rFonts w:hint="eastAsia" w:asciiTheme="minorEastAsia" w:hAnsiTheme="minorEastAsia" w:eastAsiaTheme="minorEastAsia" w:cstheme="minorEastAsia"/>
          <w:color w:val="000000"/>
          <w:sz w:val="21"/>
          <w:szCs w:val="21"/>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r>
        <w:rPr>
          <w:rFonts w:hint="eastAsia" w:asciiTheme="minorEastAsia" w:hAnsiTheme="minorEastAsia" w:eastAsiaTheme="minorEastAsia" w:cstheme="minorEastAsia"/>
          <w:color w:val="000000"/>
          <w:sz w:val="21"/>
          <w:szCs w:val="21"/>
          <w:highlight w:val="none"/>
          <w:lang w:eastAsia="zh-CN"/>
        </w:rPr>
        <w:t>竞争比选</w:t>
      </w:r>
      <w:r>
        <w:rPr>
          <w:rFonts w:hint="eastAsia" w:asciiTheme="minorEastAsia" w:hAnsiTheme="minorEastAsia" w:eastAsiaTheme="minorEastAsia" w:cstheme="minorEastAsia"/>
          <w:color w:val="000000"/>
          <w:sz w:val="21"/>
          <w:szCs w:val="21"/>
          <w:highlight w:val="none"/>
        </w:rPr>
        <w:t>响应单位同意提供</w:t>
      </w:r>
      <w:r>
        <w:rPr>
          <w:rFonts w:hint="eastAsia" w:asciiTheme="minorEastAsia" w:hAnsiTheme="minorEastAsia" w:eastAsiaTheme="minorEastAsia" w:cstheme="minorEastAsia"/>
          <w:color w:val="000000"/>
          <w:sz w:val="21"/>
          <w:szCs w:val="21"/>
          <w:highlight w:val="none"/>
          <w:lang w:val="en-US" w:eastAsia="zh-CN"/>
        </w:rPr>
        <w:t>采购</w:t>
      </w:r>
      <w:r>
        <w:rPr>
          <w:rFonts w:hint="eastAsia" w:asciiTheme="minorEastAsia" w:hAnsiTheme="minorEastAsia" w:eastAsiaTheme="minorEastAsia" w:cstheme="minorEastAsia"/>
          <w:color w:val="000000"/>
          <w:sz w:val="21"/>
          <w:szCs w:val="21"/>
          <w:highlight w:val="none"/>
        </w:rPr>
        <w:t>人可能要求的与其</w:t>
      </w:r>
      <w:r>
        <w:rPr>
          <w:rFonts w:hint="eastAsia" w:asciiTheme="minorEastAsia" w:hAnsiTheme="minorEastAsia" w:eastAsiaTheme="minorEastAsia" w:cstheme="minorEastAsia"/>
          <w:color w:val="000000"/>
          <w:sz w:val="21"/>
          <w:szCs w:val="21"/>
          <w:highlight w:val="none"/>
          <w:lang w:eastAsia="zh-CN"/>
        </w:rPr>
        <w:t>竞争比选</w:t>
      </w:r>
      <w:r>
        <w:rPr>
          <w:rFonts w:hint="eastAsia" w:asciiTheme="minorEastAsia" w:hAnsiTheme="minorEastAsia" w:eastAsiaTheme="minorEastAsia" w:cstheme="minorEastAsia"/>
          <w:color w:val="000000"/>
          <w:sz w:val="21"/>
          <w:szCs w:val="21"/>
          <w:highlight w:val="none"/>
        </w:rPr>
        <w:t>响应文件有关的一切数据或资料，完全理解</w:t>
      </w:r>
      <w:r>
        <w:rPr>
          <w:rFonts w:hint="eastAsia" w:asciiTheme="minorEastAsia" w:hAnsiTheme="minorEastAsia" w:eastAsiaTheme="minorEastAsia" w:cstheme="minorEastAsia"/>
          <w:color w:val="000000"/>
          <w:sz w:val="21"/>
          <w:szCs w:val="21"/>
          <w:highlight w:val="none"/>
          <w:lang w:val="en-US" w:eastAsia="zh-CN"/>
        </w:rPr>
        <w:t>采购</w:t>
      </w:r>
      <w:r>
        <w:rPr>
          <w:rFonts w:hint="eastAsia" w:asciiTheme="minorEastAsia" w:hAnsiTheme="minorEastAsia" w:eastAsiaTheme="minorEastAsia" w:cstheme="minorEastAsia"/>
          <w:color w:val="000000"/>
          <w:sz w:val="21"/>
          <w:szCs w:val="21"/>
          <w:highlight w:val="none"/>
        </w:rPr>
        <w:t>人不一定要接受最低报价的</w:t>
      </w:r>
      <w:r>
        <w:rPr>
          <w:rFonts w:hint="eastAsia" w:asciiTheme="minorEastAsia" w:hAnsiTheme="minorEastAsia" w:eastAsiaTheme="minorEastAsia" w:cstheme="minorEastAsia"/>
          <w:color w:val="000000"/>
          <w:sz w:val="21"/>
          <w:szCs w:val="21"/>
          <w:highlight w:val="none"/>
          <w:lang w:eastAsia="zh-CN"/>
        </w:rPr>
        <w:t>竞争比选</w:t>
      </w:r>
      <w:r>
        <w:rPr>
          <w:rFonts w:hint="eastAsia" w:asciiTheme="minorEastAsia" w:hAnsiTheme="minorEastAsia" w:eastAsiaTheme="minorEastAsia" w:cstheme="minorEastAsia"/>
          <w:color w:val="000000"/>
          <w:sz w:val="21"/>
          <w:szCs w:val="21"/>
          <w:highlight w:val="none"/>
        </w:rPr>
        <w:t>响应或收到的任何</w:t>
      </w:r>
      <w:r>
        <w:rPr>
          <w:rFonts w:hint="eastAsia" w:asciiTheme="minorEastAsia" w:hAnsiTheme="minorEastAsia" w:eastAsiaTheme="minorEastAsia" w:cstheme="minorEastAsia"/>
          <w:color w:val="000000"/>
          <w:sz w:val="21"/>
          <w:szCs w:val="21"/>
          <w:highlight w:val="none"/>
          <w:lang w:val="en-US" w:eastAsia="zh-CN"/>
        </w:rPr>
        <w:t>报价</w:t>
      </w:r>
      <w:r>
        <w:rPr>
          <w:rFonts w:hint="eastAsia" w:asciiTheme="minorEastAsia" w:hAnsiTheme="minorEastAsia" w:eastAsiaTheme="minorEastAsia" w:cstheme="minorEastAsia"/>
          <w:color w:val="000000"/>
          <w:sz w:val="21"/>
          <w:szCs w:val="21"/>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color w:val="000000"/>
          <w:sz w:val="21"/>
          <w:szCs w:val="21"/>
          <w:highlight w:val="none"/>
        </w:rPr>
        <w:t>4、与本</w:t>
      </w:r>
      <w:r>
        <w:rPr>
          <w:rFonts w:hint="eastAsia" w:asciiTheme="minorEastAsia" w:hAnsiTheme="minorEastAsia" w:eastAsiaTheme="minorEastAsia" w:cstheme="minorEastAsia"/>
          <w:color w:val="000000"/>
          <w:sz w:val="21"/>
          <w:szCs w:val="21"/>
          <w:highlight w:val="none"/>
          <w:lang w:eastAsia="zh-CN"/>
        </w:rPr>
        <w:t>竞争比选</w:t>
      </w:r>
      <w:r>
        <w:rPr>
          <w:rFonts w:hint="eastAsia" w:asciiTheme="minorEastAsia" w:hAnsiTheme="minorEastAsia" w:eastAsiaTheme="minorEastAsia" w:cstheme="minorEastAsia"/>
          <w:color w:val="000000"/>
          <w:sz w:val="21"/>
          <w:szCs w:val="21"/>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color w:val="000000"/>
          <w:sz w:val="21"/>
          <w:szCs w:val="21"/>
          <w:highlight w:val="none"/>
        </w:rPr>
        <w:t>地址：</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 xml:space="preserve">   邮编：</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b/>
          <w:color w:val="000000"/>
          <w:sz w:val="21"/>
          <w:szCs w:val="21"/>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rPr>
        <w:t>电话：</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 xml:space="preserve">         传真：</w:t>
      </w:r>
      <w:r>
        <w:rPr>
          <w:rFonts w:hint="eastAsia" w:asciiTheme="minorEastAsia" w:hAnsiTheme="minorEastAsia" w:eastAsiaTheme="minorEastAsia" w:cstheme="minorEastAsia"/>
          <w:color w:val="000000"/>
          <w:sz w:val="21"/>
          <w:szCs w:val="21"/>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竞争比选</w:t>
      </w:r>
      <w:r>
        <w:rPr>
          <w:rFonts w:hint="eastAsia" w:asciiTheme="minorEastAsia" w:hAnsiTheme="minorEastAsia" w:eastAsiaTheme="minorEastAsia" w:cstheme="minorEastAsia"/>
          <w:color w:val="auto"/>
          <w:sz w:val="21"/>
          <w:szCs w:val="21"/>
          <w:highlight w:val="none"/>
        </w:rPr>
        <w:t>响应单位</w:t>
      </w:r>
      <w:r>
        <w:rPr>
          <w:rFonts w:hint="eastAsia" w:asciiTheme="minorEastAsia" w:hAnsiTheme="minorEastAsia" w:eastAsiaTheme="minorEastAsia" w:cstheme="minorEastAsia"/>
          <w:color w:val="auto"/>
          <w:sz w:val="21"/>
          <w:szCs w:val="21"/>
          <w:highlight w:val="none"/>
          <w:lang w:eastAsia="zh-CN"/>
        </w:rPr>
        <w:t>法定代表人或授权代表人（签字）：</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竞争比选</w:t>
      </w:r>
      <w:r>
        <w:rPr>
          <w:rFonts w:hint="eastAsia" w:asciiTheme="minorEastAsia" w:hAnsiTheme="minorEastAsia" w:eastAsiaTheme="minorEastAsia" w:cstheme="minorEastAsia"/>
          <w:color w:val="auto"/>
          <w:sz w:val="21"/>
          <w:szCs w:val="21"/>
          <w:highlight w:val="none"/>
        </w:rPr>
        <w:t>响应单位</w:t>
      </w:r>
      <w:r>
        <w:rPr>
          <w:rFonts w:hint="eastAsia" w:asciiTheme="minorEastAsia" w:hAnsiTheme="minorEastAsia" w:eastAsiaTheme="minorEastAsia" w:cstheme="minorEastAsia"/>
          <w:color w:val="auto"/>
          <w:sz w:val="21"/>
          <w:szCs w:val="21"/>
          <w:highlight w:val="none"/>
          <w:lang w:eastAsia="zh-CN"/>
        </w:rPr>
        <w:t>法定代表人或授权代表人</w:t>
      </w: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auto"/>
          <w:sz w:val="21"/>
          <w:szCs w:val="21"/>
          <w:highlight w:val="none"/>
          <w:lang w:eastAsia="zh-CN"/>
        </w:rPr>
        <w:t>竞争比选</w:t>
      </w:r>
      <w:r>
        <w:rPr>
          <w:rFonts w:hint="eastAsia" w:asciiTheme="minorEastAsia" w:hAnsiTheme="minorEastAsia" w:eastAsiaTheme="minorEastAsia" w:cstheme="minorEastAsia"/>
          <w:color w:val="auto"/>
          <w:sz w:val="21"/>
          <w:szCs w:val="21"/>
          <w:highlight w:val="none"/>
        </w:rPr>
        <w:t>响应单位</w:t>
      </w:r>
      <w:r>
        <w:rPr>
          <w:rFonts w:hint="eastAsia" w:asciiTheme="minorEastAsia" w:hAnsiTheme="minorEastAsia" w:eastAsiaTheme="minorEastAsia" w:cstheme="minorEastAsia"/>
          <w:color w:val="auto"/>
          <w:sz w:val="21"/>
          <w:szCs w:val="21"/>
          <w:highlight w:val="none"/>
          <w:lang w:eastAsia="zh-CN"/>
        </w:rPr>
        <w:t>名称</w:t>
      </w:r>
      <w:r>
        <w:rPr>
          <w:rFonts w:hint="eastAsia" w:asciiTheme="minorEastAsia" w:hAnsiTheme="minorEastAsia" w:eastAsiaTheme="minorEastAsia" w:cstheme="minorEastAsia"/>
          <w:color w:val="auto"/>
          <w:sz w:val="21"/>
          <w:szCs w:val="21"/>
          <w:highlight w:val="none"/>
        </w:rPr>
        <w:t>（加盖公章）：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日期：</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年</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月</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 xml:space="preserve">日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4"/>
        <w:jc w:val="center"/>
        <w:rPr>
          <w:rFonts w:hint="eastAsia" w:ascii="宋体" w:hAnsi="宋体" w:eastAsia="宋体" w:cs="宋体"/>
          <w:sz w:val="28"/>
          <w:szCs w:val="28"/>
          <w:highlight w:val="none"/>
        </w:rPr>
      </w:pPr>
      <w:bookmarkStart w:id="272" w:name="_Toc27815"/>
      <w:bookmarkStart w:id="273" w:name="_Toc491883232"/>
      <w:r>
        <w:rPr>
          <w:rFonts w:hint="eastAsia" w:ascii="宋体" w:hAnsi="宋体" w:eastAsia="宋体" w:cs="宋体"/>
          <w:sz w:val="28"/>
          <w:szCs w:val="28"/>
          <w:highlight w:val="none"/>
        </w:rPr>
        <w:t>二、法定代表人身份证明或法定代表人授权委托书</w:t>
      </w:r>
      <w:bookmarkEnd w:id="272"/>
    </w:p>
    <w:p>
      <w:pPr>
        <w:pStyle w:val="4"/>
        <w:jc w:val="center"/>
        <w:rPr>
          <w:rFonts w:hint="eastAsia" w:ascii="宋体" w:hAnsi="宋体" w:eastAsia="宋体" w:cs="宋体"/>
          <w:sz w:val="24"/>
          <w:szCs w:val="24"/>
          <w:highlight w:val="none"/>
        </w:rPr>
      </w:pPr>
      <w:bookmarkStart w:id="274" w:name="_Toc14141"/>
      <w:r>
        <w:rPr>
          <w:rFonts w:hint="eastAsia" w:ascii="宋体" w:hAnsi="宋体" w:eastAsia="宋体" w:cs="宋体"/>
          <w:sz w:val="24"/>
          <w:szCs w:val="24"/>
          <w:highlight w:val="none"/>
        </w:rPr>
        <w:t>（一）法定代表人身份证明</w:t>
      </w:r>
      <w:bookmarkEnd w:id="273"/>
      <w:bookmarkEnd w:id="274"/>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75" w:name="_Toc369531698"/>
      <w:bookmarkStart w:id="276" w:name="_Toc27897"/>
      <w:bookmarkStart w:id="277" w:name="_Toc352691662"/>
      <w:r>
        <w:rPr>
          <w:rFonts w:ascii="宋体" w:hAnsi="宋体"/>
          <w:highlight w:val="none"/>
          <w:u w:val="single"/>
        </w:rPr>
        <w:t xml:space="preserve">        </w:t>
      </w:r>
      <w:r>
        <w:rPr>
          <w:rFonts w:ascii="宋体" w:hAnsi="宋体"/>
          <w:highlight w:val="none"/>
        </w:rPr>
        <w:t>年</w:t>
      </w:r>
      <w:bookmarkEnd w:id="275"/>
      <w:bookmarkEnd w:id="276"/>
      <w:bookmarkEnd w:id="277"/>
      <w:r>
        <w:rPr>
          <w:rFonts w:ascii="宋体" w:hAnsi="宋体"/>
          <w:highlight w:val="none"/>
        </w:rPr>
        <w:t>龄</w:t>
      </w:r>
      <w:bookmarkStart w:id="278" w:name="_Toc144974858"/>
      <w:bookmarkStart w:id="279" w:name="_Toc247527829"/>
      <w:bookmarkStart w:id="280" w:name="_Toc247514248"/>
      <w:bookmarkStart w:id="281" w:name="_Toc152042578"/>
      <w:bookmarkStart w:id="282" w:name="_Toc352691663"/>
      <w:bookmarkStart w:id="283" w:name="_Toc369531699"/>
      <w:bookmarkStart w:id="284" w:name="_Toc361508754"/>
      <w:bookmarkStart w:id="285" w:name="_Toc15573"/>
      <w:bookmarkStart w:id="286" w:name="_Toc152045789"/>
      <w:bookmarkStart w:id="287" w:name="_Toc300835211"/>
      <w:bookmarkStart w:id="288" w:name="_Toc384308377"/>
      <w:r>
        <w:rPr>
          <w:rFonts w:ascii="宋体" w:hAnsi="宋体"/>
          <w:highlight w:val="none"/>
        </w:rPr>
        <w:t>：</w:t>
      </w:r>
      <w:bookmarkEnd w:id="278"/>
      <w:bookmarkEnd w:id="279"/>
      <w:bookmarkEnd w:id="280"/>
      <w:bookmarkEnd w:id="281"/>
      <w:bookmarkEnd w:id="282"/>
      <w:bookmarkEnd w:id="283"/>
      <w:bookmarkEnd w:id="284"/>
      <w:bookmarkEnd w:id="285"/>
      <w:bookmarkEnd w:id="286"/>
      <w:bookmarkEnd w:id="287"/>
      <w:bookmarkEnd w:id="288"/>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89" w:name="_Toc491883233"/>
      <w:bookmarkStart w:id="290" w:name="_Toc58"/>
      <w:r>
        <w:rPr>
          <w:rFonts w:hint="eastAsia" w:ascii="宋体" w:hAnsi="宋体" w:eastAsia="宋体" w:cs="宋体"/>
          <w:sz w:val="24"/>
          <w:szCs w:val="24"/>
          <w:highlight w:val="none"/>
        </w:rPr>
        <w:t>（二）</w:t>
      </w:r>
      <w:bookmarkEnd w:id="289"/>
      <w:r>
        <w:rPr>
          <w:rFonts w:hint="eastAsia" w:ascii="宋体" w:hAnsi="宋体" w:eastAsia="宋体" w:cs="宋体"/>
          <w:sz w:val="24"/>
          <w:szCs w:val="24"/>
          <w:highlight w:val="none"/>
        </w:rPr>
        <w:t>法定代表人授权委托书</w:t>
      </w:r>
      <w:bookmarkEnd w:id="290"/>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8"/>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91"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69"/>
      <w:bookmarkEnd w:id="270"/>
      <w:bookmarkEnd w:id="271"/>
      <w:bookmarkEnd w:id="291"/>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渝湘复线巴水段白云山隧道南川区域高压外电接入专项分包采购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2"/>
        <w:rPr>
          <w:rFonts w:hint="eastAsia" w:ascii="宋体" w:hAnsi="宋体" w:cs="宋体"/>
          <w:kern w:val="0"/>
          <w:szCs w:val="21"/>
          <w:highlight w:val="none"/>
        </w:rPr>
      </w:pPr>
    </w:p>
    <w:p>
      <w:pPr>
        <w:rPr>
          <w:rFonts w:hint="eastAsia" w:ascii="宋体" w:hAnsi="宋体" w:cs="宋体"/>
          <w:kern w:val="0"/>
          <w:szCs w:val="21"/>
          <w:highlight w:val="none"/>
        </w:rPr>
      </w:pPr>
    </w:p>
    <w:p>
      <w:pPr>
        <w:pStyle w:val="2"/>
        <w:rPr>
          <w:rFonts w:hint="eastAsia" w:ascii="宋体" w:hAnsi="宋体" w:cs="宋体"/>
          <w:kern w:val="0"/>
          <w:szCs w:val="21"/>
          <w:highlight w:val="none"/>
        </w:rPr>
      </w:pPr>
    </w:p>
    <w:p>
      <w:pPr>
        <w:rPr>
          <w:rFonts w:hint="eastAsia" w:ascii="宋体" w:hAnsi="宋体" w:cs="宋体"/>
          <w:kern w:val="0"/>
          <w:szCs w:val="21"/>
          <w:highlight w:val="none"/>
        </w:rPr>
      </w:pPr>
    </w:p>
    <w:p>
      <w:pPr>
        <w:pStyle w:val="2"/>
        <w:rPr>
          <w:rFonts w:hint="eastAsia" w:ascii="宋体" w:hAnsi="宋体" w:cs="宋体"/>
          <w:kern w:val="0"/>
          <w:szCs w:val="21"/>
          <w:highlight w:val="none"/>
        </w:rPr>
      </w:pPr>
    </w:p>
    <w:p>
      <w:pPr>
        <w:rPr>
          <w:rFonts w:hint="eastAsia" w:ascii="宋体" w:hAnsi="宋体" w:cs="宋体"/>
          <w:kern w:val="0"/>
          <w:szCs w:val="21"/>
          <w:highlight w:val="none"/>
        </w:rPr>
      </w:pPr>
    </w:p>
    <w:p>
      <w:pPr>
        <w:pStyle w:val="2"/>
        <w:rPr>
          <w:rFonts w:hint="eastAsia" w:ascii="宋体" w:hAnsi="宋体" w:cs="宋体"/>
          <w:kern w:val="0"/>
          <w:szCs w:val="21"/>
          <w:highlight w:val="none"/>
        </w:rPr>
      </w:pPr>
    </w:p>
    <w:p>
      <w:pPr>
        <w:rPr>
          <w:rFonts w:hint="eastAsia" w:ascii="宋体" w:hAnsi="宋体" w:cs="宋体"/>
          <w:kern w:val="0"/>
          <w:szCs w:val="21"/>
          <w:highlight w:val="none"/>
        </w:rPr>
      </w:pPr>
    </w:p>
    <w:p>
      <w:pPr>
        <w:pStyle w:val="2"/>
        <w:rPr>
          <w:rFonts w:hint="eastAsia" w:ascii="宋体" w:hAnsi="宋体" w:cs="宋体"/>
          <w:kern w:val="0"/>
          <w:szCs w:val="21"/>
          <w:highlight w:val="none"/>
        </w:rPr>
      </w:pPr>
    </w:p>
    <w:p>
      <w:pPr>
        <w:rPr>
          <w:rFonts w:hint="eastAsia" w:ascii="宋体" w:hAnsi="宋体" w:cs="宋体"/>
          <w:kern w:val="0"/>
          <w:szCs w:val="21"/>
          <w:highlight w:val="none"/>
        </w:rPr>
      </w:pPr>
    </w:p>
    <w:p>
      <w:pPr>
        <w:pStyle w:val="2"/>
        <w:rPr>
          <w:rFonts w:hint="eastAsia" w:ascii="宋体" w:hAnsi="宋体" w:cs="宋体"/>
          <w:kern w:val="0"/>
          <w:szCs w:val="21"/>
          <w:highlight w:val="none"/>
        </w:rPr>
      </w:pPr>
    </w:p>
    <w:p>
      <w:pPr>
        <w:rPr>
          <w:rFonts w:hint="eastAsia" w:ascii="宋体" w:hAnsi="宋体" w:cs="宋体"/>
          <w:kern w:val="0"/>
          <w:szCs w:val="21"/>
          <w:highlight w:val="none"/>
        </w:rPr>
      </w:pPr>
    </w:p>
    <w:p>
      <w:pPr>
        <w:pStyle w:val="2"/>
        <w:rPr>
          <w:rFonts w:hint="eastAsia" w:ascii="宋体" w:hAnsi="宋体" w:cs="宋体"/>
          <w:kern w:val="0"/>
          <w:szCs w:val="21"/>
          <w:highlight w:val="none"/>
        </w:rPr>
      </w:pPr>
    </w:p>
    <w:p>
      <w:pPr>
        <w:rPr>
          <w:rFonts w:hint="eastAsia" w:ascii="宋体" w:hAnsi="宋体" w:cs="宋体"/>
          <w:kern w:val="0"/>
          <w:szCs w:val="21"/>
          <w:highlight w:val="none"/>
        </w:rPr>
      </w:pPr>
    </w:p>
    <w:p>
      <w:pPr>
        <w:pStyle w:val="2"/>
        <w:rPr>
          <w:rFonts w:hint="eastAsia" w:ascii="宋体" w:hAnsi="宋体" w:cs="宋体"/>
          <w:kern w:val="0"/>
          <w:szCs w:val="21"/>
          <w:highlight w:val="none"/>
        </w:rPr>
      </w:pPr>
    </w:p>
    <w:p>
      <w:pPr>
        <w:rPr>
          <w:rFonts w:hint="eastAsia" w:ascii="宋体" w:hAnsi="宋体" w:cs="宋体"/>
          <w:kern w:val="0"/>
          <w:szCs w:val="21"/>
          <w:highlight w:val="none"/>
        </w:rPr>
      </w:pPr>
    </w:p>
    <w:p>
      <w:pPr>
        <w:pStyle w:val="2"/>
        <w:rPr>
          <w:rFonts w:hint="eastAsia" w:ascii="宋体" w:hAnsi="宋体" w:cs="宋体"/>
          <w:kern w:val="0"/>
          <w:szCs w:val="21"/>
          <w:highlight w:val="none"/>
        </w:rPr>
      </w:pPr>
    </w:p>
    <w:p>
      <w:pPr>
        <w:rPr>
          <w:rFonts w:hint="eastAsia" w:ascii="宋体" w:hAnsi="宋体" w:cs="宋体"/>
          <w:kern w:val="0"/>
          <w:szCs w:val="21"/>
          <w:highlight w:val="none"/>
        </w:rPr>
      </w:pPr>
    </w:p>
    <w:p>
      <w:pPr>
        <w:pStyle w:val="2"/>
        <w:rPr>
          <w:rFonts w:hint="eastAsia" w:ascii="宋体" w:hAnsi="宋体" w:cs="宋体"/>
          <w:kern w:val="0"/>
          <w:szCs w:val="21"/>
          <w:highlight w:val="none"/>
        </w:rPr>
      </w:pPr>
    </w:p>
    <w:p>
      <w:pPr>
        <w:rPr>
          <w:rFonts w:hint="eastAsia" w:ascii="宋体" w:hAnsi="宋体" w:cs="宋体"/>
          <w:kern w:val="0"/>
          <w:szCs w:val="21"/>
          <w:highlight w:val="none"/>
        </w:rPr>
      </w:pPr>
    </w:p>
    <w:p>
      <w:pPr>
        <w:pStyle w:val="2"/>
        <w:rPr>
          <w:rFonts w:hint="eastAsia" w:ascii="宋体" w:hAnsi="宋体" w:cs="宋体"/>
          <w:kern w:val="0"/>
          <w:szCs w:val="21"/>
          <w:highlight w:val="none"/>
        </w:rPr>
      </w:pPr>
    </w:p>
    <w:p>
      <w:pPr>
        <w:rPr>
          <w:rFonts w:hint="eastAsia" w:ascii="宋体" w:hAnsi="宋体" w:cs="宋体"/>
          <w:kern w:val="0"/>
          <w:szCs w:val="21"/>
          <w:highlight w:val="none"/>
        </w:rPr>
      </w:pPr>
    </w:p>
    <w:p>
      <w:pPr>
        <w:pStyle w:val="2"/>
        <w:rPr>
          <w:rFonts w:hint="eastAsia" w:ascii="宋体" w:hAnsi="宋体" w:cs="宋体"/>
          <w:kern w:val="0"/>
          <w:szCs w:val="21"/>
          <w:highlight w:val="none"/>
        </w:rPr>
      </w:pPr>
    </w:p>
    <w:p>
      <w:pPr>
        <w:rPr>
          <w:rFonts w:hint="eastAsia" w:ascii="宋体" w:hAnsi="宋体" w:cs="宋体"/>
          <w:kern w:val="0"/>
          <w:szCs w:val="21"/>
          <w:highlight w:val="none"/>
        </w:rPr>
      </w:pPr>
    </w:p>
    <w:p>
      <w:pPr>
        <w:pStyle w:val="2"/>
        <w:rPr>
          <w:rFonts w:hint="eastAsia"/>
        </w:rPr>
      </w:pPr>
    </w:p>
    <w:p>
      <w:pPr>
        <w:pStyle w:val="4"/>
        <w:spacing w:before="0" w:after="0" w:line="360" w:lineRule="auto"/>
        <w:jc w:val="center"/>
        <w:rPr>
          <w:rFonts w:hint="eastAsia" w:ascii="宋体" w:hAnsi="宋体" w:eastAsia="宋体" w:cs="宋体"/>
          <w:sz w:val="28"/>
          <w:highlight w:val="none"/>
          <w:lang w:val="en-US" w:eastAsia="zh-CN"/>
        </w:rPr>
      </w:pPr>
      <w:bookmarkStart w:id="292" w:name="_Toc247085887"/>
      <w:bookmarkStart w:id="293" w:name="_Toc11329278"/>
      <w:bookmarkStart w:id="294" w:name="_Toc152045803"/>
      <w:bookmarkStart w:id="295" w:name="_Toc246997112"/>
      <w:bookmarkStart w:id="296" w:name="_Toc513633971"/>
      <w:bookmarkStart w:id="297" w:name="_Toc144974871"/>
      <w:bookmarkStart w:id="298" w:name="_Toc503951050"/>
      <w:bookmarkStart w:id="299" w:name="_Toc246996369"/>
      <w:bookmarkStart w:id="300" w:name="_Toc152042592"/>
      <w:bookmarkStart w:id="301" w:name="_Toc447827058"/>
      <w:bookmarkStart w:id="302" w:name="_Toc179632823"/>
      <w:r>
        <w:rPr>
          <w:rFonts w:hint="eastAsia" w:ascii="宋体" w:hAnsi="宋体" w:eastAsia="宋体" w:cs="宋体"/>
          <w:sz w:val="28"/>
          <w:highlight w:val="none"/>
          <w:lang w:val="en-US" w:eastAsia="zh-CN"/>
        </w:rPr>
        <w:t>四</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rPr>
          <w:rFonts w:hint="eastAsia"/>
          <w:lang w:eastAsia="zh-CN"/>
        </w:rPr>
      </w:pPr>
    </w:p>
    <w:bookmarkEnd w:id="292"/>
    <w:bookmarkEnd w:id="293"/>
    <w:bookmarkEnd w:id="294"/>
    <w:bookmarkEnd w:id="295"/>
    <w:bookmarkEnd w:id="296"/>
    <w:bookmarkEnd w:id="297"/>
    <w:bookmarkEnd w:id="298"/>
    <w:bookmarkEnd w:id="299"/>
    <w:bookmarkEnd w:id="300"/>
    <w:bookmarkEnd w:id="301"/>
    <w:bookmarkEnd w:id="302"/>
    <w:p>
      <w:pPr>
        <w:rPr>
          <w:rFonts w:hint="eastAsia"/>
          <w:lang w:val="en-US" w:eastAsia="zh-CN"/>
        </w:rPr>
      </w:pPr>
    </w:p>
    <w:p>
      <w:pPr>
        <w:pStyle w:val="5"/>
        <w:spacing w:before="0" w:after="0" w:line="360" w:lineRule="auto"/>
        <w:jc w:val="center"/>
        <w:rPr>
          <w:rFonts w:hint="eastAsia"/>
          <w:lang w:val="en-US"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二）</w:t>
      </w:r>
      <w:r>
        <w:rPr>
          <w:rFonts w:hint="eastAsia" w:ascii="Times New Roman" w:hAnsi="Times New Roman" w:eastAsia="宋体" w:cs="Times New Roman"/>
          <w:sz w:val="28"/>
          <w:szCs w:val="28"/>
          <w:lang w:eastAsia="zh-CN"/>
        </w:rPr>
        <w:t>资格</w:t>
      </w:r>
      <w:r>
        <w:rPr>
          <w:rFonts w:hint="eastAsia" w:ascii="Times New Roman" w:hAnsi="Times New Roman" w:eastAsia="宋体" w:cs="Times New Roman"/>
          <w:sz w:val="28"/>
          <w:szCs w:val="28"/>
          <w:lang w:val="en-US" w:eastAsia="zh-CN"/>
        </w:rPr>
        <w:t>审查资料</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lang w:val="en-US" w:eastAsia="zh-CN"/>
              </w:rPr>
            </w:pPr>
            <w:r>
              <w:rPr>
                <w:rFonts w:hint="eastAsia" w:ascii="宋体" w:hAnsi="宋体" w:cs="宋体"/>
                <w:szCs w:val="21"/>
                <w:highlight w:val="none"/>
                <w:shd w:val="clear" w:color="auto" w:fill="FFFFFF"/>
              </w:rPr>
              <w:t>报价人具有独立法人资格，具有有效的营业执照，提供有效的提供营业执照复印件并加盖报价人公章。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具有有效的四级及以上级别的承装(修、试）电力设施许可证。</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具有有效的电力工程施工总承包三级或输变电工程专业承包三级及以上资质。</w:t>
            </w:r>
          </w:p>
          <w:p>
            <w:pPr>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shd w:val="clear" w:color="auto" w:fill="FFFFFF"/>
              </w:rPr>
              <w:t>具有有效的施工企业安全生产许可证。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报价人2021年1月1日至投标截止日（以合同签订时间为准）至少完成一个合同额100万元以上10kv及以上高压外线工程施工业绩。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人员要求</w:t>
            </w:r>
          </w:p>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（项目经理）</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①具有注册二级建造师（机电工程）；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②持有有效的省级交通运输主管部门或建设主管部门颁发的安全生产考核合格证B证；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420" w:firstLineChars="200"/>
              <w:jc w:val="left"/>
              <w:textAlignment w:val="auto"/>
              <w:rPr>
                <w:rFonts w:hint="eastAsia" w:ascii="宋体" w:hAnsi="宋体" w:cs="宋体"/>
                <w:szCs w:val="21"/>
                <w:highlight w:val="none"/>
                <w:shd w:val="clear" w:color="auto" w:fill="FFFFFF"/>
                <w:lang w:val="en-US" w:eastAsia="zh-CN"/>
              </w:rPr>
            </w:pPr>
            <w:r>
              <w:rPr>
                <w:rFonts w:hint="eastAsia" w:ascii="宋体" w:hAnsi="宋体" w:cs="宋体"/>
                <w:szCs w:val="21"/>
                <w:highlight w:val="none"/>
                <w:lang w:val="en-US" w:eastAsia="zh-CN"/>
              </w:rPr>
              <w:t>③担任过1个10kv及以上高压外线工程施工项目的项目经理。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人员要求</w:t>
            </w:r>
          </w:p>
          <w:p>
            <w:pPr>
              <w:spacing w:line="400" w:lineRule="exact"/>
              <w:jc w:val="center"/>
              <w:rPr>
                <w:rFonts w:hint="default"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（总工）</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420" w:firstLineChars="200"/>
              <w:jc w:val="left"/>
              <w:textAlignment w:val="auto"/>
              <w:rPr>
                <w:rFonts w:hint="eastAsia" w:ascii="宋体" w:hAnsi="宋体" w:cs="宋体"/>
                <w:szCs w:val="21"/>
                <w:highlight w:val="none"/>
                <w:shd w:val="clear" w:color="auto" w:fill="FFFFFF"/>
                <w:lang w:val="en-US" w:eastAsia="zh-CN"/>
              </w:rPr>
            </w:pPr>
            <w:r>
              <w:rPr>
                <w:rFonts w:hint="eastAsia" w:ascii="宋体" w:hAnsi="宋体" w:cs="宋体"/>
                <w:szCs w:val="21"/>
                <w:highlight w:val="none"/>
                <w:lang w:val="en-US" w:eastAsia="zh-CN"/>
              </w:rPr>
              <w:t>①担任过1个10kv及以上高压外线工程施工项目的项目总工或项目经理。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项目经理</w:t>
            </w:r>
          </w:p>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（安全员）</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szCs w:val="21"/>
                <w:highlight w:val="none"/>
                <w:shd w:val="clear" w:color="auto" w:fill="FFFFFF"/>
                <w:lang w:val="en-US" w:eastAsia="zh-CN"/>
              </w:rPr>
            </w:pPr>
            <w:r>
              <w:rPr>
                <w:rFonts w:hint="eastAsia" w:ascii="宋体" w:hAnsi="宋体" w:cs="宋体"/>
                <w:szCs w:val="21"/>
                <w:highlight w:val="none"/>
                <w:lang w:val="en-US" w:eastAsia="zh-CN"/>
              </w:rPr>
              <w:t>持有有效的省级交通运输主管部门或省级建设主管部门颁发的安全生产考核合格证C证。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7</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tc>
      </w:tr>
    </w:tbl>
    <w:p>
      <w:pPr>
        <w:rPr>
          <w:rFonts w:hint="eastAsia"/>
          <w:lang w:val="en-US" w:eastAsia="zh-CN"/>
        </w:rPr>
      </w:pPr>
    </w:p>
    <w:p>
      <w:pPr>
        <w:pStyle w:val="2"/>
        <w:rPr>
          <w:rFonts w:hint="eastAsia" w:ascii="宋体" w:hAnsi="宋体" w:cs="宋体"/>
          <w:sz w:val="28"/>
          <w:highlight w:val="none"/>
        </w:rPr>
      </w:pPr>
    </w:p>
    <w:p>
      <w:pPr>
        <w:pStyle w:val="2"/>
        <w:rPr>
          <w:rFonts w:hint="eastAsia" w:ascii="宋体" w:hAnsi="宋体" w:cs="宋体"/>
          <w:sz w:val="28"/>
          <w:highlight w:val="none"/>
        </w:rPr>
      </w:pPr>
    </w:p>
    <w:p>
      <w:pPr>
        <w:spacing w:line="360" w:lineRule="auto"/>
        <w:jc w:val="center"/>
        <w:outlineLvl w:val="1"/>
        <w:rPr>
          <w:rFonts w:hint="eastAsia" w:ascii="宋体" w:hAnsi="宋体" w:cs="宋体"/>
          <w:b/>
          <w:bCs/>
          <w:kern w:val="0"/>
          <w:sz w:val="28"/>
          <w:szCs w:val="32"/>
        </w:rPr>
      </w:pPr>
      <w:bookmarkStart w:id="303" w:name="_Toc8299"/>
      <w:bookmarkStart w:id="304" w:name="_Toc26867"/>
    </w:p>
    <w:p>
      <w:pPr>
        <w:spacing w:line="360" w:lineRule="auto"/>
        <w:jc w:val="center"/>
        <w:outlineLvl w:val="1"/>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rPr>
      </w:pPr>
    </w:p>
    <w:p>
      <w:pPr>
        <w:spacing w:line="360" w:lineRule="auto"/>
        <w:jc w:val="center"/>
        <w:outlineLvl w:val="1"/>
        <w:rPr>
          <w:rFonts w:ascii="宋体" w:hAnsi="宋体" w:cs="宋体"/>
          <w:b/>
          <w:bCs/>
          <w:color w:val="000000" w:themeColor="text1"/>
          <w:sz w:val="24"/>
          <w:szCs w:val="28"/>
          <w14:textFill>
            <w14:solidFill>
              <w14:schemeClr w14:val="tx1"/>
            </w14:solidFill>
          </w14:textFill>
        </w:rPr>
      </w:pPr>
      <w:r>
        <w:rPr>
          <w:rFonts w:hint="eastAsia" w:ascii="宋体" w:hAnsi="宋体" w:cs="宋体"/>
          <w:b/>
          <w:bCs/>
          <w:kern w:val="0"/>
          <w:sz w:val="28"/>
          <w:szCs w:val="32"/>
        </w:rPr>
        <w:t>（</w:t>
      </w:r>
      <w:r>
        <w:rPr>
          <w:rFonts w:hint="eastAsia" w:ascii="宋体" w:hAnsi="宋体" w:cs="宋体"/>
          <w:b/>
          <w:bCs/>
          <w:kern w:val="0"/>
          <w:sz w:val="28"/>
          <w:szCs w:val="32"/>
          <w:lang w:val="en-US" w:eastAsia="zh-CN"/>
        </w:rPr>
        <w:t>三</w:t>
      </w:r>
      <w:r>
        <w:rPr>
          <w:rFonts w:hint="eastAsia" w:ascii="宋体" w:hAnsi="宋体" w:cs="宋体"/>
          <w:b/>
          <w:bCs/>
          <w:kern w:val="0"/>
          <w:sz w:val="28"/>
          <w:szCs w:val="32"/>
        </w:rPr>
        <w:t>）商务评分资料</w:t>
      </w:r>
      <w:bookmarkEnd w:id="303"/>
      <w:bookmarkEnd w:id="304"/>
    </w:p>
    <w:p>
      <w:pPr>
        <w:pStyle w:val="168"/>
        <w:ind w:firstLine="480"/>
        <w:jc w:val="center"/>
        <w:rPr>
          <w:b/>
        </w:rPr>
      </w:pPr>
      <w:bookmarkStart w:id="305" w:name="OLE_LINK34"/>
      <w:r>
        <w:rPr>
          <w:rFonts w:hint="eastAsia"/>
        </w:rPr>
        <w:t>商务及技术部分</w:t>
      </w:r>
      <w:bookmarkEnd w:id="305"/>
      <w:r>
        <w:rPr>
          <w:rFonts w:hint="eastAsia"/>
        </w:rPr>
        <w:t>资料目录</w:t>
      </w:r>
    </w:p>
    <w:tbl>
      <w:tblPr>
        <w:tblStyle w:val="43"/>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35"/>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8"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435"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应加分数</w:t>
            </w:r>
          </w:p>
        </w:tc>
        <w:tc>
          <w:tcPr>
            <w:tcW w:w="1052"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169"/>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8" w:type="dxa"/>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43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249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736"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39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05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998"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b/>
                <w:sz w:val="18"/>
                <w:szCs w:val="18"/>
                <w:lang w:val="en-US" w:eastAsia="zh-CN"/>
              </w:rPr>
            </w:pPr>
            <w:r>
              <w:rPr>
                <w:rFonts w:hint="eastAsia" w:cs="Times New Roman" w:eastAsiaTheme="minorEastAsia"/>
                <w:color w:val="auto"/>
                <w:kern w:val="0"/>
                <w:sz w:val="21"/>
                <w:szCs w:val="21"/>
                <w:highlight w:val="none"/>
                <w:lang w:val="en-US" w:eastAsia="zh-CN"/>
              </w:rPr>
              <w:t>商务部分</w:t>
            </w: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default" w:ascii="Times New Roman" w:hAnsi="Times New Roman" w:cs="Times New Roman" w:eastAsiaTheme="minorEastAsia"/>
                <w:color w:val="auto"/>
                <w:kern w:val="0"/>
                <w:sz w:val="21"/>
                <w:szCs w:val="21"/>
                <w:highlight w:val="none"/>
              </w:rPr>
              <w:t>业绩满足资格要求得</w:t>
            </w:r>
            <w:r>
              <w:rPr>
                <w:rFonts w:hint="eastAsia" w:cs="Times New Roman" w:eastAsiaTheme="minorEastAsia"/>
                <w:color w:val="auto"/>
                <w:kern w:val="0"/>
                <w:sz w:val="21"/>
                <w:szCs w:val="21"/>
                <w:highlight w:val="none"/>
                <w:lang w:val="en-US" w:eastAsia="zh-CN"/>
              </w:rPr>
              <w:t>4</w:t>
            </w:r>
            <w:r>
              <w:rPr>
                <w:rFonts w:hint="default" w:ascii="Times New Roman" w:hAnsi="Times New Roman" w:cs="Times New Roman" w:eastAsiaTheme="minorEastAsia"/>
                <w:color w:val="auto"/>
                <w:kern w:val="0"/>
                <w:sz w:val="21"/>
                <w:szCs w:val="21"/>
                <w:highlight w:val="none"/>
              </w:rPr>
              <w:t>分</w:t>
            </w:r>
          </w:p>
        </w:tc>
        <w:tc>
          <w:tcPr>
            <w:tcW w:w="1736"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lang w:val="en-US" w:eastAsia="zh-CN"/>
              </w:rPr>
            </w:pPr>
            <w:r>
              <w:rPr>
                <w:rFonts w:hint="default" w:ascii="Times New Roman" w:hAnsi="Times New Roman" w:cs="Times New Roman" w:eastAsiaTheme="minorEastAsia"/>
                <w:color w:val="auto"/>
                <w:kern w:val="0"/>
                <w:sz w:val="21"/>
                <w:szCs w:val="21"/>
                <w:highlight w:val="none"/>
              </w:rPr>
              <w:t>业绩</w:t>
            </w:r>
            <w:r>
              <w:rPr>
                <w:rFonts w:hint="eastAsia" w:cs="Times New Roman" w:eastAsiaTheme="minorEastAsia"/>
                <w:color w:val="auto"/>
                <w:kern w:val="0"/>
                <w:sz w:val="21"/>
                <w:szCs w:val="21"/>
                <w:highlight w:val="none"/>
                <w:lang w:val="en-US" w:eastAsia="zh-CN"/>
              </w:rPr>
              <w:t>1</w:t>
            </w:r>
          </w:p>
        </w:tc>
        <w:tc>
          <w:tcPr>
            <w:tcW w:w="139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4分</w:t>
            </w:r>
          </w:p>
        </w:tc>
        <w:tc>
          <w:tcPr>
            <w:tcW w:w="105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证明材料1</w:t>
            </w:r>
          </w:p>
        </w:tc>
        <w:tc>
          <w:tcPr>
            <w:tcW w:w="99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bl>
    <w:p/>
    <w:p>
      <w:pPr>
        <w:rPr>
          <w:rFonts w:hint="eastAsia" w:ascii="宋体" w:hAnsi="宋体" w:cs="宋体"/>
          <w:sz w:val="28"/>
          <w:highlight w:val="none"/>
        </w:rPr>
      </w:pP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rPr>
      </w:pPr>
    </w:p>
    <w:p>
      <w:pPr>
        <w:spacing w:line="360" w:lineRule="auto"/>
        <w:jc w:val="center"/>
        <w:outlineLvl w:val="1"/>
        <w:rPr>
          <w:rFonts w:hint="eastAsia" w:ascii="宋体" w:hAnsi="宋体" w:cs="宋体"/>
          <w:b/>
          <w:bCs/>
          <w:kern w:val="0"/>
          <w:sz w:val="28"/>
          <w:szCs w:val="32"/>
        </w:rPr>
      </w:pPr>
    </w:p>
    <w:p>
      <w:pPr>
        <w:spacing w:line="360" w:lineRule="auto"/>
        <w:jc w:val="center"/>
        <w:outlineLvl w:val="1"/>
        <w:rPr>
          <w:rFonts w:ascii="宋体" w:hAnsi="宋体" w:cs="宋体"/>
          <w:b/>
          <w:bCs/>
          <w:kern w:val="0"/>
          <w:sz w:val="28"/>
          <w:szCs w:val="32"/>
        </w:rPr>
      </w:pPr>
      <w:bookmarkStart w:id="306" w:name="_Toc21892"/>
      <w:r>
        <w:rPr>
          <w:rFonts w:hint="eastAsia" w:ascii="宋体" w:hAnsi="宋体" w:cs="宋体"/>
          <w:b/>
          <w:bCs/>
          <w:kern w:val="0"/>
          <w:sz w:val="28"/>
          <w:szCs w:val="32"/>
        </w:rPr>
        <w:t>（</w:t>
      </w:r>
      <w:r>
        <w:rPr>
          <w:rFonts w:hint="eastAsia" w:ascii="宋体" w:hAnsi="宋体" w:cs="宋体"/>
          <w:b/>
          <w:bCs/>
          <w:kern w:val="0"/>
          <w:sz w:val="28"/>
          <w:szCs w:val="32"/>
          <w:lang w:val="en-US" w:eastAsia="zh-CN"/>
        </w:rPr>
        <w:t>四</w:t>
      </w:r>
      <w:r>
        <w:rPr>
          <w:rFonts w:hint="eastAsia" w:ascii="宋体" w:hAnsi="宋体" w:cs="宋体"/>
          <w:b/>
          <w:bCs/>
          <w:kern w:val="0"/>
          <w:sz w:val="28"/>
          <w:szCs w:val="32"/>
        </w:rPr>
        <w:t>）技术方案</w:t>
      </w:r>
      <w:bookmarkEnd w:id="306"/>
    </w:p>
    <w:p>
      <w:pPr>
        <w:pStyle w:val="4"/>
        <w:spacing w:before="0" w:after="0" w:line="360" w:lineRule="auto"/>
        <w:jc w:val="center"/>
        <w:rPr>
          <w:rFonts w:hint="eastAsia" w:ascii="宋体" w:hAnsi="宋体" w:eastAsia="宋体" w:cs="宋体"/>
          <w:sz w:val="28"/>
          <w:highlight w:val="none"/>
          <w:lang w:val="en-US" w:eastAsia="zh-CN"/>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rPr>
      </w:pPr>
    </w:p>
    <w:p>
      <w:pPr>
        <w:pStyle w:val="4"/>
        <w:spacing w:before="0" w:after="0" w:line="360" w:lineRule="auto"/>
        <w:jc w:val="center"/>
        <w:rPr>
          <w:rFonts w:hint="eastAsia" w:ascii="宋体" w:hAnsi="宋体" w:eastAsia="宋体" w:cs="宋体"/>
          <w:sz w:val="28"/>
        </w:rPr>
      </w:pPr>
      <w:bookmarkStart w:id="307" w:name="_Toc513633974"/>
      <w:bookmarkStart w:id="308" w:name="_Toc503951058"/>
      <w:r>
        <w:rPr>
          <w:rFonts w:hint="eastAsia" w:ascii="宋体" w:hAnsi="宋体" w:eastAsia="宋体" w:cs="宋体"/>
          <w:sz w:val="28"/>
        </w:rPr>
        <w:t>五、报价人承诺</w:t>
      </w:r>
    </w:p>
    <w:p>
      <w:pPr>
        <w:pStyle w:val="37"/>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7"/>
        <w:keepNext w:val="0"/>
        <w:keepLines w:val="0"/>
        <w:widowControl w:val="0"/>
        <w:suppressLineNumbers w:val="0"/>
        <w:spacing w:before="0" w:beforeAutospacing="0" w:after="0" w:afterAutospacing="0" w:line="480" w:lineRule="auto"/>
        <w:ind w:left="0" w:right="0"/>
        <w:jc w:val="both"/>
        <w:rPr>
          <w:rFonts w:hint="eastAsia" w:ascii="Times New Roman" w:hAnsi="Times New Roman" w:eastAsia="宋体" w:cs="Times New Roman"/>
          <w:sz w:val="24"/>
          <w:szCs w:val="28"/>
        </w:rPr>
      </w:pPr>
      <w:r>
        <w:rPr>
          <w:rFonts w:hint="eastAsia" w:ascii="宋体" w:hAnsi="宋体" w:eastAsia="宋体" w:cs="宋体"/>
          <w:b/>
          <w:color w:val="000000"/>
          <w:kern w:val="2"/>
          <w:sz w:val="24"/>
          <w:szCs w:val="24"/>
          <w:lang w:val="en-US" w:eastAsia="zh-CN" w:bidi="ar"/>
        </w:rPr>
        <w:t>致：</w:t>
      </w:r>
      <w:r>
        <w:rPr>
          <w:rFonts w:hint="eastAsia" w:ascii="宋体" w:hAnsi="宋体" w:eastAsia="宋体" w:cs="宋体"/>
          <w:b/>
          <w:color w:val="000000"/>
          <w:kern w:val="2"/>
          <w:sz w:val="24"/>
          <w:szCs w:val="24"/>
          <w:u w:val="single"/>
          <w:lang w:val="en-US" w:eastAsia="zh-CN" w:bidi="ar"/>
        </w:rPr>
        <w:t>重庆首讯科技股份有限公司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在研究XXXX   项目竞争比选文件后，在此郑重承诺：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8"/>
        </w:rPr>
      </w:pPr>
      <w:r>
        <w:rPr>
          <w:rFonts w:hint="eastAsia"/>
          <w:sz w:val="24"/>
          <w:szCs w:val="28"/>
        </w:rPr>
        <w:t>1、我方比选响应文件中所有资料都是真实、准确、完整的；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8"/>
        </w:rPr>
      </w:pPr>
      <w:r>
        <w:rPr>
          <w:rFonts w:hint="eastAsia"/>
          <w:sz w:val="24"/>
          <w:szCs w:val="28"/>
        </w:rPr>
        <w:t>2、我方不存在资质挂靠或参与串标、围标情形。所报项目相关人员未在其他项目任职。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8"/>
          <w:lang w:val="en-US" w:eastAsia="zh-CN"/>
        </w:rPr>
      </w:pPr>
      <w:r>
        <w:rPr>
          <w:rFonts w:hint="eastAsia"/>
          <w:sz w:val="24"/>
          <w:szCs w:val="28"/>
        </w:rPr>
        <w:t>3、完全响应竞争性比选文件中的资质要求、业绩要求、人员要求、投标内容要求、报价要求、工期要求、质量标准、安全目标等要求；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8"/>
        </w:rPr>
      </w:pPr>
      <w:r>
        <w:rPr>
          <w:rFonts w:hint="eastAsia"/>
          <w:sz w:val="24"/>
          <w:szCs w:val="28"/>
        </w:rPr>
        <w:t>如我方违反上述承诺，隐瞒、提供虚假资料或不按竞争性比选文件要求组织实施，被贵方发现或被他人举报查实，无条件接受贵司的处罚，对造成的损失，任何法律和经济责任完全由我方承担。</w:t>
      </w:r>
    </w:p>
    <w:p>
      <w:pPr>
        <w:pStyle w:val="37"/>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报价人：</w:t>
      </w:r>
      <w:r>
        <w:rPr>
          <w:rFonts w:hint="eastAsia" w:ascii="宋体" w:hAnsi="宋体" w:eastAsia="宋体" w:cs="Times New Roman"/>
          <w:color w:val="000000"/>
          <w:kern w:val="2"/>
          <w:sz w:val="24"/>
          <w:szCs w:val="24"/>
          <w:lang w:val="en-US" w:eastAsia="zh-CN" w:bidi="ar"/>
        </w:rPr>
        <w:t>XX公司</w:t>
      </w:r>
    </w:p>
    <w:p>
      <w:pPr>
        <w:pStyle w:val="37"/>
        <w:keepNext w:val="0"/>
        <w:keepLines w:val="0"/>
        <w:widowControl w:val="0"/>
        <w:suppressLineNumbers w:val="0"/>
        <w:spacing w:before="0" w:beforeAutospacing="1" w:after="120" w:afterAutospacing="0" w:line="480" w:lineRule="auto"/>
        <w:ind w:left="0" w:right="0"/>
        <w:jc w:val="both"/>
        <w:rPr>
          <w:sz w:val="24"/>
          <w:szCs w:val="24"/>
        </w:rPr>
      </w:pPr>
      <w:r>
        <w:rPr>
          <w:rFonts w:hint="eastAsia" w:ascii="宋体" w:hAnsi="宋体"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日期：</w:t>
      </w:r>
      <w:bookmarkEnd w:id="307"/>
      <w:bookmarkEnd w:id="308"/>
    </w:p>
    <w:p>
      <w:pPr>
        <w:pStyle w:val="28"/>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8"/>
        <w:rPr>
          <w:rFonts w:hint="default" w:ascii="Arial" w:hAnsi="Arial" w:eastAsia="宋体" w:cs="Arial"/>
          <w:b/>
          <w:bCs/>
          <w:caps w:val="0"/>
          <w:color w:val="000000"/>
          <w:kern w:val="2"/>
          <w:sz w:val="24"/>
          <w:szCs w:val="24"/>
          <w:highlight w:val="none"/>
          <w:lang w:val="en-US" w:eastAsia="zh-CN" w:bidi="ar-SA"/>
        </w:rPr>
      </w:pPr>
    </w:p>
    <w:p>
      <w:pPr>
        <w:ind w:firstLine="482" w:firstLineChars="200"/>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8"/>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竞争比选响应单位名称（加盖公章）：</w:t>
      </w:r>
    </w:p>
    <w:p>
      <w:pPr>
        <w:pStyle w:val="28"/>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日期：</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年</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月</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日</w:t>
      </w:r>
    </w:p>
    <w:p>
      <w:pPr>
        <w:pStyle w:val="4"/>
        <w:spacing w:before="0" w:after="0" w:line="360" w:lineRule="auto"/>
        <w:jc w:val="center"/>
        <w:rPr>
          <w:rFonts w:hint="eastAsia" w:ascii="宋体" w:hAnsi="宋体" w:eastAsia="宋体" w:cs="宋体"/>
          <w:sz w:val="28"/>
          <w:highlight w:val="none"/>
          <w:lang w:val="en-US" w:eastAsia="zh-CN"/>
        </w:rPr>
      </w:pPr>
    </w:p>
    <w:p>
      <w:pPr>
        <w:pStyle w:val="4"/>
        <w:spacing w:before="0" w:after="0" w:line="360" w:lineRule="auto"/>
        <w:jc w:val="center"/>
        <w:rPr>
          <w:rFonts w:hint="eastAsia" w:ascii="宋体" w:hAnsi="宋体" w:eastAsia="宋体" w:cs="宋体"/>
          <w:sz w:val="28"/>
          <w:highlight w:val="none"/>
          <w:lang w:val="en-US" w:eastAsia="zh-CN"/>
        </w:rPr>
      </w:pPr>
    </w:p>
    <w:p>
      <w:pPr>
        <w:rPr>
          <w:rFonts w:hint="eastAsia"/>
          <w:lang w:val="en-US" w:eastAsia="zh-CN"/>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六、其他</w:t>
      </w:r>
    </w:p>
    <w:p>
      <w:pPr>
        <w:rPr>
          <w:rFonts w:hint="eastAsia"/>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7D5C55-3B69-4F3A-9B59-0BEDB8B61AE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lang w:val="en-US" w:eastAsia="zh-CN"/>
      </w:rPr>
      <w:t>73</w:t>
    </w:r>
    <w:r>
      <w:fldChar w:fldCharType="end"/>
    </w:r>
  </w:p>
  <w:p>
    <w:pPr>
      <w:pStyle w:val="26"/>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5E9B2"/>
    <w:multiLevelType w:val="singleLevel"/>
    <w:tmpl w:val="8285E9B2"/>
    <w:lvl w:ilvl="0" w:tentative="0">
      <w:start w:val="1"/>
      <w:numFmt w:val="decimal"/>
      <w:lvlText w:val="%1."/>
      <w:lvlJc w:val="left"/>
      <w:pPr>
        <w:tabs>
          <w:tab w:val="left" w:pos="312"/>
        </w:tabs>
      </w:pPr>
    </w:lvl>
  </w:abstractNum>
  <w:abstractNum w:abstractNumId="1">
    <w:nsid w:val="94BCEB72"/>
    <w:multiLevelType w:val="singleLevel"/>
    <w:tmpl w:val="94BCEB72"/>
    <w:lvl w:ilvl="0" w:tentative="0">
      <w:start w:val="1"/>
      <w:numFmt w:val="decimal"/>
      <w:lvlText w:val="%1."/>
      <w:lvlJc w:val="left"/>
      <w:pPr>
        <w:tabs>
          <w:tab w:val="left" w:pos="312"/>
        </w:tabs>
      </w:pPr>
    </w:lvl>
  </w:abstractNum>
  <w:abstractNum w:abstractNumId="2">
    <w:nsid w:val="C832C134"/>
    <w:multiLevelType w:val="singleLevel"/>
    <w:tmpl w:val="C832C134"/>
    <w:lvl w:ilvl="0" w:tentative="0">
      <w:start w:val="1"/>
      <w:numFmt w:val="decimal"/>
      <w:suff w:val="space"/>
      <w:lvlText w:val="%1."/>
      <w:lvlJc w:val="left"/>
    </w:lvl>
  </w:abstractNum>
  <w:abstractNum w:abstractNumId="3">
    <w:nsid w:val="F5673CBB"/>
    <w:multiLevelType w:val="singleLevel"/>
    <w:tmpl w:val="F5673CBB"/>
    <w:lvl w:ilvl="0" w:tentative="0">
      <w:start w:val="1"/>
      <w:numFmt w:val="decimal"/>
      <w:suff w:val="nothing"/>
      <w:lvlText w:val="（%1）"/>
      <w:lvlJc w:val="left"/>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3871CE1D"/>
    <w:multiLevelType w:val="singleLevel"/>
    <w:tmpl w:val="3871CE1D"/>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1A1794"/>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CA6A08"/>
    <w:rsid w:val="06DD02BB"/>
    <w:rsid w:val="06E71F51"/>
    <w:rsid w:val="06F965AD"/>
    <w:rsid w:val="07050666"/>
    <w:rsid w:val="071C4DB7"/>
    <w:rsid w:val="07362674"/>
    <w:rsid w:val="073B54B2"/>
    <w:rsid w:val="07537EF9"/>
    <w:rsid w:val="07815EE7"/>
    <w:rsid w:val="07A44F88"/>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B59B5"/>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BA632B"/>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0409B"/>
    <w:rsid w:val="13511DF6"/>
    <w:rsid w:val="138B4634"/>
    <w:rsid w:val="138F1214"/>
    <w:rsid w:val="13BF412F"/>
    <w:rsid w:val="13D101C7"/>
    <w:rsid w:val="1400440E"/>
    <w:rsid w:val="142669A3"/>
    <w:rsid w:val="14266B16"/>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8F8081B"/>
    <w:rsid w:val="19193365"/>
    <w:rsid w:val="19261639"/>
    <w:rsid w:val="195D5C0E"/>
    <w:rsid w:val="19B64CC2"/>
    <w:rsid w:val="19BA69A5"/>
    <w:rsid w:val="19DF6D3F"/>
    <w:rsid w:val="19E24459"/>
    <w:rsid w:val="1A305FF4"/>
    <w:rsid w:val="1A3D7EBE"/>
    <w:rsid w:val="1A3E1661"/>
    <w:rsid w:val="1A4353A0"/>
    <w:rsid w:val="1A557489"/>
    <w:rsid w:val="1AF45443"/>
    <w:rsid w:val="1B075A0C"/>
    <w:rsid w:val="1B67066F"/>
    <w:rsid w:val="1B7229E4"/>
    <w:rsid w:val="1B7A5EC7"/>
    <w:rsid w:val="1B8E5EC0"/>
    <w:rsid w:val="1CB33990"/>
    <w:rsid w:val="1CF6260F"/>
    <w:rsid w:val="1CF83AEA"/>
    <w:rsid w:val="1CF911FC"/>
    <w:rsid w:val="1D140F94"/>
    <w:rsid w:val="1D6914D5"/>
    <w:rsid w:val="1D7C7A22"/>
    <w:rsid w:val="1D7E09CF"/>
    <w:rsid w:val="1D9F1A69"/>
    <w:rsid w:val="1DE41480"/>
    <w:rsid w:val="1E2139B7"/>
    <w:rsid w:val="1E611358"/>
    <w:rsid w:val="1E7A14A8"/>
    <w:rsid w:val="1E7F32B0"/>
    <w:rsid w:val="1EBA058B"/>
    <w:rsid w:val="1EBB622E"/>
    <w:rsid w:val="1EE25F2E"/>
    <w:rsid w:val="1EEA13A6"/>
    <w:rsid w:val="1EFE64E9"/>
    <w:rsid w:val="1F6207D0"/>
    <w:rsid w:val="1FE1627D"/>
    <w:rsid w:val="1FEA603B"/>
    <w:rsid w:val="20133D98"/>
    <w:rsid w:val="201765DE"/>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1531"/>
    <w:rsid w:val="219A6D4B"/>
    <w:rsid w:val="21C2735E"/>
    <w:rsid w:val="21E57FA3"/>
    <w:rsid w:val="21FB5A74"/>
    <w:rsid w:val="226827C0"/>
    <w:rsid w:val="227C6EFF"/>
    <w:rsid w:val="228A10DC"/>
    <w:rsid w:val="22942795"/>
    <w:rsid w:val="22A10D06"/>
    <w:rsid w:val="22B665A5"/>
    <w:rsid w:val="22C925E0"/>
    <w:rsid w:val="22E46F4A"/>
    <w:rsid w:val="22F20159"/>
    <w:rsid w:val="23005537"/>
    <w:rsid w:val="233C2C53"/>
    <w:rsid w:val="23486890"/>
    <w:rsid w:val="2368145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E12091"/>
    <w:rsid w:val="26F131DC"/>
    <w:rsid w:val="26F65310"/>
    <w:rsid w:val="27052D05"/>
    <w:rsid w:val="27082804"/>
    <w:rsid w:val="270832AE"/>
    <w:rsid w:val="27357F9F"/>
    <w:rsid w:val="27A4553F"/>
    <w:rsid w:val="27D35135"/>
    <w:rsid w:val="27EF1935"/>
    <w:rsid w:val="280A1B75"/>
    <w:rsid w:val="28273E1D"/>
    <w:rsid w:val="283962F8"/>
    <w:rsid w:val="287A36F4"/>
    <w:rsid w:val="288458E7"/>
    <w:rsid w:val="289E5740"/>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B487382"/>
    <w:rsid w:val="2B552F60"/>
    <w:rsid w:val="2B7841A6"/>
    <w:rsid w:val="2B7915CB"/>
    <w:rsid w:val="2BB367B9"/>
    <w:rsid w:val="2BBA33A9"/>
    <w:rsid w:val="2C13380B"/>
    <w:rsid w:val="2C184D47"/>
    <w:rsid w:val="2C796A89"/>
    <w:rsid w:val="2CBD3A96"/>
    <w:rsid w:val="2CC74339"/>
    <w:rsid w:val="2CCC23F7"/>
    <w:rsid w:val="2CCE1414"/>
    <w:rsid w:val="2CF93ABF"/>
    <w:rsid w:val="2D1E27A3"/>
    <w:rsid w:val="2D394FF5"/>
    <w:rsid w:val="2D766528"/>
    <w:rsid w:val="2E6A704D"/>
    <w:rsid w:val="2E8A6255"/>
    <w:rsid w:val="2EDA4128"/>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A557F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4634AB"/>
    <w:rsid w:val="376F082A"/>
    <w:rsid w:val="37704489"/>
    <w:rsid w:val="37710026"/>
    <w:rsid w:val="37925427"/>
    <w:rsid w:val="37A55DCC"/>
    <w:rsid w:val="37CA04FF"/>
    <w:rsid w:val="37D30771"/>
    <w:rsid w:val="37EC0BB8"/>
    <w:rsid w:val="38DD7694"/>
    <w:rsid w:val="39366B6E"/>
    <w:rsid w:val="394C68A5"/>
    <w:rsid w:val="395E479A"/>
    <w:rsid w:val="39675804"/>
    <w:rsid w:val="39A36C2D"/>
    <w:rsid w:val="39AA29B9"/>
    <w:rsid w:val="39E71AEC"/>
    <w:rsid w:val="39F60058"/>
    <w:rsid w:val="3A104089"/>
    <w:rsid w:val="3A6C5118"/>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D47C2B"/>
    <w:rsid w:val="42DA32B5"/>
    <w:rsid w:val="433543AC"/>
    <w:rsid w:val="43420FE8"/>
    <w:rsid w:val="434513F0"/>
    <w:rsid w:val="43702851"/>
    <w:rsid w:val="43CA4F48"/>
    <w:rsid w:val="44036E4B"/>
    <w:rsid w:val="4424604A"/>
    <w:rsid w:val="442967DE"/>
    <w:rsid w:val="445014AB"/>
    <w:rsid w:val="44617F49"/>
    <w:rsid w:val="44CE660D"/>
    <w:rsid w:val="451B3BFE"/>
    <w:rsid w:val="454F0B76"/>
    <w:rsid w:val="45795008"/>
    <w:rsid w:val="4579514B"/>
    <w:rsid w:val="457E2BBE"/>
    <w:rsid w:val="457F72E8"/>
    <w:rsid w:val="45A1746C"/>
    <w:rsid w:val="45C456EA"/>
    <w:rsid w:val="45DE083B"/>
    <w:rsid w:val="45E076C0"/>
    <w:rsid w:val="45F36067"/>
    <w:rsid w:val="460C0745"/>
    <w:rsid w:val="46123556"/>
    <w:rsid w:val="463122D8"/>
    <w:rsid w:val="4632053D"/>
    <w:rsid w:val="46577675"/>
    <w:rsid w:val="4662415A"/>
    <w:rsid w:val="4662498C"/>
    <w:rsid w:val="46A022D9"/>
    <w:rsid w:val="46A9554B"/>
    <w:rsid w:val="46B21457"/>
    <w:rsid w:val="46BE1A6C"/>
    <w:rsid w:val="46BE6647"/>
    <w:rsid w:val="46EE3897"/>
    <w:rsid w:val="471B3499"/>
    <w:rsid w:val="4730142A"/>
    <w:rsid w:val="476C4D46"/>
    <w:rsid w:val="478E4BD2"/>
    <w:rsid w:val="47AE0C8D"/>
    <w:rsid w:val="47B13E7A"/>
    <w:rsid w:val="47DD756D"/>
    <w:rsid w:val="48037A8A"/>
    <w:rsid w:val="48377D23"/>
    <w:rsid w:val="484E6DFE"/>
    <w:rsid w:val="486634EE"/>
    <w:rsid w:val="48807890"/>
    <w:rsid w:val="48A64B98"/>
    <w:rsid w:val="48BC156D"/>
    <w:rsid w:val="48F765BE"/>
    <w:rsid w:val="490445F2"/>
    <w:rsid w:val="490935A0"/>
    <w:rsid w:val="49320F23"/>
    <w:rsid w:val="49DD73AE"/>
    <w:rsid w:val="49F95BD6"/>
    <w:rsid w:val="4AA73240"/>
    <w:rsid w:val="4AB72272"/>
    <w:rsid w:val="4AD703A4"/>
    <w:rsid w:val="4B305E1B"/>
    <w:rsid w:val="4B68383F"/>
    <w:rsid w:val="4BB92D8E"/>
    <w:rsid w:val="4BD07B58"/>
    <w:rsid w:val="4BE87BA5"/>
    <w:rsid w:val="4C3176AB"/>
    <w:rsid w:val="4C415DC1"/>
    <w:rsid w:val="4C6E278E"/>
    <w:rsid w:val="4CFF538B"/>
    <w:rsid w:val="4D4D7800"/>
    <w:rsid w:val="4D7251FF"/>
    <w:rsid w:val="4DAB5390"/>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024ABF"/>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815208"/>
    <w:rsid w:val="59A92E5F"/>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7E3E7C"/>
    <w:rsid w:val="5E9342EC"/>
    <w:rsid w:val="5EA27CF7"/>
    <w:rsid w:val="5EBC3C1E"/>
    <w:rsid w:val="5F3815EE"/>
    <w:rsid w:val="5F5C32D6"/>
    <w:rsid w:val="5FA92D9F"/>
    <w:rsid w:val="5FAC2DE4"/>
    <w:rsid w:val="5FB10E83"/>
    <w:rsid w:val="600E788A"/>
    <w:rsid w:val="6011673F"/>
    <w:rsid w:val="60176E46"/>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4B61E6"/>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AB61F8"/>
    <w:rsid w:val="67BA7741"/>
    <w:rsid w:val="67E6170C"/>
    <w:rsid w:val="680D0CA5"/>
    <w:rsid w:val="688E5F84"/>
    <w:rsid w:val="68A45648"/>
    <w:rsid w:val="68A5668C"/>
    <w:rsid w:val="68D27297"/>
    <w:rsid w:val="6911241F"/>
    <w:rsid w:val="699C1F2D"/>
    <w:rsid w:val="69B67115"/>
    <w:rsid w:val="69B82DF4"/>
    <w:rsid w:val="69D84821"/>
    <w:rsid w:val="69EF53B4"/>
    <w:rsid w:val="6A126DD2"/>
    <w:rsid w:val="6A420E56"/>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363DFB"/>
    <w:rsid w:val="73532CC9"/>
    <w:rsid w:val="73D73D11"/>
    <w:rsid w:val="744975DD"/>
    <w:rsid w:val="746920A5"/>
    <w:rsid w:val="74CB1EDB"/>
    <w:rsid w:val="74CE62CA"/>
    <w:rsid w:val="74DE73F5"/>
    <w:rsid w:val="75071D59"/>
    <w:rsid w:val="751E77AF"/>
    <w:rsid w:val="75D07F8B"/>
    <w:rsid w:val="75EE5669"/>
    <w:rsid w:val="7651090D"/>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8F7F9B"/>
    <w:rsid w:val="78FA0671"/>
    <w:rsid w:val="78FF170C"/>
    <w:rsid w:val="793A634F"/>
    <w:rsid w:val="79616ECE"/>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3645B"/>
    <w:rsid w:val="7D4B3EE6"/>
    <w:rsid w:val="7D6112EF"/>
    <w:rsid w:val="7D68620F"/>
    <w:rsid w:val="7D69777E"/>
    <w:rsid w:val="7D927DC0"/>
    <w:rsid w:val="7DA45FC2"/>
    <w:rsid w:val="7DB34706"/>
    <w:rsid w:val="7DD76CA0"/>
    <w:rsid w:val="7E1A0A9F"/>
    <w:rsid w:val="7E3C401A"/>
    <w:rsid w:val="7E641213"/>
    <w:rsid w:val="7EE33139"/>
    <w:rsid w:val="7EF34773"/>
    <w:rsid w:val="7F0D08DC"/>
    <w:rsid w:val="7F173D26"/>
    <w:rsid w:val="7F3A5791"/>
    <w:rsid w:val="7F5DC674"/>
    <w:rsid w:val="7F666017"/>
    <w:rsid w:val="7F6D5D85"/>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5"/>
    <w:qFormat/>
    <w:uiPriority w:val="0"/>
    <w:rPr>
      <w:rFonts w:ascii="Times New Roman" w:hAnsi="Times New Roman" w:eastAsia="宋体" w:cs="Times New Roman"/>
      <w:b/>
      <w:bCs/>
      <w:sz w:val="32"/>
      <w:szCs w:val="32"/>
    </w:rPr>
  </w:style>
  <w:style w:type="character" w:customStyle="1" w:styleId="57">
    <w:name w:val="批注文字 Char1"/>
    <w:link w:val="15"/>
    <w:semiHidden/>
    <w:qFormat/>
    <w:uiPriority w:val="99"/>
    <w:rPr>
      <w:rFonts w:ascii="Times New Roman" w:hAnsi="Times New Roman" w:eastAsia="宋体" w:cs="Times New Roman"/>
      <w:szCs w:val="24"/>
    </w:rPr>
  </w:style>
  <w:style w:type="character" w:customStyle="1" w:styleId="58">
    <w:name w:val="标题 6 Char"/>
    <w:link w:val="7"/>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2"/>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7"/>
    <w:qFormat/>
    <w:uiPriority w:val="0"/>
    <w:rPr>
      <w:rFonts w:ascii="Times New Roman" w:hAnsi="Times New Roman" w:eastAsia="宋体" w:cs="Times New Roman"/>
      <w:sz w:val="18"/>
      <w:szCs w:val="18"/>
    </w:rPr>
  </w:style>
  <w:style w:type="character" w:customStyle="1" w:styleId="72">
    <w:name w:val="标题 9 Char"/>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7"/>
    <w:qFormat/>
    <w:uiPriority w:val="0"/>
    <w:rPr>
      <w:szCs w:val="24"/>
    </w:rPr>
  </w:style>
  <w:style w:type="character" w:customStyle="1" w:styleId="75">
    <w:name w:val="文档结构图 Char"/>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4"/>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5"/>
    <w:qFormat/>
    <w:uiPriority w:val="0"/>
    <w:rPr>
      <w:rFonts w:ascii="Times New Roman" w:hAnsi="Times New Roman" w:eastAsia="宋体" w:cs="Times New Roman"/>
      <w:sz w:val="18"/>
      <w:szCs w:val="18"/>
    </w:rPr>
  </w:style>
  <w:style w:type="character" w:customStyle="1" w:styleId="80">
    <w:name w:val="标题 8 Char"/>
    <w:link w:val="9"/>
    <w:qFormat/>
    <w:uiPriority w:val="0"/>
    <w:rPr>
      <w:rFonts w:ascii="Arial" w:hAnsi="Arial" w:eastAsia="黑体" w:cs="Times New Roman"/>
      <w:kern w:val="0"/>
      <w:sz w:val="24"/>
      <w:szCs w:val="24"/>
    </w:rPr>
  </w:style>
  <w:style w:type="character" w:customStyle="1" w:styleId="81">
    <w:name w:val="日期 Char"/>
    <w:link w:val="23"/>
    <w:qFormat/>
    <w:uiPriority w:val="0"/>
    <w:rPr>
      <w:rFonts w:ascii="Times New Roman" w:hAnsi="Times New Roman" w:eastAsia="宋体" w:cs="Times New Roman"/>
      <w:sz w:val="24"/>
      <w:szCs w:val="20"/>
    </w:rPr>
  </w:style>
  <w:style w:type="character" w:customStyle="1" w:styleId="82">
    <w:name w:val="标题 1 Char"/>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6"/>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1"/>
    <w:qFormat/>
    <w:uiPriority w:val="99"/>
    <w:rPr>
      <w:rFonts w:ascii="Courier New" w:hAnsi="Courier New"/>
    </w:rPr>
  </w:style>
  <w:style w:type="character" w:customStyle="1" w:styleId="98">
    <w:name w:val="标题 7 Char"/>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正文"/>
    <w:basedOn w:val="1"/>
    <w:qFormat/>
    <w:uiPriority w:val="0"/>
    <w:pPr>
      <w:widowControl/>
      <w:ind w:firstLine="200" w:firstLineChars="200"/>
    </w:pPr>
    <w:rPr>
      <w:rFonts w:ascii="仿宋_GB2312" w:eastAsia="仿宋_GB2312" w:cstheme="minorBidi"/>
      <w:sz w:val="24"/>
      <w:szCs w:val="28"/>
    </w:rPr>
  </w:style>
  <w:style w:type="paragraph" w:customStyle="1" w:styleId="169">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11270</Words>
  <Characters>11696</Characters>
  <Lines>397</Lines>
  <Paragraphs>112</Paragraphs>
  <TotalTime>3</TotalTime>
  <ScaleCrop>false</ScaleCrop>
  <LinksUpToDate>false</LinksUpToDate>
  <CharactersWithSpaces>12659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蒋淇</cp:lastModifiedBy>
  <cp:lastPrinted>2022-06-07T02:51:00Z</cp:lastPrinted>
  <dcterms:modified xsi:type="dcterms:W3CDTF">2024-07-12T08:04:30Z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CA9229BF7F204DA08DD95BC61990121B</vt:lpwstr>
  </property>
</Properties>
</file>