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宋体" w:hAnsi="宋体" w:cs="宋体"/>
          <w:b/>
          <w:sz w:val="32"/>
          <w:szCs w:val="32"/>
          <w:highlight w:val="none"/>
        </w:rPr>
      </w:pPr>
    </w:p>
    <w:p>
      <w:pPr>
        <w:jc w:val="center"/>
        <w:rPr>
          <w:rFonts w:hint="eastAsia" w:ascii="宋体" w:hAnsi="宋体" w:eastAsia="宋体" w:cs="宋体"/>
          <w:b/>
          <w:sz w:val="32"/>
          <w:szCs w:val="32"/>
          <w:highlight w:val="none"/>
          <w:lang w:val="en-US" w:eastAsia="zh-CN"/>
        </w:rPr>
      </w:pPr>
      <w:r>
        <w:rPr>
          <w:rFonts w:hint="eastAsia" w:ascii="宋体" w:hAnsi="宋体" w:cs="宋体"/>
          <w:b/>
          <w:sz w:val="32"/>
          <w:szCs w:val="32"/>
          <w:highlight w:val="none"/>
        </w:rPr>
        <w:t>项目名称：</w:t>
      </w:r>
      <w:r>
        <w:rPr>
          <w:rFonts w:hint="eastAsia" w:ascii="宋体" w:hAnsi="宋体" w:cs="宋体"/>
          <w:b/>
          <w:sz w:val="32"/>
          <w:szCs w:val="32"/>
          <w:highlight w:val="none"/>
          <w:lang w:eastAsia="zh-CN"/>
        </w:rPr>
        <w:t>曾家机电站办公用房装饰装修项目（第二次）</w:t>
      </w:r>
    </w:p>
    <w:p>
      <w:pPr>
        <w:pStyle w:val="2"/>
        <w:rPr>
          <w:rFonts w:hint="eastAsia"/>
        </w:rPr>
      </w:pPr>
    </w:p>
    <w:p>
      <w:pPr>
        <w:jc w:val="center"/>
        <w:rPr>
          <w:rFonts w:hint="eastAsia" w:ascii="宋体" w:hAnsi="宋体" w:cs="宋体"/>
          <w:b/>
          <w:sz w:val="48"/>
          <w:szCs w:val="48"/>
          <w:highlight w:val="none"/>
        </w:rPr>
      </w:pPr>
      <w:r>
        <w:rPr>
          <w:rFonts w:hint="eastAsia" w:ascii="宋体" w:hAnsi="宋体" w:cs="宋体"/>
          <w:b/>
          <w:sz w:val="48"/>
          <w:szCs w:val="48"/>
          <w:highlight w:val="none"/>
        </w:rPr>
        <w:t>竞</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争</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性</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比</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选</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文</w:t>
      </w:r>
    </w:p>
    <w:p>
      <w:pPr>
        <w:jc w:val="center"/>
        <w:rPr>
          <w:rFonts w:hint="eastAsia" w:ascii="宋体" w:hAnsi="宋体" w:cs="宋体"/>
          <w:b/>
          <w:sz w:val="48"/>
          <w:szCs w:val="48"/>
          <w:highlight w:val="none"/>
        </w:rPr>
      </w:pPr>
    </w:p>
    <w:p>
      <w:pPr>
        <w:jc w:val="center"/>
        <w:rPr>
          <w:rFonts w:hint="eastAsia" w:ascii="宋体" w:hAnsi="宋体" w:cs="宋体"/>
          <w:b/>
          <w:sz w:val="96"/>
          <w:szCs w:val="72"/>
          <w:highlight w:val="none"/>
        </w:rPr>
      </w:pPr>
      <w:r>
        <w:rPr>
          <w:rFonts w:hint="eastAsia" w:ascii="宋体" w:hAnsi="宋体" w:cs="宋体"/>
          <w:b/>
          <w:sz w:val="48"/>
          <w:szCs w:val="48"/>
          <w:highlight w:val="none"/>
        </w:rPr>
        <w:t>件</w:t>
      </w: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rPr>
          <w:rFonts w:hint="eastAsia"/>
          <w:highlight w:val="none"/>
        </w:rPr>
      </w:pPr>
    </w:p>
    <w:p>
      <w:pPr>
        <w:rPr>
          <w:rFonts w:hint="eastAsia"/>
          <w:highlight w:val="none"/>
        </w:rPr>
      </w:pPr>
    </w:p>
    <w:p>
      <w:pPr>
        <w:jc w:val="center"/>
        <w:rPr>
          <w:rFonts w:hint="eastAsia" w:ascii="宋体" w:hAnsi="宋体" w:cs="宋体"/>
          <w:b/>
          <w:sz w:val="28"/>
          <w:szCs w:val="28"/>
          <w:highlight w:val="none"/>
        </w:rPr>
      </w:pPr>
      <w:r>
        <w:rPr>
          <w:rFonts w:hint="eastAsia" w:ascii="宋体" w:hAnsi="宋体" w:cs="宋体"/>
          <w:b/>
          <w:sz w:val="28"/>
          <w:szCs w:val="28"/>
          <w:highlight w:val="none"/>
        </w:rPr>
        <w:t>采购人：重庆首讯科技股份有限公司</w:t>
      </w:r>
    </w:p>
    <w:p>
      <w:pPr>
        <w:jc w:val="center"/>
        <w:rPr>
          <w:rFonts w:ascii="宋体" w:hAnsi="宋体" w:cs="宋体"/>
          <w:b/>
          <w:sz w:val="28"/>
          <w:szCs w:val="28"/>
          <w:highlight w:val="none"/>
        </w:rPr>
      </w:pPr>
      <w:r>
        <w:rPr>
          <w:rFonts w:hint="eastAsia" w:ascii="宋体" w:hAnsi="宋体" w:cs="宋体"/>
          <w:b/>
          <w:sz w:val="28"/>
          <w:szCs w:val="28"/>
          <w:highlight w:val="none"/>
          <w:u w:val="single"/>
        </w:rPr>
        <w:t>202</w:t>
      </w:r>
      <w:r>
        <w:rPr>
          <w:rFonts w:hint="eastAsia" w:ascii="宋体" w:hAnsi="宋体" w:cs="宋体"/>
          <w:b/>
          <w:sz w:val="28"/>
          <w:szCs w:val="28"/>
          <w:highlight w:val="none"/>
          <w:u w:val="single"/>
          <w:lang w:val="en-US" w:eastAsia="zh-CN"/>
        </w:rPr>
        <w:t>4</w:t>
      </w:r>
      <w:r>
        <w:rPr>
          <w:rFonts w:hint="eastAsia" w:ascii="宋体" w:hAnsi="宋体" w:cs="宋体"/>
          <w:b/>
          <w:sz w:val="28"/>
          <w:szCs w:val="28"/>
          <w:highlight w:val="none"/>
        </w:rPr>
        <w:t>年</w:t>
      </w:r>
      <w:r>
        <w:rPr>
          <w:rFonts w:hint="eastAsia" w:ascii="宋体" w:hAnsi="宋体" w:cs="宋体"/>
          <w:b/>
          <w:sz w:val="28"/>
          <w:szCs w:val="28"/>
          <w:highlight w:val="none"/>
          <w:u w:val="single"/>
        </w:rPr>
        <w:t xml:space="preserve"> </w:t>
      </w:r>
      <w:r>
        <w:rPr>
          <w:rFonts w:hint="eastAsia" w:ascii="宋体" w:hAnsi="宋体" w:cs="宋体"/>
          <w:b/>
          <w:sz w:val="28"/>
          <w:szCs w:val="28"/>
          <w:highlight w:val="none"/>
          <w:u w:val="single"/>
          <w:lang w:val="en-US" w:eastAsia="zh-CN"/>
        </w:rPr>
        <w:t>7</w:t>
      </w:r>
      <w:r>
        <w:rPr>
          <w:rFonts w:hint="eastAsia" w:ascii="宋体" w:hAnsi="宋体" w:cs="宋体"/>
          <w:b/>
          <w:sz w:val="28"/>
          <w:szCs w:val="28"/>
          <w:highlight w:val="none"/>
        </w:rPr>
        <w:t>月</w:t>
      </w:r>
    </w:p>
    <w:p>
      <w:pPr>
        <w:pStyle w:val="29"/>
        <w:jc w:val="center"/>
        <w:rPr>
          <w:rFonts w:hint="eastAsia" w:ascii="宋体" w:hAnsi="宋体" w:cs="宋体"/>
          <w:szCs w:val="21"/>
          <w:highlight w:val="none"/>
        </w:rPr>
      </w:pPr>
      <w:r>
        <w:rPr>
          <w:highlight w:val="none"/>
        </w:rPr>
        <w:br w:type="page"/>
      </w:r>
      <w:bookmarkStart w:id="0" w:name="_Toc507428442"/>
      <w:bookmarkStart w:id="1" w:name="_Toc507319889"/>
      <w:bookmarkStart w:id="2" w:name="_Toc247085669"/>
      <w:bookmarkStart w:id="3" w:name="_Toc246996898"/>
      <w:bookmarkStart w:id="4" w:name="_Toc296602400"/>
      <w:r>
        <w:rPr>
          <w:rFonts w:hint="eastAsia" w:ascii="宋体" w:hAnsi="宋体" w:cs="宋体"/>
          <w:b w:val="0"/>
          <w:sz w:val="32"/>
          <w:highlight w:val="none"/>
        </w:rPr>
        <w:t>目   录</w:t>
      </w:r>
      <w:bookmarkEnd w:id="0"/>
      <w:bookmarkEnd w:id="1"/>
      <w:bookmarkEnd w:id="2"/>
      <w:bookmarkEnd w:id="3"/>
      <w:bookmarkEnd w:id="4"/>
    </w:p>
    <w:p>
      <w:pPr>
        <w:pStyle w:val="29"/>
        <w:tabs>
          <w:tab w:val="right" w:leader="dot" w:pos="9638"/>
        </w:tabs>
        <w:rPr>
          <w:highlight w:val="none"/>
        </w:rPr>
      </w:pPr>
      <w:r>
        <w:rPr>
          <w:rFonts w:hint="eastAsia" w:ascii="宋体" w:hAnsi="宋体" w:cs="宋体"/>
          <w:b w:val="0"/>
          <w:bCs w:val="0"/>
          <w:caps w:val="0"/>
          <w:highlight w:val="none"/>
        </w:rPr>
        <w:fldChar w:fldCharType="begin"/>
      </w:r>
      <w:r>
        <w:rPr>
          <w:rFonts w:hint="eastAsia" w:ascii="宋体" w:hAnsi="宋体" w:cs="宋体"/>
          <w:b w:val="0"/>
          <w:bCs w:val="0"/>
          <w:caps w:val="0"/>
          <w:highlight w:val="none"/>
        </w:rPr>
        <w:instrText xml:space="preserve"> TOC \o "1-2" \h \z \u </w:instrText>
      </w:r>
      <w:r>
        <w:rPr>
          <w:rFonts w:hint="eastAsia" w:ascii="宋体" w:hAnsi="宋体" w:cs="宋体"/>
          <w:b w:val="0"/>
          <w:bCs w:val="0"/>
          <w:caps w:val="0"/>
          <w:highlight w:val="none"/>
        </w:rPr>
        <w:fldChar w:fldCharType="separate"/>
      </w:r>
      <w:r>
        <w:rPr>
          <w:rFonts w:hint="eastAsia" w:ascii="宋体" w:hAnsi="宋体" w:cs="宋体"/>
          <w:bCs w:val="0"/>
          <w:caps w:val="0"/>
          <w:highlight w:val="none"/>
        </w:rPr>
        <w:fldChar w:fldCharType="begin"/>
      </w:r>
      <w:r>
        <w:rPr>
          <w:rFonts w:hint="eastAsia" w:ascii="宋体" w:hAnsi="宋体" w:cs="宋体"/>
          <w:bCs w:val="0"/>
          <w:caps w:val="0"/>
          <w:highlight w:val="none"/>
        </w:rPr>
        <w:instrText xml:space="preserve"> HYPERLINK \l _Toc10533 </w:instrText>
      </w:r>
      <w:r>
        <w:rPr>
          <w:rFonts w:hint="eastAsia" w:ascii="宋体" w:hAnsi="宋体" w:cs="宋体"/>
          <w:bCs w:val="0"/>
          <w:caps w:val="0"/>
          <w:highlight w:val="none"/>
        </w:rPr>
        <w:fldChar w:fldCharType="separate"/>
      </w:r>
      <w:r>
        <w:rPr>
          <w:rFonts w:hint="eastAsia" w:ascii="宋体" w:hAnsi="宋体" w:cs="宋体"/>
          <w:highlight w:val="none"/>
        </w:rPr>
        <w:t>第一章 比选公告</w:t>
      </w:r>
      <w:r>
        <w:rPr>
          <w:highlight w:val="none"/>
        </w:rPr>
        <w:tab/>
      </w:r>
      <w:r>
        <w:rPr>
          <w:highlight w:val="none"/>
        </w:rPr>
        <w:fldChar w:fldCharType="begin"/>
      </w:r>
      <w:r>
        <w:rPr>
          <w:highlight w:val="none"/>
        </w:rPr>
        <w:instrText xml:space="preserve"> PAGEREF _Toc10533 </w:instrText>
      </w:r>
      <w:r>
        <w:rPr>
          <w:highlight w:val="none"/>
        </w:rPr>
        <w:fldChar w:fldCharType="separate"/>
      </w:r>
      <w:r>
        <w:rPr>
          <w:highlight w:val="none"/>
        </w:rPr>
        <w:t>1</w:t>
      </w:r>
      <w:r>
        <w:rPr>
          <w:highlight w:val="none"/>
        </w:rPr>
        <w:fldChar w:fldCharType="end"/>
      </w:r>
      <w:r>
        <w:rPr>
          <w:rFonts w:hint="eastAsia" w:ascii="宋体" w:hAnsi="宋体" w:cs="宋体"/>
          <w:bCs w:val="0"/>
          <w:caps w:val="0"/>
          <w:highlight w:val="none"/>
        </w:rPr>
        <w:fldChar w:fldCharType="end"/>
      </w:r>
    </w:p>
    <w:p>
      <w:pPr>
        <w:pStyle w:val="29"/>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_Toc21719 </w:instrText>
      </w:r>
      <w:r>
        <w:rPr>
          <w:rFonts w:hint="eastAsia" w:ascii="宋体" w:hAnsi="宋体" w:cs="宋体"/>
          <w:bCs/>
          <w:caps/>
          <w:highlight w:val="none"/>
        </w:rPr>
        <w:fldChar w:fldCharType="separate"/>
      </w:r>
      <w:r>
        <w:rPr>
          <w:rFonts w:hint="eastAsia" w:ascii="宋体" w:hAnsi="宋体" w:cs="宋体"/>
          <w:highlight w:val="none"/>
        </w:rPr>
        <w:t>第二章 报价人须知</w:t>
      </w:r>
      <w:r>
        <w:rPr>
          <w:highlight w:val="none"/>
        </w:rPr>
        <w:tab/>
      </w:r>
      <w:r>
        <w:rPr>
          <w:highlight w:val="none"/>
        </w:rPr>
        <w:fldChar w:fldCharType="begin"/>
      </w:r>
      <w:r>
        <w:rPr>
          <w:highlight w:val="none"/>
        </w:rPr>
        <w:instrText xml:space="preserve"> PAGEREF _Toc21719 </w:instrText>
      </w:r>
      <w:r>
        <w:rPr>
          <w:highlight w:val="none"/>
        </w:rPr>
        <w:fldChar w:fldCharType="separate"/>
      </w:r>
      <w:r>
        <w:rPr>
          <w:highlight w:val="none"/>
        </w:rPr>
        <w:t>3</w:t>
      </w:r>
      <w:r>
        <w:rPr>
          <w:highlight w:val="none"/>
        </w:rPr>
        <w:fldChar w:fldCharType="end"/>
      </w:r>
      <w:r>
        <w:rPr>
          <w:rFonts w:hint="eastAsia" w:ascii="宋体" w:hAnsi="宋体" w:cs="宋体"/>
          <w:bCs/>
          <w:caps/>
          <w:highlight w:val="none"/>
        </w:rPr>
        <w:fldChar w:fldCharType="end"/>
      </w:r>
    </w:p>
    <w:p>
      <w:pPr>
        <w:pStyle w:val="29"/>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_Toc7682 </w:instrText>
      </w:r>
      <w:r>
        <w:rPr>
          <w:rFonts w:hint="eastAsia" w:ascii="宋体" w:hAnsi="宋体" w:cs="宋体"/>
          <w:bCs/>
          <w:caps/>
          <w:highlight w:val="none"/>
        </w:rPr>
        <w:fldChar w:fldCharType="separate"/>
      </w:r>
      <w:r>
        <w:rPr>
          <w:rFonts w:hint="eastAsia" w:ascii="宋体" w:hAnsi="宋体" w:cs="宋体"/>
          <w:highlight w:val="none"/>
        </w:rPr>
        <w:t>第三章 评标办法（经评审的最低投标价法）</w:t>
      </w:r>
      <w:r>
        <w:rPr>
          <w:highlight w:val="none"/>
        </w:rPr>
        <w:tab/>
      </w:r>
      <w:r>
        <w:rPr>
          <w:highlight w:val="none"/>
        </w:rPr>
        <w:fldChar w:fldCharType="begin"/>
      </w:r>
      <w:r>
        <w:rPr>
          <w:highlight w:val="none"/>
        </w:rPr>
        <w:instrText xml:space="preserve"> PAGEREF _Toc7682 </w:instrText>
      </w:r>
      <w:r>
        <w:rPr>
          <w:highlight w:val="none"/>
        </w:rPr>
        <w:fldChar w:fldCharType="separate"/>
      </w:r>
      <w:r>
        <w:rPr>
          <w:highlight w:val="none"/>
        </w:rPr>
        <w:t>10</w:t>
      </w:r>
      <w:r>
        <w:rPr>
          <w:highlight w:val="none"/>
        </w:rPr>
        <w:fldChar w:fldCharType="end"/>
      </w:r>
      <w:r>
        <w:rPr>
          <w:rFonts w:hint="eastAsia" w:ascii="宋体" w:hAnsi="宋体" w:cs="宋体"/>
          <w:bCs/>
          <w:caps/>
          <w:highlight w:val="none"/>
        </w:rPr>
        <w:fldChar w:fldCharType="end"/>
      </w:r>
    </w:p>
    <w:p>
      <w:pPr>
        <w:pStyle w:val="29"/>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_Toc13787 </w:instrText>
      </w:r>
      <w:r>
        <w:rPr>
          <w:rFonts w:hint="eastAsia" w:ascii="宋体" w:hAnsi="宋体" w:cs="宋体"/>
          <w:bCs/>
          <w:caps/>
          <w:highlight w:val="none"/>
        </w:rPr>
        <w:fldChar w:fldCharType="separate"/>
      </w:r>
      <w:r>
        <w:rPr>
          <w:rFonts w:hint="eastAsia"/>
          <w:bCs/>
          <w:highlight w:val="none"/>
          <w:lang w:val="en-US" w:eastAsia="zh-CN"/>
        </w:rPr>
        <w:t>第四章 报价说明</w:t>
      </w:r>
      <w:r>
        <w:rPr>
          <w:highlight w:val="none"/>
        </w:rPr>
        <w:tab/>
      </w:r>
      <w:r>
        <w:rPr>
          <w:highlight w:val="none"/>
        </w:rPr>
        <w:fldChar w:fldCharType="begin"/>
      </w:r>
      <w:r>
        <w:rPr>
          <w:highlight w:val="none"/>
        </w:rPr>
        <w:instrText xml:space="preserve"> PAGEREF _Toc13787 </w:instrText>
      </w:r>
      <w:r>
        <w:rPr>
          <w:highlight w:val="none"/>
        </w:rPr>
        <w:fldChar w:fldCharType="separate"/>
      </w:r>
      <w:r>
        <w:rPr>
          <w:highlight w:val="none"/>
        </w:rPr>
        <w:t>12</w:t>
      </w:r>
      <w:r>
        <w:rPr>
          <w:highlight w:val="none"/>
        </w:rPr>
        <w:fldChar w:fldCharType="end"/>
      </w:r>
      <w:r>
        <w:rPr>
          <w:rFonts w:hint="eastAsia" w:ascii="宋体" w:hAnsi="宋体" w:cs="宋体"/>
          <w:bCs/>
          <w:caps/>
          <w:highlight w:val="none"/>
        </w:rPr>
        <w:fldChar w:fldCharType="end"/>
      </w:r>
    </w:p>
    <w:p>
      <w:pPr>
        <w:pStyle w:val="29"/>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_Toc24503 </w:instrText>
      </w:r>
      <w:r>
        <w:rPr>
          <w:rFonts w:hint="eastAsia" w:ascii="宋体" w:hAnsi="宋体" w:cs="宋体"/>
          <w:bCs/>
          <w:caps/>
          <w:highlight w:val="none"/>
        </w:rPr>
        <w:fldChar w:fldCharType="separate"/>
      </w:r>
      <w:r>
        <w:rPr>
          <w:rFonts w:hint="eastAsia" w:ascii="宋体" w:hAnsi="宋体" w:cs="宋体"/>
          <w:highlight w:val="none"/>
        </w:rPr>
        <w:t>第五章  工程量清单</w:t>
      </w:r>
      <w:r>
        <w:rPr>
          <w:rFonts w:hint="eastAsia" w:ascii="宋体" w:hAnsi="宋体" w:cs="宋体"/>
          <w:highlight w:val="none"/>
          <w:lang w:val="en-US" w:eastAsia="zh-CN"/>
        </w:rPr>
        <w:t>及</w:t>
      </w:r>
      <w:r>
        <w:rPr>
          <w:rFonts w:hint="eastAsia" w:ascii="宋体" w:hAnsi="宋体" w:cs="宋体"/>
          <w:highlight w:val="none"/>
        </w:rPr>
        <w:t>计量规则</w:t>
      </w:r>
      <w:r>
        <w:rPr>
          <w:highlight w:val="none"/>
        </w:rPr>
        <w:tab/>
      </w:r>
      <w:r>
        <w:rPr>
          <w:highlight w:val="none"/>
        </w:rPr>
        <w:fldChar w:fldCharType="begin"/>
      </w:r>
      <w:r>
        <w:rPr>
          <w:highlight w:val="none"/>
        </w:rPr>
        <w:instrText xml:space="preserve"> PAGEREF _Toc24503 </w:instrText>
      </w:r>
      <w:r>
        <w:rPr>
          <w:highlight w:val="none"/>
        </w:rPr>
        <w:fldChar w:fldCharType="separate"/>
      </w:r>
      <w:r>
        <w:rPr>
          <w:highlight w:val="none"/>
        </w:rPr>
        <w:t>14</w:t>
      </w:r>
      <w:r>
        <w:rPr>
          <w:highlight w:val="none"/>
        </w:rPr>
        <w:fldChar w:fldCharType="end"/>
      </w:r>
      <w:r>
        <w:rPr>
          <w:rFonts w:hint="eastAsia" w:ascii="宋体" w:hAnsi="宋体" w:cs="宋体"/>
          <w:bCs/>
          <w:caps/>
          <w:highlight w:val="none"/>
        </w:rPr>
        <w:fldChar w:fldCharType="end"/>
      </w:r>
    </w:p>
    <w:p>
      <w:pPr>
        <w:pStyle w:val="29"/>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_Toc12440 </w:instrText>
      </w:r>
      <w:r>
        <w:rPr>
          <w:rFonts w:hint="eastAsia" w:ascii="宋体" w:hAnsi="宋体" w:cs="宋体"/>
          <w:bCs/>
          <w:caps/>
          <w:highlight w:val="none"/>
        </w:rPr>
        <w:fldChar w:fldCharType="separate"/>
      </w:r>
      <w:r>
        <w:rPr>
          <w:rFonts w:hint="eastAsia" w:ascii="宋体" w:hAnsi="宋体" w:cs="宋体"/>
          <w:highlight w:val="none"/>
        </w:rPr>
        <w:t>第六章  图  纸</w:t>
      </w:r>
      <w:r>
        <w:rPr>
          <w:highlight w:val="none"/>
        </w:rPr>
        <w:tab/>
      </w:r>
      <w:r>
        <w:rPr>
          <w:highlight w:val="none"/>
        </w:rPr>
        <w:fldChar w:fldCharType="begin"/>
      </w:r>
      <w:r>
        <w:rPr>
          <w:highlight w:val="none"/>
        </w:rPr>
        <w:instrText xml:space="preserve"> PAGEREF _Toc12440 </w:instrText>
      </w:r>
      <w:r>
        <w:rPr>
          <w:highlight w:val="none"/>
        </w:rPr>
        <w:fldChar w:fldCharType="separate"/>
      </w:r>
      <w:r>
        <w:rPr>
          <w:highlight w:val="none"/>
        </w:rPr>
        <w:t>15</w:t>
      </w:r>
      <w:r>
        <w:rPr>
          <w:highlight w:val="none"/>
        </w:rPr>
        <w:fldChar w:fldCharType="end"/>
      </w:r>
      <w:r>
        <w:rPr>
          <w:rFonts w:hint="eastAsia" w:ascii="宋体" w:hAnsi="宋体" w:cs="宋体"/>
          <w:bCs/>
          <w:caps/>
          <w:highlight w:val="none"/>
        </w:rPr>
        <w:fldChar w:fldCharType="end"/>
      </w:r>
    </w:p>
    <w:p>
      <w:pPr>
        <w:pStyle w:val="29"/>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_Toc10887 </w:instrText>
      </w:r>
      <w:r>
        <w:rPr>
          <w:rFonts w:hint="eastAsia" w:ascii="宋体" w:hAnsi="宋体" w:cs="宋体"/>
          <w:bCs/>
          <w:caps/>
          <w:highlight w:val="none"/>
        </w:rPr>
        <w:fldChar w:fldCharType="separate"/>
      </w:r>
      <w:r>
        <w:rPr>
          <w:rFonts w:hint="eastAsia" w:ascii="宋体" w:hAnsi="宋体" w:cs="宋体"/>
          <w:highlight w:val="none"/>
        </w:rPr>
        <w:t>第七章  技术标准和工作要求</w:t>
      </w:r>
      <w:r>
        <w:rPr>
          <w:highlight w:val="none"/>
        </w:rPr>
        <w:tab/>
      </w:r>
      <w:r>
        <w:rPr>
          <w:highlight w:val="none"/>
        </w:rPr>
        <w:fldChar w:fldCharType="begin"/>
      </w:r>
      <w:r>
        <w:rPr>
          <w:highlight w:val="none"/>
        </w:rPr>
        <w:instrText xml:space="preserve"> PAGEREF _Toc10887 </w:instrText>
      </w:r>
      <w:r>
        <w:rPr>
          <w:highlight w:val="none"/>
        </w:rPr>
        <w:fldChar w:fldCharType="separate"/>
      </w:r>
      <w:r>
        <w:rPr>
          <w:highlight w:val="none"/>
        </w:rPr>
        <w:t>16</w:t>
      </w:r>
      <w:r>
        <w:rPr>
          <w:highlight w:val="none"/>
        </w:rPr>
        <w:fldChar w:fldCharType="end"/>
      </w:r>
      <w:r>
        <w:rPr>
          <w:rFonts w:hint="eastAsia" w:ascii="宋体" w:hAnsi="宋体" w:cs="宋体"/>
          <w:bCs/>
          <w:caps/>
          <w:highlight w:val="none"/>
        </w:rPr>
        <w:fldChar w:fldCharType="end"/>
      </w:r>
    </w:p>
    <w:p>
      <w:pPr>
        <w:pStyle w:val="29"/>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_Toc12089 </w:instrText>
      </w:r>
      <w:r>
        <w:rPr>
          <w:rFonts w:hint="eastAsia" w:ascii="宋体" w:hAnsi="宋体" w:cs="宋体"/>
          <w:bCs/>
          <w:caps/>
          <w:highlight w:val="none"/>
        </w:rPr>
        <w:fldChar w:fldCharType="separate"/>
      </w:r>
      <w:r>
        <w:rPr>
          <w:rFonts w:hint="eastAsia" w:ascii="宋体" w:hAnsi="宋体" w:cs="宋体"/>
          <w:highlight w:val="none"/>
        </w:rPr>
        <w:t xml:space="preserve">第八章  </w:t>
      </w:r>
      <w:r>
        <w:rPr>
          <w:rFonts w:hint="eastAsia" w:ascii="宋体" w:hAnsi="宋体" w:cs="宋体"/>
          <w:highlight w:val="none"/>
          <w:lang w:val="en-US" w:eastAsia="zh-CN"/>
        </w:rPr>
        <w:t>合同范本</w:t>
      </w:r>
      <w:r>
        <w:rPr>
          <w:highlight w:val="none"/>
        </w:rPr>
        <w:tab/>
      </w:r>
      <w:r>
        <w:rPr>
          <w:highlight w:val="none"/>
        </w:rPr>
        <w:fldChar w:fldCharType="begin"/>
      </w:r>
      <w:r>
        <w:rPr>
          <w:highlight w:val="none"/>
        </w:rPr>
        <w:instrText xml:space="preserve"> PAGEREF _Toc12089 </w:instrText>
      </w:r>
      <w:r>
        <w:rPr>
          <w:highlight w:val="none"/>
        </w:rPr>
        <w:fldChar w:fldCharType="separate"/>
      </w:r>
      <w:r>
        <w:rPr>
          <w:highlight w:val="none"/>
        </w:rPr>
        <w:t>16</w:t>
      </w:r>
      <w:r>
        <w:rPr>
          <w:highlight w:val="none"/>
        </w:rPr>
        <w:fldChar w:fldCharType="end"/>
      </w:r>
      <w:r>
        <w:rPr>
          <w:rFonts w:hint="eastAsia" w:ascii="宋体" w:hAnsi="宋体" w:cs="宋体"/>
          <w:bCs/>
          <w:caps/>
          <w:highlight w:val="none"/>
        </w:rPr>
        <w:fldChar w:fldCharType="end"/>
      </w:r>
    </w:p>
    <w:p>
      <w:pPr>
        <w:pStyle w:val="29"/>
        <w:tabs>
          <w:tab w:val="right" w:leader="dot" w:pos="9638"/>
        </w:tabs>
        <w:rPr>
          <w:rFonts w:hint="eastAsia" w:ascii="宋体" w:hAnsi="宋体" w:cs="宋体"/>
          <w:bCs/>
          <w:caps/>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_Toc24853 </w:instrText>
      </w:r>
      <w:r>
        <w:rPr>
          <w:rFonts w:hint="eastAsia" w:ascii="宋体" w:hAnsi="宋体" w:cs="宋体"/>
          <w:bCs/>
          <w:caps/>
          <w:highlight w:val="none"/>
        </w:rPr>
        <w:fldChar w:fldCharType="separate"/>
      </w:r>
      <w:r>
        <w:rPr>
          <w:rFonts w:hint="eastAsia" w:ascii="宋体" w:hAnsi="宋体" w:cs="宋体"/>
          <w:highlight w:val="none"/>
        </w:rPr>
        <w:t>第九章  竞争性比选响应文件格式</w:t>
      </w:r>
      <w:r>
        <w:rPr>
          <w:highlight w:val="none"/>
        </w:rPr>
        <w:tab/>
      </w:r>
      <w:r>
        <w:rPr>
          <w:highlight w:val="none"/>
        </w:rPr>
        <w:fldChar w:fldCharType="begin"/>
      </w:r>
      <w:r>
        <w:rPr>
          <w:highlight w:val="none"/>
        </w:rPr>
        <w:instrText xml:space="preserve"> PAGEREF _Toc24853 </w:instrText>
      </w:r>
      <w:r>
        <w:rPr>
          <w:highlight w:val="none"/>
        </w:rPr>
        <w:fldChar w:fldCharType="separate"/>
      </w:r>
      <w:r>
        <w:rPr>
          <w:highlight w:val="none"/>
        </w:rPr>
        <w:t>18</w:t>
      </w:r>
      <w:r>
        <w:rPr>
          <w:highlight w:val="none"/>
        </w:rPr>
        <w:fldChar w:fldCharType="end"/>
      </w:r>
      <w:r>
        <w:rPr>
          <w:rFonts w:hint="eastAsia" w:ascii="宋体" w:hAnsi="宋体" w:cs="宋体"/>
          <w:bCs/>
          <w:caps/>
          <w:highlight w:val="none"/>
        </w:rPr>
        <w:fldChar w:fldCharType="end"/>
      </w:r>
    </w:p>
    <w:p/>
    <w:p>
      <w:pPr>
        <w:pStyle w:val="35"/>
        <w:tabs>
          <w:tab w:val="right" w:leader="dot" w:pos="9628"/>
        </w:tabs>
        <w:ind w:left="0" w:leftChars="0" w:firstLine="0" w:firstLineChars="0"/>
        <w:rPr>
          <w:rFonts w:ascii="宋体" w:hAnsi="宋体" w:cs="宋体"/>
          <w:b/>
          <w:bCs/>
          <w:caps/>
          <w:highlight w:val="none"/>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cs="宋体"/>
          <w:bCs/>
          <w:caps/>
          <w:highlight w:val="none"/>
        </w:rPr>
        <w:fldChar w:fldCharType="end"/>
      </w:r>
    </w:p>
    <w:p>
      <w:pPr>
        <w:pStyle w:val="4"/>
        <w:spacing w:before="0" w:after="0" w:line="360" w:lineRule="auto"/>
        <w:jc w:val="center"/>
        <w:rPr>
          <w:rFonts w:hint="eastAsia" w:ascii="宋体" w:hAnsi="宋体" w:cs="宋体"/>
          <w:highlight w:val="none"/>
        </w:rPr>
      </w:pPr>
      <w:bookmarkStart w:id="5" w:name="_Toc179632527"/>
      <w:bookmarkStart w:id="6" w:name="_Toc152045511"/>
      <w:bookmarkStart w:id="7" w:name="_Toc247096243"/>
      <w:bookmarkStart w:id="8" w:name="_Toc247085671"/>
      <w:bookmarkStart w:id="9" w:name="_Toc507319890"/>
      <w:bookmarkStart w:id="10" w:name="_Toc2000404"/>
      <w:bookmarkStart w:id="11" w:name="_Toc246996157"/>
      <w:bookmarkStart w:id="12" w:name="_Toc246996900"/>
      <w:bookmarkStart w:id="13" w:name="_Toc144974479"/>
      <w:bookmarkStart w:id="14" w:name="_Toc152042287"/>
      <w:bookmarkStart w:id="15" w:name="_Toc10533"/>
      <w:r>
        <w:rPr>
          <w:rFonts w:hint="eastAsia" w:ascii="宋体" w:hAnsi="宋体" w:cs="宋体"/>
          <w:highlight w:val="none"/>
        </w:rPr>
        <w:t xml:space="preserve">第一章 </w:t>
      </w:r>
      <w:bookmarkEnd w:id="5"/>
      <w:bookmarkEnd w:id="6"/>
      <w:bookmarkEnd w:id="7"/>
      <w:bookmarkEnd w:id="8"/>
      <w:bookmarkEnd w:id="9"/>
      <w:bookmarkEnd w:id="10"/>
      <w:bookmarkEnd w:id="11"/>
      <w:bookmarkEnd w:id="12"/>
      <w:bookmarkEnd w:id="13"/>
      <w:bookmarkEnd w:id="14"/>
      <w:r>
        <w:rPr>
          <w:rFonts w:hint="eastAsia" w:ascii="宋体" w:hAnsi="宋体" w:cs="宋体"/>
          <w:highlight w:val="none"/>
        </w:rPr>
        <w:t>比选公告</w:t>
      </w:r>
      <w:bookmarkEnd w:id="15"/>
    </w:p>
    <w:p>
      <w:pPr>
        <w:spacing w:line="440" w:lineRule="exact"/>
        <w:jc w:val="center"/>
        <w:rPr>
          <w:rFonts w:hint="eastAsia" w:ascii="宋体" w:hAnsi="宋体" w:cs="宋体"/>
          <w:b/>
          <w:sz w:val="28"/>
          <w:szCs w:val="28"/>
          <w:highlight w:val="none"/>
        </w:rPr>
      </w:pPr>
      <w:bookmarkStart w:id="16" w:name="OLE_LINK2"/>
      <w:bookmarkStart w:id="17" w:name="OLE_LINK3"/>
    </w:p>
    <w:p>
      <w:pPr>
        <w:pStyle w:val="5"/>
        <w:spacing w:before="0" w:after="0" w:line="360" w:lineRule="auto"/>
        <w:rPr>
          <w:rFonts w:hint="eastAsia" w:ascii="宋体" w:hAnsi="宋体" w:eastAsia="宋体" w:cs="宋体"/>
          <w:highlight w:val="none"/>
        </w:rPr>
      </w:pPr>
      <w:bookmarkStart w:id="18" w:name="_Toc6549"/>
      <w:bookmarkStart w:id="19" w:name="_Toc152042288"/>
      <w:bookmarkStart w:id="20" w:name="_Toc179632528"/>
      <w:bookmarkStart w:id="21" w:name="_Toc152045512"/>
      <w:bookmarkStart w:id="22" w:name="_Toc246996901"/>
      <w:bookmarkStart w:id="23" w:name="_Toc10076"/>
      <w:bookmarkStart w:id="24" w:name="_Toc24874"/>
      <w:bookmarkStart w:id="25" w:name="_Toc247085672"/>
      <w:bookmarkStart w:id="26" w:name="_Toc507319891"/>
      <w:bookmarkStart w:id="27" w:name="_Toc246996158"/>
      <w:bookmarkStart w:id="28" w:name="_Toc11329213"/>
      <w:bookmarkStart w:id="29" w:name="_Toc144974480"/>
      <w:r>
        <w:rPr>
          <w:rFonts w:hint="eastAsia" w:ascii="宋体" w:hAnsi="宋体" w:eastAsia="宋体" w:cs="宋体"/>
          <w:highlight w:val="none"/>
        </w:rPr>
        <w:t>1. 比选条件</w:t>
      </w:r>
      <w:bookmarkEnd w:id="18"/>
      <w:bookmarkEnd w:id="19"/>
      <w:bookmarkEnd w:id="20"/>
      <w:bookmarkEnd w:id="21"/>
      <w:bookmarkEnd w:id="22"/>
      <w:bookmarkEnd w:id="23"/>
      <w:bookmarkEnd w:id="24"/>
      <w:bookmarkEnd w:id="25"/>
      <w:bookmarkEnd w:id="26"/>
      <w:bookmarkEnd w:id="27"/>
      <w:bookmarkEnd w:id="28"/>
      <w:bookmarkEnd w:id="29"/>
    </w:p>
    <w:p>
      <w:pPr>
        <w:spacing w:line="400" w:lineRule="exact"/>
        <w:rPr>
          <w:rFonts w:hint="eastAsia" w:ascii="宋体" w:hAnsi="宋体" w:cs="宋体"/>
          <w:szCs w:val="21"/>
          <w:highlight w:val="none"/>
        </w:rPr>
      </w:pPr>
      <w:r>
        <w:rPr>
          <w:rFonts w:hint="eastAsia" w:ascii="宋体" w:hAnsi="宋体" w:cs="宋体"/>
          <w:szCs w:val="21"/>
          <w:highlight w:val="none"/>
          <w:lang w:val="en-US" w:eastAsia="zh-CN"/>
        </w:rPr>
        <w:t xml:space="preserve">  </w:t>
      </w:r>
      <w:r>
        <w:rPr>
          <w:rFonts w:hint="eastAsia" w:ascii="宋体" w:hAnsi="宋体" w:cs="宋体"/>
          <w:szCs w:val="21"/>
          <w:highlight w:val="none"/>
        </w:rPr>
        <w:t>本竞争性比选项目</w:t>
      </w:r>
      <w:r>
        <w:rPr>
          <w:rFonts w:hint="eastAsia" w:ascii="宋体" w:hAnsi="宋体" w:cs="宋体"/>
          <w:szCs w:val="21"/>
          <w:highlight w:val="none"/>
          <w:u w:val="single"/>
          <w:lang w:eastAsia="zh-CN"/>
        </w:rPr>
        <w:t>曾家机电站办公用房装饰装修项目（第二次）</w:t>
      </w:r>
      <w:r>
        <w:rPr>
          <w:rFonts w:hint="eastAsia" w:ascii="宋体" w:hAnsi="宋体" w:cs="宋体"/>
          <w:szCs w:val="21"/>
          <w:highlight w:val="none"/>
        </w:rPr>
        <w:t>，采购人为</w:t>
      </w:r>
      <w:r>
        <w:rPr>
          <w:rFonts w:hint="eastAsia" w:ascii="宋体" w:hAnsi="宋体" w:cs="宋体"/>
          <w:szCs w:val="21"/>
          <w:highlight w:val="none"/>
          <w:u w:val="single"/>
        </w:rPr>
        <w:t xml:space="preserve"> 重庆首讯科技股份有限公司 </w:t>
      </w:r>
      <w:r>
        <w:rPr>
          <w:rFonts w:hint="eastAsia" w:ascii="宋体" w:hAnsi="宋体" w:cs="宋体"/>
          <w:szCs w:val="21"/>
          <w:highlight w:val="none"/>
        </w:rPr>
        <w:t>，该项目已具备比选条件，现对该项目进行竞争性比选。</w:t>
      </w:r>
    </w:p>
    <w:p>
      <w:pPr>
        <w:pStyle w:val="5"/>
        <w:spacing w:before="120" w:after="0" w:line="360" w:lineRule="auto"/>
        <w:rPr>
          <w:rFonts w:hint="eastAsia" w:ascii="宋体" w:hAnsi="宋体" w:eastAsia="宋体" w:cs="宋体"/>
          <w:highlight w:val="none"/>
        </w:rPr>
      </w:pPr>
      <w:bookmarkStart w:id="30" w:name="_Toc246996159"/>
      <w:bookmarkStart w:id="31" w:name="_Toc152045513"/>
      <w:bookmarkStart w:id="32" w:name="_Toc10952"/>
      <w:bookmarkStart w:id="33" w:name="_Toc152042289"/>
      <w:bookmarkStart w:id="34" w:name="_Toc179632529"/>
      <w:bookmarkStart w:id="35" w:name="_Toc247085673"/>
      <w:bookmarkStart w:id="36" w:name="_Toc507319892"/>
      <w:bookmarkStart w:id="37" w:name="_Toc246996902"/>
      <w:bookmarkStart w:id="38" w:name="_Toc144974481"/>
      <w:bookmarkStart w:id="39" w:name="_Toc18109"/>
      <w:bookmarkStart w:id="40" w:name="_Toc21343"/>
      <w:bookmarkStart w:id="41" w:name="_Toc11329214"/>
      <w:r>
        <w:rPr>
          <w:rFonts w:hint="eastAsia" w:ascii="宋体" w:hAnsi="宋体" w:eastAsia="宋体" w:cs="宋体"/>
          <w:highlight w:val="none"/>
        </w:rPr>
        <w:t>2. 项目概况与比选范围</w:t>
      </w:r>
      <w:bookmarkEnd w:id="30"/>
      <w:bookmarkEnd w:id="31"/>
      <w:bookmarkEnd w:id="32"/>
      <w:bookmarkEnd w:id="33"/>
      <w:bookmarkEnd w:id="34"/>
      <w:bookmarkEnd w:id="35"/>
      <w:bookmarkEnd w:id="36"/>
      <w:bookmarkEnd w:id="37"/>
      <w:bookmarkEnd w:id="38"/>
      <w:bookmarkEnd w:id="39"/>
      <w:bookmarkEnd w:id="40"/>
      <w:bookmarkEnd w:id="41"/>
    </w:p>
    <w:p>
      <w:pPr>
        <w:spacing w:line="360" w:lineRule="auto"/>
        <w:ind w:firstLine="420" w:firstLineChars="200"/>
        <w:rPr>
          <w:rFonts w:hint="default"/>
          <w:lang w:val="en-US" w:eastAsia="zh-CN"/>
        </w:rPr>
      </w:pPr>
      <w:bookmarkStart w:id="42" w:name="_Toc446247226"/>
      <w:r>
        <w:rPr>
          <w:rFonts w:hint="eastAsia" w:ascii="宋体" w:hAnsi="宋体" w:cs="宋体"/>
          <w:highlight w:val="none"/>
        </w:rPr>
        <w:t>2.1 项目地点：</w:t>
      </w:r>
      <w:bookmarkEnd w:id="42"/>
      <w:r>
        <w:rPr>
          <w:rFonts w:hint="eastAsia" w:ascii="宋体" w:hAnsi="宋体" w:cs="宋体"/>
          <w:highlight w:val="none"/>
        </w:rPr>
        <w:t>中渝公司曾家收费站</w:t>
      </w:r>
      <w:r>
        <w:rPr>
          <w:rFonts w:hint="eastAsia" w:ascii="宋体" w:hAnsi="宋体" w:cs="宋体"/>
          <w:highlight w:val="none"/>
          <w:lang w:eastAsia="zh-CN"/>
        </w:rPr>
        <w:t>。</w:t>
      </w:r>
    </w:p>
    <w:p>
      <w:pPr>
        <w:pStyle w:val="14"/>
        <w:adjustRightInd w:val="0"/>
        <w:spacing w:line="400" w:lineRule="exact"/>
        <w:jc w:val="both"/>
        <w:rPr>
          <w:rFonts w:hint="default" w:ascii="宋体" w:hAnsi="宋体" w:eastAsia="宋体" w:cs="宋体"/>
          <w:kern w:val="2"/>
          <w:sz w:val="21"/>
          <w:szCs w:val="24"/>
          <w:highlight w:val="none"/>
          <w:lang w:val="en-US" w:eastAsia="zh-CN" w:bidi="ar-SA"/>
        </w:rPr>
      </w:pPr>
      <w:r>
        <w:rPr>
          <w:rFonts w:hint="eastAsia" w:ascii="宋体" w:hAnsi="宋体" w:cs="宋体"/>
          <w:szCs w:val="21"/>
          <w:highlight w:val="none"/>
        </w:rPr>
        <w:t>2.2 项目概况：</w:t>
      </w:r>
      <w:r>
        <w:rPr>
          <w:rFonts w:hint="eastAsia" w:ascii="宋体" w:hAnsi="宋体" w:cs="宋体"/>
          <w:szCs w:val="21"/>
          <w:highlight w:val="none"/>
          <w:lang w:val="en-US" w:eastAsia="zh-CN"/>
        </w:rPr>
        <w:t>本项目位于中渝公司</w:t>
      </w:r>
      <w:r>
        <w:rPr>
          <w:rFonts w:hint="eastAsia" w:ascii="宋体" w:hAnsi="宋体" w:cs="宋体"/>
          <w:szCs w:val="21"/>
          <w:highlight w:val="none"/>
        </w:rPr>
        <w:t>曾家收费站</w:t>
      </w:r>
      <w:r>
        <w:rPr>
          <w:rFonts w:hint="eastAsia" w:ascii="宋体" w:hAnsi="宋体" w:cs="宋体"/>
          <w:szCs w:val="21"/>
          <w:highlight w:val="none"/>
          <w:lang w:eastAsia="zh-CN"/>
        </w:rPr>
        <w:t>，</w:t>
      </w:r>
      <w:r>
        <w:rPr>
          <w:rFonts w:hint="eastAsia" w:ascii="宋体" w:hAnsi="宋体" w:cs="宋体"/>
          <w:szCs w:val="21"/>
          <w:highlight w:val="none"/>
          <w:lang w:val="en-US" w:eastAsia="zh-CN"/>
        </w:rPr>
        <w:t>对曾家收费站</w:t>
      </w:r>
      <w:r>
        <w:rPr>
          <w:rFonts w:hint="eastAsia" w:ascii="宋体" w:hAnsi="宋体" w:cs="宋体"/>
          <w:szCs w:val="21"/>
          <w:highlight w:val="none"/>
        </w:rPr>
        <w:t>站房6个房间和两个卫生间，进行防水、翻新等装修</w:t>
      </w:r>
      <w:r>
        <w:rPr>
          <w:rFonts w:hint="eastAsia" w:ascii="宋体" w:hAnsi="宋体" w:cs="宋体"/>
          <w:highlight w:val="none"/>
          <w:lang w:val="en-US" w:eastAsia="zh-CN"/>
        </w:rPr>
        <w:t>。</w:t>
      </w:r>
    </w:p>
    <w:p>
      <w:pPr>
        <w:pStyle w:val="14"/>
        <w:adjustRightInd w:val="0"/>
        <w:spacing w:line="400" w:lineRule="exact"/>
        <w:rPr>
          <w:rFonts w:hint="eastAsia" w:ascii="宋体" w:hAnsi="宋体" w:cs="宋体"/>
          <w:szCs w:val="21"/>
          <w:highlight w:val="none"/>
          <w:lang w:val="en-US" w:eastAsia="zh-CN"/>
        </w:rPr>
      </w:pPr>
      <w:r>
        <w:rPr>
          <w:rFonts w:hint="eastAsia" w:ascii="宋体" w:hAnsi="宋体" w:cs="宋体"/>
          <w:highlight w:val="none"/>
        </w:rPr>
        <w:t>2.3 比选范围：</w:t>
      </w:r>
      <w:r>
        <w:rPr>
          <w:rFonts w:hint="eastAsia" w:ascii="宋体" w:hAnsi="宋体" w:cs="宋体"/>
          <w:szCs w:val="21"/>
          <w:highlight w:val="none"/>
          <w:lang w:val="en-US" w:eastAsia="zh-CN"/>
        </w:rPr>
        <w:t>以甲方指令的关于本工程的标准设计施工图、合同清单、图纸会审纪要、变更通知、通知单等为依据，由乙方承担本工程的收费系统相关的安装任务。作业人员的组织和机构设置、安全生产教育、现场文明施工和标准化建设、参加甲方组织的会议等一切与乙方相关联的工作亦属承包范围。承包方式：实行施工承包人包工、包料（以工程量清单为准）、包质量、包安装、包工期、包安全施工、包文明管理的一揽子承包方式。</w:t>
      </w:r>
    </w:p>
    <w:p>
      <w:pPr>
        <w:spacing w:line="400" w:lineRule="exact"/>
        <w:ind w:firstLine="420" w:firstLineChars="200"/>
        <w:rPr>
          <w:rFonts w:hint="eastAsia" w:ascii="宋体" w:hAnsi="宋体" w:eastAsia="宋体" w:cs="宋体"/>
          <w:b w:val="0"/>
          <w:bCs w:val="0"/>
          <w:kern w:val="2"/>
          <w:sz w:val="21"/>
          <w:szCs w:val="24"/>
          <w:highlight w:val="none"/>
          <w:lang w:val="en-US" w:eastAsia="zh-CN" w:bidi="ar-SA"/>
        </w:rPr>
      </w:pPr>
      <w:r>
        <w:rPr>
          <w:rFonts w:hint="eastAsia" w:ascii="宋体" w:hAnsi="宋体" w:cs="宋体"/>
          <w:b w:val="0"/>
          <w:bCs w:val="0"/>
          <w:highlight w:val="none"/>
        </w:rPr>
        <w:t>2.4</w:t>
      </w:r>
      <w:r>
        <w:rPr>
          <w:rFonts w:hint="eastAsia" w:ascii="宋体" w:hAnsi="宋体" w:eastAsia="宋体" w:cs="宋体"/>
          <w:b w:val="0"/>
          <w:bCs w:val="0"/>
          <w:kern w:val="2"/>
          <w:sz w:val="21"/>
          <w:szCs w:val="24"/>
          <w:highlight w:val="none"/>
          <w:lang w:val="en-US" w:eastAsia="zh-CN" w:bidi="ar-SA"/>
        </w:rPr>
        <w:t xml:space="preserve"> </w:t>
      </w:r>
      <w:r>
        <w:rPr>
          <w:rFonts w:hint="eastAsia" w:ascii="宋体" w:hAnsi="宋体" w:cs="宋体"/>
          <w:b w:val="0"/>
          <w:bCs w:val="0"/>
          <w:kern w:val="2"/>
          <w:sz w:val="21"/>
          <w:szCs w:val="24"/>
          <w:highlight w:val="none"/>
          <w:lang w:val="en-US" w:eastAsia="zh-CN" w:bidi="ar-SA"/>
        </w:rPr>
        <w:t>工期要求：</w:t>
      </w:r>
      <w:r>
        <w:rPr>
          <w:rFonts w:hint="eastAsia" w:ascii="宋体" w:hAnsi="宋体" w:eastAsia="宋体" w:cs="宋体"/>
          <w:b w:val="0"/>
          <w:bCs w:val="0"/>
          <w:kern w:val="2"/>
          <w:sz w:val="21"/>
          <w:szCs w:val="24"/>
          <w:highlight w:val="none"/>
          <w:lang w:val="en-US" w:eastAsia="zh-CN" w:bidi="ar-SA"/>
        </w:rPr>
        <w:t>开工日期：以甲方实际下达的开工通知为准</w:t>
      </w:r>
      <w:r>
        <w:rPr>
          <w:rFonts w:hint="eastAsia" w:ascii="宋体" w:hAnsi="宋体" w:cs="宋体"/>
          <w:b w:val="0"/>
          <w:bCs w:val="0"/>
          <w:kern w:val="2"/>
          <w:sz w:val="21"/>
          <w:szCs w:val="24"/>
          <w:highlight w:val="none"/>
          <w:lang w:val="en-US" w:eastAsia="zh-CN" w:bidi="ar-SA"/>
        </w:rPr>
        <w:t>；</w:t>
      </w:r>
      <w:r>
        <w:rPr>
          <w:rFonts w:hint="eastAsia" w:ascii="宋体" w:hAnsi="宋体" w:eastAsia="宋体" w:cs="宋体"/>
          <w:b w:val="0"/>
          <w:bCs w:val="0"/>
          <w:kern w:val="2"/>
          <w:sz w:val="21"/>
          <w:szCs w:val="24"/>
          <w:highlight w:val="none"/>
          <w:lang w:val="en-US" w:eastAsia="zh-CN" w:bidi="ar-SA"/>
        </w:rPr>
        <w:t>完</w:t>
      </w:r>
      <w:r>
        <w:rPr>
          <w:rFonts w:hint="eastAsia" w:ascii="宋体" w:hAnsi="宋体" w:cs="宋体"/>
          <w:b w:val="0"/>
          <w:bCs w:val="0"/>
          <w:kern w:val="2"/>
          <w:sz w:val="21"/>
          <w:szCs w:val="24"/>
          <w:highlight w:val="none"/>
          <w:lang w:val="en-US" w:eastAsia="zh-CN" w:bidi="ar-SA"/>
        </w:rPr>
        <w:t>工</w:t>
      </w:r>
      <w:r>
        <w:rPr>
          <w:rFonts w:hint="eastAsia" w:ascii="宋体" w:hAnsi="宋体" w:eastAsia="宋体" w:cs="宋体"/>
          <w:b w:val="0"/>
          <w:bCs w:val="0"/>
          <w:kern w:val="2"/>
          <w:sz w:val="21"/>
          <w:szCs w:val="24"/>
          <w:highlight w:val="none"/>
          <w:lang w:val="en-US" w:eastAsia="zh-CN" w:bidi="ar-SA"/>
        </w:rPr>
        <w:t>日期：</w:t>
      </w:r>
      <w:r>
        <w:rPr>
          <w:rFonts w:hint="eastAsia" w:ascii="宋体" w:hAnsi="宋体" w:cs="宋体"/>
          <w:b w:val="0"/>
          <w:bCs w:val="0"/>
          <w:kern w:val="2"/>
          <w:sz w:val="21"/>
          <w:szCs w:val="24"/>
          <w:highlight w:val="none"/>
          <w:lang w:val="en-US" w:eastAsia="zh-CN" w:bidi="ar-SA"/>
        </w:rPr>
        <w:t>预计</w:t>
      </w:r>
      <w:r>
        <w:rPr>
          <w:rFonts w:hint="eastAsia" w:ascii="宋体" w:hAnsi="宋体" w:eastAsia="宋体" w:cs="宋体"/>
          <w:b w:val="0"/>
          <w:bCs w:val="0"/>
          <w:kern w:val="2"/>
          <w:sz w:val="21"/>
          <w:szCs w:val="24"/>
          <w:highlight w:val="none"/>
          <w:lang w:val="en-US" w:eastAsia="zh-CN" w:bidi="ar-SA"/>
        </w:rPr>
        <w:t>2024年8月30日前完成。</w:t>
      </w:r>
    </w:p>
    <w:p>
      <w:pPr>
        <w:spacing w:line="400" w:lineRule="exact"/>
        <w:ind w:firstLine="420" w:firstLineChars="200"/>
        <w:rPr>
          <w:rFonts w:hint="default" w:ascii="宋体" w:hAnsi="宋体" w:cs="宋体"/>
          <w:b w:val="0"/>
          <w:bCs w:val="0"/>
          <w:kern w:val="2"/>
          <w:sz w:val="21"/>
          <w:szCs w:val="24"/>
          <w:highlight w:val="none"/>
          <w:lang w:val="en-US" w:eastAsia="zh-CN" w:bidi="ar-SA"/>
        </w:rPr>
      </w:pPr>
      <w:r>
        <w:rPr>
          <w:rFonts w:hint="eastAsia" w:ascii="宋体" w:hAnsi="宋体" w:cs="宋体"/>
          <w:b w:val="0"/>
          <w:bCs w:val="0"/>
          <w:kern w:val="2"/>
          <w:sz w:val="21"/>
          <w:szCs w:val="24"/>
          <w:highlight w:val="none"/>
          <w:lang w:val="en-US" w:eastAsia="zh-CN" w:bidi="ar-SA"/>
        </w:rPr>
        <w:t>2.5 标段划分：本项目划分为一个标段。</w:t>
      </w:r>
    </w:p>
    <w:p>
      <w:pPr>
        <w:pStyle w:val="5"/>
        <w:spacing w:before="120" w:after="0" w:line="360" w:lineRule="auto"/>
        <w:rPr>
          <w:rFonts w:hint="eastAsia" w:ascii="宋体" w:hAnsi="宋体" w:eastAsia="宋体" w:cs="宋体"/>
          <w:highlight w:val="none"/>
        </w:rPr>
      </w:pPr>
      <w:bookmarkStart w:id="43" w:name="_Toc247085674"/>
      <w:bookmarkStart w:id="44" w:name="_Toc152042290"/>
      <w:bookmarkStart w:id="45" w:name="_Toc7065"/>
      <w:bookmarkStart w:id="46" w:name="_Toc179632530"/>
      <w:bookmarkStart w:id="47" w:name="_Toc30356"/>
      <w:bookmarkStart w:id="48" w:name="_Toc507319893"/>
      <w:bookmarkStart w:id="49" w:name="_Toc11329215"/>
      <w:bookmarkStart w:id="50" w:name="_Toc246996903"/>
      <w:bookmarkStart w:id="51" w:name="_Toc152045514"/>
      <w:bookmarkStart w:id="52" w:name="_Toc10171"/>
      <w:bookmarkStart w:id="53" w:name="_Toc144974482"/>
      <w:bookmarkStart w:id="54" w:name="_Toc246996160"/>
      <w:r>
        <w:rPr>
          <w:rFonts w:hint="eastAsia" w:ascii="宋体" w:hAnsi="宋体" w:eastAsia="宋体" w:cs="宋体"/>
          <w:highlight w:val="none"/>
        </w:rPr>
        <w:t>3. 报价人资格要求</w:t>
      </w:r>
      <w:bookmarkEnd w:id="43"/>
      <w:bookmarkEnd w:id="44"/>
      <w:bookmarkEnd w:id="45"/>
      <w:bookmarkEnd w:id="46"/>
      <w:bookmarkEnd w:id="47"/>
      <w:bookmarkEnd w:id="48"/>
      <w:bookmarkEnd w:id="49"/>
      <w:bookmarkEnd w:id="50"/>
      <w:bookmarkEnd w:id="51"/>
      <w:bookmarkEnd w:id="52"/>
      <w:bookmarkEnd w:id="53"/>
      <w:bookmarkEnd w:id="54"/>
    </w:p>
    <w:p>
      <w:pPr>
        <w:spacing w:line="400" w:lineRule="exact"/>
        <w:ind w:firstLine="420" w:firstLineChars="200"/>
        <w:rPr>
          <w:rFonts w:hint="eastAsia" w:ascii="宋体" w:hAnsi="宋体" w:cs="宋体"/>
          <w:szCs w:val="21"/>
          <w:highlight w:val="none"/>
          <w:shd w:val="clear" w:color="auto" w:fill="FFFFFF"/>
        </w:rPr>
      </w:pPr>
      <w:bookmarkStart w:id="55" w:name="_Toc152042291"/>
      <w:bookmarkStart w:id="56" w:name="_Toc152045515"/>
      <w:bookmarkStart w:id="57" w:name="_Toc144974483"/>
      <w:bookmarkStart w:id="58" w:name="_Toc247085675"/>
      <w:bookmarkStart w:id="59" w:name="_Toc246996161"/>
      <w:bookmarkStart w:id="60" w:name="_Toc179632531"/>
      <w:bookmarkStart w:id="61" w:name="_Toc246996904"/>
      <w:r>
        <w:rPr>
          <w:rFonts w:hint="eastAsia" w:ascii="宋体" w:hAnsi="宋体" w:cs="宋体"/>
          <w:szCs w:val="21"/>
          <w:highlight w:val="none"/>
          <w:shd w:val="clear" w:color="auto" w:fill="FFFFFF"/>
        </w:rPr>
        <w:t>3.1 资质要求</w:t>
      </w:r>
      <w:r>
        <w:rPr>
          <w:rFonts w:hint="eastAsia" w:ascii="宋体" w:hAnsi="宋体" w:cs="宋体"/>
          <w:szCs w:val="21"/>
          <w:highlight w:val="none"/>
          <w:shd w:val="clear" w:color="auto" w:fill="FFFFFF"/>
          <w:lang w:eastAsia="zh-CN"/>
        </w:rPr>
        <w:t>（</w:t>
      </w:r>
      <w:r>
        <w:rPr>
          <w:rFonts w:hint="eastAsia" w:ascii="宋体" w:hAnsi="宋体" w:cs="宋体"/>
          <w:szCs w:val="21"/>
          <w:highlight w:val="none"/>
          <w:shd w:val="clear" w:color="auto" w:fill="FFFFFF"/>
          <w:lang w:val="en-US" w:eastAsia="zh-CN"/>
        </w:rPr>
        <w:t>以下资质文件若因疫情影响过期无法办理延续手续，需附相关行政部门下发的延期办理文件</w:t>
      </w:r>
      <w:r>
        <w:rPr>
          <w:rFonts w:hint="eastAsia" w:ascii="宋体" w:hAnsi="宋体" w:cs="宋体"/>
          <w:szCs w:val="21"/>
          <w:highlight w:val="none"/>
          <w:shd w:val="clear" w:color="auto" w:fill="FFFFFF"/>
          <w:lang w:eastAsia="zh-CN"/>
        </w:rPr>
        <w:t>）</w:t>
      </w:r>
      <w:r>
        <w:rPr>
          <w:rFonts w:hint="eastAsia" w:ascii="宋体" w:hAnsi="宋体" w:cs="宋体"/>
          <w:szCs w:val="21"/>
          <w:highlight w:val="none"/>
          <w:shd w:val="clear" w:color="auto" w:fill="FFFFFF"/>
        </w:rPr>
        <w:t>：</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w:t>
      </w:r>
      <w:r>
        <w:rPr>
          <w:rFonts w:hint="eastAsia" w:ascii="宋体" w:hAnsi="宋体" w:cs="宋体"/>
          <w:szCs w:val="21"/>
          <w:highlight w:val="none"/>
          <w:shd w:val="clear" w:color="auto" w:fill="FFFFFF"/>
          <w:lang w:val="en-US" w:eastAsia="zh-CN"/>
        </w:rPr>
        <w:t>1</w:t>
      </w:r>
      <w:r>
        <w:rPr>
          <w:rFonts w:hint="eastAsia" w:ascii="宋体" w:hAnsi="宋体" w:cs="宋体"/>
          <w:szCs w:val="21"/>
          <w:highlight w:val="none"/>
          <w:shd w:val="clear" w:color="auto" w:fill="FFFFFF"/>
        </w:rPr>
        <w:t>）报价人具备独立法人资格，具有有效的营业执照；</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（2）报价人具备有效的安全生产许可证；</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（3）报价人具备建筑装修装饰工程专业承包贰级及以上资质；</w:t>
      </w:r>
    </w:p>
    <w:p>
      <w:pPr>
        <w:spacing w:line="400" w:lineRule="exact"/>
        <w:ind w:firstLine="420" w:firstLineChars="200"/>
        <w:rPr>
          <w:rFonts w:hint="default" w:ascii="宋体" w:hAnsi="宋体" w:eastAsia="宋体" w:cs="宋体"/>
          <w:szCs w:val="21"/>
          <w:highlight w:val="none"/>
          <w:shd w:val="clear" w:color="auto" w:fill="FFFFFF"/>
          <w:lang w:val="en-US" w:eastAsia="zh-CN"/>
        </w:rPr>
      </w:pPr>
      <w:r>
        <w:rPr>
          <w:rFonts w:hint="eastAsia" w:ascii="宋体" w:hAnsi="宋体" w:cs="宋体"/>
          <w:szCs w:val="21"/>
          <w:highlight w:val="none"/>
          <w:shd w:val="clear" w:color="auto" w:fill="FFFFFF"/>
        </w:rPr>
        <w:t xml:space="preserve">3.2 </w:t>
      </w:r>
      <w:r>
        <w:rPr>
          <w:rFonts w:hint="eastAsia" w:ascii="宋体" w:hAnsi="宋体" w:cs="宋体"/>
          <w:szCs w:val="21"/>
          <w:highlight w:val="none"/>
          <w:shd w:val="clear" w:color="auto" w:fill="FFFFFF"/>
          <w:lang w:val="en-US" w:eastAsia="zh-CN"/>
        </w:rPr>
        <w:t>业绩要求：</w:t>
      </w:r>
      <w:r>
        <w:rPr>
          <w:rFonts w:hint="eastAsia" w:ascii="宋体" w:hAnsi="宋体" w:cs="宋体"/>
          <w:szCs w:val="21"/>
          <w:highlight w:val="none"/>
          <w:shd w:val="clear" w:color="auto" w:fill="FFFFFF"/>
        </w:rPr>
        <w:t>2021年1月1日至报价截止日期（以合同签订时间为准）承担过一项合同金额不低于20万元的办公场所装饰装修业绩（以合同签订时间为准）</w:t>
      </w:r>
      <w:r>
        <w:rPr>
          <w:rFonts w:hint="eastAsia" w:ascii="宋体" w:hAnsi="宋体" w:cs="宋体"/>
          <w:szCs w:val="21"/>
          <w:highlight w:val="none"/>
          <w:shd w:val="clear" w:color="auto" w:fill="FFFFFF"/>
          <w:lang w:val="en-US" w:eastAsia="zh-CN"/>
        </w:rPr>
        <w:t>。</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lang w:val="en-US" w:eastAsia="zh-CN"/>
        </w:rPr>
        <w:t xml:space="preserve">3.3 </w:t>
      </w:r>
      <w:r>
        <w:rPr>
          <w:rFonts w:hint="eastAsia" w:ascii="宋体" w:hAnsi="宋体" w:cs="宋体"/>
          <w:szCs w:val="21"/>
          <w:highlight w:val="none"/>
          <w:shd w:val="clear" w:color="auto" w:fill="FFFFFF"/>
        </w:rPr>
        <w:t>信誉</w:t>
      </w:r>
      <w:r>
        <w:rPr>
          <w:rFonts w:hint="eastAsia" w:ascii="宋体" w:hAnsi="宋体" w:cs="宋体"/>
          <w:szCs w:val="21"/>
          <w:highlight w:val="none"/>
          <w:shd w:val="clear" w:color="auto" w:fill="FFFFFF"/>
          <w:lang w:val="en-US" w:eastAsia="zh-CN"/>
        </w:rPr>
        <w:t>要求</w:t>
      </w:r>
      <w:r>
        <w:rPr>
          <w:rFonts w:hint="eastAsia" w:ascii="宋体" w:hAnsi="宋体" w:cs="宋体"/>
          <w:szCs w:val="21"/>
          <w:highlight w:val="none"/>
          <w:shd w:val="clear" w:color="auto" w:fill="FFFFFF"/>
        </w:rPr>
        <w:t>：在国家企业信用信息公示系统（http://www.gsxt.gov.cn/）中未被列入严重违法失信企业名单（黑名单）信息；在“信用中国”网站（http://www.creditchina.gov.cn/）中未被列入失信惩戒执行人名单。</w:t>
      </w:r>
    </w:p>
    <w:p>
      <w:pPr>
        <w:spacing w:line="400" w:lineRule="exact"/>
        <w:ind w:firstLine="420" w:firstLineChars="200"/>
        <w:rPr>
          <w:rFonts w:hint="default" w:ascii="宋体" w:hAnsi="宋体" w:eastAsia="宋体" w:cs="宋体"/>
          <w:szCs w:val="21"/>
          <w:highlight w:val="none"/>
          <w:shd w:val="clear" w:color="auto" w:fill="FFFFFF"/>
          <w:lang w:val="en-US" w:eastAsia="zh-CN"/>
        </w:rPr>
      </w:pPr>
      <w:r>
        <w:rPr>
          <w:rFonts w:hint="eastAsia" w:ascii="宋体" w:hAnsi="宋体" w:cs="宋体"/>
          <w:szCs w:val="21"/>
          <w:highlight w:val="none"/>
          <w:shd w:val="clear" w:color="auto" w:fill="FFFFFF"/>
          <w:lang w:val="en-US" w:eastAsia="zh-CN"/>
        </w:rPr>
        <w:t>3.4 报价人须提供采购人要求的所有资质要求、业绩要求、信誉要求的复印件并加盖单位鲜公章。</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3.</w:t>
      </w:r>
      <w:r>
        <w:rPr>
          <w:rFonts w:hint="eastAsia" w:ascii="宋体" w:hAnsi="宋体" w:cs="宋体"/>
          <w:szCs w:val="21"/>
          <w:highlight w:val="none"/>
          <w:shd w:val="clear" w:color="auto" w:fill="FFFFFF"/>
          <w:lang w:val="en-US" w:eastAsia="zh-CN"/>
        </w:rPr>
        <w:t>5</w:t>
      </w:r>
      <w:r>
        <w:rPr>
          <w:rFonts w:hint="eastAsia" w:ascii="宋体" w:hAnsi="宋体" w:cs="宋体"/>
          <w:szCs w:val="21"/>
          <w:highlight w:val="none"/>
          <w:shd w:val="clear" w:color="auto" w:fill="FFFFFF"/>
        </w:rPr>
        <w:t xml:space="preserve"> 本次比选不接受联合体报价。</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3.</w:t>
      </w:r>
      <w:r>
        <w:rPr>
          <w:rFonts w:hint="eastAsia" w:ascii="宋体" w:hAnsi="宋体" w:cs="宋体"/>
          <w:szCs w:val="21"/>
          <w:highlight w:val="none"/>
          <w:shd w:val="clear" w:color="auto" w:fill="FFFFFF"/>
          <w:lang w:val="en-US" w:eastAsia="zh-CN"/>
        </w:rPr>
        <w:t>6</w:t>
      </w:r>
      <w:r>
        <w:rPr>
          <w:rFonts w:hint="eastAsia" w:ascii="宋体" w:hAnsi="宋体" w:cs="宋体"/>
          <w:szCs w:val="21"/>
          <w:highlight w:val="none"/>
          <w:shd w:val="clear" w:color="auto" w:fill="FFFFFF"/>
        </w:rPr>
        <w:t xml:space="preserve"> 单位负责人为同一人或者存在控股、管理关系的不同单位，不得同时参加本项目报价，否则均按无效报价处理。</w:t>
      </w:r>
    </w:p>
    <w:p>
      <w:pPr>
        <w:pStyle w:val="5"/>
        <w:spacing w:before="120" w:after="0" w:line="360" w:lineRule="auto"/>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4</w:t>
      </w: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highlight w:val="none"/>
          <w:lang w:val="en-US" w:eastAsia="zh-CN"/>
        </w:rPr>
        <w:t>评标办法</w:t>
      </w:r>
    </w:p>
    <w:p>
      <w:pPr>
        <w:pStyle w:val="18"/>
        <w:ind w:firstLine="420" w:firstLineChars="200"/>
        <w:rPr>
          <w:rFonts w:hint="default"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本项目采用经评审的最低投标价法。</w:t>
      </w:r>
    </w:p>
    <w:p>
      <w:pPr>
        <w:pStyle w:val="5"/>
        <w:spacing w:before="120" w:after="0" w:line="400" w:lineRule="exact"/>
        <w:rPr>
          <w:rFonts w:hint="eastAsia" w:ascii="宋体" w:hAnsi="宋体" w:eastAsia="宋体" w:cs="宋体"/>
          <w:highlight w:val="none"/>
        </w:rPr>
      </w:pPr>
      <w:bookmarkStart w:id="62" w:name="_Toc507319894"/>
      <w:bookmarkStart w:id="63" w:name="_Toc11329216"/>
      <w:bookmarkStart w:id="64" w:name="_Toc25619"/>
      <w:bookmarkStart w:id="65" w:name="_Toc14361"/>
      <w:bookmarkStart w:id="66" w:name="_Toc12460"/>
      <w:r>
        <w:rPr>
          <w:rFonts w:hint="eastAsia" w:ascii="宋体" w:hAnsi="宋体" w:eastAsia="宋体" w:cs="宋体"/>
          <w:highlight w:val="none"/>
          <w:lang w:val="en-US" w:eastAsia="zh-CN"/>
        </w:rPr>
        <w:t>5</w:t>
      </w:r>
      <w:r>
        <w:rPr>
          <w:rFonts w:hint="eastAsia" w:ascii="宋体" w:hAnsi="宋体" w:eastAsia="宋体" w:cs="宋体"/>
          <w:highlight w:val="none"/>
        </w:rPr>
        <w:t>. 比选文件的获取</w:t>
      </w:r>
      <w:bookmarkEnd w:id="55"/>
      <w:bookmarkEnd w:id="56"/>
      <w:bookmarkEnd w:id="57"/>
      <w:bookmarkEnd w:id="58"/>
      <w:bookmarkEnd w:id="59"/>
      <w:bookmarkEnd w:id="60"/>
      <w:bookmarkEnd w:id="61"/>
      <w:bookmarkEnd w:id="62"/>
      <w:bookmarkEnd w:id="63"/>
      <w:bookmarkEnd w:id="64"/>
      <w:bookmarkEnd w:id="65"/>
      <w:bookmarkEnd w:id="66"/>
    </w:p>
    <w:p>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szCs w:val="21"/>
          <w:highlight w:val="none"/>
          <w:lang w:eastAsia="zh-CN"/>
        </w:rPr>
      </w:pPr>
      <w:bookmarkStart w:id="67" w:name="_Toc247085676"/>
      <w:bookmarkStart w:id="68" w:name="_Toc11329217"/>
      <w:bookmarkStart w:id="69" w:name="_Toc246996162"/>
      <w:bookmarkStart w:id="70" w:name="_Toc179632532"/>
      <w:bookmarkStart w:id="71" w:name="_Toc246996905"/>
      <w:bookmarkStart w:id="72" w:name="_Toc144974484"/>
      <w:bookmarkStart w:id="73" w:name="_Toc507319895"/>
      <w:bookmarkStart w:id="74" w:name="_Toc152045516"/>
      <w:bookmarkStart w:id="75" w:name="_Toc152042292"/>
      <w:bookmarkStart w:id="76" w:name="_Toc16686"/>
      <w:bookmarkStart w:id="77" w:name="_Toc31493"/>
      <w:bookmarkStart w:id="78" w:name="_Toc9131"/>
      <w:r>
        <w:rPr>
          <w:rFonts w:hint="eastAsia" w:ascii="宋体" w:hAnsi="宋体" w:cs="宋体"/>
        </w:rPr>
        <w:t>凡愿意参加的潜在报价人，在202</w:t>
      </w:r>
      <w:r>
        <w:rPr>
          <w:rFonts w:hint="eastAsia" w:ascii="宋体" w:hAnsi="宋体" w:cs="宋体"/>
          <w:lang w:val="en-US" w:eastAsia="zh-CN"/>
        </w:rPr>
        <w:t>4</w:t>
      </w:r>
      <w:r>
        <w:rPr>
          <w:rFonts w:hint="eastAsia" w:ascii="宋体" w:hAnsi="宋体" w:cs="宋体"/>
        </w:rPr>
        <w:t>年</w:t>
      </w:r>
      <w:r>
        <w:rPr>
          <w:rFonts w:hint="eastAsia" w:ascii="宋体" w:hAnsi="宋体" w:cs="宋体"/>
          <w:lang w:val="en-US" w:eastAsia="zh-CN"/>
        </w:rPr>
        <w:t>7</w:t>
      </w:r>
      <w:r>
        <w:rPr>
          <w:rFonts w:hint="eastAsia" w:ascii="宋体" w:hAnsi="宋体" w:cs="宋体"/>
        </w:rPr>
        <w:t>月</w:t>
      </w:r>
      <w:r>
        <w:rPr>
          <w:rFonts w:hint="eastAsia" w:ascii="宋体" w:hAnsi="宋体" w:cs="宋体"/>
          <w:lang w:val="en-US" w:eastAsia="zh-CN"/>
        </w:rPr>
        <w:t>23</w:t>
      </w:r>
      <w:r>
        <w:rPr>
          <w:rFonts w:hint="eastAsia" w:ascii="宋体" w:hAnsi="宋体" w:cs="宋体"/>
        </w:rPr>
        <w:t>日</w:t>
      </w:r>
      <w:r>
        <w:rPr>
          <w:rFonts w:hint="eastAsia" w:ascii="宋体" w:hAnsi="宋体" w:cs="宋体"/>
          <w:lang w:val="en-US" w:eastAsia="zh-CN"/>
        </w:rPr>
        <w:t>上</w:t>
      </w:r>
      <w:r>
        <w:rPr>
          <w:rFonts w:hint="eastAsia" w:ascii="宋体" w:hAnsi="宋体" w:cs="宋体"/>
        </w:rPr>
        <w:t>午1</w:t>
      </w:r>
      <w:r>
        <w:rPr>
          <w:rFonts w:hint="eastAsia" w:ascii="宋体" w:hAnsi="宋体" w:cs="宋体"/>
          <w:lang w:val="en-US" w:eastAsia="zh-CN"/>
        </w:rPr>
        <w:t>1</w:t>
      </w:r>
      <w:r>
        <w:rPr>
          <w:rFonts w:hint="eastAsia" w:ascii="宋体" w:hAnsi="宋体" w:cs="宋体"/>
        </w:rPr>
        <w:t>:00前在重庆高速集团官网</w:t>
      </w:r>
      <w:r>
        <w:rPr>
          <w:rFonts w:hint="eastAsia" w:ascii="宋体" w:hAnsi="宋体" w:cs="宋体"/>
          <w:lang w:val="en-US" w:eastAsia="zh-CN"/>
        </w:rPr>
        <w:t>（http://www.cegc.com.cn）上</w:t>
      </w:r>
      <w:r>
        <w:rPr>
          <w:rFonts w:hint="eastAsia" w:ascii="宋体" w:hAnsi="宋体" w:cs="宋体"/>
        </w:rPr>
        <w:t>获取竞争性比选文件，各报价人应随时关注网上发布的竞争性比选文件答疑、补遗、澄清等文件内容，不管报价人是否下载，均视为已知晓竞争性比选文件的全部内容和有关事宜</w:t>
      </w:r>
      <w:r>
        <w:rPr>
          <w:rFonts w:hint="eastAsia" w:ascii="宋体" w:hAnsi="宋体" w:cs="宋体"/>
          <w:lang w:eastAsia="zh-CN"/>
        </w:rPr>
        <w:t>。</w:t>
      </w:r>
    </w:p>
    <w:p>
      <w:pPr>
        <w:pStyle w:val="5"/>
        <w:spacing w:before="120" w:after="0" w:line="400" w:lineRule="exact"/>
        <w:rPr>
          <w:rFonts w:hint="eastAsia" w:ascii="宋体" w:hAnsi="宋体" w:eastAsia="宋体" w:cs="宋体"/>
          <w:highlight w:val="none"/>
        </w:rPr>
      </w:pPr>
      <w:r>
        <w:rPr>
          <w:rFonts w:hint="eastAsia" w:ascii="宋体" w:hAnsi="宋体" w:eastAsia="宋体" w:cs="宋体"/>
          <w:highlight w:val="none"/>
          <w:lang w:val="en-US" w:eastAsia="zh-CN"/>
        </w:rPr>
        <w:t>6</w:t>
      </w:r>
      <w:r>
        <w:rPr>
          <w:rFonts w:hint="eastAsia" w:ascii="宋体" w:hAnsi="宋体" w:eastAsia="宋体" w:cs="宋体"/>
          <w:highlight w:val="none"/>
        </w:rPr>
        <w:t>. 竞争性比选响应文件的递交</w:t>
      </w:r>
      <w:bookmarkEnd w:id="67"/>
      <w:bookmarkEnd w:id="68"/>
      <w:bookmarkEnd w:id="69"/>
      <w:bookmarkEnd w:id="70"/>
      <w:bookmarkEnd w:id="71"/>
      <w:bookmarkEnd w:id="72"/>
      <w:bookmarkEnd w:id="73"/>
      <w:bookmarkEnd w:id="74"/>
      <w:bookmarkEnd w:id="75"/>
      <w:r>
        <w:rPr>
          <w:rFonts w:hint="eastAsia" w:ascii="宋体" w:hAnsi="宋体" w:eastAsia="宋体" w:cs="宋体"/>
          <w:highlight w:val="none"/>
        </w:rPr>
        <w:t>及相关事宜</w:t>
      </w:r>
      <w:bookmarkEnd w:id="76"/>
      <w:bookmarkEnd w:id="77"/>
      <w:bookmarkEnd w:id="78"/>
    </w:p>
    <w:p>
      <w:pPr>
        <w:tabs>
          <w:tab w:val="left" w:pos="360"/>
        </w:tabs>
        <w:spacing w:line="400" w:lineRule="exact"/>
        <w:ind w:firstLine="420" w:firstLineChars="200"/>
        <w:rPr>
          <w:rFonts w:hint="eastAsia" w:ascii="宋体" w:hAnsi="宋体" w:cs="宋体"/>
          <w:szCs w:val="21"/>
          <w:highlight w:val="none"/>
        </w:rPr>
      </w:pPr>
      <w:bookmarkStart w:id="79" w:name="_Toc152042293"/>
      <w:bookmarkStart w:id="80" w:name="_Toc21615"/>
      <w:bookmarkStart w:id="81" w:name="_Toc393"/>
      <w:bookmarkStart w:id="82" w:name="_Toc179632534"/>
      <w:bookmarkStart w:id="83" w:name="_Toc11329219"/>
      <w:bookmarkStart w:id="84" w:name="_Toc246996907"/>
      <w:bookmarkStart w:id="85" w:name="_Toc507319897"/>
      <w:bookmarkStart w:id="86" w:name="_Toc18402"/>
      <w:bookmarkStart w:id="87" w:name="_Toc144974485"/>
      <w:bookmarkStart w:id="88" w:name="_Toc152045517"/>
      <w:bookmarkStart w:id="89" w:name="_Toc247085678"/>
      <w:bookmarkStart w:id="90" w:name="_Toc246996164"/>
      <w:r>
        <w:rPr>
          <w:rFonts w:hint="eastAsia" w:ascii="宋体" w:hAnsi="宋体" w:cs="宋体"/>
          <w:szCs w:val="21"/>
          <w:highlight w:val="none"/>
          <w:lang w:val="en-US" w:eastAsia="zh-CN"/>
        </w:rPr>
        <w:t>6</w:t>
      </w:r>
      <w:r>
        <w:rPr>
          <w:rFonts w:hint="eastAsia" w:ascii="宋体" w:hAnsi="宋体" w:cs="宋体"/>
          <w:szCs w:val="21"/>
          <w:highlight w:val="none"/>
        </w:rPr>
        <w:t>.1报价截止时间和开标时间</w:t>
      </w:r>
      <w:r>
        <w:rPr>
          <w:rFonts w:hint="eastAsia" w:ascii="宋体" w:hAnsi="宋体" w:cs="宋体"/>
          <w:color w:val="auto"/>
          <w:szCs w:val="21"/>
          <w:highlight w:val="none"/>
        </w:rPr>
        <w:t>：</w:t>
      </w:r>
      <w:r>
        <w:rPr>
          <w:rFonts w:hint="eastAsia" w:ascii="宋体" w:hAnsi="宋体" w:cs="Times New Roman"/>
          <w:szCs w:val="21"/>
          <w:highlight w:val="none"/>
          <w:u w:val="none"/>
        </w:rPr>
        <w:t>20</w:t>
      </w:r>
      <w:r>
        <w:rPr>
          <w:rFonts w:hint="eastAsia" w:ascii="宋体" w:hAnsi="宋体" w:cs="Times New Roman"/>
          <w:szCs w:val="21"/>
          <w:highlight w:val="none"/>
          <w:u w:val="none"/>
          <w:lang w:val="en-US" w:eastAsia="zh-CN"/>
        </w:rPr>
        <w:t>24</w:t>
      </w:r>
      <w:r>
        <w:rPr>
          <w:rFonts w:hint="eastAsia" w:ascii="宋体" w:hAnsi="宋体" w:cs="Times New Roman"/>
          <w:szCs w:val="21"/>
          <w:highlight w:val="none"/>
          <w:u w:val="none"/>
        </w:rPr>
        <w:t>年</w:t>
      </w:r>
      <w:r>
        <w:rPr>
          <w:rFonts w:hint="eastAsia" w:ascii="宋体" w:hAnsi="宋体" w:cs="Times New Roman"/>
          <w:szCs w:val="21"/>
          <w:highlight w:val="none"/>
          <w:u w:val="none"/>
          <w:lang w:val="en-US" w:eastAsia="zh-CN"/>
        </w:rPr>
        <w:t>7</w:t>
      </w:r>
      <w:r>
        <w:rPr>
          <w:rFonts w:hint="eastAsia" w:ascii="宋体" w:hAnsi="宋体" w:cs="Times New Roman"/>
          <w:szCs w:val="21"/>
          <w:highlight w:val="none"/>
          <w:u w:val="none"/>
        </w:rPr>
        <w:t>月</w:t>
      </w:r>
      <w:r>
        <w:rPr>
          <w:rFonts w:hint="eastAsia" w:ascii="宋体" w:hAnsi="宋体" w:cs="Times New Roman"/>
          <w:szCs w:val="21"/>
          <w:highlight w:val="none"/>
          <w:u w:val="none"/>
          <w:lang w:val="en-US" w:eastAsia="zh-CN"/>
        </w:rPr>
        <w:t>23</w:t>
      </w:r>
      <w:r>
        <w:rPr>
          <w:rFonts w:hint="eastAsia" w:ascii="宋体" w:hAnsi="宋体" w:cs="Times New Roman"/>
          <w:szCs w:val="21"/>
          <w:highlight w:val="none"/>
          <w:u w:val="none"/>
        </w:rPr>
        <w:t>日</w:t>
      </w:r>
      <w:r>
        <w:rPr>
          <w:rFonts w:hint="eastAsia" w:ascii="宋体" w:hAnsi="宋体" w:cs="Times New Roman"/>
          <w:szCs w:val="21"/>
          <w:highlight w:val="none"/>
          <w:u w:val="none"/>
          <w:lang w:val="en-US" w:eastAsia="zh-CN"/>
        </w:rPr>
        <w:t>上午</w:t>
      </w:r>
      <w:r>
        <w:rPr>
          <w:rFonts w:hint="eastAsia" w:ascii="宋体" w:hAnsi="宋体" w:cs="宋体"/>
          <w:color w:val="auto"/>
          <w:szCs w:val="21"/>
          <w:highlight w:val="none"/>
          <w:u w:val="none"/>
          <w:lang w:val="en-US" w:eastAsia="zh-CN"/>
        </w:rPr>
        <w:t>11</w:t>
      </w:r>
      <w:r>
        <w:rPr>
          <w:rFonts w:hint="eastAsia" w:ascii="宋体" w:hAnsi="宋体" w:cs="宋体"/>
          <w:color w:val="auto"/>
          <w:szCs w:val="21"/>
          <w:highlight w:val="none"/>
          <w:u w:val="none"/>
        </w:rPr>
        <w:t>时</w:t>
      </w:r>
      <w:r>
        <w:rPr>
          <w:rFonts w:hint="eastAsia" w:ascii="宋体" w:hAnsi="宋体" w:cs="宋体"/>
          <w:color w:val="auto"/>
          <w:szCs w:val="21"/>
          <w:highlight w:val="none"/>
          <w:u w:val="none"/>
          <w:lang w:val="en-US" w:eastAsia="zh-CN"/>
        </w:rPr>
        <w:t>00</w:t>
      </w:r>
      <w:r>
        <w:rPr>
          <w:rFonts w:hint="eastAsia" w:ascii="宋体" w:hAnsi="宋体" w:cs="宋体"/>
          <w:color w:val="auto"/>
          <w:szCs w:val="21"/>
          <w:highlight w:val="none"/>
          <w:u w:val="none"/>
        </w:rPr>
        <w:t>分（</w:t>
      </w:r>
      <w:r>
        <w:rPr>
          <w:rFonts w:hint="eastAsia" w:ascii="宋体" w:hAnsi="宋体" w:cs="宋体"/>
          <w:color w:val="auto"/>
          <w:szCs w:val="21"/>
          <w:highlight w:val="none"/>
        </w:rPr>
        <w:t>北京时间）</w:t>
      </w:r>
      <w:r>
        <w:rPr>
          <w:rFonts w:hint="eastAsia" w:ascii="宋体" w:hAnsi="宋体" w:cs="宋体"/>
          <w:szCs w:val="21"/>
          <w:highlight w:val="none"/>
        </w:rPr>
        <w:t>。</w:t>
      </w:r>
    </w:p>
    <w:p>
      <w:pPr>
        <w:tabs>
          <w:tab w:val="left" w:pos="360"/>
        </w:tabs>
        <w:spacing w:line="400" w:lineRule="exact"/>
        <w:ind w:firstLine="420" w:firstLineChars="200"/>
        <w:rPr>
          <w:rFonts w:hint="default" w:ascii="宋体" w:hAnsi="宋体" w:cs="宋体"/>
          <w:szCs w:val="21"/>
          <w:highlight w:val="none"/>
          <w:lang w:val="en-US" w:eastAsia="zh-CN"/>
        </w:rPr>
      </w:pPr>
      <w:r>
        <w:rPr>
          <w:rFonts w:hint="eastAsia" w:ascii="宋体" w:hAnsi="宋体" w:cs="宋体"/>
          <w:szCs w:val="21"/>
          <w:highlight w:val="none"/>
          <w:lang w:val="en-US" w:eastAsia="zh-CN"/>
        </w:rPr>
        <w:t>6</w:t>
      </w:r>
      <w:r>
        <w:rPr>
          <w:rFonts w:hint="default" w:ascii="宋体" w:hAnsi="宋体" w:cs="宋体"/>
          <w:szCs w:val="21"/>
          <w:highlight w:val="none"/>
          <w:lang w:val="en-US" w:eastAsia="zh-CN"/>
        </w:rPr>
        <w:t>.</w:t>
      </w:r>
      <w:r>
        <w:rPr>
          <w:rFonts w:hint="eastAsia" w:ascii="宋体" w:hAnsi="宋体" w:cs="宋体"/>
          <w:szCs w:val="21"/>
          <w:highlight w:val="none"/>
          <w:lang w:val="en-US" w:eastAsia="zh-CN"/>
        </w:rPr>
        <w:t>2</w:t>
      </w:r>
      <w:r>
        <w:rPr>
          <w:rFonts w:hint="default" w:ascii="宋体" w:hAnsi="宋体" w:cs="宋体"/>
          <w:szCs w:val="21"/>
          <w:highlight w:val="none"/>
          <w:lang w:val="en-US" w:eastAsia="zh-CN"/>
        </w:rPr>
        <w:t xml:space="preserve"> 报价的递交方式：现场递交或邮寄，若采用现场递交方式须在报价截止当天将文件送达并参与现场开标；若采用邮寄方式需在报价截止时间之前将响应文件邮寄到达递交地址，并按要求进行密封，否则采购人有权拒收，采用邮寄方式的报价人默认认可采购人的开标结果，不得由此提出任何质疑。</w:t>
      </w:r>
    </w:p>
    <w:p>
      <w:pPr>
        <w:tabs>
          <w:tab w:val="left" w:pos="360"/>
        </w:tabs>
        <w:spacing w:line="400" w:lineRule="exact"/>
        <w:ind w:firstLine="420" w:firstLineChars="200"/>
        <w:rPr>
          <w:rFonts w:hint="default" w:ascii="宋体" w:hAnsi="宋体" w:cs="宋体"/>
          <w:szCs w:val="21"/>
          <w:highlight w:val="none"/>
          <w:lang w:val="en-US" w:eastAsia="zh-CN"/>
        </w:rPr>
      </w:pPr>
      <w:r>
        <w:rPr>
          <w:rFonts w:hint="eastAsia" w:ascii="宋体" w:hAnsi="宋体" w:cs="宋体"/>
          <w:szCs w:val="21"/>
          <w:highlight w:val="none"/>
          <w:lang w:val="en-US" w:eastAsia="zh-CN"/>
        </w:rPr>
        <w:t>6</w:t>
      </w:r>
      <w:r>
        <w:rPr>
          <w:rFonts w:hint="default" w:ascii="宋体" w:hAnsi="宋体" w:cs="宋体"/>
          <w:szCs w:val="21"/>
          <w:highlight w:val="none"/>
          <w:lang w:val="en-US" w:eastAsia="zh-CN"/>
        </w:rPr>
        <w:t>.3 递交地址：重庆市渝北区新南路52号东界龙湖</w:t>
      </w:r>
      <w:r>
        <w:rPr>
          <w:rFonts w:hint="eastAsia" w:ascii="宋体" w:hAnsi="宋体" w:cs="宋体"/>
          <w:szCs w:val="21"/>
          <w:highlight w:val="none"/>
          <w:lang w:val="en-US" w:eastAsia="zh-CN"/>
        </w:rPr>
        <w:t>三</w:t>
      </w:r>
      <w:r>
        <w:rPr>
          <w:rFonts w:hint="default" w:ascii="宋体" w:hAnsi="宋体" w:cs="宋体"/>
          <w:szCs w:val="21"/>
          <w:highlight w:val="none"/>
          <w:lang w:val="en-US" w:eastAsia="zh-CN"/>
        </w:rPr>
        <w:t>楼重庆首讯科技股份有限公司。</w:t>
      </w:r>
    </w:p>
    <w:p>
      <w:pPr>
        <w:tabs>
          <w:tab w:val="left" w:pos="360"/>
        </w:tabs>
        <w:spacing w:line="400" w:lineRule="exact"/>
        <w:ind w:firstLine="420" w:firstLineChars="200"/>
        <w:rPr>
          <w:rFonts w:hint="default" w:ascii="宋体" w:hAnsi="宋体" w:cs="宋体"/>
          <w:szCs w:val="21"/>
          <w:highlight w:val="none"/>
          <w:lang w:val="en-US" w:eastAsia="zh-CN"/>
        </w:rPr>
      </w:pPr>
      <w:r>
        <w:rPr>
          <w:rFonts w:hint="eastAsia" w:ascii="宋体" w:hAnsi="宋体" w:cs="宋体"/>
          <w:szCs w:val="21"/>
          <w:highlight w:val="none"/>
          <w:lang w:val="en-US" w:eastAsia="zh-CN"/>
        </w:rPr>
        <w:t>6</w:t>
      </w:r>
      <w:r>
        <w:rPr>
          <w:rFonts w:hint="default" w:ascii="宋体" w:hAnsi="宋体" w:cs="宋体"/>
          <w:szCs w:val="21"/>
          <w:highlight w:val="none"/>
          <w:lang w:val="en-US" w:eastAsia="zh-CN"/>
        </w:rPr>
        <w:t>.4 逾期送达，或未送达指定地点，或未密封的竞争性比选响应文件，采购人不予受理。</w:t>
      </w:r>
    </w:p>
    <w:p>
      <w:pPr>
        <w:tabs>
          <w:tab w:val="left" w:pos="360"/>
        </w:tabs>
        <w:spacing w:line="400" w:lineRule="exact"/>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6.5采购人不组织工程现场踏勘，不召开报价预备会。</w:t>
      </w:r>
    </w:p>
    <w:p>
      <w:pPr>
        <w:pStyle w:val="5"/>
        <w:spacing w:before="120" w:after="0" w:line="400" w:lineRule="exact"/>
        <w:rPr>
          <w:rFonts w:hint="eastAsia" w:ascii="宋体" w:hAnsi="宋体" w:eastAsia="宋体" w:cs="宋体"/>
          <w:highlight w:val="none"/>
        </w:rPr>
      </w:pPr>
      <w:r>
        <w:rPr>
          <w:rFonts w:hint="eastAsia" w:ascii="宋体" w:hAnsi="宋体" w:eastAsia="宋体" w:cs="宋体"/>
          <w:highlight w:val="none"/>
          <w:lang w:val="en-US" w:eastAsia="zh-CN"/>
        </w:rPr>
        <w:t>7</w:t>
      </w:r>
      <w:r>
        <w:rPr>
          <w:rFonts w:hint="eastAsia" w:ascii="宋体" w:hAnsi="宋体" w:eastAsia="宋体" w:cs="宋体"/>
          <w:highlight w:val="none"/>
        </w:rPr>
        <w:t>. 联系方式</w:t>
      </w:r>
      <w:bookmarkEnd w:id="79"/>
      <w:bookmarkEnd w:id="80"/>
      <w:bookmarkEnd w:id="81"/>
      <w:bookmarkEnd w:id="82"/>
      <w:bookmarkEnd w:id="83"/>
      <w:bookmarkEnd w:id="84"/>
      <w:bookmarkEnd w:id="85"/>
      <w:bookmarkEnd w:id="86"/>
      <w:bookmarkEnd w:id="87"/>
      <w:bookmarkEnd w:id="88"/>
      <w:bookmarkEnd w:id="89"/>
      <w:bookmarkEnd w:id="90"/>
    </w:p>
    <w:tbl>
      <w:tblPr>
        <w:tblStyle w:val="42"/>
        <w:tblW w:w="9628" w:type="dxa"/>
        <w:tblInd w:w="0" w:type="dxa"/>
        <w:tblLayout w:type="fixed"/>
        <w:tblCellMar>
          <w:top w:w="0" w:type="dxa"/>
          <w:left w:w="108" w:type="dxa"/>
          <w:bottom w:w="0" w:type="dxa"/>
          <w:right w:w="108" w:type="dxa"/>
        </w:tblCellMar>
      </w:tblPr>
      <w:tblGrid>
        <w:gridCol w:w="8213"/>
        <w:gridCol w:w="1415"/>
      </w:tblGrid>
      <w:tr>
        <w:tblPrEx>
          <w:tblCellMar>
            <w:top w:w="0" w:type="dxa"/>
            <w:left w:w="108" w:type="dxa"/>
            <w:bottom w:w="0" w:type="dxa"/>
            <w:right w:w="108" w:type="dxa"/>
          </w:tblCellMar>
        </w:tblPrEx>
        <w:trPr>
          <w:trHeight w:val="470" w:hRule="atLeast"/>
        </w:trPr>
        <w:tc>
          <w:tcPr>
            <w:tcW w:w="8213" w:type="dxa"/>
            <w:vAlign w:val="center"/>
          </w:tcPr>
          <w:p>
            <w:pPr>
              <w:pStyle w:val="101"/>
              <w:spacing w:before="0" w:beforeAutospacing="0" w:after="0" w:afterAutospacing="0" w:line="400" w:lineRule="exact"/>
              <w:ind w:firstLine="420" w:firstLineChars="200"/>
              <w:jc w:val="both"/>
              <w:rPr>
                <w:rFonts w:hint="eastAsia" w:ascii="宋体" w:hAnsi="宋体" w:cs="宋体"/>
                <w:kern w:val="2"/>
                <w:sz w:val="21"/>
                <w:szCs w:val="21"/>
                <w:highlight w:val="none"/>
              </w:rPr>
            </w:pPr>
            <w:r>
              <w:rPr>
                <w:rFonts w:hint="eastAsia" w:ascii="宋体" w:hAnsi="宋体" w:cs="宋体"/>
                <w:kern w:val="2"/>
                <w:sz w:val="21"/>
                <w:szCs w:val="21"/>
                <w:highlight w:val="none"/>
              </w:rPr>
              <w:t>采购人：重庆首讯科技股份有限公司</w:t>
            </w:r>
          </w:p>
        </w:tc>
        <w:tc>
          <w:tcPr>
            <w:tcW w:w="1415" w:type="dxa"/>
            <w:vAlign w:val="center"/>
          </w:tcPr>
          <w:p>
            <w:pPr>
              <w:pStyle w:val="101"/>
              <w:spacing w:before="0" w:beforeAutospacing="0" w:after="0" w:afterAutospacing="0" w:line="400" w:lineRule="exact"/>
              <w:ind w:firstLine="420" w:firstLineChars="200"/>
              <w:jc w:val="both"/>
              <w:rPr>
                <w:rFonts w:hint="eastAsia" w:ascii="宋体" w:hAnsi="宋体" w:cs="宋体"/>
                <w:kern w:val="2"/>
                <w:sz w:val="21"/>
                <w:szCs w:val="21"/>
                <w:highlight w:val="none"/>
              </w:rPr>
            </w:pPr>
          </w:p>
        </w:tc>
      </w:tr>
      <w:tr>
        <w:tblPrEx>
          <w:tblCellMar>
            <w:top w:w="0" w:type="dxa"/>
            <w:left w:w="108" w:type="dxa"/>
            <w:bottom w:w="0" w:type="dxa"/>
            <w:right w:w="108" w:type="dxa"/>
          </w:tblCellMar>
        </w:tblPrEx>
        <w:trPr>
          <w:trHeight w:val="461" w:hRule="atLeast"/>
        </w:trPr>
        <w:tc>
          <w:tcPr>
            <w:tcW w:w="8213" w:type="dxa"/>
            <w:vAlign w:val="center"/>
          </w:tcPr>
          <w:p>
            <w:pPr>
              <w:topLinePunct/>
              <w:spacing w:line="400" w:lineRule="exact"/>
              <w:ind w:left="1050" w:leftChars="200" w:hanging="630" w:hangingChars="300"/>
              <w:rPr>
                <w:rFonts w:hint="default" w:ascii="宋体" w:hAnsi="宋体" w:eastAsia="宋体" w:cs="宋体"/>
                <w:szCs w:val="21"/>
                <w:highlight w:val="none"/>
                <w:lang w:val="en-US" w:eastAsia="zh-CN"/>
              </w:rPr>
            </w:pPr>
            <w:r>
              <w:rPr>
                <w:rFonts w:hint="eastAsia" w:ascii="宋体" w:hAnsi="宋体" w:cs="宋体"/>
                <w:szCs w:val="21"/>
                <w:highlight w:val="none"/>
              </w:rPr>
              <w:t>地址：重庆市</w:t>
            </w:r>
            <w:r>
              <w:rPr>
                <w:rFonts w:hint="eastAsia" w:ascii="宋体" w:hAnsi="宋体" w:cs="宋体"/>
                <w:szCs w:val="21"/>
                <w:highlight w:val="none"/>
                <w:lang w:val="en-US" w:eastAsia="zh-CN"/>
              </w:rPr>
              <w:t>渝北区新南路52号重庆首讯科技股份有限公司</w:t>
            </w:r>
          </w:p>
        </w:tc>
        <w:tc>
          <w:tcPr>
            <w:tcW w:w="1415" w:type="dxa"/>
            <w:vAlign w:val="center"/>
          </w:tcPr>
          <w:p>
            <w:pPr>
              <w:spacing w:line="400" w:lineRule="exact"/>
              <w:ind w:firstLine="420" w:firstLineChars="200"/>
              <w:rPr>
                <w:rFonts w:hint="eastAsia" w:ascii="宋体" w:hAnsi="宋体" w:cs="宋体"/>
                <w:szCs w:val="21"/>
                <w:highlight w:val="none"/>
              </w:rPr>
            </w:pPr>
          </w:p>
        </w:tc>
      </w:tr>
      <w:tr>
        <w:tblPrEx>
          <w:tblCellMar>
            <w:top w:w="0" w:type="dxa"/>
            <w:left w:w="108" w:type="dxa"/>
            <w:bottom w:w="0" w:type="dxa"/>
            <w:right w:w="108" w:type="dxa"/>
          </w:tblCellMar>
        </w:tblPrEx>
        <w:trPr>
          <w:trHeight w:val="470" w:hRule="atLeast"/>
        </w:trPr>
        <w:tc>
          <w:tcPr>
            <w:tcW w:w="8213" w:type="dxa"/>
            <w:vAlign w:val="center"/>
          </w:tcPr>
          <w:p>
            <w:pPr>
              <w:topLinePunct/>
              <w:spacing w:line="400" w:lineRule="exact"/>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技术</w:t>
            </w:r>
            <w:r>
              <w:rPr>
                <w:rFonts w:hint="eastAsia" w:ascii="宋体" w:hAnsi="宋体" w:cs="宋体"/>
                <w:szCs w:val="21"/>
                <w:highlight w:val="none"/>
              </w:rPr>
              <w:t>联系人：</w:t>
            </w:r>
            <w:r>
              <w:rPr>
                <w:rFonts w:hint="eastAsia" w:ascii="宋体" w:hAnsi="宋体" w:cs="宋体"/>
                <w:szCs w:val="21"/>
                <w:highlight w:val="none"/>
                <w:lang w:val="en-US" w:eastAsia="zh-CN"/>
              </w:rPr>
              <w:t xml:space="preserve">王  工  </w:t>
            </w:r>
            <w:r>
              <w:rPr>
                <w:rFonts w:hint="eastAsia" w:ascii="宋体" w:hAnsi="宋体" w:cs="宋体"/>
                <w:szCs w:val="21"/>
                <w:highlight w:val="none"/>
              </w:rPr>
              <w:t>电 话：</w:t>
            </w:r>
            <w:r>
              <w:rPr>
                <w:rFonts w:hint="eastAsia" w:ascii="宋体" w:hAnsi="宋体" w:cs="宋体"/>
                <w:szCs w:val="21"/>
                <w:highlight w:val="none"/>
                <w:lang w:val="en-US" w:eastAsia="zh-CN"/>
              </w:rPr>
              <w:t>13650500946</w:t>
            </w:r>
          </w:p>
        </w:tc>
        <w:tc>
          <w:tcPr>
            <w:tcW w:w="1415" w:type="dxa"/>
            <w:vAlign w:val="center"/>
          </w:tcPr>
          <w:p>
            <w:pPr>
              <w:spacing w:line="400" w:lineRule="exact"/>
              <w:ind w:firstLine="420" w:firstLineChars="200"/>
              <w:rPr>
                <w:rFonts w:hint="eastAsia" w:ascii="宋体" w:hAnsi="宋体" w:cs="宋体"/>
                <w:szCs w:val="21"/>
                <w:highlight w:val="none"/>
              </w:rPr>
            </w:pPr>
          </w:p>
        </w:tc>
      </w:tr>
      <w:tr>
        <w:tblPrEx>
          <w:tblCellMar>
            <w:top w:w="0" w:type="dxa"/>
            <w:left w:w="108" w:type="dxa"/>
            <w:bottom w:w="0" w:type="dxa"/>
            <w:right w:w="108" w:type="dxa"/>
          </w:tblCellMar>
        </w:tblPrEx>
        <w:trPr>
          <w:trHeight w:val="405" w:hRule="atLeast"/>
        </w:trPr>
        <w:tc>
          <w:tcPr>
            <w:tcW w:w="8213" w:type="dxa"/>
            <w:vAlign w:val="center"/>
          </w:tcPr>
          <w:p>
            <w:pPr>
              <w:topLinePunct/>
              <w:spacing w:line="420" w:lineRule="exact"/>
              <w:ind w:firstLine="420" w:firstLineChars="200"/>
              <w:rPr>
                <w:rFonts w:hint="default"/>
                <w:highlight w:val="none"/>
                <w:lang w:val="en-US"/>
              </w:rPr>
            </w:pPr>
            <w:r>
              <w:rPr>
                <w:rFonts w:hint="eastAsia" w:ascii="宋体" w:hAnsi="宋体" w:cs="宋体"/>
                <w:szCs w:val="21"/>
                <w:highlight w:val="none"/>
                <w:lang w:val="en-US" w:eastAsia="zh-CN"/>
              </w:rPr>
              <w:t>商务</w:t>
            </w:r>
            <w:r>
              <w:rPr>
                <w:rFonts w:hint="eastAsia" w:ascii="宋体" w:hAnsi="宋体" w:cs="宋体"/>
                <w:szCs w:val="21"/>
                <w:highlight w:val="none"/>
              </w:rPr>
              <w:t>联系人：</w:t>
            </w:r>
            <w:r>
              <w:rPr>
                <w:rFonts w:hint="eastAsia" w:ascii="宋体" w:hAnsi="宋体" w:cs="宋体"/>
                <w:szCs w:val="21"/>
                <w:highlight w:val="none"/>
                <w:lang w:val="en-US" w:eastAsia="zh-CN"/>
              </w:rPr>
              <w:t xml:space="preserve">刘老师  </w:t>
            </w:r>
            <w:r>
              <w:rPr>
                <w:rFonts w:hint="eastAsia" w:ascii="宋体" w:hAnsi="宋体" w:cs="宋体"/>
                <w:szCs w:val="21"/>
                <w:highlight w:val="none"/>
              </w:rPr>
              <w:t>电 话：</w:t>
            </w:r>
            <w:r>
              <w:rPr>
                <w:rFonts w:hint="eastAsia" w:ascii="宋体" w:hAnsi="宋体" w:cs="宋体"/>
                <w:szCs w:val="21"/>
                <w:highlight w:val="none"/>
                <w:lang w:val="en-US" w:eastAsia="zh-CN"/>
              </w:rPr>
              <w:t>18623655450</w:t>
            </w:r>
          </w:p>
        </w:tc>
        <w:tc>
          <w:tcPr>
            <w:tcW w:w="1415" w:type="dxa"/>
            <w:vAlign w:val="center"/>
          </w:tcPr>
          <w:p>
            <w:pPr>
              <w:spacing w:line="400" w:lineRule="exact"/>
              <w:ind w:firstLine="420" w:firstLineChars="200"/>
              <w:rPr>
                <w:rFonts w:hint="eastAsia" w:ascii="宋体" w:hAnsi="宋体" w:cs="宋体"/>
                <w:szCs w:val="21"/>
                <w:highlight w:val="none"/>
              </w:rPr>
            </w:pPr>
          </w:p>
        </w:tc>
      </w:tr>
    </w:tbl>
    <w:p>
      <w:pPr>
        <w:rPr>
          <w:highlight w:val="none"/>
        </w:rPr>
      </w:pPr>
    </w:p>
    <w:p>
      <w:pPr>
        <w:pStyle w:val="29"/>
        <w:rPr>
          <w:highlight w:val="none"/>
        </w:rPr>
      </w:pPr>
    </w:p>
    <w:p>
      <w:pPr>
        <w:rPr>
          <w:highlight w:val="none"/>
        </w:rPr>
      </w:pPr>
    </w:p>
    <w:p>
      <w:pPr>
        <w:pStyle w:val="29"/>
        <w:rPr>
          <w:highlight w:val="none"/>
        </w:rPr>
      </w:pPr>
    </w:p>
    <w:p>
      <w:pPr>
        <w:pStyle w:val="29"/>
        <w:rPr>
          <w:highlight w:val="none"/>
        </w:rPr>
      </w:pPr>
    </w:p>
    <w:bookmarkEnd w:id="16"/>
    <w:bookmarkEnd w:id="17"/>
    <w:p>
      <w:pPr>
        <w:pStyle w:val="4"/>
        <w:spacing w:before="0" w:after="0" w:line="360" w:lineRule="auto"/>
        <w:jc w:val="center"/>
        <w:rPr>
          <w:rFonts w:hint="eastAsia" w:ascii="宋体" w:hAnsi="宋体" w:cs="宋体"/>
          <w:highlight w:val="none"/>
        </w:rPr>
      </w:pPr>
      <w:bookmarkStart w:id="91" w:name="_Toc247085687"/>
      <w:bookmarkStart w:id="92" w:name="_Toc2000405"/>
      <w:bookmarkStart w:id="93" w:name="_Toc21719"/>
      <w:bookmarkStart w:id="94" w:name="_Toc179632544"/>
      <w:bookmarkStart w:id="95" w:name="_Toc246996173"/>
      <w:bookmarkStart w:id="96" w:name="_Toc507319898"/>
      <w:bookmarkStart w:id="97" w:name="_Toc152042303"/>
      <w:bookmarkStart w:id="98" w:name="_Toc152045527"/>
      <w:bookmarkStart w:id="99" w:name="_Toc246996916"/>
      <w:bookmarkStart w:id="100" w:name="_Toc144974495"/>
      <w:r>
        <w:rPr>
          <w:rFonts w:hint="eastAsia" w:ascii="宋体" w:hAnsi="宋体" w:cs="宋体"/>
          <w:highlight w:val="none"/>
        </w:rPr>
        <w:br w:type="page"/>
      </w:r>
      <w:r>
        <w:rPr>
          <w:rFonts w:hint="eastAsia" w:ascii="宋体" w:hAnsi="宋体" w:cs="宋体"/>
          <w:highlight w:val="none"/>
        </w:rPr>
        <w:t>第二章 报价人须知</w:t>
      </w:r>
      <w:bookmarkEnd w:id="91"/>
      <w:bookmarkEnd w:id="92"/>
      <w:bookmarkEnd w:id="93"/>
      <w:bookmarkEnd w:id="94"/>
      <w:bookmarkEnd w:id="95"/>
      <w:bookmarkEnd w:id="96"/>
      <w:bookmarkEnd w:id="97"/>
      <w:bookmarkEnd w:id="98"/>
      <w:bookmarkEnd w:id="99"/>
      <w:bookmarkEnd w:id="100"/>
    </w:p>
    <w:p>
      <w:pPr>
        <w:rPr>
          <w:rFonts w:hint="eastAsia"/>
          <w:highlight w:val="none"/>
        </w:rPr>
      </w:pPr>
    </w:p>
    <w:tbl>
      <w:tblPr>
        <w:tblStyle w:val="42"/>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blHeader/>
          <w:jc w:val="center"/>
        </w:trPr>
        <w:tc>
          <w:tcPr>
            <w:tcW w:w="697" w:type="dxa"/>
            <w:vAlign w:val="center"/>
          </w:tcPr>
          <w:p>
            <w:pPr>
              <w:spacing w:line="400" w:lineRule="exact"/>
              <w:jc w:val="center"/>
              <w:rPr>
                <w:rFonts w:hint="eastAsia" w:ascii="宋体" w:hAnsi="宋体" w:cs="宋体"/>
                <w:b/>
                <w:kern w:val="0"/>
                <w:szCs w:val="21"/>
                <w:highlight w:val="none"/>
              </w:rPr>
            </w:pPr>
            <w:bookmarkStart w:id="101" w:name="_Toc326760840"/>
            <w:r>
              <w:rPr>
                <w:rFonts w:hint="eastAsia" w:ascii="宋体" w:hAnsi="宋体" w:cs="宋体"/>
                <w:b/>
                <w:kern w:val="0"/>
                <w:szCs w:val="21"/>
                <w:highlight w:val="none"/>
                <w:lang w:val="en-US" w:eastAsia="zh-CN"/>
              </w:rPr>
              <w:t>序</w:t>
            </w:r>
            <w:r>
              <w:rPr>
                <w:rFonts w:hint="eastAsia" w:ascii="宋体" w:hAnsi="宋体" w:cs="宋体"/>
                <w:b/>
                <w:kern w:val="0"/>
                <w:szCs w:val="21"/>
                <w:highlight w:val="none"/>
              </w:rPr>
              <w:t>号</w:t>
            </w:r>
          </w:p>
        </w:tc>
        <w:tc>
          <w:tcPr>
            <w:tcW w:w="2106" w:type="dxa"/>
            <w:vAlign w:val="center"/>
          </w:tcPr>
          <w:p>
            <w:pPr>
              <w:spacing w:line="400" w:lineRule="exact"/>
              <w:jc w:val="center"/>
              <w:rPr>
                <w:rFonts w:hint="eastAsia" w:ascii="宋体" w:hAnsi="宋体" w:cs="宋体"/>
                <w:b/>
                <w:kern w:val="0"/>
                <w:szCs w:val="21"/>
                <w:highlight w:val="none"/>
              </w:rPr>
            </w:pPr>
            <w:r>
              <w:rPr>
                <w:rFonts w:hint="eastAsia" w:ascii="宋体" w:hAnsi="宋体" w:cs="宋体"/>
                <w:b/>
                <w:kern w:val="0"/>
                <w:szCs w:val="21"/>
                <w:highlight w:val="none"/>
              </w:rPr>
              <w:t>条款名称</w:t>
            </w:r>
          </w:p>
        </w:tc>
        <w:tc>
          <w:tcPr>
            <w:tcW w:w="7104" w:type="dxa"/>
            <w:vAlign w:val="center"/>
          </w:tcPr>
          <w:p>
            <w:pPr>
              <w:spacing w:line="400" w:lineRule="exact"/>
              <w:ind w:firstLine="422" w:firstLineChars="200"/>
              <w:jc w:val="center"/>
              <w:rPr>
                <w:rFonts w:hint="eastAsia" w:ascii="宋体" w:hAnsi="宋体" w:cs="宋体"/>
                <w:b/>
                <w:kern w:val="0"/>
                <w:szCs w:val="21"/>
                <w:highlight w:val="none"/>
              </w:rPr>
            </w:pPr>
            <w:r>
              <w:rPr>
                <w:rFonts w:hint="eastAsia" w:ascii="宋体" w:hAnsi="宋体" w:cs="宋体"/>
                <w:b/>
                <w:kern w:val="0"/>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1</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采购人</w:t>
            </w:r>
          </w:p>
        </w:tc>
        <w:tc>
          <w:tcPr>
            <w:tcW w:w="7104" w:type="dxa"/>
            <w:vAlign w:val="center"/>
          </w:tcPr>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采购人：重庆首讯科技股份有限公司</w:t>
            </w:r>
          </w:p>
          <w:p>
            <w:pPr>
              <w:spacing w:line="400" w:lineRule="exact"/>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地</w:t>
            </w:r>
            <w:r>
              <w:rPr>
                <w:rFonts w:hint="eastAsia" w:ascii="宋体" w:hAnsi="宋体" w:cs="宋体"/>
                <w:szCs w:val="21"/>
                <w:highlight w:val="none"/>
                <w:lang w:val="en-US" w:eastAsia="zh-CN"/>
              </w:rPr>
              <w:t xml:space="preserve">  </w:t>
            </w:r>
            <w:r>
              <w:rPr>
                <w:rFonts w:hint="eastAsia" w:ascii="宋体" w:hAnsi="宋体" w:cs="宋体"/>
                <w:szCs w:val="21"/>
                <w:highlight w:val="none"/>
              </w:rPr>
              <w:t>址：重庆市</w:t>
            </w:r>
            <w:r>
              <w:rPr>
                <w:rFonts w:hint="eastAsia" w:ascii="宋体" w:hAnsi="宋体" w:cs="宋体"/>
                <w:szCs w:val="21"/>
                <w:highlight w:val="none"/>
                <w:lang w:val="en-US" w:eastAsia="zh-CN"/>
              </w:rPr>
              <w:t>渝北区新南路52号重庆首讯科技有限公司</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联系人：</w:t>
            </w:r>
            <w:r>
              <w:rPr>
                <w:rFonts w:hint="eastAsia" w:ascii="宋体" w:hAnsi="宋体" w:cs="宋体"/>
                <w:szCs w:val="21"/>
                <w:highlight w:val="none"/>
                <w:lang w:val="en-US" w:eastAsia="zh-CN"/>
              </w:rPr>
              <w:t>刘老师</w:t>
            </w:r>
          </w:p>
          <w:p>
            <w:pPr>
              <w:topLinePunct/>
              <w:spacing w:line="420" w:lineRule="exact"/>
              <w:ind w:firstLine="420" w:firstLineChars="200"/>
              <w:rPr>
                <w:rFonts w:hint="default"/>
                <w:highlight w:val="none"/>
                <w:lang w:val="en-US"/>
              </w:rPr>
            </w:pPr>
            <w:r>
              <w:rPr>
                <w:rFonts w:hint="eastAsia" w:ascii="宋体" w:hAnsi="宋体" w:cs="宋体"/>
                <w:szCs w:val="21"/>
                <w:highlight w:val="none"/>
              </w:rPr>
              <w:t>电</w:t>
            </w:r>
            <w:r>
              <w:rPr>
                <w:rFonts w:hint="eastAsia" w:ascii="宋体" w:hAnsi="宋体" w:cs="宋体"/>
                <w:szCs w:val="21"/>
                <w:highlight w:val="none"/>
                <w:lang w:val="en-US" w:eastAsia="zh-CN"/>
              </w:rPr>
              <w:t xml:space="preserve">  </w:t>
            </w:r>
            <w:r>
              <w:rPr>
                <w:rFonts w:hint="eastAsia" w:ascii="宋体" w:hAnsi="宋体" w:cs="宋体"/>
                <w:szCs w:val="21"/>
                <w:highlight w:val="none"/>
              </w:rPr>
              <w:t>话：</w:t>
            </w:r>
            <w:r>
              <w:rPr>
                <w:rFonts w:hint="eastAsia" w:ascii="宋体" w:hAnsi="宋体" w:cs="宋体"/>
                <w:szCs w:val="21"/>
                <w:highlight w:val="none"/>
                <w:lang w:val="en-US" w:eastAsia="zh-CN"/>
              </w:rPr>
              <w:t>18623655450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2</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项目名称</w:t>
            </w:r>
          </w:p>
        </w:tc>
        <w:tc>
          <w:tcPr>
            <w:tcW w:w="7104" w:type="dxa"/>
            <w:vAlign w:val="center"/>
          </w:tcPr>
          <w:p>
            <w:pPr>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lang w:eastAsia="zh-CN"/>
              </w:rPr>
              <w:t>曾家机电站办公用房装饰装修项目（第二次）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3</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项目地点</w:t>
            </w:r>
          </w:p>
        </w:tc>
        <w:tc>
          <w:tcPr>
            <w:tcW w:w="7104" w:type="dxa"/>
            <w:vAlign w:val="center"/>
          </w:tcPr>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4</w:t>
            </w:r>
          </w:p>
        </w:tc>
        <w:tc>
          <w:tcPr>
            <w:tcW w:w="2106" w:type="dxa"/>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比选范围</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hint="eastAsia" w:ascii="宋体" w:hAnsi="宋体" w:cs="宋体"/>
                <w:szCs w:val="21"/>
                <w:highlight w:val="none"/>
              </w:rPr>
            </w:pPr>
            <w:r>
              <w:rPr>
                <w:rFonts w:hint="eastAsia" w:ascii="宋体" w:hAnsi="宋体" w:cs="宋体"/>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5</w:t>
            </w:r>
          </w:p>
        </w:tc>
        <w:tc>
          <w:tcPr>
            <w:tcW w:w="2106" w:type="dxa"/>
            <w:vAlign w:val="center"/>
          </w:tcPr>
          <w:p>
            <w:pPr>
              <w:spacing w:line="400" w:lineRule="exact"/>
              <w:jc w:val="center"/>
              <w:rPr>
                <w:rFonts w:hint="eastAsia" w:ascii="宋体" w:hAnsi="宋体" w:eastAsia="宋体" w:cs="宋体"/>
                <w:szCs w:val="21"/>
                <w:highlight w:val="none"/>
                <w:lang w:val="en-US" w:eastAsia="zh-CN"/>
              </w:rPr>
            </w:pPr>
            <w:r>
              <w:rPr>
                <w:rFonts w:hint="eastAsia" w:ascii="宋体" w:hAnsi="宋体" w:cs="宋体"/>
                <w:kern w:val="0"/>
                <w:szCs w:val="21"/>
                <w:highlight w:val="none"/>
              </w:rPr>
              <w:t>工期</w:t>
            </w:r>
            <w:r>
              <w:rPr>
                <w:rFonts w:hint="eastAsia" w:ascii="宋体" w:hAnsi="宋体" w:cs="宋体"/>
                <w:kern w:val="0"/>
                <w:szCs w:val="21"/>
                <w:highlight w:val="none"/>
                <w:lang w:val="en-US" w:eastAsia="zh-CN"/>
              </w:rPr>
              <w:t>要求</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hint="eastAsia" w:ascii="宋体" w:hAnsi="宋体" w:cs="宋体"/>
                <w:kern w:val="10"/>
                <w:szCs w:val="21"/>
                <w:highlight w:val="none"/>
              </w:rPr>
            </w:pPr>
            <w:r>
              <w:rPr>
                <w:rFonts w:hint="eastAsia" w:ascii="宋体" w:hAnsi="宋体" w:cs="宋体"/>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6</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质量要求</w:t>
            </w:r>
          </w:p>
        </w:tc>
        <w:tc>
          <w:tcPr>
            <w:tcW w:w="7104" w:type="dxa"/>
          </w:tcPr>
          <w:p>
            <w:pPr>
              <w:spacing w:line="400" w:lineRule="exact"/>
              <w:ind w:firstLine="420" w:firstLineChars="200"/>
              <w:rPr>
                <w:rFonts w:hint="eastAsia" w:ascii="宋体" w:hAnsi="宋体" w:cs="宋体"/>
                <w:kern w:val="0"/>
                <w:szCs w:val="21"/>
                <w:highlight w:val="none"/>
              </w:rPr>
            </w:pPr>
            <w:r>
              <w:rPr>
                <w:rFonts w:hint="eastAsia" w:ascii="宋体" w:hAnsi="宋体" w:cs="宋体"/>
                <w:szCs w:val="21"/>
                <w:highlight w:val="none"/>
              </w:rPr>
              <w:t>达到国家和地方现行有关质量标准和比选文件第七章技术标准和工作要求，并且一次性验收合格，缺陷责任期为24个月。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7</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安全目标</w:t>
            </w:r>
          </w:p>
        </w:tc>
        <w:tc>
          <w:tcPr>
            <w:tcW w:w="7104" w:type="dxa"/>
          </w:tcPr>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无安全生产责任事故。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8</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szCs w:val="21"/>
                <w:highlight w:val="none"/>
              </w:rPr>
              <w:t>报价人资质条件、能力与信誉</w:t>
            </w:r>
          </w:p>
        </w:tc>
        <w:tc>
          <w:tcPr>
            <w:tcW w:w="7104" w:type="dxa"/>
            <w:vAlign w:val="center"/>
          </w:tcPr>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（1）资质条件：见</w:t>
            </w:r>
            <w:r>
              <w:rPr>
                <w:rFonts w:hint="eastAsia" w:ascii="宋体" w:hAnsi="宋体" w:cs="宋体"/>
                <w:szCs w:val="21"/>
                <w:highlight w:val="none"/>
                <w:lang w:val="en-US" w:eastAsia="zh-CN"/>
              </w:rPr>
              <w:t>比选公告3.</w:t>
            </w:r>
            <w:r>
              <w:rPr>
                <w:rFonts w:hint="eastAsia" w:ascii="宋体" w:hAnsi="宋体" w:cs="宋体"/>
                <w:szCs w:val="21"/>
                <w:highlight w:val="none"/>
              </w:rPr>
              <w:t>1</w:t>
            </w:r>
          </w:p>
          <w:p>
            <w:pPr>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（2）业绩要求：见</w:t>
            </w:r>
            <w:r>
              <w:rPr>
                <w:rFonts w:hint="eastAsia" w:ascii="宋体" w:hAnsi="宋体" w:cs="宋体"/>
                <w:szCs w:val="21"/>
                <w:highlight w:val="none"/>
                <w:lang w:val="en-US" w:eastAsia="zh-CN"/>
              </w:rPr>
              <w:t>比选公告3.2</w:t>
            </w:r>
          </w:p>
          <w:p>
            <w:pPr>
              <w:spacing w:line="400" w:lineRule="exact"/>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）信誉要求：见</w:t>
            </w:r>
            <w:r>
              <w:rPr>
                <w:rFonts w:hint="eastAsia" w:ascii="宋体" w:hAnsi="宋体" w:cs="宋体"/>
                <w:szCs w:val="21"/>
                <w:highlight w:val="none"/>
                <w:lang w:val="en-US" w:eastAsia="zh-CN"/>
              </w:rPr>
              <w:t>比选公告3.3</w:t>
            </w:r>
          </w:p>
          <w:p>
            <w:pPr>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w:t>
            </w:r>
            <w:r>
              <w:rPr>
                <w:rFonts w:hint="eastAsia" w:ascii="宋体" w:hAnsi="宋体" w:cs="宋体"/>
                <w:szCs w:val="21"/>
                <w:highlight w:val="none"/>
                <w:lang w:val="en-US" w:eastAsia="zh-CN"/>
              </w:rPr>
              <w:t>4</w:t>
            </w:r>
            <w:r>
              <w:rPr>
                <w:rFonts w:hint="eastAsia" w:ascii="宋体" w:hAnsi="宋体" w:cs="宋体"/>
                <w:szCs w:val="21"/>
                <w:highlight w:val="none"/>
              </w:rPr>
              <w:t>）项目主要人员要求：见附录</w:t>
            </w:r>
            <w:r>
              <w:rPr>
                <w:rFonts w:hint="eastAsia" w:ascii="宋体" w:hAnsi="宋体" w:cs="宋体"/>
                <w:szCs w:val="21"/>
                <w:highlight w:val="none"/>
                <w:lang w:val="en-US" w:eastAsia="zh-CN"/>
              </w:rPr>
              <w:t>1</w:t>
            </w:r>
          </w:p>
          <w:p>
            <w:pPr>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w:t>
            </w:r>
            <w:r>
              <w:rPr>
                <w:rFonts w:hint="eastAsia" w:ascii="宋体" w:hAnsi="宋体" w:cs="宋体"/>
                <w:szCs w:val="21"/>
                <w:highlight w:val="none"/>
                <w:lang w:val="en-US" w:eastAsia="zh-CN"/>
              </w:rPr>
              <w:t>5</w:t>
            </w:r>
            <w:r>
              <w:rPr>
                <w:rFonts w:hint="eastAsia" w:ascii="宋体" w:hAnsi="宋体" w:cs="宋体"/>
                <w:szCs w:val="21"/>
                <w:highlight w:val="none"/>
              </w:rPr>
              <w:t>）其他要求：见附录</w:t>
            </w:r>
            <w:r>
              <w:rPr>
                <w:rFonts w:hint="eastAsia" w:ascii="宋体" w:hAnsi="宋体" w:cs="宋体"/>
                <w:szCs w:val="21"/>
                <w:highlight w:val="none"/>
                <w:lang w:val="en-US" w:eastAsia="zh-CN"/>
              </w:rPr>
              <w:t>2</w:t>
            </w:r>
            <w:r>
              <w:rPr>
                <w:rFonts w:hint="eastAsia" w:ascii="宋体" w:hAnsi="宋体" w:cs="宋体"/>
                <w:szCs w:val="21"/>
                <w:highlight w:val="none"/>
              </w:rPr>
              <w:t>、见附录</w:t>
            </w:r>
            <w:r>
              <w:rPr>
                <w:rFonts w:hint="eastAsia" w:ascii="宋体" w:hAnsi="宋体" w:cs="宋体"/>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9</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是否接受</w:t>
            </w:r>
          </w:p>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联合体报价</w:t>
            </w:r>
          </w:p>
        </w:tc>
        <w:tc>
          <w:tcPr>
            <w:tcW w:w="7104" w:type="dxa"/>
            <w:vAlign w:val="center"/>
          </w:tcPr>
          <w:p>
            <w:pPr>
              <w:spacing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10</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踏勘现场</w:t>
            </w:r>
          </w:p>
        </w:tc>
        <w:tc>
          <w:tcPr>
            <w:tcW w:w="7104" w:type="dxa"/>
            <w:vAlign w:val="center"/>
          </w:tcPr>
          <w:p>
            <w:pPr>
              <w:spacing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不组织，由各报价人根据需要自行完成现场踏勘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11</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分包</w:t>
            </w:r>
          </w:p>
        </w:tc>
        <w:tc>
          <w:tcPr>
            <w:tcW w:w="7104" w:type="dxa"/>
            <w:vAlign w:val="center"/>
          </w:tcPr>
          <w:p>
            <w:pPr>
              <w:spacing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12</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偏差</w:t>
            </w:r>
          </w:p>
        </w:tc>
        <w:tc>
          <w:tcPr>
            <w:tcW w:w="7104" w:type="dxa"/>
            <w:vAlign w:val="center"/>
          </w:tcPr>
          <w:p>
            <w:pPr>
              <w:spacing w:line="400" w:lineRule="exact"/>
              <w:ind w:firstLine="422" w:firstLineChars="200"/>
              <w:rPr>
                <w:rFonts w:hint="eastAsia" w:ascii="宋体" w:hAnsi="宋体" w:cs="宋体"/>
                <w:kern w:val="0"/>
                <w:szCs w:val="21"/>
                <w:highlight w:val="none"/>
              </w:rPr>
            </w:pPr>
            <w:r>
              <w:rPr>
                <w:rFonts w:hint="eastAsia" w:ascii="宋体" w:hAnsi="宋体" w:cs="宋体"/>
                <w:b/>
                <w:kern w:val="0"/>
                <w:szCs w:val="21"/>
                <w:highlight w:val="none"/>
              </w:rPr>
              <w:t>不允许负偏差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13</w:t>
            </w:r>
          </w:p>
        </w:tc>
        <w:tc>
          <w:tcPr>
            <w:tcW w:w="2106" w:type="dxa"/>
            <w:vAlign w:val="center"/>
          </w:tcPr>
          <w:p>
            <w:pPr>
              <w:spacing w:line="440" w:lineRule="exact"/>
              <w:jc w:val="center"/>
              <w:rPr>
                <w:rFonts w:hint="eastAsia" w:ascii="宋体" w:hAnsi="宋体" w:cs="宋体"/>
                <w:kern w:val="0"/>
                <w:szCs w:val="21"/>
                <w:highlight w:val="none"/>
              </w:rPr>
            </w:pPr>
            <w:r>
              <w:rPr>
                <w:rFonts w:hint="eastAsia" w:ascii="宋体" w:hAnsi="宋体" w:cs="宋体"/>
                <w:bCs/>
                <w:szCs w:val="21"/>
                <w:highlight w:val="none"/>
              </w:rPr>
              <w:t>构成比选文件的其他材料</w:t>
            </w:r>
          </w:p>
        </w:tc>
        <w:tc>
          <w:tcPr>
            <w:tcW w:w="7104" w:type="dxa"/>
            <w:vAlign w:val="center"/>
          </w:tcPr>
          <w:p>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采购人发布的图纸、补遗书、答疑、澄清、最高限价通知等附件。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bookmarkStart w:id="102" w:name="_Hlt227984024"/>
            <w:bookmarkEnd w:id="102"/>
            <w:r>
              <w:rPr>
                <w:rFonts w:hint="eastAsia" w:ascii="宋体" w:hAnsi="宋体" w:cs="宋体"/>
                <w:kern w:val="0"/>
                <w:szCs w:val="21"/>
                <w:highlight w:val="none"/>
                <w:lang w:val="en-US" w:eastAsia="zh-CN"/>
              </w:rPr>
              <w:t>14</w:t>
            </w:r>
          </w:p>
        </w:tc>
        <w:tc>
          <w:tcPr>
            <w:tcW w:w="2106" w:type="dxa"/>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构成竞争性比选响应文件的其他材料</w:t>
            </w:r>
          </w:p>
        </w:tc>
        <w:tc>
          <w:tcPr>
            <w:tcW w:w="7104" w:type="dxa"/>
            <w:vAlign w:val="center"/>
          </w:tcPr>
          <w:p>
            <w:pPr>
              <w:pStyle w:val="148"/>
              <w:spacing w:before="72" w:line="400" w:lineRule="exact"/>
              <w:ind w:firstLine="420" w:firstLineChars="200"/>
              <w:jc w:val="both"/>
              <w:rPr>
                <w:rFonts w:hint="eastAsia" w:hAnsi="宋体"/>
                <w:color w:val="auto"/>
                <w:sz w:val="21"/>
                <w:szCs w:val="21"/>
                <w:highlight w:val="none"/>
              </w:rPr>
            </w:pPr>
            <w:r>
              <w:rPr>
                <w:rFonts w:hint="eastAsia" w:hAnsi="宋体"/>
                <w:color w:val="auto"/>
                <w:sz w:val="21"/>
                <w:szCs w:val="21"/>
                <w:highlight w:val="none"/>
              </w:rPr>
              <w:t>报价人书面澄清或补正，但不得改变竞争性比选响应文件实质。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97" w:type="dxa"/>
            <w:tcBorders>
              <w:bottom w:val="single" w:color="auto" w:sz="4" w:space="0"/>
            </w:tcBorders>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15</w:t>
            </w:r>
          </w:p>
        </w:tc>
        <w:tc>
          <w:tcPr>
            <w:tcW w:w="2106" w:type="dxa"/>
            <w:tcBorders>
              <w:bottom w:val="single" w:color="auto" w:sz="4" w:space="0"/>
            </w:tcBorders>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工程量清单的填写方式</w:t>
            </w:r>
          </w:p>
        </w:tc>
        <w:tc>
          <w:tcPr>
            <w:tcW w:w="7104" w:type="dxa"/>
            <w:tcBorders>
              <w:bottom w:val="single" w:color="auto" w:sz="4" w:space="0"/>
            </w:tcBorders>
          </w:tcPr>
          <w:p>
            <w:pPr>
              <w:spacing w:line="400" w:lineRule="exact"/>
              <w:ind w:firstLine="420" w:firstLineChars="200"/>
              <w:jc w:val="left"/>
              <w:rPr>
                <w:rFonts w:hint="eastAsia" w:ascii="宋体" w:hAnsi="宋体" w:cs="宋体"/>
                <w:szCs w:val="21"/>
                <w:highlight w:val="none"/>
              </w:rPr>
            </w:pPr>
            <w:r>
              <w:rPr>
                <w:rFonts w:hint="eastAsia" w:ascii="宋体" w:hAnsi="宋体" w:cs="宋体"/>
                <w:highlight w:val="none"/>
              </w:rPr>
              <w:t>报价人按照采购人提供的工程量清单填写工程量清单</w:t>
            </w:r>
          </w:p>
          <w:p>
            <w:pPr>
              <w:spacing w:line="400" w:lineRule="exact"/>
              <w:ind w:firstLine="422" w:firstLineChars="200"/>
              <w:rPr>
                <w:rFonts w:hint="eastAsia" w:ascii="宋体" w:hAnsi="宋体" w:cs="宋体"/>
                <w:b/>
                <w:szCs w:val="21"/>
                <w:highlight w:val="none"/>
              </w:rPr>
            </w:pPr>
            <w:r>
              <w:rPr>
                <w:rFonts w:hint="eastAsia" w:ascii="宋体" w:hAnsi="宋体" w:cs="宋体"/>
                <w:b/>
                <w:szCs w:val="21"/>
                <w:highlight w:val="none"/>
              </w:rPr>
              <w:t>综合单价取小数点后两位，小数点后第三位四舍五入。</w:t>
            </w:r>
          </w:p>
          <w:p>
            <w:pPr>
              <w:spacing w:line="400" w:lineRule="exact"/>
              <w:ind w:firstLine="422" w:firstLineChars="200"/>
              <w:rPr>
                <w:rFonts w:hint="eastAsia" w:ascii="宋体" w:hAnsi="宋体" w:cs="宋体"/>
                <w:szCs w:val="21"/>
                <w:highlight w:val="none"/>
              </w:rPr>
            </w:pPr>
            <w:r>
              <w:rPr>
                <w:rFonts w:hint="eastAsia" w:ascii="宋体" w:hAnsi="宋体" w:cs="宋体"/>
                <w:b/>
                <w:bCs/>
                <w:szCs w:val="21"/>
                <w:highlight w:val="none"/>
              </w:rPr>
              <w:t>本项目工程量清单及说明随比选文件一并发布，详见附件。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697" w:type="dxa"/>
            <w:tcBorders>
              <w:bottom w:val="single" w:color="auto" w:sz="4" w:space="0"/>
            </w:tcBorders>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16</w:t>
            </w:r>
          </w:p>
        </w:tc>
        <w:tc>
          <w:tcPr>
            <w:tcW w:w="2106" w:type="dxa"/>
            <w:tcBorders>
              <w:bottom w:val="single" w:color="auto" w:sz="4" w:space="0"/>
            </w:tcBorders>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最高投标限价</w:t>
            </w:r>
          </w:p>
        </w:tc>
        <w:tc>
          <w:tcPr>
            <w:tcW w:w="7104" w:type="dxa"/>
            <w:tcBorders>
              <w:bottom w:val="single" w:color="auto" w:sz="4" w:space="0"/>
            </w:tcBorders>
          </w:tcPr>
          <w:p>
            <w:pPr>
              <w:spacing w:line="400" w:lineRule="exact"/>
              <w:ind w:left="420" w:leftChars="200" w:firstLine="0" w:firstLineChars="0"/>
              <w:rPr>
                <w:rFonts w:hint="eastAsia" w:ascii="宋体" w:hAnsi="宋体"/>
                <w:b/>
                <w:bCs/>
                <w:szCs w:val="21"/>
                <w:highlight w:val="none"/>
                <w:lang w:val="en-US" w:eastAsia="zh-CN"/>
              </w:rPr>
            </w:pPr>
            <w:r>
              <w:rPr>
                <w:rFonts w:hint="eastAsia" w:ascii="宋体" w:hAnsi="宋体"/>
                <w:b/>
                <w:bCs/>
                <w:szCs w:val="21"/>
                <w:highlight w:val="none"/>
                <w:lang w:eastAsia="zh-CN"/>
              </w:rPr>
              <w:t>曾家机电站办公用房装饰装修项目（第二次）</w:t>
            </w:r>
            <w:r>
              <w:rPr>
                <w:rFonts w:hint="eastAsia" w:ascii="宋体" w:hAnsi="宋体"/>
                <w:b/>
                <w:bCs/>
                <w:szCs w:val="21"/>
                <w:highlight w:val="none"/>
                <w:lang w:val="en-US" w:eastAsia="zh-CN"/>
              </w:rPr>
              <w:t>总限价为378119.61元。</w:t>
            </w:r>
          </w:p>
          <w:p>
            <w:pPr>
              <w:spacing w:line="400" w:lineRule="exact"/>
              <w:ind w:firstLine="422" w:firstLineChars="200"/>
              <w:rPr>
                <w:rFonts w:hint="eastAsia" w:ascii="宋体" w:hAnsi="宋体" w:cs="宋体"/>
                <w:b/>
                <w:bCs/>
                <w:kern w:val="0"/>
                <w:szCs w:val="21"/>
                <w:highlight w:val="none"/>
              </w:rPr>
            </w:pPr>
            <w:r>
              <w:rPr>
                <w:rFonts w:hint="eastAsia" w:ascii="宋体" w:hAnsi="宋体"/>
                <w:b/>
                <w:bCs/>
                <w:szCs w:val="21"/>
                <w:highlight w:val="none"/>
                <w:lang w:val="en-US" w:eastAsia="zh-CN"/>
              </w:rPr>
              <w:t>本项目采用单价限价方式，报价人所报单价不得超过采购人发布的单价限价，若有报价高于采购人发布的单价限价，</w:t>
            </w:r>
            <w:r>
              <w:rPr>
                <w:rFonts w:hint="eastAsia" w:ascii="宋体" w:hAnsi="宋体" w:cs="宋体"/>
                <w:b/>
                <w:szCs w:val="21"/>
                <w:highlight w:val="none"/>
              </w:rPr>
              <w:t>其竞争性比选响应文件视为重大偏差，竞争性比选响应文件将按否决报价处理</w:t>
            </w:r>
            <w:r>
              <w:rPr>
                <w:rFonts w:hint="eastAsia" w:ascii="宋体" w:hAnsi="宋体" w:cs="宋体"/>
                <w:b/>
                <w:bCs/>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9" w:hRule="atLeast"/>
          <w:jc w:val="center"/>
        </w:trPr>
        <w:tc>
          <w:tcPr>
            <w:tcW w:w="697" w:type="dxa"/>
            <w:tcBorders>
              <w:bottom w:val="single" w:color="auto" w:sz="4" w:space="0"/>
            </w:tcBorders>
            <w:vAlign w:val="center"/>
          </w:tcPr>
          <w:p>
            <w:pPr>
              <w:spacing w:line="400" w:lineRule="exact"/>
              <w:jc w:val="center"/>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17</w:t>
            </w:r>
          </w:p>
        </w:tc>
        <w:tc>
          <w:tcPr>
            <w:tcW w:w="2106" w:type="dxa"/>
            <w:tcBorders>
              <w:bottom w:val="single" w:color="auto" w:sz="4" w:space="0"/>
            </w:tcBorders>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合同支付办法</w:t>
            </w:r>
          </w:p>
        </w:tc>
        <w:tc>
          <w:tcPr>
            <w:tcW w:w="7104" w:type="dxa"/>
            <w:tcBorders>
              <w:bottom w:val="single" w:color="auto" w:sz="4" w:space="0"/>
            </w:tcBorders>
          </w:tcPr>
          <w:p>
            <w:pPr>
              <w:numPr>
                <w:ilvl w:val="0"/>
                <w:numId w:val="2"/>
              </w:numPr>
              <w:spacing w:line="400" w:lineRule="exact"/>
              <w:ind w:left="525" w:leftChars="0" w:firstLine="0" w:firstLineChars="0"/>
              <w:rPr>
                <w:rFonts w:hint="eastAsia"/>
                <w:lang w:val="en-US" w:eastAsia="zh-CN"/>
              </w:rPr>
            </w:pPr>
            <w:r>
              <w:rPr>
                <w:rFonts w:hint="eastAsia"/>
                <w:lang w:val="en-US" w:eastAsia="zh-CN"/>
              </w:rPr>
              <w:t>工程费用支付：</w:t>
            </w:r>
          </w:p>
          <w:p>
            <w:pPr>
              <w:numPr>
                <w:ilvl w:val="0"/>
                <w:numId w:val="0"/>
              </w:numPr>
              <w:spacing w:line="400" w:lineRule="exact"/>
              <w:ind w:firstLine="420" w:firstLineChars="200"/>
              <w:rPr>
                <w:rFonts w:hint="eastAsia"/>
                <w:lang w:val="en-US" w:eastAsia="zh-CN"/>
              </w:rPr>
            </w:pPr>
            <w:r>
              <w:rPr>
                <w:rFonts w:hint="eastAsia"/>
                <w:lang w:val="en-US" w:eastAsia="zh-CN"/>
              </w:rPr>
              <w:t>（1）工程整体交工验收合格后，支付至合同结算金额的97%；</w:t>
            </w:r>
          </w:p>
          <w:p>
            <w:pPr>
              <w:numPr>
                <w:ilvl w:val="0"/>
                <w:numId w:val="0"/>
              </w:numPr>
              <w:spacing w:line="400" w:lineRule="exact"/>
              <w:ind w:firstLine="420" w:firstLineChars="200"/>
              <w:rPr>
                <w:rFonts w:hint="eastAsia"/>
                <w:lang w:val="en-US" w:eastAsia="zh-CN"/>
              </w:rPr>
            </w:pPr>
            <w:r>
              <w:rPr>
                <w:rFonts w:hint="eastAsia"/>
                <w:lang w:val="en-US" w:eastAsia="zh-CN"/>
              </w:rPr>
              <w:t>（2）双方已确认的结算价款的3%作为质量保证金，缺陷责任期（或质保期）两年（从本工程竣（交）工验收合格之日起计算）届满后，由乙方主动提出书面申请，经甲方业务部门确认后，30个工作日内全额支付（质量保证金不计任何利息），若乙方未提出书面申请，则相应的延迟责任由乙方自行承担；</w:t>
            </w:r>
          </w:p>
          <w:p>
            <w:pPr>
              <w:numPr>
                <w:ilvl w:val="0"/>
                <w:numId w:val="0"/>
              </w:numPr>
              <w:spacing w:line="400" w:lineRule="exact"/>
              <w:ind w:firstLine="420" w:firstLineChars="200"/>
              <w:rPr>
                <w:rFonts w:hint="eastAsia"/>
                <w:lang w:val="en-US" w:eastAsia="zh-CN"/>
              </w:rPr>
            </w:pPr>
            <w:r>
              <w:rPr>
                <w:rFonts w:hint="eastAsia"/>
                <w:lang w:val="en-US" w:eastAsia="zh-CN"/>
              </w:rPr>
              <w:t>（3）每次乙方请求甲方支付款项时，应当在甲方付款前开具等额增值税专用发票给甲方，并提交书面支付申请，按甲方要求提供相关证明资料，因乙方未及时提交申请或证明资料导致支付延期的责任由乙方承担，甲方有权不予支付相应款项（预付款除外）。</w:t>
            </w:r>
          </w:p>
          <w:p>
            <w:pPr>
              <w:pStyle w:val="2"/>
              <w:ind w:left="0" w:leftChars="0" w:firstLine="420" w:firstLineChars="200"/>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二、</w:t>
            </w:r>
            <w:r>
              <w:rPr>
                <w:rFonts w:hint="eastAsia" w:cs="Times New Roman"/>
                <w:kern w:val="2"/>
                <w:sz w:val="21"/>
                <w:szCs w:val="24"/>
                <w:lang w:val="en-US" w:eastAsia="zh-CN" w:bidi="ar-SA"/>
              </w:rPr>
              <w:t>安全文明施工费支付</w:t>
            </w:r>
          </w:p>
          <w:p>
            <w:pPr>
              <w:pStyle w:val="2"/>
              <w:ind w:left="0" w:leftChars="0" w:firstLine="420" w:firstLineChars="200"/>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工程开工一个月内向乙方支付安全生产费用的50%。安全生产费按实结算，工程竣工结算后结余的安全生产费用，应当退回甲方。</w:t>
            </w:r>
          </w:p>
          <w:p>
            <w:pPr>
              <w:pStyle w:val="2"/>
              <w:ind w:left="0" w:leftChars="0" w:firstLine="420" w:firstLineChars="200"/>
              <w:rPr>
                <w:rFonts w:hint="default" w:ascii="Times New Roman" w:hAnsi="Times New Roman" w:eastAsia="宋体" w:cs="Times New Roman"/>
                <w:kern w:val="2"/>
                <w:sz w:val="21"/>
                <w:szCs w:val="24"/>
                <w:lang w:val="en-US" w:eastAsia="zh-CN" w:bidi="ar-SA"/>
              </w:rPr>
            </w:pPr>
            <w:r>
              <w:rPr>
                <w:rFonts w:hint="default" w:ascii="Times New Roman" w:hAnsi="Times New Roman" w:eastAsia="宋体" w:cs="Times New Roman"/>
                <w:kern w:val="2"/>
                <w:sz w:val="21"/>
                <w:szCs w:val="24"/>
                <w:lang w:val="en-US" w:eastAsia="zh-CN" w:bidi="ar-SA"/>
              </w:rPr>
              <w:t>乙方应按照甲方《关于工程(维护》类安全生产费据实支付的业务指》中安全生产法结算的要求，提供相应结算材料，确保安全生产投入。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97" w:type="dxa"/>
            <w:tcBorders>
              <w:bottom w:val="single" w:color="auto" w:sz="4" w:space="0"/>
            </w:tcBorders>
            <w:vAlign w:val="center"/>
          </w:tcPr>
          <w:p>
            <w:pPr>
              <w:spacing w:line="400" w:lineRule="exact"/>
              <w:jc w:val="center"/>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18</w:t>
            </w:r>
          </w:p>
        </w:tc>
        <w:tc>
          <w:tcPr>
            <w:tcW w:w="2106" w:type="dxa"/>
            <w:tcBorders>
              <w:bottom w:val="single" w:color="auto" w:sz="4" w:space="0"/>
            </w:tcBorders>
            <w:vAlign w:val="center"/>
          </w:tcPr>
          <w:p>
            <w:pPr>
              <w:spacing w:line="400" w:lineRule="exact"/>
              <w:jc w:val="center"/>
              <w:rPr>
                <w:rFonts w:hint="eastAsia" w:ascii="宋体" w:hAnsi="宋体" w:cs="宋体"/>
                <w:kern w:val="0"/>
                <w:szCs w:val="21"/>
                <w:highlight w:val="none"/>
                <w:lang w:val="en-US" w:eastAsia="zh-CN"/>
              </w:rPr>
            </w:pPr>
            <w:r>
              <w:rPr>
                <w:rFonts w:hint="eastAsia" w:ascii="宋体" w:hAnsi="宋体" w:cs="宋体"/>
                <w:szCs w:val="21"/>
                <w:highlight w:val="none"/>
                <w:lang w:val="en-US" w:eastAsia="zh-CN"/>
              </w:rPr>
              <w:t>乙方</w:t>
            </w:r>
            <w:r>
              <w:rPr>
                <w:rFonts w:hint="eastAsia" w:ascii="宋体" w:hAnsi="宋体" w:cs="宋体"/>
                <w:szCs w:val="21"/>
                <w:highlight w:val="none"/>
              </w:rPr>
              <w:t>违约的处理</w:t>
            </w:r>
          </w:p>
        </w:tc>
        <w:tc>
          <w:tcPr>
            <w:tcW w:w="7104" w:type="dxa"/>
            <w:tcBorders>
              <w:bottom w:val="single" w:color="auto" w:sz="4" w:space="0"/>
            </w:tcBorders>
          </w:tcPr>
          <w:p>
            <w:pPr>
              <w:spacing w:line="400" w:lineRule="exact"/>
              <w:ind w:firstLine="420" w:firstLineChars="200"/>
              <w:rPr>
                <w:rFonts w:hint="eastAsia"/>
                <w:highlight w:val="none"/>
                <w:lang w:val="en-US" w:eastAsia="zh-CN"/>
              </w:rPr>
            </w:pPr>
            <w:r>
              <w:rPr>
                <w:rFonts w:hint="eastAsia"/>
                <w:highlight w:val="none"/>
                <w:lang w:val="en-US" w:eastAsia="zh-CN"/>
              </w:rPr>
              <w:t>1.乙方在本项目工作开展期间，其项目经理、项目安全负责人必须驻施工现场开展工作，其在岗驻场工作时间按计划工期的工作日天数按实计量，若不在岗将处以1千元/人·天的违约处理。若离开必须书面向业主请假，未经批准擅自离开，按1千元/人·天处违约处理。</w:t>
            </w:r>
          </w:p>
          <w:p>
            <w:pPr>
              <w:numPr>
                <w:ilvl w:val="0"/>
                <w:numId w:val="3"/>
              </w:numPr>
              <w:spacing w:line="400" w:lineRule="exact"/>
              <w:ind w:firstLine="420" w:firstLineChars="200"/>
              <w:rPr>
                <w:rFonts w:hint="eastAsia"/>
                <w:highlight w:val="none"/>
                <w:lang w:val="en-US" w:eastAsia="zh-CN"/>
              </w:rPr>
            </w:pPr>
            <w:r>
              <w:rPr>
                <w:rFonts w:hint="eastAsia"/>
                <w:highlight w:val="none"/>
                <w:lang w:val="en-US" w:eastAsia="zh-CN"/>
              </w:rPr>
              <w:t>乙方在本项目工作开展期间，更换项目经理，甲方按5万元/人进行违约处理；更换安全负责人，甲方按2万元/人进行违约处理。新更换的人员不低于比选文件人员资质要求。</w:t>
            </w:r>
          </w:p>
          <w:p>
            <w:pPr>
              <w:numPr>
                <w:ilvl w:val="0"/>
                <w:numId w:val="3"/>
              </w:numPr>
              <w:spacing w:line="400" w:lineRule="exact"/>
              <w:ind w:firstLine="420" w:firstLineChars="200"/>
              <w:rPr>
                <w:rFonts w:hint="eastAsia"/>
                <w:highlight w:val="none"/>
                <w:lang w:val="en-US" w:eastAsia="zh-CN"/>
              </w:rPr>
            </w:pPr>
            <w:r>
              <w:rPr>
                <w:rFonts w:hint="eastAsia"/>
                <w:highlight w:val="none"/>
                <w:lang w:val="en-US" w:eastAsia="zh-CN"/>
              </w:rPr>
              <w:t>乙方分包的工程项目，不得再行转包或分包，否则将无条件被认为乙方违约，由此引起的一切责任、事故和损失由乙方负责。此外，乙方还应当向甲方支付 1 万元违约金，甲方有权终止或解除合同。</w:t>
            </w:r>
          </w:p>
          <w:p>
            <w:pPr>
              <w:numPr>
                <w:ilvl w:val="0"/>
                <w:numId w:val="3"/>
              </w:numPr>
              <w:spacing w:line="400" w:lineRule="exact"/>
              <w:ind w:firstLine="420" w:firstLineChars="200"/>
              <w:rPr>
                <w:rFonts w:hint="eastAsia"/>
                <w:highlight w:val="none"/>
                <w:lang w:val="en-US" w:eastAsia="zh-CN"/>
              </w:rPr>
            </w:pPr>
            <w:r>
              <w:rPr>
                <w:rFonts w:hint="eastAsia"/>
                <w:highlight w:val="none"/>
                <w:lang w:val="en-US" w:eastAsia="zh-CN"/>
              </w:rPr>
              <w:t>在施工过程中由乙方分包的工程项目质量经检验达不到验收规范和评定标准，不能保证工程质量，或因乙方分包的工程项目进度不能满足采购人和甲方制定的进度目标要求，则甲方有权终止合同，由此造成的损失由乙方承担。此外，乙方还应当向甲方支付  1 万元违约金。</w:t>
            </w:r>
          </w:p>
          <w:p>
            <w:pPr>
              <w:numPr>
                <w:ilvl w:val="0"/>
                <w:numId w:val="3"/>
              </w:numPr>
              <w:spacing w:line="400" w:lineRule="exact"/>
              <w:ind w:firstLine="420" w:firstLineChars="200"/>
              <w:rPr>
                <w:rFonts w:hint="eastAsia"/>
                <w:highlight w:val="none"/>
                <w:lang w:val="en-US" w:eastAsia="zh-CN"/>
              </w:rPr>
            </w:pPr>
            <w:r>
              <w:rPr>
                <w:rFonts w:hint="eastAsia"/>
                <w:highlight w:val="none"/>
                <w:lang w:val="en-US" w:eastAsia="zh-CN"/>
              </w:rPr>
              <w:t>除上一条款外，合同签订后，不经双方协商同意，任何一方不得随意变更或解除。如乙方未经甲方同意，单方解除合同时（如中途未征得甲方同意无故退场），甲方将按照乙方完成工作量的80%进行结算，同时乙方还需支付甲方  1 万元违约金，并且由乙方赔偿甲方因影响施工计划造成的经济损失；如甲方中途无故解除合同，按乙方完成工作量的100%进行结算，应赔偿乙方因此造成的经济损失。</w:t>
            </w:r>
          </w:p>
          <w:p>
            <w:pPr>
              <w:numPr>
                <w:ilvl w:val="0"/>
                <w:numId w:val="3"/>
              </w:numPr>
              <w:spacing w:line="400" w:lineRule="exact"/>
              <w:ind w:firstLine="420" w:firstLineChars="200"/>
              <w:rPr>
                <w:rFonts w:hint="eastAsia"/>
                <w:highlight w:val="none"/>
                <w:lang w:val="en-US" w:eastAsia="zh-CN"/>
              </w:rPr>
            </w:pPr>
            <w:r>
              <w:rPr>
                <w:rFonts w:hint="eastAsia"/>
                <w:highlight w:val="none"/>
                <w:lang w:val="en-US" w:eastAsia="zh-CN"/>
              </w:rPr>
              <w:t>因乙方原因，出现下列情况之一的，甲方有权采取认为合理的一切措施进行处理，由此引起的损失由乙方承担。</w:t>
            </w:r>
          </w:p>
          <w:p>
            <w:pPr>
              <w:numPr>
                <w:ilvl w:val="0"/>
                <w:numId w:val="0"/>
              </w:numPr>
              <w:spacing w:line="400" w:lineRule="exact"/>
              <w:ind w:firstLine="420" w:firstLineChars="200"/>
              <w:rPr>
                <w:rFonts w:hint="eastAsia"/>
                <w:highlight w:val="none"/>
                <w:lang w:val="en-US" w:eastAsia="zh-CN"/>
              </w:rPr>
            </w:pPr>
            <w:r>
              <w:rPr>
                <w:rFonts w:hint="eastAsia"/>
                <w:highlight w:val="none"/>
                <w:lang w:val="en-US" w:eastAsia="zh-CN"/>
              </w:rPr>
              <w:t>4.1乙方的主要人员、机械设备及流动资金不能按时到位的，严重制约了工程的施工；</w:t>
            </w:r>
          </w:p>
          <w:p>
            <w:pPr>
              <w:numPr>
                <w:ilvl w:val="0"/>
                <w:numId w:val="0"/>
              </w:numPr>
              <w:spacing w:line="400" w:lineRule="exact"/>
              <w:ind w:firstLine="420" w:firstLineChars="200"/>
              <w:rPr>
                <w:rFonts w:hint="eastAsia"/>
                <w:highlight w:val="none"/>
                <w:lang w:val="en-US" w:eastAsia="zh-CN"/>
              </w:rPr>
            </w:pPr>
            <w:r>
              <w:rPr>
                <w:rFonts w:hint="eastAsia"/>
                <w:highlight w:val="none"/>
                <w:lang w:val="en-US" w:eastAsia="zh-CN"/>
              </w:rPr>
              <w:t>4.2进度滞后该工程总体进度计划的10％或落到工程管理曲线下线以下的；</w:t>
            </w:r>
          </w:p>
          <w:p>
            <w:pPr>
              <w:numPr>
                <w:ilvl w:val="0"/>
                <w:numId w:val="0"/>
              </w:numPr>
              <w:spacing w:line="400" w:lineRule="exact"/>
              <w:ind w:firstLine="420" w:firstLineChars="200"/>
              <w:rPr>
                <w:rFonts w:hint="eastAsia"/>
                <w:highlight w:val="none"/>
                <w:lang w:val="en-US" w:eastAsia="zh-CN"/>
              </w:rPr>
            </w:pPr>
            <w:r>
              <w:rPr>
                <w:rFonts w:hint="eastAsia"/>
                <w:highlight w:val="none"/>
                <w:lang w:val="en-US" w:eastAsia="zh-CN"/>
              </w:rPr>
              <w:t>4.3不按施工技术规范和标准要求施工，造成工程质量低劣的达不到验收标准的；</w:t>
            </w:r>
          </w:p>
          <w:p>
            <w:pPr>
              <w:numPr>
                <w:ilvl w:val="0"/>
                <w:numId w:val="0"/>
              </w:numPr>
              <w:spacing w:line="400" w:lineRule="exact"/>
              <w:ind w:firstLine="420" w:firstLineChars="200"/>
              <w:rPr>
                <w:rFonts w:hint="eastAsia"/>
                <w:highlight w:val="none"/>
                <w:lang w:val="en-US" w:eastAsia="zh-CN"/>
              </w:rPr>
            </w:pPr>
            <w:r>
              <w:rPr>
                <w:rFonts w:hint="eastAsia"/>
                <w:highlight w:val="none"/>
                <w:lang w:val="en-US" w:eastAsia="zh-CN"/>
              </w:rPr>
              <w:t>4. 4不遵守甲方的管理，不能服从采购人和监理人的指令，造成工程不能管理无法推进。</w:t>
            </w:r>
          </w:p>
          <w:p>
            <w:pPr>
              <w:spacing w:line="400" w:lineRule="exact"/>
              <w:ind w:firstLine="420" w:firstLineChars="200"/>
              <w:rPr>
                <w:rFonts w:hint="eastAsia"/>
                <w:highlight w:val="none"/>
                <w:lang w:val="en-US" w:eastAsia="zh-CN"/>
              </w:rPr>
            </w:pPr>
            <w:r>
              <w:rPr>
                <w:rFonts w:hint="eastAsia"/>
                <w:highlight w:val="none"/>
                <w:lang w:val="en-US" w:eastAsia="zh-CN"/>
              </w:rPr>
              <w:t>5.乙方应按本合同规定的工期及质量要求完成，否则应偿付给甲方10000元/天的逾期违约金，并承担甲方项目部延期完成任务以后后续发生的管理费用，限额为 5％本合同的签约合同价。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97" w:type="dxa"/>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19</w:t>
            </w:r>
          </w:p>
        </w:tc>
        <w:tc>
          <w:tcPr>
            <w:tcW w:w="2106" w:type="dxa"/>
          </w:tcPr>
          <w:p>
            <w:pPr>
              <w:spacing w:line="400" w:lineRule="exact"/>
              <w:jc w:val="center"/>
              <w:rPr>
                <w:rFonts w:hint="eastAsia" w:ascii="宋体" w:hAnsi="宋体" w:cs="宋体"/>
                <w:szCs w:val="21"/>
                <w:highlight w:val="none"/>
              </w:rPr>
            </w:pPr>
            <w:r>
              <w:rPr>
                <w:rFonts w:hint="eastAsia" w:ascii="宋体" w:hAnsi="宋体" w:cs="宋体"/>
                <w:szCs w:val="21"/>
                <w:highlight w:val="none"/>
              </w:rPr>
              <w:t>中标候选人的人数</w:t>
            </w:r>
          </w:p>
        </w:tc>
        <w:tc>
          <w:tcPr>
            <w:tcW w:w="7104" w:type="dxa"/>
            <w:vAlign w:val="center"/>
          </w:tcPr>
          <w:p>
            <w:pPr>
              <w:spacing w:line="400" w:lineRule="exact"/>
              <w:ind w:firstLine="420" w:firstLineChars="200"/>
              <w:rPr>
                <w:rFonts w:hint="eastAsia" w:ascii="宋体" w:hAnsi="宋体" w:cs="宋体"/>
                <w:highlight w:val="none"/>
              </w:rPr>
            </w:pPr>
            <w:r>
              <w:rPr>
                <w:rFonts w:hint="eastAsia" w:ascii="宋体" w:hAnsi="宋体" w:cs="宋体"/>
                <w:highlight w:val="none"/>
                <w:lang w:val="en-US" w:eastAsia="zh-CN"/>
              </w:rPr>
              <w:t>每个标段</w:t>
            </w:r>
            <w:r>
              <w:rPr>
                <w:rFonts w:hint="eastAsia" w:ascii="宋体" w:hAnsi="宋体" w:cs="宋体"/>
                <w:highlight w:val="none"/>
              </w:rPr>
              <w:t>推荐的中标候选人数：</w:t>
            </w:r>
            <w:r>
              <w:rPr>
                <w:rFonts w:hint="eastAsia" w:ascii="宋体" w:hAnsi="宋体" w:cs="宋体"/>
                <w:highlight w:val="none"/>
                <w:lang w:val="en-US" w:eastAsia="zh-CN"/>
              </w:rPr>
              <w:t>2</w:t>
            </w:r>
            <w:r>
              <w:rPr>
                <w:rFonts w:hint="eastAsia" w:ascii="宋体" w:hAnsi="宋体" w:cs="宋体"/>
                <w:highlight w:val="none"/>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8"/>
              <w:spacing w:line="400" w:lineRule="exact"/>
              <w:jc w:val="center"/>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20</w:t>
            </w:r>
          </w:p>
        </w:tc>
        <w:tc>
          <w:tcPr>
            <w:tcW w:w="2106" w:type="dxa"/>
            <w:vAlign w:val="center"/>
          </w:tcPr>
          <w:p>
            <w:pPr>
              <w:pStyle w:val="148"/>
              <w:spacing w:line="400" w:lineRule="exact"/>
              <w:jc w:val="center"/>
              <w:rPr>
                <w:rFonts w:hint="eastAsia" w:hAnsi="宋体"/>
                <w:color w:val="auto"/>
                <w:kern w:val="2"/>
                <w:sz w:val="21"/>
                <w:szCs w:val="21"/>
                <w:highlight w:val="none"/>
              </w:rPr>
            </w:pPr>
            <w:r>
              <w:rPr>
                <w:rFonts w:hint="eastAsia" w:hAnsi="宋体"/>
                <w:color w:val="auto"/>
                <w:kern w:val="2"/>
                <w:sz w:val="21"/>
                <w:szCs w:val="21"/>
                <w:highlight w:val="none"/>
                <w:lang w:val="en-US" w:eastAsia="zh-CN"/>
              </w:rPr>
              <w:t>保证金</w:t>
            </w:r>
          </w:p>
        </w:tc>
        <w:tc>
          <w:tcPr>
            <w:tcW w:w="7104" w:type="dxa"/>
            <w:vAlign w:val="center"/>
          </w:tcPr>
          <w:p>
            <w:pPr>
              <w:snapToGrid w:val="0"/>
              <w:spacing w:line="400" w:lineRule="exact"/>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一、投标保证金</w:t>
            </w:r>
          </w:p>
          <w:p>
            <w:pPr>
              <w:pStyle w:val="148"/>
              <w:spacing w:line="400" w:lineRule="exact"/>
              <w:ind w:firstLine="420" w:firstLineChars="200"/>
              <w:rPr>
                <w:rFonts w:hAnsi="宋体"/>
                <w:color w:val="auto"/>
                <w:kern w:val="2"/>
                <w:sz w:val="21"/>
                <w:szCs w:val="21"/>
              </w:rPr>
            </w:pPr>
            <w:r>
              <w:rPr>
                <w:rFonts w:hint="eastAsia" w:hAnsi="宋体"/>
                <w:color w:val="auto"/>
                <w:kern w:val="2"/>
                <w:sz w:val="21"/>
                <w:szCs w:val="21"/>
              </w:rPr>
              <w:t>1、报价人须缴纳投标保证金</w:t>
            </w:r>
            <w:r>
              <w:rPr>
                <w:rFonts w:hint="eastAsia" w:hAnsi="宋体"/>
                <w:color w:val="auto"/>
                <w:kern w:val="2"/>
                <w:sz w:val="21"/>
                <w:szCs w:val="21"/>
                <w:lang w:val="en-US" w:eastAsia="zh-CN"/>
              </w:rPr>
              <w:t>3000</w:t>
            </w:r>
            <w:r>
              <w:rPr>
                <w:rFonts w:hint="eastAsia" w:hAnsi="宋体"/>
                <w:color w:val="auto"/>
                <w:kern w:val="2"/>
                <w:sz w:val="21"/>
                <w:szCs w:val="21"/>
              </w:rPr>
              <w:t>元，由报价人从公司基本账户将投标保证金汇至以下指定账户：</w:t>
            </w:r>
          </w:p>
          <w:p>
            <w:pPr>
              <w:pStyle w:val="148"/>
              <w:spacing w:line="400" w:lineRule="exact"/>
              <w:ind w:firstLine="420" w:firstLineChars="200"/>
              <w:rPr>
                <w:rFonts w:hAnsi="宋体"/>
                <w:color w:val="auto"/>
                <w:kern w:val="2"/>
                <w:sz w:val="21"/>
                <w:szCs w:val="21"/>
              </w:rPr>
            </w:pPr>
            <w:r>
              <w:rPr>
                <w:rFonts w:hAnsi="宋体"/>
                <w:color w:val="auto"/>
                <w:kern w:val="2"/>
                <w:sz w:val="21"/>
                <w:szCs w:val="21"/>
              </w:rPr>
              <w:t>保证金到账截止时间：202</w:t>
            </w:r>
            <w:r>
              <w:rPr>
                <w:rFonts w:hint="eastAsia" w:hAnsi="宋体"/>
                <w:color w:val="auto"/>
                <w:kern w:val="2"/>
                <w:sz w:val="21"/>
                <w:szCs w:val="21"/>
                <w:lang w:val="en-US" w:eastAsia="zh-CN"/>
              </w:rPr>
              <w:t>4</w:t>
            </w:r>
            <w:r>
              <w:rPr>
                <w:rFonts w:hAnsi="宋体"/>
                <w:color w:val="auto"/>
                <w:kern w:val="2"/>
                <w:sz w:val="21"/>
                <w:szCs w:val="21"/>
              </w:rPr>
              <w:t>年</w:t>
            </w:r>
            <w:r>
              <w:rPr>
                <w:rFonts w:hint="eastAsia" w:hAnsi="宋体"/>
                <w:color w:val="auto"/>
                <w:kern w:val="2"/>
                <w:sz w:val="21"/>
                <w:szCs w:val="21"/>
                <w:lang w:val="en-US" w:eastAsia="zh-CN"/>
              </w:rPr>
              <w:t>7</w:t>
            </w:r>
            <w:r>
              <w:rPr>
                <w:rFonts w:hAnsi="宋体"/>
                <w:color w:val="auto"/>
                <w:kern w:val="2"/>
                <w:sz w:val="21"/>
                <w:szCs w:val="21"/>
              </w:rPr>
              <w:t>月</w:t>
            </w:r>
            <w:r>
              <w:rPr>
                <w:rFonts w:hint="eastAsia" w:hAnsi="宋体"/>
                <w:color w:val="auto"/>
                <w:kern w:val="2"/>
                <w:sz w:val="21"/>
                <w:szCs w:val="21"/>
                <w:lang w:val="en-US" w:eastAsia="zh-CN"/>
              </w:rPr>
              <w:t>23</w:t>
            </w:r>
            <w:r>
              <w:rPr>
                <w:rFonts w:hAnsi="宋体"/>
                <w:color w:val="auto"/>
                <w:kern w:val="2"/>
                <w:sz w:val="21"/>
                <w:szCs w:val="21"/>
              </w:rPr>
              <w:t>日</w:t>
            </w:r>
            <w:r>
              <w:rPr>
                <w:rFonts w:hint="eastAsia" w:hAnsi="宋体"/>
                <w:color w:val="auto"/>
                <w:kern w:val="2"/>
                <w:sz w:val="21"/>
                <w:szCs w:val="21"/>
                <w:lang w:val="en-US" w:eastAsia="zh-CN"/>
              </w:rPr>
              <w:t>11</w:t>
            </w:r>
            <w:bookmarkStart w:id="272" w:name="_GoBack"/>
            <w:bookmarkEnd w:id="272"/>
            <w:r>
              <w:rPr>
                <w:rFonts w:hAnsi="宋体"/>
                <w:color w:val="auto"/>
                <w:kern w:val="2"/>
                <w:sz w:val="21"/>
                <w:szCs w:val="21"/>
              </w:rPr>
              <w:t>时00分前；</w:t>
            </w:r>
          </w:p>
          <w:p>
            <w:pPr>
              <w:pStyle w:val="148"/>
              <w:spacing w:line="400" w:lineRule="exact"/>
              <w:ind w:firstLine="420" w:firstLineChars="200"/>
              <w:rPr>
                <w:rFonts w:hAnsi="宋体"/>
                <w:color w:val="auto"/>
                <w:kern w:val="2"/>
                <w:sz w:val="21"/>
                <w:szCs w:val="21"/>
              </w:rPr>
            </w:pPr>
            <w:r>
              <w:rPr>
                <w:rFonts w:hAnsi="宋体"/>
                <w:color w:val="auto"/>
                <w:kern w:val="2"/>
                <w:sz w:val="21"/>
                <w:szCs w:val="21"/>
              </w:rPr>
              <w:t>若竞争性比选响应文件内无投标保证金缴纳凭证，采购人有权作废标处理，若投标保证金存在虚假不实情况，采购人有权作废标处理。</w:t>
            </w:r>
          </w:p>
          <w:p>
            <w:pPr>
              <w:pStyle w:val="148"/>
              <w:spacing w:line="400" w:lineRule="exact"/>
              <w:ind w:firstLine="420" w:firstLineChars="200"/>
              <w:rPr>
                <w:rFonts w:hAnsi="宋体"/>
                <w:color w:val="auto"/>
                <w:kern w:val="2"/>
                <w:sz w:val="21"/>
                <w:szCs w:val="21"/>
              </w:rPr>
            </w:pPr>
            <w:r>
              <w:rPr>
                <w:rFonts w:hint="eastAsia" w:hAnsi="宋体"/>
                <w:color w:val="auto"/>
                <w:kern w:val="2"/>
                <w:sz w:val="21"/>
                <w:szCs w:val="21"/>
              </w:rPr>
              <w:t>2、</w:t>
            </w:r>
            <w:r>
              <w:rPr>
                <w:rFonts w:hAnsi="宋体"/>
                <w:color w:val="auto"/>
                <w:kern w:val="2"/>
                <w:sz w:val="21"/>
                <w:szCs w:val="21"/>
              </w:rPr>
              <w:t>投标保证金退还方式</w:t>
            </w:r>
          </w:p>
          <w:p>
            <w:pPr>
              <w:pStyle w:val="148"/>
              <w:spacing w:line="400" w:lineRule="exact"/>
              <w:ind w:firstLine="420" w:firstLineChars="200"/>
              <w:rPr>
                <w:rFonts w:hAnsi="宋体"/>
                <w:color w:val="auto"/>
                <w:kern w:val="2"/>
                <w:sz w:val="21"/>
                <w:szCs w:val="21"/>
              </w:rPr>
            </w:pPr>
            <w:r>
              <w:rPr>
                <w:rFonts w:hAnsi="宋体"/>
                <w:color w:val="auto"/>
                <w:kern w:val="2"/>
                <w:sz w:val="21"/>
                <w:szCs w:val="21"/>
              </w:rPr>
              <w:t>为便于及时退还，</w:t>
            </w:r>
            <w:r>
              <w:rPr>
                <w:rFonts w:hint="eastAsia" w:hAnsi="宋体"/>
                <w:color w:val="auto"/>
                <w:kern w:val="2"/>
                <w:sz w:val="21"/>
                <w:szCs w:val="21"/>
              </w:rPr>
              <w:t>报价人</w:t>
            </w:r>
            <w:r>
              <w:rPr>
                <w:rFonts w:hAnsi="宋体"/>
                <w:color w:val="auto"/>
                <w:kern w:val="2"/>
                <w:sz w:val="21"/>
                <w:szCs w:val="21"/>
              </w:rPr>
              <w:t>在递交响应文件的同时，递交本项目保证金银行回单和公司的开户许可证复印件。</w:t>
            </w:r>
          </w:p>
          <w:p>
            <w:pPr>
              <w:pStyle w:val="148"/>
              <w:spacing w:line="400" w:lineRule="exact"/>
              <w:ind w:firstLine="420" w:firstLineChars="200"/>
              <w:rPr>
                <w:rFonts w:hAnsi="宋体"/>
                <w:color w:val="auto"/>
                <w:kern w:val="2"/>
                <w:sz w:val="21"/>
                <w:szCs w:val="21"/>
              </w:rPr>
            </w:pPr>
            <w:r>
              <w:rPr>
                <w:rFonts w:hAnsi="宋体"/>
                <w:color w:val="auto"/>
                <w:kern w:val="2"/>
                <w:sz w:val="21"/>
                <w:szCs w:val="21"/>
              </w:rPr>
              <w:t>未</w:t>
            </w:r>
            <w:r>
              <w:rPr>
                <w:rFonts w:hint="eastAsia" w:hAnsi="宋体"/>
                <w:color w:val="auto"/>
                <w:kern w:val="2"/>
                <w:sz w:val="21"/>
                <w:szCs w:val="21"/>
              </w:rPr>
              <w:t>中标报价人</w:t>
            </w:r>
            <w:r>
              <w:rPr>
                <w:rFonts w:hAnsi="宋体"/>
                <w:color w:val="auto"/>
                <w:kern w:val="2"/>
                <w:sz w:val="21"/>
                <w:szCs w:val="21"/>
              </w:rPr>
              <w:t>的投标保证金，于该项目结果公示期结束后15个工作日内无息退还至</w:t>
            </w:r>
            <w:r>
              <w:rPr>
                <w:rFonts w:hint="eastAsia" w:hAnsi="宋体"/>
                <w:color w:val="auto"/>
                <w:kern w:val="2"/>
                <w:sz w:val="21"/>
                <w:szCs w:val="21"/>
              </w:rPr>
              <w:t>报价人</w:t>
            </w:r>
            <w:r>
              <w:rPr>
                <w:rFonts w:hAnsi="宋体"/>
                <w:color w:val="auto"/>
                <w:kern w:val="2"/>
                <w:sz w:val="21"/>
                <w:szCs w:val="21"/>
              </w:rPr>
              <w:t>基本账户。</w:t>
            </w:r>
          </w:p>
          <w:p>
            <w:pPr>
              <w:pStyle w:val="148"/>
              <w:spacing w:line="400" w:lineRule="exact"/>
              <w:ind w:firstLine="420" w:firstLineChars="200"/>
              <w:rPr>
                <w:rFonts w:hAnsi="宋体"/>
                <w:color w:val="auto"/>
                <w:kern w:val="2"/>
                <w:sz w:val="21"/>
                <w:szCs w:val="21"/>
              </w:rPr>
            </w:pPr>
            <w:r>
              <w:rPr>
                <w:rFonts w:hAnsi="宋体"/>
                <w:color w:val="auto"/>
                <w:kern w:val="2"/>
                <w:sz w:val="21"/>
                <w:szCs w:val="21"/>
              </w:rPr>
              <w:t>中标人的投标保证金，自合同签订后15个工作日内无息退还至中标人基本账户。</w:t>
            </w:r>
          </w:p>
          <w:p>
            <w:pPr>
              <w:pStyle w:val="148"/>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二、履约保证金</w:t>
            </w:r>
          </w:p>
          <w:p>
            <w:pPr>
              <w:pStyle w:val="148"/>
              <w:keepNext w:val="0"/>
              <w:keepLines w:val="0"/>
              <w:pageBreakBefore w:val="0"/>
              <w:kinsoku/>
              <w:wordWrap/>
              <w:overflowPunct/>
              <w:topLinePunct w:val="0"/>
              <w:bidi w:val="0"/>
              <w:snapToGrid/>
              <w:spacing w:beforeAutospacing="0" w:afterAutospacing="0" w:line="360" w:lineRule="auto"/>
              <w:ind w:firstLine="420" w:firstLineChars="200"/>
              <w:textAlignment w:val="auto"/>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1、</w:t>
            </w:r>
            <w:r>
              <w:rPr>
                <w:rFonts w:hint="default" w:hAnsi="宋体"/>
                <w:color w:val="auto"/>
                <w:kern w:val="2"/>
                <w:sz w:val="21"/>
                <w:szCs w:val="21"/>
                <w:highlight w:val="none"/>
                <w:lang w:val="en-US" w:eastAsia="zh-CN"/>
              </w:rPr>
              <w:t>履约担保作为本</w:t>
            </w:r>
            <w:r>
              <w:rPr>
                <w:rFonts w:hint="eastAsia" w:hAnsi="宋体"/>
                <w:color w:val="auto"/>
                <w:kern w:val="2"/>
                <w:sz w:val="21"/>
                <w:szCs w:val="21"/>
                <w:highlight w:val="none"/>
                <w:lang w:val="en-US" w:eastAsia="zh-CN"/>
              </w:rPr>
              <w:t>项目</w:t>
            </w:r>
            <w:r>
              <w:rPr>
                <w:rFonts w:hint="default" w:hAnsi="宋体"/>
                <w:color w:val="auto"/>
                <w:kern w:val="2"/>
                <w:sz w:val="21"/>
                <w:szCs w:val="21"/>
                <w:highlight w:val="none"/>
                <w:lang w:val="en-US" w:eastAsia="zh-CN"/>
              </w:rPr>
              <w:t>合同附件</w:t>
            </w:r>
            <w:r>
              <w:rPr>
                <w:rFonts w:hint="eastAsia" w:hAnsi="宋体"/>
                <w:color w:val="auto"/>
                <w:kern w:val="2"/>
                <w:sz w:val="21"/>
                <w:szCs w:val="21"/>
                <w:highlight w:val="none"/>
                <w:lang w:val="en-US" w:eastAsia="zh-CN"/>
              </w:rPr>
              <w:t>。</w:t>
            </w:r>
          </w:p>
          <w:p>
            <w:pPr>
              <w:pStyle w:val="148"/>
              <w:keepNext w:val="0"/>
              <w:keepLines w:val="0"/>
              <w:pageBreakBefore w:val="0"/>
              <w:kinsoku/>
              <w:wordWrap/>
              <w:overflowPunct/>
              <w:topLinePunct w:val="0"/>
              <w:bidi w:val="0"/>
              <w:snapToGrid/>
              <w:spacing w:beforeAutospacing="0" w:afterAutospacing="0" w:line="360" w:lineRule="auto"/>
              <w:ind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2、履约保证金的金额：中标人合同金额的10%。</w:t>
            </w:r>
          </w:p>
          <w:p>
            <w:pPr>
              <w:pStyle w:val="148"/>
              <w:keepNext w:val="0"/>
              <w:keepLines w:val="0"/>
              <w:pageBreakBefore w:val="0"/>
              <w:kinsoku/>
              <w:wordWrap/>
              <w:overflowPunct/>
              <w:topLinePunct w:val="0"/>
              <w:bidi w:val="0"/>
              <w:snapToGrid/>
              <w:spacing w:beforeAutospacing="0" w:afterAutospacing="0" w:line="360" w:lineRule="auto"/>
              <w:ind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3、履约保证金有效期：自双方签订的合同文件生效之日起，至合同约定的工程验收完成止。</w:t>
            </w:r>
          </w:p>
          <w:p>
            <w:pPr>
              <w:pStyle w:val="148"/>
              <w:keepNext w:val="0"/>
              <w:keepLines w:val="0"/>
              <w:pageBreakBefore w:val="0"/>
              <w:kinsoku/>
              <w:wordWrap/>
              <w:overflowPunct/>
              <w:topLinePunct w:val="0"/>
              <w:bidi w:val="0"/>
              <w:snapToGrid/>
              <w:spacing w:beforeAutospacing="0" w:afterAutospacing="0" w:line="360" w:lineRule="auto"/>
              <w:ind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4、履约保证金缴纳方式：现金或银行保函</w:t>
            </w:r>
          </w:p>
          <w:p>
            <w:pPr>
              <w:pStyle w:val="38"/>
              <w:keepNext w:val="0"/>
              <w:keepLines w:val="0"/>
              <w:pageBreakBefore w:val="0"/>
              <w:widowControl/>
              <w:suppressLineNumbers w:val="0"/>
              <w:kinsoku/>
              <w:wordWrap/>
              <w:overflowPunct/>
              <w:topLinePunct w:val="0"/>
              <w:bidi w:val="0"/>
              <w:snapToGrid/>
              <w:spacing w:before="0" w:beforeAutospacing="0" w:after="0" w:afterAutospacing="0" w:line="360" w:lineRule="auto"/>
              <w:ind w:left="0" w:right="0" w:firstLine="420"/>
              <w:textAlignment w:val="auto"/>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5、履约保证金的提交：在甲方发出中标通知书后</w:t>
            </w:r>
            <w:r>
              <w:rPr>
                <w:rFonts w:hint="eastAsia"/>
                <w:color w:val="auto"/>
                <w:kern w:val="2"/>
                <w:sz w:val="21"/>
                <w:szCs w:val="21"/>
                <w:highlight w:val="none"/>
                <w:lang w:val="en-US" w:eastAsia="zh-CN"/>
              </w:rPr>
              <w:t>10</w:t>
            </w:r>
            <w:r>
              <w:rPr>
                <w:rFonts w:hint="eastAsia" w:hAnsi="宋体"/>
                <w:color w:val="auto"/>
                <w:kern w:val="2"/>
                <w:sz w:val="21"/>
                <w:szCs w:val="21"/>
                <w:highlight w:val="none"/>
                <w:lang w:val="en-US" w:eastAsia="zh-CN"/>
              </w:rPr>
              <w:t>个工作日内，中标人向采购人提供履约保证金</w:t>
            </w:r>
            <w:r>
              <w:rPr>
                <w:rFonts w:hint="default" w:hAnsi="宋体"/>
                <w:color w:val="auto"/>
                <w:kern w:val="2"/>
                <w:sz w:val="21"/>
                <w:szCs w:val="21"/>
                <w:highlight w:val="none"/>
                <w:lang w:val="en-US" w:eastAsia="zh-CN"/>
              </w:rPr>
              <w:t>缴纳凭证</w:t>
            </w:r>
            <w:r>
              <w:rPr>
                <w:rFonts w:hint="eastAsia" w:hAnsi="宋体"/>
                <w:color w:val="auto"/>
                <w:kern w:val="2"/>
                <w:sz w:val="21"/>
                <w:szCs w:val="21"/>
                <w:highlight w:val="none"/>
                <w:lang w:val="en-US" w:eastAsia="zh-CN"/>
              </w:rPr>
              <w:t>。若缴纳现金的，</w:t>
            </w:r>
            <w:r>
              <w:rPr>
                <w:rFonts w:hint="eastAsia" w:ascii="宋体" w:hAnsi="宋体" w:eastAsia="宋体" w:cs="宋体"/>
                <w:i w:val="0"/>
                <w:caps w:val="0"/>
                <w:color w:val="auto"/>
                <w:spacing w:val="0"/>
                <w:sz w:val="21"/>
                <w:szCs w:val="21"/>
                <w:lang w:val="en-US" w:eastAsia="zh-CN"/>
              </w:rPr>
              <w:t>则需</w:t>
            </w:r>
            <w:r>
              <w:rPr>
                <w:rFonts w:hint="eastAsia" w:ascii="宋体" w:hAnsi="宋体" w:eastAsia="宋体" w:cs="宋体"/>
                <w:i w:val="0"/>
                <w:caps w:val="0"/>
                <w:color w:val="auto"/>
                <w:spacing w:val="0"/>
                <w:sz w:val="21"/>
                <w:szCs w:val="21"/>
              </w:rPr>
              <w:t>备注</w:t>
            </w:r>
            <w:r>
              <w:rPr>
                <w:rFonts w:hint="eastAsia" w:ascii="宋体" w:hAnsi="宋体" w:eastAsia="宋体" w:cs="宋体"/>
                <w:i w:val="0"/>
                <w:caps w:val="0"/>
                <w:color w:val="auto"/>
                <w:spacing w:val="0"/>
                <w:sz w:val="21"/>
                <w:szCs w:val="21"/>
                <w:lang w:eastAsia="zh-CN"/>
              </w:rPr>
              <w:t>，</w:t>
            </w:r>
            <w:r>
              <w:rPr>
                <w:rFonts w:hint="eastAsia" w:ascii="宋体" w:hAnsi="宋体" w:eastAsia="宋体" w:cs="宋体"/>
                <w:i w:val="0"/>
                <w:caps w:val="0"/>
                <w:color w:val="auto"/>
                <w:spacing w:val="0"/>
                <w:sz w:val="21"/>
                <w:szCs w:val="21"/>
              </w:rPr>
              <w:t>转款备注：</w:t>
            </w:r>
            <w:r>
              <w:rPr>
                <w:rFonts w:hint="eastAsia" w:ascii="宋体" w:hAnsi="宋体" w:eastAsia="宋体" w:cs="宋体"/>
                <w:i w:val="0"/>
                <w:caps w:val="0"/>
                <w:color w:val="auto"/>
                <w:spacing w:val="0"/>
                <w:sz w:val="21"/>
                <w:szCs w:val="21"/>
                <w:lang w:eastAsia="zh-CN"/>
              </w:rPr>
              <w:t>三环高速公路陈食至油溪段项目收费系统施工劳务</w:t>
            </w:r>
            <w:r>
              <w:rPr>
                <w:rFonts w:hint="eastAsia" w:cs="宋体"/>
                <w:i w:val="0"/>
                <w:caps w:val="0"/>
                <w:color w:val="auto"/>
                <w:spacing w:val="0"/>
                <w:sz w:val="21"/>
                <w:szCs w:val="21"/>
                <w:lang w:val="en-US" w:eastAsia="zh-CN"/>
              </w:rPr>
              <w:t>履约保证金。</w:t>
            </w:r>
          </w:p>
          <w:p>
            <w:pPr>
              <w:pStyle w:val="148"/>
              <w:keepNext w:val="0"/>
              <w:keepLines w:val="0"/>
              <w:pageBreakBefore w:val="0"/>
              <w:kinsoku/>
              <w:wordWrap/>
              <w:overflowPunct/>
              <w:topLinePunct w:val="0"/>
              <w:bidi w:val="0"/>
              <w:snapToGrid/>
              <w:spacing w:beforeAutospacing="0" w:afterAutospacing="0" w:line="360" w:lineRule="auto"/>
              <w:ind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6、履约保证金退还：缴纳现金保函的，在完成合同约定的全部工作内容后28天后无息退还剩余部分。</w:t>
            </w:r>
          </w:p>
          <w:p>
            <w:pPr>
              <w:pStyle w:val="148"/>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三、低价风险担保金</w:t>
            </w:r>
          </w:p>
          <w:p>
            <w:pPr>
              <w:pStyle w:val="148"/>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1、低价风险担保提交标准为最高限价的85%与中标价格差额的</w:t>
            </w:r>
            <w:r>
              <w:rPr>
                <w:rFonts w:hint="eastAsia" w:hAnsi="宋体"/>
                <w:color w:val="auto"/>
                <w:kern w:val="2"/>
                <w:sz w:val="21"/>
                <w:szCs w:val="21"/>
                <w:highlight w:val="none"/>
                <w:u w:val="none"/>
                <w:lang w:val="en-US" w:eastAsia="zh-CN"/>
              </w:rPr>
              <w:t>3</w:t>
            </w:r>
            <w:r>
              <w:rPr>
                <w:rFonts w:hint="eastAsia" w:hAnsi="宋体"/>
                <w:color w:val="auto"/>
                <w:kern w:val="2"/>
                <w:sz w:val="21"/>
                <w:szCs w:val="21"/>
                <w:highlight w:val="none"/>
                <w:lang w:val="en-US" w:eastAsia="zh-CN"/>
              </w:rPr>
              <w:t>倍（既低价风险担保差额倍数）；</w:t>
            </w:r>
          </w:p>
          <w:p>
            <w:pPr>
              <w:pStyle w:val="148"/>
              <w:spacing w:line="400" w:lineRule="exact"/>
              <w:ind w:firstLine="420" w:firstLineChars="200"/>
              <w:rPr>
                <w:rFonts w:hint="eastAsia" w:hAnsi="宋体"/>
                <w:color w:val="auto"/>
                <w:kern w:val="2"/>
                <w:sz w:val="21"/>
                <w:szCs w:val="21"/>
                <w:highlight w:val="none"/>
                <w:lang w:eastAsia="zh-CN"/>
              </w:rPr>
            </w:pPr>
            <w:r>
              <w:rPr>
                <w:rFonts w:hint="eastAsia" w:hAnsi="宋体"/>
                <w:color w:val="auto"/>
                <w:kern w:val="2"/>
                <w:sz w:val="21"/>
                <w:szCs w:val="21"/>
                <w:highlight w:val="none"/>
                <w:lang w:val="en-US" w:eastAsia="zh-CN"/>
              </w:rPr>
              <w:t>2、低价风险担保</w:t>
            </w:r>
            <w:r>
              <w:rPr>
                <w:rFonts w:hAnsi="宋体"/>
                <w:color w:val="auto"/>
                <w:kern w:val="2"/>
                <w:sz w:val="21"/>
                <w:szCs w:val="21"/>
                <w:highlight w:val="none"/>
              </w:rPr>
              <w:t>作为本</w:t>
            </w:r>
            <w:r>
              <w:rPr>
                <w:rFonts w:hint="eastAsia" w:hAnsi="宋体"/>
                <w:color w:val="auto"/>
                <w:kern w:val="2"/>
                <w:sz w:val="21"/>
                <w:szCs w:val="21"/>
                <w:highlight w:val="none"/>
              </w:rPr>
              <w:t>项目</w:t>
            </w:r>
            <w:r>
              <w:rPr>
                <w:rFonts w:hAnsi="宋体"/>
                <w:color w:val="auto"/>
                <w:kern w:val="2"/>
                <w:sz w:val="21"/>
                <w:szCs w:val="21"/>
                <w:highlight w:val="none"/>
              </w:rPr>
              <w:t>合同附件</w:t>
            </w:r>
            <w:r>
              <w:rPr>
                <w:rFonts w:hint="eastAsia" w:hAnsi="宋体"/>
                <w:color w:val="auto"/>
                <w:kern w:val="2"/>
                <w:sz w:val="21"/>
                <w:szCs w:val="21"/>
                <w:highlight w:val="none"/>
                <w:lang w:eastAsia="zh-CN"/>
              </w:rPr>
              <w:t>；</w:t>
            </w:r>
          </w:p>
          <w:p>
            <w:pPr>
              <w:pStyle w:val="148"/>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3、低价风险担保金有效期：自双方签订的合同文件生效之日起，至合同约定时间完成为止；</w:t>
            </w:r>
          </w:p>
          <w:p>
            <w:pPr>
              <w:pStyle w:val="148"/>
              <w:spacing w:line="400" w:lineRule="exact"/>
              <w:ind w:firstLine="420" w:firstLineChars="200"/>
              <w:rPr>
                <w:rFonts w:hint="eastAsia" w:hAnsi="宋体"/>
                <w:color w:val="auto"/>
                <w:kern w:val="2"/>
                <w:sz w:val="21"/>
                <w:szCs w:val="21"/>
                <w:highlight w:val="none"/>
                <w:lang w:eastAsia="zh-CN"/>
              </w:rPr>
            </w:pPr>
            <w:r>
              <w:rPr>
                <w:rFonts w:hint="eastAsia" w:hAnsi="宋体"/>
                <w:color w:val="auto"/>
                <w:kern w:val="2"/>
                <w:sz w:val="21"/>
                <w:szCs w:val="21"/>
                <w:highlight w:val="none"/>
                <w:lang w:val="en-US" w:eastAsia="zh-CN"/>
              </w:rPr>
              <w:t>4、低价风险担保金</w:t>
            </w:r>
            <w:r>
              <w:rPr>
                <w:rFonts w:hint="eastAsia" w:hAnsi="宋体"/>
                <w:color w:val="auto"/>
                <w:kern w:val="2"/>
                <w:sz w:val="21"/>
                <w:szCs w:val="21"/>
                <w:highlight w:val="none"/>
              </w:rPr>
              <w:t>的提交及退还：在甲方发出中标通知书后5个工作日内，中标人向采购人提供</w:t>
            </w:r>
            <w:r>
              <w:rPr>
                <w:rFonts w:hint="eastAsia" w:hAnsi="宋体"/>
                <w:color w:val="auto"/>
                <w:kern w:val="2"/>
                <w:sz w:val="21"/>
                <w:szCs w:val="21"/>
                <w:highlight w:val="none"/>
                <w:lang w:val="en-US" w:eastAsia="zh-CN"/>
              </w:rPr>
              <w:t>低价风险担保金</w:t>
            </w:r>
            <w:r>
              <w:rPr>
                <w:rFonts w:hint="eastAsia" w:hAnsi="宋体"/>
                <w:color w:val="auto"/>
                <w:kern w:val="2"/>
                <w:sz w:val="21"/>
                <w:szCs w:val="21"/>
                <w:highlight w:val="none"/>
              </w:rPr>
              <w:t>缴纳凭证。</w:t>
            </w:r>
            <w:r>
              <w:rPr>
                <w:rFonts w:hint="eastAsia" w:hAnsi="宋体"/>
                <w:color w:val="auto"/>
                <w:kern w:val="2"/>
                <w:sz w:val="21"/>
                <w:szCs w:val="21"/>
                <w:highlight w:val="none"/>
                <w:lang w:val="en-US" w:eastAsia="zh-CN"/>
              </w:rPr>
              <w:t>低价风险担保金</w:t>
            </w:r>
            <w:r>
              <w:rPr>
                <w:rFonts w:hint="eastAsia" w:hAnsi="宋体"/>
                <w:color w:val="auto"/>
                <w:kern w:val="2"/>
                <w:sz w:val="21"/>
                <w:szCs w:val="21"/>
                <w:highlight w:val="none"/>
              </w:rPr>
              <w:t>在完成合同约定的全部工作内容后由中标人提出申请，28天后无息退还</w:t>
            </w:r>
            <w:r>
              <w:rPr>
                <w:rFonts w:hint="eastAsia" w:hAnsi="宋体"/>
                <w:color w:val="auto"/>
                <w:kern w:val="2"/>
                <w:sz w:val="21"/>
                <w:szCs w:val="21"/>
                <w:highlight w:val="none"/>
                <w:lang w:eastAsia="zh-CN"/>
              </w:rPr>
              <w:t>。</w:t>
            </w:r>
          </w:p>
          <w:p>
            <w:pPr>
              <w:pStyle w:val="148"/>
              <w:spacing w:line="400" w:lineRule="exact"/>
              <w:ind w:firstLine="420" w:firstLineChars="200"/>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四、采购人指定的开户银行及账号如下：</w:t>
            </w:r>
          </w:p>
          <w:p>
            <w:pPr>
              <w:pStyle w:val="148"/>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账户名称：重庆首讯科技股份有限公司</w:t>
            </w:r>
          </w:p>
          <w:p>
            <w:pPr>
              <w:pStyle w:val="148"/>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开户银行：兴业银行重庆分行营业部</w:t>
            </w:r>
          </w:p>
          <w:p>
            <w:pPr>
              <w:pStyle w:val="148"/>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帐    号：3460 1010 0100 4791 14</w:t>
            </w:r>
          </w:p>
          <w:p>
            <w:pPr>
              <w:pStyle w:val="148"/>
              <w:keepNext w:val="0"/>
              <w:keepLines w:val="0"/>
              <w:pageBreakBefore w:val="0"/>
              <w:kinsoku/>
              <w:wordWrap/>
              <w:overflowPunct/>
              <w:topLinePunct w:val="0"/>
              <w:bidi w:val="0"/>
              <w:snapToGrid/>
              <w:spacing w:beforeAutospacing="0" w:afterAutospacing="0" w:line="360" w:lineRule="auto"/>
              <w:ind w:firstLine="422" w:firstLineChars="200"/>
              <w:textAlignment w:val="auto"/>
              <w:rPr>
                <w:rFonts w:hint="default" w:hAnsi="宋体"/>
                <w:color w:val="auto"/>
                <w:kern w:val="2"/>
                <w:sz w:val="21"/>
                <w:szCs w:val="21"/>
                <w:highlight w:val="none"/>
                <w:lang w:val="en-US" w:eastAsia="zh-CN"/>
              </w:rPr>
            </w:pPr>
            <w:r>
              <w:rPr>
                <w:rFonts w:hint="eastAsia" w:hAnsi="宋体"/>
                <w:b/>
                <w:bCs/>
                <w:color w:val="auto"/>
                <w:kern w:val="2"/>
                <w:sz w:val="21"/>
                <w:szCs w:val="21"/>
                <w:highlight w:val="none"/>
                <w:lang w:val="en-US" w:eastAsia="zh-CN"/>
              </w:rPr>
              <w:t>注：根据采购人《合格供方库管理办法》，符合免交投标担保及履约担保资格的报价人，可提交经采购人审批通过并加盖采购人单位公章的《免交投标担保及履约担保审批表》代替相关保证金凭证。《免交投标担保及履约担保审批表》须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697" w:type="dxa"/>
            <w:vAlign w:val="center"/>
          </w:tcPr>
          <w:p>
            <w:pPr>
              <w:pStyle w:val="148"/>
              <w:spacing w:line="400" w:lineRule="exact"/>
              <w:jc w:val="center"/>
              <w:rPr>
                <w:rFonts w:hint="eastAsia" w:hAnsi="宋体" w:eastAsia="宋体"/>
                <w:color w:val="000000" w:themeColor="text1"/>
                <w:sz w:val="21"/>
                <w:szCs w:val="21"/>
                <w:lang w:eastAsia="zh-CN"/>
                <w14:textFill>
                  <w14:solidFill>
                    <w14:schemeClr w14:val="tx1"/>
                  </w14:solidFill>
                </w14:textFill>
              </w:rPr>
            </w:pPr>
            <w:r>
              <w:rPr>
                <w:rFonts w:hint="eastAsia" w:hAnsi="宋体"/>
                <w:color w:val="000000" w:themeColor="text1"/>
                <w:sz w:val="21"/>
                <w:szCs w:val="21"/>
                <w14:textFill>
                  <w14:solidFill>
                    <w14:schemeClr w14:val="tx1"/>
                  </w14:solidFill>
                </w14:textFill>
              </w:rPr>
              <w:t>2</w:t>
            </w:r>
            <w:r>
              <w:rPr>
                <w:rFonts w:hint="eastAsia" w:hAnsi="宋体"/>
                <w:color w:val="000000" w:themeColor="text1"/>
                <w:sz w:val="21"/>
                <w:szCs w:val="21"/>
                <w:lang w:val="en-US" w:eastAsia="zh-CN"/>
                <w14:textFill>
                  <w14:solidFill>
                    <w14:schemeClr w14:val="tx1"/>
                  </w14:solidFill>
                </w14:textFill>
              </w:rPr>
              <w:t>1</w:t>
            </w:r>
          </w:p>
        </w:tc>
        <w:tc>
          <w:tcPr>
            <w:tcW w:w="2106" w:type="dxa"/>
            <w:vAlign w:val="center"/>
          </w:tcPr>
          <w:p>
            <w:pPr>
              <w:pStyle w:val="148"/>
              <w:spacing w:line="400" w:lineRule="exact"/>
              <w:jc w:val="center"/>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合同签订方式</w:t>
            </w:r>
          </w:p>
        </w:tc>
        <w:tc>
          <w:tcPr>
            <w:tcW w:w="7104" w:type="dxa"/>
            <w:vAlign w:val="center"/>
          </w:tcPr>
          <w:p>
            <w:pPr>
              <w:pStyle w:val="148"/>
              <w:spacing w:line="400" w:lineRule="exact"/>
              <w:ind w:firstLine="420" w:firstLineChars="200"/>
              <w:rPr>
                <w:rFonts w:hint="default" w:hAnsi="宋体" w:eastAsia="宋体"/>
                <w:color w:val="000000" w:themeColor="text1"/>
                <w:sz w:val="21"/>
                <w:szCs w:val="21"/>
                <w:lang w:val="en-US" w:eastAsia="zh-CN"/>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经评审确定中标人后签订采购合同。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697" w:type="dxa"/>
            <w:vAlign w:val="center"/>
          </w:tcPr>
          <w:p>
            <w:pPr>
              <w:pStyle w:val="148"/>
              <w:spacing w:line="400" w:lineRule="exact"/>
              <w:jc w:val="center"/>
              <w:rPr>
                <w:rFonts w:hint="eastAsia" w:hAnsi="宋体" w:eastAsia="宋体"/>
                <w:color w:val="000000" w:themeColor="text1"/>
                <w:sz w:val="21"/>
                <w:szCs w:val="21"/>
                <w:lang w:eastAsia="zh-CN"/>
                <w14:textFill>
                  <w14:solidFill>
                    <w14:schemeClr w14:val="tx1"/>
                  </w14:solidFill>
                </w14:textFill>
              </w:rPr>
            </w:pPr>
            <w:r>
              <w:rPr>
                <w:rFonts w:hint="eastAsia" w:hAnsi="宋体"/>
                <w:color w:val="000000" w:themeColor="text1"/>
                <w:sz w:val="21"/>
                <w:szCs w:val="21"/>
                <w14:textFill>
                  <w14:solidFill>
                    <w14:schemeClr w14:val="tx1"/>
                  </w14:solidFill>
                </w14:textFill>
              </w:rPr>
              <w:t>2</w:t>
            </w:r>
            <w:r>
              <w:rPr>
                <w:rFonts w:hint="eastAsia" w:hAnsi="宋体"/>
                <w:color w:val="000000" w:themeColor="text1"/>
                <w:sz w:val="21"/>
                <w:szCs w:val="21"/>
                <w:lang w:val="en-US" w:eastAsia="zh-CN"/>
                <w14:textFill>
                  <w14:solidFill>
                    <w14:schemeClr w14:val="tx1"/>
                  </w14:solidFill>
                </w14:textFill>
              </w:rPr>
              <w:t>2</w:t>
            </w:r>
          </w:p>
        </w:tc>
        <w:tc>
          <w:tcPr>
            <w:tcW w:w="2106" w:type="dxa"/>
            <w:vAlign w:val="center"/>
          </w:tcPr>
          <w:p>
            <w:pPr>
              <w:pStyle w:val="148"/>
              <w:spacing w:line="400" w:lineRule="exact"/>
              <w:jc w:val="center"/>
              <w:rPr>
                <w:rFonts w:hAnsi="宋体"/>
                <w:color w:val="000000" w:themeColor="text1"/>
                <w:kern w:val="2"/>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保险</w:t>
            </w:r>
          </w:p>
        </w:tc>
        <w:tc>
          <w:tcPr>
            <w:tcW w:w="7104" w:type="dxa"/>
            <w:vAlign w:val="center"/>
          </w:tcPr>
          <w:p>
            <w:pPr>
              <w:pStyle w:val="148"/>
              <w:spacing w:line="400" w:lineRule="exact"/>
              <w:ind w:firstLine="420" w:firstLineChars="200"/>
              <w:rPr>
                <w:rFonts w:hint="eastAsia" w:hAnsi="宋体" w:eastAsia="宋体"/>
                <w:color w:val="000000" w:themeColor="text1"/>
                <w:kern w:val="2"/>
                <w:sz w:val="21"/>
                <w:szCs w:val="21"/>
                <w:lang w:eastAsia="zh-CN"/>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697" w:type="dxa"/>
            <w:vAlign w:val="center"/>
          </w:tcPr>
          <w:p>
            <w:pPr>
              <w:pStyle w:val="148"/>
              <w:spacing w:line="400" w:lineRule="exact"/>
              <w:jc w:val="center"/>
              <w:rPr>
                <w:rFonts w:hint="eastAsia" w:hAnsi="宋体" w:eastAsia="宋体"/>
                <w:color w:val="000000" w:themeColor="text1"/>
                <w:sz w:val="21"/>
                <w:szCs w:val="21"/>
                <w:lang w:eastAsia="zh-CN"/>
                <w14:textFill>
                  <w14:solidFill>
                    <w14:schemeClr w14:val="tx1"/>
                  </w14:solidFill>
                </w14:textFill>
              </w:rPr>
            </w:pPr>
            <w:r>
              <w:rPr>
                <w:rFonts w:hint="eastAsia" w:hAnsi="宋体"/>
                <w:color w:val="000000" w:themeColor="text1"/>
                <w:sz w:val="21"/>
                <w:szCs w:val="21"/>
                <w14:textFill>
                  <w14:solidFill>
                    <w14:schemeClr w14:val="tx1"/>
                  </w14:solidFill>
                </w14:textFill>
              </w:rPr>
              <w:t>2</w:t>
            </w:r>
            <w:r>
              <w:rPr>
                <w:rFonts w:hint="eastAsia" w:hAnsi="宋体"/>
                <w:color w:val="000000" w:themeColor="text1"/>
                <w:sz w:val="21"/>
                <w:szCs w:val="21"/>
                <w:lang w:val="en-US" w:eastAsia="zh-CN"/>
                <w14:textFill>
                  <w14:solidFill>
                    <w14:schemeClr w14:val="tx1"/>
                  </w14:solidFill>
                </w14:textFill>
              </w:rPr>
              <w:t>3</w:t>
            </w:r>
          </w:p>
        </w:tc>
        <w:tc>
          <w:tcPr>
            <w:tcW w:w="2106" w:type="dxa"/>
            <w:vAlign w:val="center"/>
          </w:tcPr>
          <w:p>
            <w:pPr>
              <w:pStyle w:val="148"/>
              <w:spacing w:line="400" w:lineRule="exact"/>
              <w:jc w:val="center"/>
              <w:rPr>
                <w:rFonts w:hAnsi="宋体"/>
                <w:color w:val="000000" w:themeColor="text1"/>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监督部门</w:t>
            </w:r>
          </w:p>
        </w:tc>
        <w:tc>
          <w:tcPr>
            <w:tcW w:w="7104" w:type="dxa"/>
            <w:vAlign w:val="center"/>
          </w:tcPr>
          <w:p>
            <w:pPr>
              <w:pStyle w:val="148"/>
              <w:spacing w:line="400" w:lineRule="exact"/>
              <w:ind w:firstLine="420" w:firstLineChars="200"/>
              <w:rPr>
                <w:rFonts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监督部门：重庆首讯科技股份有限公司</w:t>
            </w:r>
            <w:r>
              <w:rPr>
                <w:rFonts w:hint="eastAsia" w:hAnsi="宋体"/>
                <w:color w:val="000000" w:themeColor="text1"/>
                <w:kern w:val="2"/>
                <w:sz w:val="21"/>
                <w:szCs w:val="21"/>
                <w:lang w:val="en-US" w:eastAsia="zh-CN"/>
                <w14:textFill>
                  <w14:solidFill>
                    <w14:schemeClr w14:val="tx1"/>
                  </w14:solidFill>
                </w14:textFill>
              </w:rPr>
              <w:t>合规监管</w:t>
            </w:r>
            <w:r>
              <w:rPr>
                <w:rFonts w:hint="eastAsia" w:hAnsi="宋体"/>
                <w:color w:val="000000" w:themeColor="text1"/>
                <w:kern w:val="2"/>
                <w:sz w:val="21"/>
                <w:szCs w:val="21"/>
                <w14:textFill>
                  <w14:solidFill>
                    <w14:schemeClr w14:val="tx1"/>
                  </w14:solidFill>
                </w14:textFill>
              </w:rPr>
              <w:t>部</w:t>
            </w:r>
          </w:p>
          <w:p>
            <w:pPr>
              <w:pStyle w:val="148"/>
              <w:spacing w:line="400" w:lineRule="exact"/>
              <w:ind w:firstLine="420" w:firstLineChars="200"/>
              <w:rPr>
                <w:rFonts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地    址：</w:t>
            </w:r>
            <w:r>
              <w:rPr>
                <w:rFonts w:hint="eastAsia" w:hAnsi="宋体"/>
                <w:color w:val="000000" w:themeColor="text1"/>
                <w:kern w:val="2"/>
                <w:sz w:val="21"/>
                <w:szCs w:val="21"/>
                <w:lang w:val="en-US" w:eastAsia="zh-CN"/>
                <w14:textFill>
                  <w14:solidFill>
                    <w14:schemeClr w14:val="tx1"/>
                  </w14:solidFill>
                </w14:textFill>
              </w:rPr>
              <w:t>重庆市渝北区新南路52号东界龙湖三楼</w:t>
            </w:r>
          </w:p>
          <w:p>
            <w:pPr>
              <w:pStyle w:val="148"/>
              <w:spacing w:line="400" w:lineRule="exact"/>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电    话：023-63132246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697" w:type="dxa"/>
            <w:vAlign w:val="center"/>
          </w:tcPr>
          <w:p>
            <w:pPr>
              <w:pStyle w:val="148"/>
              <w:spacing w:line="400" w:lineRule="exact"/>
              <w:jc w:val="center"/>
              <w:rPr>
                <w:rFonts w:hint="eastAsia" w:hAnsi="宋体"/>
                <w:color w:val="000000" w:themeColor="text1"/>
                <w:sz w:val="21"/>
                <w:szCs w:val="21"/>
                <w14:textFill>
                  <w14:solidFill>
                    <w14:schemeClr w14:val="tx1"/>
                  </w14:solidFill>
                </w14:textFill>
              </w:rPr>
            </w:pPr>
            <w:r>
              <w:rPr>
                <w:rFonts w:hint="eastAsia" w:hAnsi="宋体" w:cs="宋体"/>
                <w:color w:val="auto"/>
                <w:sz w:val="21"/>
                <w:szCs w:val="21"/>
                <w:highlight w:val="none"/>
                <w:lang w:val="en-US" w:eastAsia="zh-CN" w:bidi="ar-SA"/>
              </w:rPr>
              <w:t>24</w:t>
            </w:r>
          </w:p>
        </w:tc>
        <w:tc>
          <w:tcPr>
            <w:tcW w:w="2106" w:type="dxa"/>
            <w:vAlign w:val="center"/>
          </w:tcPr>
          <w:p>
            <w:pPr>
              <w:pStyle w:val="148"/>
              <w:keepNext w:val="0"/>
              <w:keepLines w:val="0"/>
              <w:suppressLineNumbers w:val="0"/>
              <w:spacing w:before="0" w:beforeAutospacing="0" w:after="0" w:afterAutospacing="0" w:line="400" w:lineRule="exact"/>
              <w:ind w:left="0" w:leftChars="0" w:right="0" w:rightChars="0"/>
              <w:jc w:val="center"/>
              <w:rPr>
                <w:rFonts w:hint="eastAsia" w:hAnsi="宋体"/>
                <w:color w:val="000000" w:themeColor="text1"/>
                <w:kern w:val="2"/>
                <w:sz w:val="21"/>
                <w:szCs w:val="21"/>
                <w14:textFill>
                  <w14:solidFill>
                    <w14:schemeClr w14:val="tx1"/>
                  </w14:solidFill>
                </w14:textFill>
              </w:rPr>
            </w:pPr>
            <w:r>
              <w:rPr>
                <w:rFonts w:hint="eastAsia" w:hAnsi="宋体"/>
                <w:color w:val="auto"/>
                <w:kern w:val="2"/>
                <w:sz w:val="21"/>
                <w:szCs w:val="21"/>
              </w:rPr>
              <w:t>竞争性比选响应文件的</w:t>
            </w:r>
            <w:r>
              <w:rPr>
                <w:rFonts w:hint="eastAsia" w:hAnsi="宋体"/>
                <w:color w:val="auto"/>
                <w:kern w:val="2"/>
                <w:sz w:val="21"/>
                <w:szCs w:val="21"/>
                <w:lang w:val="en-US" w:eastAsia="zh-CN"/>
              </w:rPr>
              <w:t>组成</w:t>
            </w:r>
          </w:p>
        </w:tc>
        <w:tc>
          <w:tcPr>
            <w:tcW w:w="7104" w:type="dxa"/>
            <w:vAlign w:val="center"/>
          </w:tcPr>
          <w:p>
            <w:pPr>
              <w:pStyle w:val="148"/>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1.竞争性比选文件需加盖报价人的公章，竞争性比选响应文件提交</w:t>
            </w:r>
            <w:r>
              <w:rPr>
                <w:rFonts w:hint="eastAsia" w:hAnsi="宋体"/>
                <w:b/>
                <w:bCs/>
                <w:color w:val="auto"/>
                <w:kern w:val="2"/>
                <w:sz w:val="21"/>
                <w:szCs w:val="21"/>
                <w:highlight w:val="none"/>
                <w:lang w:val="en-US" w:eastAsia="zh-CN"/>
              </w:rPr>
              <w:t>正本1份，副本1份，电子文件1份</w:t>
            </w:r>
            <w:r>
              <w:rPr>
                <w:rFonts w:hint="eastAsia" w:hAnsi="宋体"/>
                <w:color w:val="auto"/>
                <w:kern w:val="2"/>
                <w:sz w:val="21"/>
                <w:szCs w:val="21"/>
                <w:highlight w:val="none"/>
                <w:lang w:val="en-US" w:eastAsia="zh-CN"/>
              </w:rPr>
              <w:t>，副本可为正本的复印件，竞争性比选响应文件需装订成册；电子文件1份应提供竞争性比选响应文件（盖章版）扫描版PDF电子版本（U盘1份，电子文件内容须包括竞争性比选响应文件全部内容）。当电子文件与纸质版竞争性比选响应文件不一致时，以纸质版竞争性比选响应文件为准，当正本与副本不一致时，以正本为准。</w:t>
            </w:r>
          </w:p>
          <w:p>
            <w:pPr>
              <w:pStyle w:val="148"/>
              <w:spacing w:line="400" w:lineRule="exact"/>
              <w:ind w:firstLine="420" w:firstLineChars="200"/>
              <w:rPr>
                <w:rFonts w:hint="eastAsia" w:hAnsi="宋体"/>
                <w:color w:val="auto"/>
                <w:kern w:val="2"/>
                <w:sz w:val="21"/>
                <w:szCs w:val="21"/>
                <w:highlight w:val="none"/>
                <w:lang w:val="en-US" w:eastAsia="zh-CN"/>
              </w:rPr>
            </w:pPr>
            <w:r>
              <w:rPr>
                <w:rFonts w:hint="eastAsia" w:hAnsi="宋体"/>
                <w:b w:val="0"/>
                <w:bCs w:val="0"/>
                <w:color w:val="auto"/>
                <w:kern w:val="2"/>
                <w:sz w:val="21"/>
                <w:szCs w:val="21"/>
                <w:highlight w:val="none"/>
                <w:lang w:val="en-US" w:eastAsia="zh-CN"/>
              </w:rPr>
              <w:t>2.竞争性比选响应声明书、报价函、资格要求材料、报价人认为需要提供的其他相关文件（注：以</w:t>
            </w:r>
            <w:r>
              <w:rPr>
                <w:rFonts w:hint="eastAsia" w:hAnsi="宋体"/>
                <w:b/>
                <w:bCs/>
                <w:color w:val="auto"/>
                <w:kern w:val="2"/>
                <w:sz w:val="21"/>
                <w:szCs w:val="21"/>
                <w:highlight w:val="none"/>
                <w:lang w:val="en-US" w:eastAsia="zh-CN"/>
              </w:rPr>
              <w:t>上所有文件均须逐页加盖报价人的公章</w:t>
            </w:r>
            <w:r>
              <w:rPr>
                <w:rFonts w:hint="eastAsia" w:hAnsi="宋体"/>
                <w:b w:val="0"/>
                <w:bCs w:val="0"/>
                <w:color w:val="auto"/>
                <w:kern w:val="2"/>
                <w:sz w:val="21"/>
                <w:szCs w:val="21"/>
                <w:highlight w:val="none"/>
                <w:lang w:val="en-US" w:eastAsia="zh-CN"/>
              </w:rPr>
              <w:t>）</w:t>
            </w:r>
            <w:r>
              <w:rPr>
                <w:rFonts w:hint="eastAsia" w:hAnsi="宋体"/>
                <w:color w:val="auto"/>
                <w:kern w:val="2"/>
                <w:sz w:val="21"/>
                <w:szCs w:val="21"/>
                <w:highlight w:val="none"/>
                <w:lang w:val="en-US" w:eastAsia="zh-CN"/>
              </w:rPr>
              <w:t>。</w:t>
            </w:r>
          </w:p>
          <w:p>
            <w:pPr>
              <w:pStyle w:val="148"/>
              <w:spacing w:line="400" w:lineRule="exact"/>
              <w:ind w:firstLine="420" w:firstLineChars="200"/>
              <w:rPr>
                <w:rFonts w:hint="eastAsia" w:hAnsi="宋体"/>
                <w:b w:val="0"/>
                <w:bCs w:val="0"/>
                <w:color w:val="auto"/>
                <w:kern w:val="2"/>
                <w:sz w:val="21"/>
                <w:szCs w:val="21"/>
                <w:highlight w:val="none"/>
                <w:lang w:val="en-US" w:eastAsia="zh-CN"/>
              </w:rPr>
            </w:pPr>
            <w:r>
              <w:rPr>
                <w:rFonts w:hint="eastAsia" w:hAnsi="宋体"/>
                <w:b w:val="0"/>
                <w:bCs w:val="0"/>
                <w:color w:val="auto"/>
                <w:kern w:val="2"/>
                <w:sz w:val="21"/>
                <w:szCs w:val="21"/>
                <w:highlight w:val="none"/>
                <w:lang w:val="en-US" w:eastAsia="zh-CN"/>
              </w:rPr>
              <w:t>3.密封要求：</w:t>
            </w:r>
          </w:p>
          <w:p>
            <w:pPr>
              <w:pStyle w:val="148"/>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竞争性比选响应文件密封到一个封袋中，在封套上写明：</w:t>
            </w:r>
          </w:p>
          <w:p>
            <w:pPr>
              <w:pStyle w:val="148"/>
              <w:spacing w:line="400" w:lineRule="exact"/>
              <w:ind w:firstLine="420" w:firstLineChars="200"/>
              <w:rPr>
                <w:rFonts w:hint="eastAsia" w:hAnsi="宋体"/>
                <w:color w:val="000000" w:themeColor="text1"/>
                <w:kern w:val="2"/>
                <w:sz w:val="21"/>
                <w:szCs w:val="21"/>
                <w14:textFill>
                  <w14:solidFill>
                    <w14:schemeClr w14:val="tx1"/>
                  </w14:solidFill>
                </w14:textFill>
              </w:rPr>
            </w:pPr>
            <w:r>
              <w:rPr>
                <w:rFonts w:hint="eastAsia" w:hAnsi="宋体"/>
                <w:color w:val="auto"/>
                <w:kern w:val="2"/>
                <w:sz w:val="21"/>
                <w:szCs w:val="21"/>
                <w:highlight w:val="none"/>
                <w:lang w:val="en-US" w:eastAsia="zh-CN"/>
              </w:rPr>
              <w:t>曾家机电站办公用房装饰装修项目（第二次）竞争性比选响应文件（加盖报价人的公章）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697" w:type="dxa"/>
            <w:vAlign w:val="center"/>
          </w:tcPr>
          <w:p>
            <w:pPr>
              <w:pStyle w:val="148"/>
              <w:spacing w:line="400" w:lineRule="exact"/>
              <w:jc w:val="center"/>
              <w:rPr>
                <w:rFonts w:hint="eastAsia" w:hAnsi="宋体"/>
                <w:color w:val="000000" w:themeColor="text1"/>
                <w:sz w:val="21"/>
                <w:szCs w:val="21"/>
                <w14:textFill>
                  <w14:solidFill>
                    <w14:schemeClr w14:val="tx1"/>
                  </w14:solidFill>
                </w14:textFill>
              </w:rPr>
            </w:pPr>
            <w:r>
              <w:rPr>
                <w:rFonts w:hint="eastAsia" w:hAnsi="宋体" w:cs="宋体"/>
                <w:color w:val="auto"/>
                <w:sz w:val="21"/>
                <w:szCs w:val="21"/>
                <w:highlight w:val="none"/>
                <w:lang w:val="en-US" w:eastAsia="zh-CN" w:bidi="ar-SA"/>
              </w:rPr>
              <w:t>25</w:t>
            </w:r>
          </w:p>
        </w:tc>
        <w:tc>
          <w:tcPr>
            <w:tcW w:w="2106" w:type="dxa"/>
            <w:vAlign w:val="center"/>
          </w:tcPr>
          <w:p>
            <w:pPr>
              <w:keepNext w:val="0"/>
              <w:keepLines w:val="0"/>
              <w:suppressLineNumbers w:val="0"/>
              <w:spacing w:before="0" w:beforeAutospacing="0" w:after="0" w:afterAutospacing="0" w:line="400" w:lineRule="exact"/>
              <w:ind w:left="0" w:leftChars="0" w:right="0" w:rightChars="0"/>
              <w:jc w:val="center"/>
              <w:rPr>
                <w:rFonts w:hint="eastAsia" w:hAnsi="宋体"/>
                <w:color w:val="000000" w:themeColor="text1"/>
                <w:kern w:val="2"/>
                <w:sz w:val="21"/>
                <w:szCs w:val="21"/>
                <w14:textFill>
                  <w14:solidFill>
                    <w14:schemeClr w14:val="tx1"/>
                  </w14:solidFill>
                </w14:textFill>
              </w:rPr>
            </w:pPr>
            <w:r>
              <w:rPr>
                <w:rFonts w:hint="eastAsia"/>
              </w:rPr>
              <w:t>中标候选人公示</w:t>
            </w:r>
          </w:p>
        </w:tc>
        <w:tc>
          <w:tcPr>
            <w:tcW w:w="7104" w:type="dxa"/>
            <w:vAlign w:val="center"/>
          </w:tcPr>
          <w:p>
            <w:pPr>
              <w:spacing w:line="400" w:lineRule="exact"/>
              <w:ind w:firstLine="420" w:firstLineChars="200"/>
              <w:rPr>
                <w:rFonts w:hint="eastAsia" w:hAnsi="宋体"/>
                <w:color w:val="000000" w:themeColor="text1"/>
                <w:kern w:val="2"/>
                <w:sz w:val="21"/>
                <w:szCs w:val="21"/>
                <w14:textFill>
                  <w14:solidFill>
                    <w14:schemeClr w14:val="tx1"/>
                  </w14:solidFill>
                </w14:textFill>
              </w:rPr>
            </w:pPr>
            <w:r>
              <w:rPr>
                <w:rFonts w:hint="eastAsia"/>
              </w:rPr>
              <w:t>评标结果将在重庆高速集团官网（http://www.cegc.com.cn）上进行公示，公示期为3日。公示内容包括中标候选人名称、排序、投标报价；提出异议、投诉的渠道和方式。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8"/>
              <w:spacing w:line="400" w:lineRule="exact"/>
              <w:jc w:val="center"/>
              <w:rPr>
                <w:rFonts w:hint="eastAsia" w:hAnsi="宋体" w:eastAsia="宋体"/>
                <w:color w:val="000000" w:themeColor="text1"/>
                <w:kern w:val="2"/>
                <w:sz w:val="21"/>
                <w:szCs w:val="21"/>
                <w:lang w:eastAsia="zh-CN"/>
                <w14:textFill>
                  <w14:solidFill>
                    <w14:schemeClr w14:val="tx1"/>
                  </w14:solidFill>
                </w14:textFill>
              </w:rPr>
            </w:pPr>
            <w:r>
              <w:rPr>
                <w:rFonts w:hint="eastAsia" w:hAnsi="宋体"/>
                <w:color w:val="000000" w:themeColor="text1"/>
                <w:kern w:val="2"/>
                <w:sz w:val="21"/>
                <w:szCs w:val="21"/>
                <w14:textFill>
                  <w14:solidFill>
                    <w14:schemeClr w14:val="tx1"/>
                  </w14:solidFill>
                </w14:textFill>
              </w:rPr>
              <w:t>2</w:t>
            </w:r>
            <w:r>
              <w:rPr>
                <w:rFonts w:hint="eastAsia" w:hAnsi="宋体"/>
                <w:color w:val="000000" w:themeColor="text1"/>
                <w:kern w:val="2"/>
                <w:sz w:val="21"/>
                <w:szCs w:val="21"/>
                <w:lang w:val="en-US" w:eastAsia="zh-CN"/>
                <w14:textFill>
                  <w14:solidFill>
                    <w14:schemeClr w14:val="tx1"/>
                  </w14:solidFill>
                </w14:textFill>
              </w:rPr>
              <w:t>6</w:t>
            </w:r>
          </w:p>
        </w:tc>
        <w:tc>
          <w:tcPr>
            <w:tcW w:w="9210" w:type="dxa"/>
            <w:gridSpan w:val="2"/>
            <w:vAlign w:val="center"/>
          </w:tcPr>
          <w:p>
            <w:pPr>
              <w:pStyle w:val="148"/>
              <w:spacing w:line="400" w:lineRule="exact"/>
              <w:ind w:firstLine="482" w:firstLineChars="200"/>
              <w:jc w:val="center"/>
              <w:rPr>
                <w:rFonts w:hAnsi="宋体"/>
                <w:color w:val="000000" w:themeColor="text1"/>
                <w:kern w:val="2"/>
                <w:sz w:val="21"/>
                <w:szCs w:val="21"/>
                <w14:textFill>
                  <w14:solidFill>
                    <w14:schemeClr w14:val="tx1"/>
                  </w14:solidFill>
                </w14:textFill>
              </w:rPr>
            </w:pPr>
            <w:r>
              <w:rPr>
                <w:rFonts w:hAnsi="宋体"/>
                <w:b/>
                <w:bCs/>
                <w:color w:val="000000" w:themeColor="text1"/>
                <w:szCs w:val="21"/>
                <w14:textFill>
                  <w14:solidFill>
                    <w14:schemeClr w14:val="tx1"/>
                  </w14:solidFill>
                </w14:textFill>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8"/>
              <w:spacing w:line="400" w:lineRule="exact"/>
              <w:jc w:val="center"/>
              <w:rPr>
                <w:rFonts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2</w:t>
            </w:r>
            <w:r>
              <w:rPr>
                <w:rFonts w:hint="eastAsia" w:hAnsi="宋体"/>
                <w:color w:val="000000" w:themeColor="text1"/>
                <w:kern w:val="2"/>
                <w:sz w:val="21"/>
                <w:szCs w:val="21"/>
                <w:lang w:val="en-US" w:eastAsia="zh-CN"/>
                <w14:textFill>
                  <w14:solidFill>
                    <w14:schemeClr w14:val="tx1"/>
                  </w14:solidFill>
                </w14:textFill>
              </w:rPr>
              <w:t>7</w:t>
            </w:r>
            <w:r>
              <w:rPr>
                <w:rFonts w:hint="eastAsia" w:hAnsi="宋体"/>
                <w:color w:val="000000" w:themeColor="text1"/>
                <w:kern w:val="2"/>
                <w:sz w:val="21"/>
                <w:szCs w:val="21"/>
                <w14:textFill>
                  <w14:solidFill>
                    <w14:schemeClr w14:val="tx1"/>
                  </w14:solidFill>
                </w14:textFill>
              </w:rPr>
              <w:t>.1</w:t>
            </w:r>
          </w:p>
        </w:tc>
        <w:tc>
          <w:tcPr>
            <w:tcW w:w="9210" w:type="dxa"/>
            <w:gridSpan w:val="2"/>
            <w:vAlign w:val="center"/>
          </w:tcPr>
          <w:p>
            <w:pPr>
              <w:pStyle w:val="148"/>
              <w:spacing w:line="400" w:lineRule="exact"/>
              <w:ind w:firstLine="420" w:firstLineChars="200"/>
              <w:rPr>
                <w:rFonts w:hAnsi="宋体"/>
                <w:b/>
                <w:bCs/>
                <w:color w:val="000000" w:themeColor="text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截止竞争性比选响应文件递交时间，递交竞争性比选响应文件不足</w:t>
            </w:r>
            <w:r>
              <w:rPr>
                <w:rFonts w:hint="eastAsia" w:hAnsi="宋体"/>
                <w:color w:val="000000" w:themeColor="text1"/>
                <w:sz w:val="21"/>
                <w:szCs w:val="21"/>
                <w:lang w:val="en-US" w:eastAsia="zh-CN"/>
                <w14:textFill>
                  <w14:solidFill>
                    <w14:schemeClr w14:val="tx1"/>
                  </w14:solidFill>
                </w14:textFill>
              </w:rPr>
              <w:t>3</w:t>
            </w:r>
            <w:r>
              <w:rPr>
                <w:rFonts w:hint="eastAsia" w:hAnsi="宋体"/>
                <w:color w:val="000000" w:themeColor="text1"/>
                <w:sz w:val="21"/>
                <w:szCs w:val="21"/>
                <w14:textFill>
                  <w14:solidFill>
                    <w14:schemeClr w14:val="tx1"/>
                  </w14:solidFill>
                </w14:textFill>
              </w:rPr>
              <w:t>家的不得开启竞争性比选文件。重新招标后报价人仍少于3个，按法定程序开标和评标，确定中标人。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8"/>
              <w:spacing w:line="400" w:lineRule="exact"/>
              <w:jc w:val="center"/>
              <w:rPr>
                <w:rFonts w:hint="default" w:hAnsi="宋体" w:eastAsia="宋体"/>
                <w:color w:val="000000" w:themeColor="text1"/>
                <w:kern w:val="2"/>
                <w:sz w:val="21"/>
                <w:szCs w:val="21"/>
                <w:lang w:val="en-US" w:eastAsia="zh-CN"/>
                <w14:textFill>
                  <w14:solidFill>
                    <w14:schemeClr w14:val="tx1"/>
                  </w14:solidFill>
                </w14:textFill>
              </w:rPr>
            </w:pPr>
            <w:r>
              <w:rPr>
                <w:rFonts w:hint="eastAsia" w:hAnsi="宋体"/>
                <w:color w:val="000000" w:themeColor="text1"/>
                <w:kern w:val="2"/>
                <w:sz w:val="21"/>
                <w:szCs w:val="21"/>
                <w:lang w:val="en-US" w:eastAsia="zh-CN"/>
                <w14:textFill>
                  <w14:solidFill>
                    <w14:schemeClr w14:val="tx1"/>
                  </w14:solidFill>
                </w14:textFill>
              </w:rPr>
              <w:t>27.2</w:t>
            </w:r>
          </w:p>
        </w:tc>
        <w:tc>
          <w:tcPr>
            <w:tcW w:w="9210" w:type="dxa"/>
            <w:gridSpan w:val="2"/>
            <w:vAlign w:val="center"/>
          </w:tcPr>
          <w:p>
            <w:pPr>
              <w:pStyle w:val="148"/>
              <w:spacing w:line="400" w:lineRule="exact"/>
              <w:ind w:firstLine="420" w:firstLineChars="200"/>
              <w:rPr>
                <w:rFonts w:hint="default" w:hAnsi="宋体"/>
                <w:color w:val="000000" w:themeColor="text1"/>
                <w:sz w:val="21"/>
                <w:szCs w:val="21"/>
                <w:lang w:val="en-US" w:eastAsia="zh-CN"/>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1、需提供投标保证金银行回执。</w:t>
            </w:r>
          </w:p>
        </w:tc>
      </w:tr>
      <w:bookmarkEnd w:id="101"/>
    </w:tbl>
    <w:p>
      <w:pPr>
        <w:spacing w:line="360" w:lineRule="auto"/>
        <w:jc w:val="center"/>
        <w:rPr>
          <w:rFonts w:hint="eastAsia" w:ascii="宋体" w:hAnsi="宋体" w:cs="宋体"/>
          <w:b/>
          <w:sz w:val="28"/>
          <w:szCs w:val="28"/>
          <w:highlight w:val="none"/>
        </w:rPr>
        <w:sectPr>
          <w:footerReference r:id="rId7" w:type="default"/>
          <w:pgSz w:w="11906" w:h="16838"/>
          <w:pgMar w:top="1418" w:right="1134" w:bottom="1418" w:left="1134" w:header="851" w:footer="992" w:gutter="0"/>
          <w:pgNumType w:start="1"/>
          <w:cols w:space="720" w:num="1"/>
          <w:docGrid w:type="lines" w:linePitch="312" w:charSpace="0"/>
        </w:sectPr>
      </w:pPr>
    </w:p>
    <w:p>
      <w:pPr>
        <w:pStyle w:val="5"/>
        <w:jc w:val="center"/>
        <w:rPr>
          <w:rFonts w:hint="eastAsia" w:ascii="宋体" w:hAnsi="宋体" w:eastAsia="宋体" w:cs="宋体"/>
          <w:bCs w:val="0"/>
          <w:sz w:val="28"/>
          <w:szCs w:val="28"/>
          <w:highlight w:val="none"/>
        </w:rPr>
      </w:pPr>
      <w:bookmarkStart w:id="103" w:name="_Toc11329222"/>
      <w:bookmarkStart w:id="104" w:name="_Toc30198"/>
      <w:bookmarkStart w:id="105" w:name="_Toc17532"/>
      <w:bookmarkStart w:id="106" w:name="_Toc11284"/>
      <w:r>
        <w:rPr>
          <w:rFonts w:hint="eastAsia" w:ascii="宋体" w:hAnsi="宋体" w:eastAsia="宋体" w:cs="宋体"/>
          <w:sz w:val="28"/>
          <w:szCs w:val="28"/>
          <w:highlight w:val="none"/>
        </w:rPr>
        <w:t xml:space="preserve">附录1  </w:t>
      </w:r>
      <w:bookmarkEnd w:id="103"/>
      <w:bookmarkEnd w:id="104"/>
      <w:bookmarkEnd w:id="105"/>
      <w:bookmarkEnd w:id="106"/>
      <w:bookmarkStart w:id="107" w:name="_Toc12773"/>
      <w:bookmarkStart w:id="108" w:name="_Toc25591"/>
      <w:bookmarkStart w:id="109" w:name="_Toc11329226"/>
      <w:bookmarkStart w:id="110" w:name="_Toc27096"/>
      <w:r>
        <w:rPr>
          <w:rFonts w:hint="eastAsia" w:ascii="宋体" w:hAnsi="宋体" w:eastAsia="宋体" w:cs="宋体"/>
          <w:bCs w:val="0"/>
          <w:sz w:val="28"/>
          <w:szCs w:val="28"/>
          <w:highlight w:val="none"/>
        </w:rPr>
        <w:t>资格审查文件（项目主要管理人员最低要求）</w:t>
      </w:r>
      <w:bookmarkEnd w:id="107"/>
      <w:bookmarkEnd w:id="108"/>
      <w:bookmarkEnd w:id="109"/>
      <w:bookmarkEnd w:id="110"/>
    </w:p>
    <w:p>
      <w:pPr>
        <w:spacing w:line="400" w:lineRule="exact"/>
        <w:jc w:val="center"/>
        <w:rPr>
          <w:rFonts w:hint="eastAsia"/>
          <w:highlight w:val="none"/>
        </w:rPr>
      </w:pPr>
      <w:r>
        <w:rPr>
          <w:rFonts w:hint="eastAsia" w:ascii="宋体" w:hAnsi="宋体" w:cs="宋体"/>
          <w:b/>
          <w:szCs w:val="21"/>
          <w:highlight w:val="none"/>
        </w:rPr>
        <w:t>主要管理人员最低要求</w:t>
      </w:r>
    </w:p>
    <w:tbl>
      <w:tblPr>
        <w:tblStyle w:val="42"/>
        <w:tblW w:w="8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733"/>
        <w:gridCol w:w="5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rPr>
            </w:pPr>
            <w:bookmarkStart w:id="111" w:name="_Toc387234996"/>
            <w:bookmarkStart w:id="112" w:name="_Toc388534043"/>
            <w:r>
              <w:rPr>
                <w:rFonts w:hint="eastAsia" w:ascii="宋体" w:hAnsi="宋体" w:cs="宋体"/>
                <w:szCs w:val="21"/>
                <w:highlight w:val="none"/>
              </w:rPr>
              <w:t>序号</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人  员</w:t>
            </w:r>
          </w:p>
        </w:tc>
        <w:tc>
          <w:tcPr>
            <w:tcW w:w="7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数量</w:t>
            </w:r>
          </w:p>
        </w:tc>
        <w:tc>
          <w:tcPr>
            <w:tcW w:w="58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1</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项目经理</w:t>
            </w:r>
          </w:p>
        </w:tc>
        <w:tc>
          <w:tcPr>
            <w:tcW w:w="7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1</w:t>
            </w:r>
          </w:p>
        </w:tc>
        <w:tc>
          <w:tcPr>
            <w:tcW w:w="58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Cs w:val="21"/>
                <w:highlight w:val="none"/>
                <w:lang w:val="en-US" w:eastAsia="zh-CN"/>
              </w:rPr>
            </w:pPr>
            <w:r>
              <w:rPr>
                <w:rFonts w:hint="eastAsia" w:ascii="宋体" w:hAnsi="宋体" w:cs="宋体"/>
                <w:i w:val="0"/>
                <w:caps w:val="0"/>
                <w:color w:val="000000"/>
                <w:spacing w:val="0"/>
                <w:kern w:val="0"/>
                <w:sz w:val="21"/>
                <w:szCs w:val="21"/>
                <w:lang w:val="en-US" w:eastAsia="zh-CN" w:bidi="ar"/>
              </w:rPr>
              <w:t>具备二级建造师及以上职业资格或中级及以上职称。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2</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安全负责人</w:t>
            </w:r>
          </w:p>
        </w:tc>
        <w:tc>
          <w:tcPr>
            <w:tcW w:w="7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1</w:t>
            </w:r>
          </w:p>
        </w:tc>
        <w:tc>
          <w:tcPr>
            <w:tcW w:w="58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持有省级及以上主管部门颁发的安全C岗证书。</w:t>
            </w:r>
          </w:p>
        </w:tc>
      </w:tr>
    </w:tbl>
    <w:p>
      <w:pPr>
        <w:spacing w:line="400" w:lineRule="exact"/>
        <w:jc w:val="left"/>
        <w:rPr>
          <w:rFonts w:hint="eastAsia" w:ascii="宋体" w:hAnsi="宋体" w:cs="宋体"/>
          <w:szCs w:val="21"/>
          <w:highlight w:val="none"/>
        </w:rPr>
      </w:pPr>
      <w:r>
        <w:rPr>
          <w:rFonts w:hint="eastAsia" w:ascii="宋体" w:hAnsi="宋体" w:cs="宋体"/>
          <w:szCs w:val="21"/>
          <w:highlight w:val="none"/>
        </w:rPr>
        <w:t xml:space="preserve">   </w:t>
      </w:r>
      <w:r>
        <w:rPr>
          <w:rFonts w:hint="eastAsia" w:ascii="Times New Roman" w:hAnsi="宋体" w:cs="Times New Roman"/>
          <w:b w:val="0"/>
          <w:bCs w:val="0"/>
          <w:color w:val="auto"/>
          <w:sz w:val="21"/>
          <w:szCs w:val="21"/>
          <w:highlight w:val="none"/>
          <w:lang w:val="en-US" w:eastAsia="zh-CN"/>
        </w:rPr>
        <w:t>注：需提供项目主要管理人员</w:t>
      </w:r>
      <w:r>
        <w:rPr>
          <w:rFonts w:hint="eastAsia" w:hAnsi="宋体" w:cs="Times New Roman"/>
          <w:b w:val="0"/>
          <w:bCs w:val="0"/>
          <w:color w:val="auto"/>
          <w:sz w:val="21"/>
          <w:szCs w:val="21"/>
          <w:highlight w:val="none"/>
          <w:lang w:val="en-US" w:eastAsia="zh-CN"/>
        </w:rPr>
        <w:t>名单（表格形式），</w:t>
      </w:r>
      <w:r>
        <w:rPr>
          <w:rFonts w:hint="eastAsia" w:ascii="Times New Roman" w:hAnsi="宋体" w:cs="Times New Roman"/>
          <w:b w:val="0"/>
          <w:bCs w:val="0"/>
          <w:color w:val="auto"/>
          <w:sz w:val="21"/>
          <w:szCs w:val="21"/>
          <w:highlight w:val="none"/>
          <w:lang w:val="en-US" w:eastAsia="zh-CN"/>
        </w:rPr>
        <w:t>以上人员相关资质证件</w:t>
      </w:r>
      <w:r>
        <w:rPr>
          <w:rFonts w:hint="eastAsia" w:hAnsi="宋体" w:cs="Times New Roman"/>
          <w:b w:val="0"/>
          <w:bCs w:val="0"/>
          <w:color w:val="auto"/>
          <w:sz w:val="21"/>
          <w:szCs w:val="21"/>
          <w:highlight w:val="none"/>
          <w:lang w:val="en-US" w:eastAsia="zh-CN"/>
        </w:rPr>
        <w:t>、</w:t>
      </w:r>
      <w:r>
        <w:rPr>
          <w:rFonts w:hint="eastAsia" w:ascii="Times New Roman" w:hAnsi="宋体" w:cs="Times New Roman"/>
          <w:b w:val="0"/>
          <w:bCs w:val="0"/>
          <w:color w:val="auto"/>
          <w:sz w:val="21"/>
          <w:szCs w:val="21"/>
          <w:highlight w:val="none"/>
          <w:lang w:val="en-US" w:eastAsia="zh-CN"/>
        </w:rPr>
        <w:t>身份证复印件</w:t>
      </w:r>
      <w:r>
        <w:rPr>
          <w:rFonts w:hint="eastAsia" w:hAnsi="宋体" w:cs="Times New Roman"/>
          <w:b w:val="0"/>
          <w:bCs w:val="0"/>
          <w:color w:val="auto"/>
          <w:sz w:val="21"/>
          <w:szCs w:val="21"/>
          <w:highlight w:val="none"/>
          <w:lang w:val="en-US" w:eastAsia="zh-CN"/>
        </w:rPr>
        <w:t>及由社保局出具的报价人为以上人员缴纳2024年3月2024年5月之间的养老保险证明（带有社保部门公章或社保部门的有效电子印章）</w:t>
      </w:r>
      <w:r>
        <w:rPr>
          <w:rFonts w:hint="eastAsia" w:hAnsi="宋体"/>
          <w:b w:val="0"/>
          <w:bCs w:val="0"/>
          <w:color w:val="auto"/>
          <w:sz w:val="21"/>
          <w:szCs w:val="21"/>
          <w:highlight w:val="none"/>
        </w:rPr>
        <w:t>，</w:t>
      </w:r>
      <w:r>
        <w:rPr>
          <w:rFonts w:hint="eastAsia" w:hAnsi="宋体"/>
          <w:b w:val="0"/>
          <w:bCs w:val="0"/>
          <w:color w:val="auto"/>
          <w:sz w:val="21"/>
          <w:szCs w:val="21"/>
          <w:highlight w:val="none"/>
          <w:lang w:val="en-US" w:eastAsia="zh-CN"/>
        </w:rPr>
        <w:t>并</w:t>
      </w:r>
      <w:r>
        <w:rPr>
          <w:rFonts w:hint="eastAsia" w:hAnsi="宋体"/>
          <w:b w:val="0"/>
          <w:bCs w:val="0"/>
          <w:color w:val="auto"/>
          <w:sz w:val="21"/>
          <w:szCs w:val="21"/>
          <w:highlight w:val="none"/>
        </w:rPr>
        <w:t>加盖单位鲜公章。</w:t>
      </w:r>
    </w:p>
    <w:p>
      <w:pPr>
        <w:pStyle w:val="29"/>
        <w:rPr>
          <w:rFonts w:hint="eastAsia"/>
          <w:highlight w:val="none"/>
        </w:rPr>
      </w:pPr>
    </w:p>
    <w:p>
      <w:pPr>
        <w:pStyle w:val="5"/>
        <w:jc w:val="center"/>
        <w:rPr>
          <w:rFonts w:hint="eastAsia" w:ascii="宋体" w:hAnsi="宋体" w:eastAsia="宋体" w:cs="宋体"/>
          <w:bCs w:val="0"/>
          <w:sz w:val="28"/>
          <w:szCs w:val="28"/>
          <w:highlight w:val="none"/>
        </w:rPr>
      </w:pPr>
      <w:bookmarkStart w:id="113" w:name="_Toc11329227"/>
      <w:bookmarkStart w:id="114" w:name="_Toc27148"/>
      <w:bookmarkStart w:id="115" w:name="_Toc21487"/>
      <w:bookmarkStart w:id="116" w:name="_Toc8293"/>
      <w:r>
        <w:rPr>
          <w:rFonts w:hint="eastAsia" w:ascii="宋体" w:hAnsi="宋体" w:eastAsia="宋体" w:cs="宋体"/>
          <w:bCs w:val="0"/>
          <w:sz w:val="28"/>
          <w:szCs w:val="28"/>
          <w:highlight w:val="none"/>
        </w:rPr>
        <w:t>附录</w:t>
      </w:r>
      <w:r>
        <w:rPr>
          <w:rFonts w:hint="eastAsia" w:ascii="宋体" w:hAnsi="宋体" w:eastAsia="宋体" w:cs="宋体"/>
          <w:bCs w:val="0"/>
          <w:sz w:val="28"/>
          <w:szCs w:val="28"/>
          <w:highlight w:val="none"/>
          <w:lang w:val="en-US" w:eastAsia="zh-CN"/>
        </w:rPr>
        <w:t>2</w:t>
      </w:r>
      <w:r>
        <w:rPr>
          <w:rFonts w:hint="eastAsia" w:ascii="宋体" w:hAnsi="宋体" w:eastAsia="宋体" w:cs="宋体"/>
          <w:bCs w:val="0"/>
          <w:sz w:val="28"/>
          <w:szCs w:val="28"/>
          <w:highlight w:val="none"/>
        </w:rPr>
        <w:t xml:space="preserve"> 资格审查文件（项目</w:t>
      </w:r>
      <w:r>
        <w:rPr>
          <w:rFonts w:hint="eastAsia" w:ascii="宋体" w:hAnsi="宋体" w:eastAsia="宋体" w:cs="宋体"/>
          <w:bCs w:val="0"/>
          <w:sz w:val="28"/>
          <w:szCs w:val="28"/>
          <w:highlight w:val="none"/>
          <w:lang w:val="en-US" w:eastAsia="zh-CN"/>
        </w:rPr>
        <w:t>其他</w:t>
      </w:r>
      <w:r>
        <w:rPr>
          <w:rFonts w:hint="eastAsia" w:ascii="宋体" w:hAnsi="宋体" w:eastAsia="宋体" w:cs="宋体"/>
          <w:bCs w:val="0"/>
          <w:sz w:val="28"/>
          <w:szCs w:val="28"/>
          <w:highlight w:val="none"/>
        </w:rPr>
        <w:t>人员</w:t>
      </w:r>
      <w:r>
        <w:rPr>
          <w:rFonts w:hint="eastAsia" w:ascii="宋体" w:hAnsi="宋体" w:eastAsia="宋体" w:cs="宋体"/>
          <w:bCs w:val="0"/>
          <w:sz w:val="28"/>
          <w:szCs w:val="28"/>
          <w:highlight w:val="none"/>
          <w:lang w:val="en-US" w:eastAsia="zh-CN"/>
        </w:rPr>
        <w:t>最低</w:t>
      </w:r>
      <w:r>
        <w:rPr>
          <w:rFonts w:hint="eastAsia" w:ascii="宋体" w:hAnsi="宋体" w:eastAsia="宋体" w:cs="宋体"/>
          <w:bCs w:val="0"/>
          <w:sz w:val="28"/>
          <w:szCs w:val="28"/>
          <w:highlight w:val="none"/>
        </w:rPr>
        <w:t>要求）</w:t>
      </w:r>
      <w:bookmarkEnd w:id="113"/>
      <w:bookmarkEnd w:id="114"/>
      <w:bookmarkEnd w:id="115"/>
      <w:bookmarkEnd w:id="116"/>
    </w:p>
    <w:tbl>
      <w:tblPr>
        <w:tblStyle w:val="42"/>
        <w:tblW w:w="88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843" w:type="dxa"/>
            <w:vAlign w:val="center"/>
          </w:tcPr>
          <w:p>
            <w:pPr>
              <w:spacing w:line="400" w:lineRule="exact"/>
              <w:jc w:val="center"/>
              <w:rPr>
                <w:rFonts w:hint="eastAsia" w:ascii="宋体" w:hAnsi="宋体" w:cs="宋体"/>
                <w:szCs w:val="21"/>
                <w:highlight w:val="none"/>
              </w:rPr>
            </w:pPr>
            <w:bookmarkStart w:id="117" w:name="_Toc413241584"/>
            <w:bookmarkStart w:id="118" w:name="_Toc23696"/>
            <w:bookmarkStart w:id="119" w:name="_Toc507319900"/>
            <w:r>
              <w:rPr>
                <w:rFonts w:hint="eastAsia" w:ascii="宋体" w:hAnsi="宋体" w:cs="宋体"/>
                <w:szCs w:val="21"/>
                <w:highlight w:val="none"/>
              </w:rPr>
              <w:t>项目施工、安装及调试劳务人员最低要求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8843" w:type="dxa"/>
          </w:tcPr>
          <w:p>
            <w:pPr>
              <w:numPr>
                <w:ilvl w:val="0"/>
                <w:numId w:val="4"/>
              </w:numPr>
              <w:ind w:firstLine="400"/>
              <w:rPr>
                <w:rFonts w:hint="eastAsia"/>
                <w:lang w:val="en-US" w:eastAsia="zh-CN"/>
              </w:rPr>
            </w:pPr>
            <w:r>
              <w:rPr>
                <w:rFonts w:hint="eastAsia"/>
                <w:lang w:val="en-US" w:eastAsia="zh-CN"/>
              </w:rPr>
              <w:t>从事相关特种作业人员需持证上岗，要求至少有1名电工证持证人员； </w:t>
            </w:r>
          </w:p>
          <w:p>
            <w:pPr>
              <w:numPr>
                <w:ilvl w:val="0"/>
                <w:numId w:val="4"/>
              </w:numPr>
              <w:ind w:firstLine="400"/>
              <w:rPr>
                <w:rFonts w:hint="eastAsia" w:eastAsia="宋体"/>
                <w:highlight w:val="none"/>
                <w:lang w:val="en-US" w:eastAsia="zh-CN"/>
              </w:rPr>
            </w:pPr>
            <w:r>
              <w:rPr>
                <w:rFonts w:hint="eastAsia"/>
                <w:lang w:val="en-US" w:eastAsia="zh-CN"/>
              </w:rPr>
              <w:t>另需根据项目实际施工进度情况及时增加人员。</w:t>
            </w:r>
          </w:p>
        </w:tc>
      </w:tr>
      <w:bookmarkEnd w:id="117"/>
      <w:bookmarkEnd w:id="118"/>
      <w:bookmarkEnd w:id="119"/>
    </w:tbl>
    <w:p>
      <w:pPr>
        <w:pStyle w:val="148"/>
        <w:adjustRightInd/>
        <w:spacing w:line="360" w:lineRule="auto"/>
        <w:jc w:val="both"/>
        <w:rPr>
          <w:rFonts w:hAnsi="宋体"/>
          <w:color w:val="FF0000"/>
          <w:sz w:val="21"/>
          <w:szCs w:val="21"/>
        </w:rPr>
      </w:pPr>
      <w:bookmarkStart w:id="120" w:name="_Toc4169"/>
      <w:bookmarkStart w:id="121" w:name="_Toc6096"/>
      <w:bookmarkStart w:id="122" w:name="_Toc17384"/>
      <w:r>
        <w:rPr>
          <w:rFonts w:hint="eastAsia" w:hAnsi="宋体"/>
          <w:color w:val="auto"/>
          <w:sz w:val="21"/>
          <w:szCs w:val="21"/>
        </w:rPr>
        <w:t>注：</w:t>
      </w:r>
      <w:r>
        <w:rPr>
          <w:rFonts w:hint="eastAsia" w:ascii="Times New Roman" w:hAnsi="宋体" w:cs="Times New Roman"/>
          <w:color w:val="auto"/>
          <w:sz w:val="21"/>
          <w:szCs w:val="21"/>
        </w:rPr>
        <w:t>以上人员由报价人自行承诺不得</w:t>
      </w:r>
      <w:r>
        <w:rPr>
          <w:rFonts w:hint="eastAsia" w:hAnsi="宋体" w:cs="Times New Roman"/>
          <w:color w:val="auto"/>
          <w:sz w:val="21"/>
          <w:szCs w:val="21"/>
        </w:rPr>
        <w:t>在其他项目</w:t>
      </w:r>
      <w:r>
        <w:rPr>
          <w:rFonts w:hint="eastAsia" w:ascii="Times New Roman" w:hAnsi="宋体" w:cs="Times New Roman"/>
          <w:color w:val="auto"/>
          <w:sz w:val="21"/>
          <w:szCs w:val="21"/>
        </w:rPr>
        <w:t>重复任职。以上人员由报价人自行承诺，无需提供相关证明材料</w:t>
      </w:r>
      <w:r>
        <w:rPr>
          <w:rFonts w:hint="eastAsia" w:hAnsi="宋体"/>
          <w:color w:val="auto"/>
          <w:sz w:val="21"/>
          <w:szCs w:val="21"/>
        </w:rPr>
        <w:t>，并加盖单位鲜公章。</w:t>
      </w:r>
    </w:p>
    <w:p>
      <w:pPr>
        <w:pStyle w:val="5"/>
        <w:rPr>
          <w:rFonts w:hint="eastAsia" w:ascii="宋体" w:hAnsi="宋体" w:eastAsia="宋体" w:cs="宋体"/>
          <w:bCs w:val="0"/>
          <w:sz w:val="28"/>
          <w:szCs w:val="28"/>
          <w:highlight w:val="none"/>
        </w:rPr>
      </w:pPr>
    </w:p>
    <w:p>
      <w:pPr>
        <w:pStyle w:val="5"/>
        <w:rPr>
          <w:rFonts w:hint="eastAsia" w:hAnsi="宋体"/>
          <w:b w:val="0"/>
          <w:sz w:val="28"/>
          <w:szCs w:val="28"/>
          <w:highlight w:val="none"/>
        </w:rPr>
      </w:pPr>
      <w:r>
        <w:rPr>
          <w:rFonts w:hint="eastAsia" w:ascii="宋体" w:hAnsi="宋体" w:eastAsia="宋体" w:cs="宋体"/>
          <w:bCs w:val="0"/>
          <w:sz w:val="28"/>
          <w:szCs w:val="28"/>
          <w:highlight w:val="none"/>
        </w:rPr>
        <w:t>附录</w:t>
      </w:r>
      <w:r>
        <w:rPr>
          <w:rFonts w:hint="eastAsia" w:ascii="宋体" w:hAnsi="宋体" w:eastAsia="宋体" w:cs="宋体"/>
          <w:bCs w:val="0"/>
          <w:sz w:val="28"/>
          <w:szCs w:val="28"/>
          <w:highlight w:val="none"/>
          <w:lang w:val="en-US" w:eastAsia="zh-CN"/>
        </w:rPr>
        <w:t>3</w:t>
      </w:r>
      <w:r>
        <w:rPr>
          <w:rFonts w:hint="eastAsia" w:ascii="宋体" w:hAnsi="宋体" w:eastAsia="宋体" w:cs="宋体"/>
          <w:bCs w:val="0"/>
          <w:sz w:val="28"/>
          <w:szCs w:val="28"/>
          <w:highlight w:val="none"/>
        </w:rPr>
        <w:t xml:space="preserve"> 资格审查文件（主要机械设备和试验检测设备最低要求）</w:t>
      </w:r>
      <w:bookmarkEnd w:id="120"/>
      <w:bookmarkEnd w:id="121"/>
      <w:bookmarkEnd w:id="122"/>
    </w:p>
    <w:tbl>
      <w:tblPr>
        <w:tblStyle w:val="42"/>
        <w:tblW w:w="89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911" w:type="dxa"/>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主要机械设备和试验检测设备最低要求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911" w:type="dxa"/>
          </w:tcPr>
          <w:p>
            <w:pPr>
              <w:rPr>
                <w:rFonts w:hint="default"/>
                <w:highlight w:val="none"/>
                <w:lang w:val="en-US"/>
              </w:rPr>
            </w:pPr>
            <w:r>
              <w:rPr>
                <w:rFonts w:hint="eastAsia" w:ascii="宋体" w:hAnsi="宋体" w:cs="宋体"/>
                <w:caps/>
                <w:szCs w:val="21"/>
                <w:highlight w:val="none"/>
                <w:lang w:val="en-US" w:eastAsia="zh-CN"/>
              </w:rPr>
              <w:t xml:space="preserve">   </w:t>
            </w:r>
            <w:r>
              <w:rPr>
                <w:rFonts w:hint="eastAsia" w:ascii="宋体" w:hAnsi="宋体" w:cs="宋体"/>
                <w:caps/>
                <w:szCs w:val="21"/>
              </w:rPr>
              <w:t>根据项目实际施工进度情况及时增加相关机械设备和试验检测设备。</w:t>
            </w:r>
          </w:p>
        </w:tc>
      </w:tr>
      <w:bookmarkEnd w:id="111"/>
      <w:bookmarkEnd w:id="112"/>
    </w:tbl>
    <w:p>
      <w:pPr>
        <w:spacing w:line="400" w:lineRule="exact"/>
        <w:ind w:firstLine="420"/>
        <w:rPr>
          <w:rFonts w:ascii="宋体" w:hAnsi="宋体" w:cs="宋体"/>
          <w:kern w:val="0"/>
          <w:szCs w:val="21"/>
        </w:rPr>
      </w:pPr>
      <w:r>
        <w:rPr>
          <w:rFonts w:hint="eastAsia" w:ascii="宋体" w:hAnsi="宋体" w:cs="宋体"/>
          <w:bCs/>
          <w:kern w:val="0"/>
          <w:szCs w:val="21"/>
        </w:rPr>
        <w:t>注：以上设备</w:t>
      </w:r>
      <w:r>
        <w:rPr>
          <w:rFonts w:hint="eastAsia" w:ascii="宋体" w:hAnsi="宋体" w:cs="宋体"/>
          <w:kern w:val="0"/>
        </w:rPr>
        <w:t>由报价人</w:t>
      </w:r>
      <w:r>
        <w:rPr>
          <w:rFonts w:hint="eastAsia" w:ascii="宋体" w:hAnsi="宋体" w:cs="宋体"/>
          <w:b/>
          <w:kern w:val="0"/>
        </w:rPr>
        <w:t>自行承诺</w:t>
      </w:r>
      <w:r>
        <w:rPr>
          <w:rFonts w:hint="eastAsia" w:ascii="宋体" w:hAnsi="宋体" w:cs="宋体"/>
          <w:kern w:val="0"/>
        </w:rPr>
        <w:t>，</w:t>
      </w:r>
      <w:r>
        <w:rPr>
          <w:rFonts w:hint="eastAsia" w:ascii="宋体" w:hAnsi="宋体" w:cs="宋体"/>
          <w:kern w:val="0"/>
          <w:szCs w:val="21"/>
        </w:rPr>
        <w:t>无需提供有关证明资料，并加盖单位鲜公章。</w:t>
      </w:r>
    </w:p>
    <w:p>
      <w:pPr>
        <w:pStyle w:val="148"/>
        <w:adjustRightInd/>
        <w:spacing w:line="400" w:lineRule="exact"/>
        <w:ind w:firstLine="422" w:firstLineChars="200"/>
        <w:jc w:val="both"/>
        <w:rPr>
          <w:rFonts w:hAnsi="宋体"/>
          <w:szCs w:val="21"/>
        </w:rPr>
        <w:sectPr>
          <w:footerReference r:id="rId8" w:type="default"/>
          <w:pgSz w:w="11906" w:h="16838"/>
          <w:pgMar w:top="1440" w:right="1800" w:bottom="1440" w:left="1800" w:header="851" w:footer="992" w:gutter="0"/>
          <w:cols w:space="720" w:num="1"/>
          <w:titlePg/>
          <w:docGrid w:type="lines" w:linePitch="312" w:charSpace="0"/>
        </w:sectPr>
      </w:pPr>
      <w:r>
        <w:rPr>
          <w:rFonts w:hint="eastAsia" w:hAnsi="宋体"/>
          <w:b/>
          <w:bCs/>
          <w:color w:val="auto"/>
          <w:sz w:val="21"/>
          <w:szCs w:val="21"/>
        </w:rPr>
        <w:t>以上（附录1-附录3中的资格审查）的要求均为强制性条件，其中任何一条不满足要求，则按否决报价处理。</w:t>
      </w:r>
    </w:p>
    <w:p>
      <w:pPr>
        <w:pStyle w:val="4"/>
        <w:spacing w:before="0" w:after="0" w:line="360" w:lineRule="auto"/>
        <w:jc w:val="center"/>
        <w:rPr>
          <w:rFonts w:hint="eastAsia" w:ascii="宋体" w:hAnsi="宋体" w:cs="宋体"/>
          <w:highlight w:val="none"/>
        </w:rPr>
      </w:pPr>
      <w:bookmarkStart w:id="123" w:name="_Toc2000406"/>
      <w:bookmarkStart w:id="124" w:name="_Toc246996230"/>
      <w:bookmarkStart w:id="125" w:name="_Toc179632605"/>
      <w:bookmarkStart w:id="126" w:name="_Toc246996973"/>
      <w:bookmarkStart w:id="127" w:name="_Toc247085745"/>
      <w:bookmarkStart w:id="128" w:name="_Toc152045587"/>
      <w:bookmarkStart w:id="129" w:name="_Toc7682"/>
      <w:bookmarkStart w:id="130" w:name="_Toc507319957"/>
      <w:bookmarkStart w:id="131" w:name="_Toc152042364"/>
      <w:bookmarkStart w:id="132" w:name="_Toc144974554"/>
      <w:r>
        <w:rPr>
          <w:rFonts w:hint="eastAsia" w:ascii="宋体" w:hAnsi="宋体" w:cs="宋体"/>
          <w:highlight w:val="none"/>
        </w:rPr>
        <w:t>第三章 评标办法（经评审的最低投标价法）</w:t>
      </w:r>
      <w:bookmarkEnd w:id="123"/>
      <w:bookmarkEnd w:id="124"/>
      <w:bookmarkEnd w:id="125"/>
      <w:bookmarkEnd w:id="126"/>
      <w:bookmarkEnd w:id="127"/>
      <w:bookmarkEnd w:id="128"/>
      <w:bookmarkEnd w:id="129"/>
      <w:bookmarkEnd w:id="130"/>
      <w:bookmarkEnd w:id="131"/>
      <w:bookmarkEnd w:id="132"/>
    </w:p>
    <w:p>
      <w:pPr>
        <w:rPr>
          <w:rFonts w:hint="eastAsia"/>
          <w:highlight w:val="none"/>
        </w:rPr>
      </w:pPr>
    </w:p>
    <w:tbl>
      <w:tblPr>
        <w:tblStyle w:val="42"/>
        <w:tblW w:w="91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117"/>
        <w:gridCol w:w="50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jc w:val="center"/>
        </w:trPr>
        <w:tc>
          <w:tcPr>
            <w:tcW w:w="2024" w:type="dxa"/>
            <w:gridSpan w:val="2"/>
            <w:tcBorders>
              <w:top w:val="single" w:color="auto" w:sz="4" w:space="0"/>
              <w:bottom w:val="single" w:color="auto" w:sz="4" w:space="0"/>
              <w:right w:val="single" w:color="auto" w:sz="4" w:space="0"/>
            </w:tcBorders>
            <w:vAlign w:val="center"/>
          </w:tcPr>
          <w:p>
            <w:pPr>
              <w:spacing w:line="400" w:lineRule="exact"/>
              <w:jc w:val="center"/>
              <w:rPr>
                <w:b/>
                <w:highlight w:val="none"/>
              </w:rPr>
            </w:pPr>
            <w:r>
              <w:rPr>
                <w:b/>
                <w:highlight w:val="none"/>
              </w:rPr>
              <w:t>条款号</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highlight w:val="none"/>
              </w:rPr>
            </w:pPr>
            <w:r>
              <w:rPr>
                <w:b/>
                <w:highlight w:val="none"/>
              </w:rPr>
              <w:t>评审因素</w:t>
            </w:r>
          </w:p>
        </w:tc>
        <w:tc>
          <w:tcPr>
            <w:tcW w:w="5004" w:type="dxa"/>
            <w:tcBorders>
              <w:top w:val="single" w:color="auto" w:sz="4" w:space="0"/>
              <w:left w:val="single" w:color="auto" w:sz="4" w:space="0"/>
              <w:bottom w:val="single" w:color="auto" w:sz="4" w:space="0"/>
            </w:tcBorders>
            <w:vAlign w:val="center"/>
          </w:tcPr>
          <w:p>
            <w:pPr>
              <w:spacing w:line="400" w:lineRule="exact"/>
              <w:jc w:val="center"/>
              <w:rPr>
                <w:b/>
                <w:highlight w:val="none"/>
              </w:rPr>
            </w:pPr>
            <w:r>
              <w:rPr>
                <w:b/>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900" w:type="dxa"/>
            <w:tcBorders>
              <w:top w:val="single" w:color="auto" w:sz="4" w:space="0"/>
              <w:right w:val="single" w:color="auto" w:sz="4" w:space="0"/>
            </w:tcBorders>
            <w:vAlign w:val="center"/>
          </w:tcPr>
          <w:p>
            <w:pPr>
              <w:spacing w:line="400" w:lineRule="exact"/>
              <w:jc w:val="center"/>
              <w:rPr>
                <w:highlight w:val="none"/>
              </w:rPr>
            </w:pPr>
            <w:r>
              <w:rPr>
                <w:highlight w:val="none"/>
              </w:rPr>
              <w:t>1</w:t>
            </w:r>
          </w:p>
        </w:tc>
        <w:tc>
          <w:tcPr>
            <w:tcW w:w="1124"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highlight w:val="none"/>
              </w:rPr>
              <w:t>评标方法</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中标候选人排序方法</w:t>
            </w:r>
          </w:p>
        </w:tc>
        <w:tc>
          <w:tcPr>
            <w:tcW w:w="5004" w:type="dxa"/>
            <w:tcBorders>
              <w:top w:val="single" w:color="auto" w:sz="4" w:space="0"/>
              <w:left w:val="single" w:color="auto" w:sz="4" w:space="0"/>
              <w:bottom w:val="single" w:color="auto" w:sz="4" w:space="0"/>
            </w:tcBorders>
          </w:tcPr>
          <w:p>
            <w:pPr>
              <w:spacing w:line="360" w:lineRule="auto"/>
              <w:ind w:firstLine="210" w:firstLineChars="100"/>
              <w:rPr>
                <w:highlight w:val="none"/>
              </w:rPr>
            </w:pPr>
            <w:r>
              <w:rPr>
                <w:highlight w:val="none"/>
              </w:rPr>
              <w:t>如出现报价相等时，评审小组按以下原则确定第一中标候选人：</w:t>
            </w:r>
          </w:p>
          <w:p>
            <w:pPr>
              <w:spacing w:line="360" w:lineRule="auto"/>
              <w:ind w:firstLine="218" w:firstLineChars="100"/>
              <w:rPr>
                <w:highlight w:val="none"/>
              </w:rPr>
            </w:pPr>
            <w:r>
              <w:rPr>
                <w:rFonts w:hint="eastAsia" w:ascii="宋体" w:hAnsi="宋体"/>
                <w:color w:val="auto"/>
                <w:spacing w:val="4"/>
                <w:kern w:val="0"/>
                <w:szCs w:val="21"/>
                <w:highlight w:val="none"/>
              </w:rPr>
              <w:t>若出现</w:t>
            </w:r>
            <w:r>
              <w:rPr>
                <w:rFonts w:hint="eastAsia" w:ascii="宋体" w:hAnsi="宋体"/>
                <w:color w:val="auto"/>
                <w:spacing w:val="4"/>
                <w:kern w:val="0"/>
                <w:szCs w:val="21"/>
                <w:highlight w:val="none"/>
                <w:lang w:eastAsia="zh-CN"/>
              </w:rPr>
              <w:t>报价人</w:t>
            </w:r>
            <w:r>
              <w:rPr>
                <w:rFonts w:hint="eastAsia" w:ascii="宋体" w:hAnsi="宋体"/>
                <w:color w:val="auto"/>
                <w:spacing w:val="4"/>
                <w:kern w:val="0"/>
                <w:szCs w:val="21"/>
                <w:highlight w:val="none"/>
              </w:rPr>
              <w:t>投标报价相同的，由评标委员会按照由评标委员会按照</w:t>
            </w:r>
            <w:r>
              <w:rPr>
                <w:rFonts w:hint="eastAsia" w:ascii="宋体" w:hAnsi="宋体"/>
                <w:color w:val="auto"/>
                <w:spacing w:val="4"/>
                <w:kern w:val="0"/>
                <w:szCs w:val="21"/>
                <w:highlight w:val="none"/>
                <w:lang w:val="en-US" w:eastAsia="zh-CN"/>
              </w:rPr>
              <w:t>优先免缴投标担保和履约担保单位的</w:t>
            </w:r>
            <w:r>
              <w:rPr>
                <w:rFonts w:hint="eastAsia" w:ascii="宋体" w:hAnsi="宋体"/>
                <w:color w:val="auto"/>
                <w:spacing w:val="4"/>
                <w:kern w:val="0"/>
                <w:szCs w:val="21"/>
                <w:highlight w:val="none"/>
              </w:rPr>
              <w:t>原则排序</w:t>
            </w:r>
            <w:r>
              <w:rPr>
                <w:rFonts w:hint="eastAsia" w:ascii="宋体" w:hAnsi="宋体"/>
                <w:color w:val="auto"/>
                <w:spacing w:val="4"/>
                <w:kern w:val="0"/>
                <w:szCs w:val="21"/>
                <w:highlight w:val="none"/>
                <w:lang w:eastAsia="zh-CN"/>
              </w:rPr>
              <w:t>，</w:t>
            </w:r>
            <w:r>
              <w:rPr>
                <w:rFonts w:hint="eastAsia" w:ascii="宋体" w:hAnsi="宋体"/>
                <w:color w:val="auto"/>
                <w:spacing w:val="4"/>
                <w:kern w:val="0"/>
                <w:szCs w:val="21"/>
                <w:highlight w:val="none"/>
                <w:lang w:val="en-US" w:eastAsia="zh-CN"/>
              </w:rPr>
              <w:t>若均为免缴单位，则以递交投标文件先后顺序，若均不为免缴单位，则以缴纳投标保证金的先后顺序排列</w:t>
            </w:r>
            <w: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900" w:type="dxa"/>
            <w:tcBorders>
              <w:top w:val="single" w:color="auto" w:sz="4" w:space="0"/>
              <w:right w:val="single" w:color="auto" w:sz="4" w:space="0"/>
            </w:tcBorders>
            <w:vAlign w:val="center"/>
          </w:tcPr>
          <w:p>
            <w:pPr>
              <w:spacing w:line="400" w:lineRule="exact"/>
              <w:jc w:val="center"/>
              <w:rPr>
                <w:highlight w:val="none"/>
              </w:rPr>
            </w:pPr>
            <w:r>
              <w:rPr>
                <w:rFonts w:hint="eastAsia" w:ascii="宋体" w:hAnsi="宋体"/>
                <w:color w:val="auto"/>
                <w:kern w:val="0"/>
                <w:highlight w:val="none"/>
              </w:rPr>
              <w:t>2.1</w:t>
            </w:r>
          </w:p>
        </w:tc>
        <w:tc>
          <w:tcPr>
            <w:tcW w:w="1124"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rFonts w:ascii="宋体" w:hAnsi="宋体"/>
                <w:color w:val="auto"/>
                <w:kern w:val="0"/>
                <w:highlight w:val="none"/>
              </w:rPr>
              <w:t>报价</w:t>
            </w:r>
            <w:r>
              <w:rPr>
                <w:rFonts w:hint="eastAsia" w:ascii="宋体" w:hAnsi="宋体"/>
                <w:color w:val="auto"/>
                <w:kern w:val="0"/>
                <w:highlight w:val="none"/>
              </w:rPr>
              <w:t>排序</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jc w:val="left"/>
              <w:rPr>
                <w:highlight w:val="none"/>
              </w:rPr>
            </w:pPr>
            <w:r>
              <w:rPr>
                <w:rFonts w:ascii="宋体" w:hAnsi="宋体"/>
                <w:color w:val="auto"/>
                <w:kern w:val="0"/>
                <w:highlight w:val="none"/>
              </w:rPr>
              <w:t>报价</w:t>
            </w:r>
            <w:r>
              <w:rPr>
                <w:rFonts w:hint="eastAsia" w:ascii="宋体" w:hAnsi="宋体"/>
                <w:color w:val="auto"/>
                <w:kern w:val="0"/>
                <w:highlight w:val="none"/>
              </w:rPr>
              <w:t>排序</w:t>
            </w:r>
          </w:p>
        </w:tc>
        <w:tc>
          <w:tcPr>
            <w:tcW w:w="500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highlight w:val="none"/>
              </w:rPr>
            </w:pPr>
            <w:r>
              <w:rPr>
                <w:rFonts w:hint="eastAsia" w:ascii="宋体" w:hAnsi="宋体"/>
                <w:color w:val="auto"/>
                <w:kern w:val="0"/>
                <w:highlight w:val="none"/>
              </w:rPr>
              <w:t>对报价不高于最高限价的所有投标人的投标文件，按照报价由低到高的顺序排序。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900" w:type="dxa"/>
            <w:tcBorders>
              <w:top w:val="single" w:color="auto" w:sz="4" w:space="0"/>
              <w:right w:val="single" w:color="auto" w:sz="4" w:space="0"/>
            </w:tcBorders>
            <w:vAlign w:val="center"/>
          </w:tcPr>
          <w:p>
            <w:pPr>
              <w:spacing w:line="400" w:lineRule="exact"/>
              <w:jc w:val="center"/>
              <w:rPr>
                <w:highlight w:val="none"/>
              </w:rPr>
            </w:pPr>
            <w:r>
              <w:rPr>
                <w:rFonts w:hint="eastAsia" w:ascii="宋体" w:hAnsi="宋体"/>
                <w:color w:val="auto"/>
                <w:kern w:val="0"/>
                <w:highlight w:val="none"/>
                <w:lang w:val="en-US" w:eastAsia="zh-CN"/>
              </w:rPr>
              <w:t>2.2</w:t>
            </w:r>
          </w:p>
        </w:tc>
        <w:tc>
          <w:tcPr>
            <w:tcW w:w="1124"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rFonts w:hint="eastAsia" w:ascii="宋体" w:hAnsi="宋体"/>
                <w:color w:val="auto"/>
                <w:kern w:val="0"/>
                <w:highlight w:val="none"/>
              </w:rPr>
              <w:t>符合性审查</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ascii="宋体" w:hAnsi="宋体"/>
                <w:color w:val="auto"/>
                <w:kern w:val="0"/>
                <w:highlight w:val="none"/>
              </w:rPr>
              <w:t>符合性审查</w:t>
            </w:r>
          </w:p>
        </w:tc>
        <w:tc>
          <w:tcPr>
            <w:tcW w:w="5004" w:type="dxa"/>
            <w:tcBorders>
              <w:top w:val="single" w:color="auto" w:sz="4" w:space="0"/>
              <w:left w:val="single" w:color="auto" w:sz="4" w:space="0"/>
              <w:bottom w:val="single" w:color="auto" w:sz="4" w:space="0"/>
            </w:tcBorders>
            <w:vAlign w:val="center"/>
          </w:tcPr>
          <w:p>
            <w:pPr>
              <w:spacing w:line="400" w:lineRule="exact"/>
              <w:ind w:firstLine="420" w:firstLineChars="200"/>
              <w:jc w:val="left"/>
              <w:rPr>
                <w:rFonts w:hint="eastAsia"/>
                <w:highlight w:val="none"/>
              </w:rPr>
            </w:pPr>
            <w:r>
              <w:rPr>
                <w:rFonts w:hint="eastAsia" w:ascii="宋体" w:hAnsi="宋体"/>
                <w:color w:val="auto"/>
                <w:kern w:val="0"/>
                <w:highlight w:val="none"/>
              </w:rPr>
              <w:t>取报价排序前□5</w:t>
            </w:r>
            <w:r>
              <w:rPr>
                <w:rFonts w:hint="eastAsia" w:ascii="宋体" w:hAnsi="宋体"/>
                <w:color w:val="auto"/>
                <w:kern w:val="0"/>
                <w:highlight w:val="none"/>
              </w:rPr>
              <w:sym w:font="Wingdings 2" w:char="0052"/>
            </w:r>
            <w:r>
              <w:rPr>
                <w:rFonts w:hint="eastAsia" w:ascii="宋体" w:hAnsi="宋体"/>
                <w:color w:val="auto"/>
                <w:kern w:val="0"/>
                <w:highlight w:val="none"/>
              </w:rPr>
              <w:t>6□7名（若实际投标人数量小于勾选数量，</w:t>
            </w:r>
            <w:r>
              <w:rPr>
                <w:rFonts w:hint="eastAsia" w:ascii="宋体" w:hAnsi="宋体"/>
                <w:color w:val="auto"/>
                <w:spacing w:val="4"/>
                <w:kern w:val="0"/>
                <w:szCs w:val="21"/>
                <w:highlight w:val="none"/>
              </w:rPr>
              <w:t>则全部纳入）进行符合性审查。符合性审查内容：</w:t>
            </w:r>
            <w:r>
              <w:rPr>
                <w:rFonts w:hint="eastAsia" w:ascii="宋体" w:hAnsi="宋体"/>
                <w:color w:val="auto"/>
                <w:spacing w:val="4"/>
                <w:kern w:val="0"/>
                <w:szCs w:val="21"/>
                <w:highlight w:val="none"/>
              </w:rPr>
              <w:sym w:font="Wingdings 2" w:char="00A3"/>
            </w:r>
            <w:r>
              <w:rPr>
                <w:rFonts w:hint="eastAsia" w:ascii="宋体" w:hAnsi="宋体"/>
                <w:color w:val="auto"/>
                <w:spacing w:val="4"/>
                <w:kern w:val="0"/>
                <w:szCs w:val="21"/>
                <w:highlight w:val="none"/>
              </w:rPr>
              <w:t>资格评审、形式评审、响应性评审、投标函部分及经济部分评审。符合性审查</w:t>
            </w:r>
            <w:r>
              <w:rPr>
                <w:rFonts w:hint="eastAsia" w:ascii="宋体" w:hAnsi="宋体"/>
                <w:color w:val="auto"/>
                <w:kern w:val="0"/>
                <w:highlight w:val="none"/>
              </w:rPr>
              <w:t>合格的投标人中，报价最低的成为第一中标候选人，报价次低的成为第二中标候选人，依次类推。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right w:val="single" w:color="auto" w:sz="4" w:space="0"/>
            </w:tcBorders>
            <w:vAlign w:val="center"/>
          </w:tcPr>
          <w:p>
            <w:pPr>
              <w:spacing w:line="400" w:lineRule="exact"/>
              <w:jc w:val="center"/>
              <w:rPr>
                <w:rFonts w:hint="eastAsia" w:eastAsia="宋体"/>
                <w:highlight w:val="none"/>
                <w:lang w:eastAsia="zh-CN"/>
              </w:rPr>
            </w:pPr>
            <w:r>
              <w:rPr>
                <w:rFonts w:hint="eastAsia"/>
                <w:highlight w:val="none"/>
                <w:lang w:val="en-US" w:eastAsia="zh-CN"/>
              </w:rPr>
              <w:t>2.2.1</w:t>
            </w:r>
          </w:p>
        </w:tc>
        <w:tc>
          <w:tcPr>
            <w:tcW w:w="1124" w:type="dxa"/>
            <w:vMerge w:val="restart"/>
            <w:tcBorders>
              <w:top w:val="single" w:color="auto" w:sz="4" w:space="0"/>
              <w:left w:val="single" w:color="auto" w:sz="4" w:space="0"/>
              <w:right w:val="single" w:color="auto" w:sz="4" w:space="0"/>
            </w:tcBorders>
            <w:vAlign w:val="center"/>
          </w:tcPr>
          <w:p>
            <w:pPr>
              <w:spacing w:line="400" w:lineRule="exact"/>
              <w:jc w:val="center"/>
              <w:rPr>
                <w:highlight w:val="none"/>
              </w:rPr>
            </w:pPr>
            <w:r>
              <w:rPr>
                <w:highlight w:val="none"/>
              </w:rPr>
              <w:t>形式评审标准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报价</w:t>
            </w:r>
            <w:r>
              <w:rPr>
                <w:highlight w:val="none"/>
              </w:rPr>
              <w:t>人名称</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报价</w:t>
            </w:r>
            <w:r>
              <w:rPr>
                <w:highlight w:val="none"/>
              </w:rPr>
              <w:t>函签字盖章</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有法定代表人或委托代理人签字或加盖单位鲜公章。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竞争性</w:t>
            </w:r>
            <w:r>
              <w:rPr>
                <w:highlight w:val="none"/>
              </w:rPr>
              <w:t>比选响应文件格式</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符合第九章“</w:t>
            </w:r>
            <w:r>
              <w:rPr>
                <w:rFonts w:hint="eastAsia"/>
                <w:highlight w:val="none"/>
              </w:rPr>
              <w:t>竞争性</w:t>
            </w:r>
            <w:r>
              <w:rPr>
                <w:highlight w:val="none"/>
              </w:rPr>
              <w:t>比选响应文件格式”的要求，字迹清晰可辨。</w:t>
            </w:r>
          </w:p>
          <w:p>
            <w:pPr>
              <w:spacing w:line="400" w:lineRule="exact"/>
              <w:rPr>
                <w:highlight w:val="none"/>
              </w:rPr>
            </w:pPr>
            <w:r>
              <w:rPr>
                <w:highlight w:val="none"/>
              </w:rPr>
              <w:t>1.</w:t>
            </w:r>
            <w:r>
              <w:rPr>
                <w:rFonts w:hint="eastAsia"/>
                <w:highlight w:val="none"/>
              </w:rPr>
              <w:t>报价</w:t>
            </w:r>
            <w:r>
              <w:rPr>
                <w:highlight w:val="none"/>
              </w:rPr>
              <w:t>函的所有数据均符合</w:t>
            </w:r>
            <w:r>
              <w:rPr>
                <w:rFonts w:hint="eastAsia"/>
                <w:highlight w:val="none"/>
              </w:rPr>
              <w:t>比选</w:t>
            </w:r>
            <w:r>
              <w:rPr>
                <w:highlight w:val="none"/>
              </w:rPr>
              <w:t>文件的规定；</w:t>
            </w:r>
          </w:p>
          <w:p>
            <w:pPr>
              <w:spacing w:line="400" w:lineRule="exact"/>
              <w:rPr>
                <w:highlight w:val="none"/>
              </w:rPr>
            </w:pPr>
            <w:r>
              <w:rPr>
                <w:highlight w:val="none"/>
              </w:rPr>
              <w:t>2.</w:t>
            </w:r>
            <w:r>
              <w:rPr>
                <w:rFonts w:hint="eastAsia"/>
                <w:highlight w:val="none"/>
              </w:rPr>
              <w:t>竞争性</w:t>
            </w:r>
            <w:r>
              <w:rPr>
                <w:highlight w:val="none"/>
              </w:rPr>
              <w:t>比选响应文件附表齐全完整，内容均按规定填写；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highlight w:val="none"/>
              </w:rPr>
            </w:pPr>
            <w:r>
              <w:rPr>
                <w:highlight w:val="none"/>
              </w:rPr>
              <w:t>已标价工程量清单</w:t>
            </w:r>
          </w:p>
        </w:tc>
        <w:tc>
          <w:tcPr>
            <w:tcW w:w="5004" w:type="dxa"/>
            <w:tcBorders>
              <w:top w:val="single" w:color="auto" w:sz="4" w:space="0"/>
              <w:left w:val="single" w:color="auto" w:sz="4" w:space="0"/>
              <w:bottom w:val="single" w:color="auto" w:sz="4" w:space="0"/>
            </w:tcBorders>
            <w:vAlign w:val="center"/>
          </w:tcPr>
          <w:p>
            <w:pPr>
              <w:spacing w:line="440" w:lineRule="exact"/>
              <w:rPr>
                <w:rFonts w:hint="eastAsia"/>
                <w:highlight w:val="none"/>
              </w:rPr>
            </w:pPr>
            <w:r>
              <w:rPr>
                <w:highlight w:val="none"/>
              </w:rPr>
              <w:t>符合第五章“工程量清单”给出的范围及数量</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highlight w:val="none"/>
              </w:rPr>
            </w:pPr>
            <w:r>
              <w:rPr>
                <w:highlight w:val="none"/>
              </w:rPr>
              <w:t>报价其它要求</w:t>
            </w:r>
          </w:p>
        </w:tc>
        <w:tc>
          <w:tcPr>
            <w:tcW w:w="5004" w:type="dxa"/>
            <w:tcBorders>
              <w:top w:val="single" w:color="auto" w:sz="4" w:space="0"/>
              <w:left w:val="single" w:color="auto" w:sz="4" w:space="0"/>
              <w:bottom w:val="single" w:color="auto" w:sz="4" w:space="0"/>
            </w:tcBorders>
            <w:vAlign w:val="center"/>
          </w:tcPr>
          <w:p>
            <w:pPr>
              <w:spacing w:line="440" w:lineRule="exact"/>
              <w:rPr>
                <w:highlight w:val="none"/>
              </w:rPr>
            </w:pPr>
            <w:r>
              <w:rPr>
                <w:rFonts w:hint="eastAsia"/>
                <w:highlight w:val="none"/>
              </w:rPr>
              <w:t>竞争性</w:t>
            </w:r>
            <w:r>
              <w:rPr>
                <w:highlight w:val="none"/>
              </w:rPr>
              <w:t>比选响应文件报价表中的报价与</w:t>
            </w:r>
            <w:r>
              <w:rPr>
                <w:rFonts w:hint="eastAsia"/>
                <w:highlight w:val="none"/>
              </w:rPr>
              <w:t>报价</w:t>
            </w:r>
            <w:r>
              <w:rPr>
                <w:highlight w:val="none"/>
              </w:rPr>
              <w:t>书文字报价应保持一致。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900" w:type="dxa"/>
            <w:vMerge w:val="continue"/>
            <w:tcBorders>
              <w:right w:val="single" w:color="auto" w:sz="4" w:space="0"/>
            </w:tcBorders>
            <w:vAlign w:val="center"/>
          </w:tcPr>
          <w:p>
            <w:pPr>
              <w:spacing w:line="400" w:lineRule="exact"/>
              <w:jc w:val="center"/>
              <w:rPr>
                <w:highlight w:val="none"/>
              </w:rPr>
            </w:pPr>
          </w:p>
        </w:tc>
        <w:tc>
          <w:tcPr>
            <w:tcW w:w="1124" w:type="dxa"/>
            <w:vMerge w:val="continue"/>
            <w:tcBorders>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rFonts w:hint="eastAsia"/>
                <w:highlight w:val="none"/>
              </w:rPr>
              <w:t>竞争性</w:t>
            </w:r>
            <w:r>
              <w:rPr>
                <w:highlight w:val="none"/>
              </w:rPr>
              <w:t>比选响应文件正本中法定代表人或其授权代理人签署</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rFonts w:hint="eastAsia"/>
                <w:highlight w:val="none"/>
              </w:rPr>
              <w:t>竞争性</w:t>
            </w:r>
            <w:r>
              <w:rPr>
                <w:highlight w:val="none"/>
              </w:rPr>
              <w:t>比选响应文件正本中法定代表人或授权代理人签署姓名齐全，符合</w:t>
            </w:r>
            <w:r>
              <w:rPr>
                <w:rFonts w:hint="eastAsia"/>
                <w:highlight w:val="none"/>
              </w:rPr>
              <w:t>比选</w:t>
            </w:r>
            <w:r>
              <w:rPr>
                <w:highlight w:val="none"/>
              </w:rPr>
              <w:t>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49" w:hRule="atLeast"/>
          <w:jc w:val="center"/>
        </w:trPr>
        <w:tc>
          <w:tcPr>
            <w:tcW w:w="900" w:type="dxa"/>
            <w:vMerge w:val="continue"/>
            <w:tcBorders>
              <w:right w:val="single" w:color="auto" w:sz="4" w:space="0"/>
            </w:tcBorders>
            <w:vAlign w:val="center"/>
          </w:tcPr>
          <w:p>
            <w:pPr>
              <w:spacing w:line="400" w:lineRule="exact"/>
              <w:jc w:val="center"/>
              <w:rPr>
                <w:highlight w:val="none"/>
              </w:rPr>
            </w:pPr>
          </w:p>
        </w:tc>
        <w:tc>
          <w:tcPr>
            <w:tcW w:w="1124" w:type="dxa"/>
            <w:vMerge w:val="continue"/>
            <w:tcBorders>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highlight w:val="none"/>
              </w:rPr>
              <w:t>其它材料</w:t>
            </w:r>
          </w:p>
        </w:tc>
        <w:tc>
          <w:tcPr>
            <w:tcW w:w="5004" w:type="dxa"/>
            <w:tcBorders>
              <w:top w:val="single" w:color="auto" w:sz="4" w:space="0"/>
              <w:left w:val="single" w:color="auto" w:sz="4" w:space="0"/>
            </w:tcBorders>
            <w:vAlign w:val="center"/>
          </w:tcPr>
          <w:p>
            <w:pPr>
              <w:spacing w:line="400" w:lineRule="exact"/>
              <w:rPr>
                <w:highlight w:val="none"/>
              </w:rPr>
            </w:pPr>
            <w:r>
              <w:rPr>
                <w:highlight w:val="none"/>
              </w:rPr>
              <w:t>单位负责人为同一人或者存在控股、管理关系的不同单位，不得同时参加</w:t>
            </w:r>
            <w:r>
              <w:rPr>
                <w:rFonts w:hint="eastAsia"/>
                <w:highlight w:val="none"/>
              </w:rPr>
              <w:t>报价</w:t>
            </w:r>
            <w:r>
              <w:rPr>
                <w:highlight w:val="none"/>
              </w:rPr>
              <w:t>，否则相关</w:t>
            </w:r>
            <w:r>
              <w:rPr>
                <w:rFonts w:hint="eastAsia"/>
                <w:highlight w:val="none"/>
              </w:rPr>
              <w:t>报价</w:t>
            </w:r>
            <w:r>
              <w:rPr>
                <w:highlight w:val="none"/>
              </w:rPr>
              <w:t>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rPr>
                <w:rFonts w:hint="eastAsia" w:eastAsia="宋体"/>
                <w:highlight w:val="none"/>
                <w:lang w:eastAsia="zh-CN"/>
              </w:rPr>
            </w:pPr>
            <w:r>
              <w:rPr>
                <w:rFonts w:hint="eastAsia"/>
                <w:highlight w:val="none"/>
                <w:lang w:val="en-US" w:eastAsia="zh-CN"/>
              </w:rPr>
              <w:t>2.2.2</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资格评审标准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营业执照</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8</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资质要求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8</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业绩要求</w:t>
            </w:r>
          </w:p>
        </w:tc>
        <w:tc>
          <w:tcPr>
            <w:tcW w:w="5004" w:type="dxa"/>
            <w:tcBorders>
              <w:top w:val="single" w:color="auto" w:sz="4" w:space="0"/>
              <w:left w:val="single" w:color="auto" w:sz="4" w:space="0"/>
              <w:bottom w:val="single" w:color="auto" w:sz="4" w:space="0"/>
            </w:tcBorders>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8</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信誉要求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8</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7"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ascii="宋体" w:hAnsi="宋体" w:cs="宋体"/>
                <w:szCs w:val="21"/>
                <w:highlight w:val="none"/>
                <w:lang w:val="en-US" w:eastAsia="zh-CN"/>
              </w:rPr>
              <w:t>项目主要管理人员</w:t>
            </w:r>
            <w:r>
              <w:rPr>
                <w:highlight w:val="none"/>
              </w:rPr>
              <w:t>最低要求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w:t>
            </w:r>
            <w:r>
              <w:rPr>
                <w:rFonts w:hint="eastAsia"/>
                <w:highlight w:val="none"/>
                <w:lang w:val="en-US" w:eastAsia="zh-CN"/>
              </w:rPr>
              <w:t>1</w:t>
            </w:r>
            <w:r>
              <w:rPr>
                <w:highlight w:val="none"/>
              </w:rP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ascii="宋体" w:hAnsi="宋体" w:cs="宋体"/>
                <w:szCs w:val="21"/>
                <w:highlight w:val="none"/>
                <w:lang w:val="en-US" w:eastAsia="zh-CN"/>
              </w:rPr>
              <w:t>其他人员最低要求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w:t>
            </w:r>
            <w:r>
              <w:rPr>
                <w:rFonts w:hint="eastAsia"/>
                <w:highlight w:val="none"/>
                <w:lang w:val="en-US" w:eastAsia="zh-CN"/>
              </w:rPr>
              <w:t>2</w:t>
            </w:r>
            <w:r>
              <w:rPr>
                <w:highlight w:val="none"/>
              </w:rP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kern w:val="1"/>
                <w:highlight w:val="none"/>
              </w:rPr>
            </w:pPr>
            <w:r>
              <w:rPr>
                <w:kern w:val="1"/>
                <w:highlight w:val="none"/>
              </w:rPr>
              <w:t>主要机械设备和试验检测设备最低要求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w:t>
            </w:r>
            <w:r>
              <w:rPr>
                <w:rFonts w:hint="eastAsia"/>
                <w:highlight w:val="none"/>
                <w:lang w:val="en-US" w:eastAsia="zh-CN"/>
              </w:rPr>
              <w:t>3</w:t>
            </w:r>
            <w:r>
              <w:rPr>
                <w:highlight w:val="none"/>
              </w:rP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rPr>
                <w:rFonts w:hint="eastAsia" w:eastAsia="宋体"/>
                <w:highlight w:val="none"/>
                <w:lang w:eastAsia="zh-CN"/>
              </w:rPr>
            </w:pPr>
            <w:r>
              <w:rPr>
                <w:rFonts w:hint="eastAsia"/>
                <w:highlight w:val="none"/>
                <w:lang w:val="en-US" w:eastAsia="zh-CN"/>
              </w:rPr>
              <w:t>2.2.3</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响应性评审标准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投标内容</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4</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70" w:hRule="atLeast"/>
          <w:jc w:val="center"/>
        </w:trPr>
        <w:tc>
          <w:tcPr>
            <w:tcW w:w="900" w:type="dxa"/>
            <w:vMerge w:val="continue"/>
            <w:tcBorders>
              <w:right w:val="single" w:color="auto" w:sz="4" w:space="0"/>
            </w:tcBorders>
            <w:vAlign w:val="center"/>
          </w:tcPr>
          <w:p>
            <w:pPr>
              <w:spacing w:line="400" w:lineRule="exact"/>
              <w:jc w:val="center"/>
              <w:rPr>
                <w:highlight w:val="none"/>
              </w:rPr>
            </w:pPr>
          </w:p>
        </w:tc>
        <w:tc>
          <w:tcPr>
            <w:tcW w:w="1124" w:type="dxa"/>
            <w:vMerge w:val="continue"/>
            <w:tcBorders>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报价</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符合比选文件给出的范围及数量，且报价不得超过</w:t>
            </w:r>
            <w:r>
              <w:rPr>
                <w:rFonts w:hint="eastAsia"/>
                <w:highlight w:val="none"/>
              </w:rPr>
              <w:t>采购人</w:t>
            </w:r>
            <w:r>
              <w:rPr>
                <w:highlight w:val="none"/>
              </w:rPr>
              <w:t>公布的最高限价，但也不得低于</w:t>
            </w:r>
            <w:r>
              <w:rPr>
                <w:rFonts w:hint="eastAsia"/>
                <w:highlight w:val="none"/>
              </w:rPr>
              <w:t>报价</w:t>
            </w:r>
            <w:r>
              <w:rPr>
                <w:highlight w:val="none"/>
              </w:rPr>
              <w:t>人的企业成本。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工期</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5</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质量标准</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6</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安全目标</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7</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tcBorders>
              <w:top w:val="single" w:color="auto" w:sz="4" w:space="0"/>
              <w:bottom w:val="single" w:color="auto" w:sz="4" w:space="0"/>
              <w:right w:val="single" w:color="auto" w:sz="4" w:space="0"/>
            </w:tcBorders>
            <w:vAlign w:val="center"/>
          </w:tcPr>
          <w:p>
            <w:pPr>
              <w:spacing w:line="400" w:lineRule="exact"/>
              <w:jc w:val="center"/>
              <w:rPr>
                <w:rFonts w:hint="eastAsia" w:eastAsia="宋体"/>
                <w:highlight w:val="none"/>
                <w:lang w:eastAsia="zh-CN"/>
              </w:rPr>
            </w:pPr>
            <w:r>
              <w:rPr>
                <w:rFonts w:hint="eastAsia"/>
                <w:highlight w:val="none"/>
                <w:lang w:val="en-US" w:eastAsia="zh-CN"/>
              </w:rPr>
              <w:t>3</w:t>
            </w:r>
          </w:p>
        </w:tc>
        <w:tc>
          <w:tcPr>
            <w:tcW w:w="11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评标结果</w:t>
            </w:r>
          </w:p>
        </w:tc>
        <w:tc>
          <w:tcPr>
            <w:tcW w:w="7121" w:type="dxa"/>
            <w:gridSpan w:val="2"/>
            <w:tcBorders>
              <w:top w:val="single" w:color="auto" w:sz="4" w:space="0"/>
              <w:left w:val="single" w:color="auto" w:sz="4" w:space="0"/>
              <w:bottom w:val="single" w:color="auto" w:sz="4" w:space="0"/>
            </w:tcBorders>
          </w:tcPr>
          <w:p>
            <w:pPr>
              <w:spacing w:line="400" w:lineRule="exact"/>
              <w:ind w:firstLine="420"/>
              <w:rPr>
                <w:highlight w:val="none"/>
              </w:rPr>
            </w:pPr>
            <w:r>
              <w:rPr>
                <w:highlight w:val="none"/>
              </w:rPr>
              <w:t>补充细化：</w:t>
            </w:r>
          </w:p>
          <w:p>
            <w:pPr>
              <w:spacing w:line="400" w:lineRule="exact"/>
              <w:ind w:firstLine="420" w:firstLineChars="200"/>
              <w:rPr>
                <w:highlight w:val="none"/>
              </w:rPr>
            </w:pPr>
            <w:r>
              <w:rPr>
                <w:highlight w:val="none"/>
              </w:rPr>
              <w:t>本项目评标采用经评审的最低投标价法，对通过初步评审、详细评审的</w:t>
            </w:r>
            <w:r>
              <w:rPr>
                <w:rFonts w:hint="eastAsia"/>
                <w:highlight w:val="none"/>
              </w:rPr>
              <w:t>报价</w:t>
            </w:r>
            <w:r>
              <w:rPr>
                <w:highlight w:val="none"/>
              </w:rPr>
              <w:t>人按照</w:t>
            </w:r>
            <w:r>
              <w:rPr>
                <w:rFonts w:hint="eastAsia"/>
                <w:highlight w:val="none"/>
              </w:rPr>
              <w:t>报</w:t>
            </w:r>
            <w:r>
              <w:rPr>
                <w:highlight w:val="none"/>
              </w:rPr>
              <w:t>价从低到高的先后顺序，</w:t>
            </w:r>
            <w:r>
              <w:rPr>
                <w:rFonts w:hint="eastAsia"/>
                <w:highlight w:val="none"/>
                <w:lang w:val="en-US" w:eastAsia="zh-CN"/>
              </w:rPr>
              <w:t>每个标段</w:t>
            </w:r>
            <w:r>
              <w:rPr>
                <w:highlight w:val="none"/>
              </w:rPr>
              <w:t>推荐</w:t>
            </w:r>
            <w:r>
              <w:rPr>
                <w:rFonts w:hint="eastAsia"/>
                <w:highlight w:val="none"/>
                <w:lang w:val="en-US" w:eastAsia="zh-CN"/>
              </w:rPr>
              <w:t>2</w:t>
            </w:r>
            <w:r>
              <w:rPr>
                <w:highlight w:val="none"/>
              </w:rPr>
              <w:t>名中标候选人。</w:t>
            </w:r>
          </w:p>
        </w:tc>
      </w:tr>
    </w:tbl>
    <w:p>
      <w:pPr>
        <w:pStyle w:val="5"/>
        <w:spacing w:before="0" w:after="0" w:line="360" w:lineRule="auto"/>
        <w:rPr>
          <w:rFonts w:hint="eastAsia" w:ascii="宋体" w:hAnsi="宋体" w:cs="宋体"/>
          <w:color w:val="auto"/>
          <w:sz w:val="28"/>
          <w:szCs w:val="28"/>
          <w:highlight w:val="none"/>
        </w:rPr>
      </w:pPr>
      <w:bookmarkStart w:id="133" w:name="_Toc33106441"/>
      <w:bookmarkStart w:id="134" w:name="_Toc57795918"/>
      <w:bookmarkStart w:id="135" w:name="_Toc6578"/>
      <w:r>
        <w:rPr>
          <w:rFonts w:hint="eastAsia" w:ascii="宋体" w:hAnsi="宋体" w:cs="宋体"/>
          <w:color w:val="auto"/>
          <w:sz w:val="28"/>
          <w:szCs w:val="28"/>
          <w:highlight w:val="none"/>
        </w:rPr>
        <w:t>1. 评标方法</w:t>
      </w:r>
      <w:bookmarkEnd w:id="133"/>
      <w:bookmarkEnd w:id="134"/>
      <w:bookmarkEnd w:id="135"/>
    </w:p>
    <w:p>
      <w:pPr>
        <w:spacing w:line="360" w:lineRule="auto"/>
        <w:ind w:firstLine="420" w:firstLineChars="200"/>
        <w:rPr>
          <w:rFonts w:ascii="宋体" w:hAnsi="宋体"/>
          <w:color w:val="auto"/>
          <w:highlight w:val="none"/>
        </w:rPr>
      </w:pPr>
      <w:r>
        <w:rPr>
          <w:rFonts w:hint="eastAsia" w:ascii="宋体" w:hAnsi="宋体"/>
          <w:color w:val="auto"/>
          <w:highlight w:val="none"/>
        </w:rPr>
        <w:t>本次评标采用经评审的最低投标价法，评标委员会按照本章第2.1款进行报价排序，按照本章第2.2款进行符合性审查，符合性审查合格的投标人中按报价由低到高推荐中标候选人，或根据</w:t>
      </w:r>
      <w:r>
        <w:rPr>
          <w:rFonts w:hint="eastAsia" w:ascii="宋体" w:hAnsi="宋体"/>
          <w:color w:val="auto"/>
          <w:highlight w:val="none"/>
          <w:lang w:eastAsia="zh-CN"/>
        </w:rPr>
        <w:t>采购人</w:t>
      </w:r>
      <w:r>
        <w:rPr>
          <w:rFonts w:hint="eastAsia" w:ascii="宋体" w:hAnsi="宋体"/>
          <w:color w:val="auto"/>
          <w:highlight w:val="none"/>
        </w:rPr>
        <w:t>授权直接确定中标人。若出现投标人投标报价相同的，以评标办法前附表约定的原则确定排序。</w:t>
      </w:r>
    </w:p>
    <w:p>
      <w:pPr>
        <w:pStyle w:val="5"/>
        <w:spacing w:before="0" w:after="0" w:line="360" w:lineRule="auto"/>
        <w:rPr>
          <w:rFonts w:hint="eastAsia" w:ascii="宋体" w:hAnsi="宋体" w:cs="宋体"/>
          <w:color w:val="auto"/>
          <w:sz w:val="28"/>
          <w:szCs w:val="28"/>
          <w:highlight w:val="none"/>
        </w:rPr>
      </w:pPr>
      <w:bookmarkStart w:id="136" w:name="_Toc57795919"/>
      <w:bookmarkStart w:id="137" w:name="_Toc33106442"/>
      <w:bookmarkStart w:id="138" w:name="_Toc2783"/>
      <w:r>
        <w:rPr>
          <w:rFonts w:hint="eastAsia" w:ascii="宋体" w:hAnsi="宋体" w:cs="宋体"/>
          <w:color w:val="auto"/>
          <w:sz w:val="28"/>
          <w:szCs w:val="28"/>
          <w:highlight w:val="none"/>
        </w:rPr>
        <w:t>2. 评审标准</w:t>
      </w:r>
      <w:bookmarkEnd w:id="136"/>
      <w:bookmarkEnd w:id="137"/>
      <w:bookmarkEnd w:id="138"/>
    </w:p>
    <w:p>
      <w:pPr>
        <w:pStyle w:val="6"/>
        <w:spacing w:before="0" w:after="0" w:line="360" w:lineRule="auto"/>
        <w:rPr>
          <w:rFonts w:hint="eastAsia" w:ascii="宋体" w:hAnsi="宋体" w:cs="宋体"/>
          <w:color w:val="auto"/>
          <w:sz w:val="21"/>
          <w:szCs w:val="21"/>
          <w:highlight w:val="none"/>
        </w:rPr>
      </w:pPr>
      <w:bookmarkStart w:id="139" w:name="_Toc33106443"/>
      <w:bookmarkStart w:id="140" w:name="_Toc57795920"/>
      <w:r>
        <w:rPr>
          <w:rFonts w:hint="eastAsia" w:ascii="宋体" w:hAnsi="宋体" w:cs="宋体"/>
          <w:color w:val="auto"/>
          <w:sz w:val="21"/>
          <w:szCs w:val="21"/>
          <w:highlight w:val="none"/>
        </w:rPr>
        <w:t>2.1报价排序</w:t>
      </w:r>
      <w:bookmarkEnd w:id="139"/>
      <w:r>
        <w:rPr>
          <w:rFonts w:hint="eastAsia" w:ascii="宋体" w:hAnsi="宋体" w:cs="宋体"/>
          <w:color w:val="auto"/>
          <w:sz w:val="21"/>
          <w:szCs w:val="21"/>
          <w:highlight w:val="none"/>
        </w:rPr>
        <w:t>标准</w:t>
      </w:r>
      <w:bookmarkEnd w:id="140"/>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见评标办法前附表。</w:t>
      </w:r>
    </w:p>
    <w:p>
      <w:pPr>
        <w:pStyle w:val="6"/>
        <w:spacing w:before="0" w:after="0" w:line="360" w:lineRule="auto"/>
        <w:rPr>
          <w:rFonts w:ascii="宋体" w:hAnsi="宋体" w:cs="宋体"/>
          <w:color w:val="auto"/>
          <w:sz w:val="21"/>
          <w:szCs w:val="21"/>
          <w:highlight w:val="none"/>
        </w:rPr>
      </w:pPr>
      <w:bookmarkStart w:id="141" w:name="_Toc33106444"/>
      <w:bookmarkStart w:id="142" w:name="_Toc57795921"/>
      <w:r>
        <w:rPr>
          <w:rFonts w:ascii="宋体" w:hAnsi="宋体" w:cs="宋体"/>
          <w:color w:val="auto"/>
          <w:sz w:val="21"/>
          <w:szCs w:val="21"/>
          <w:highlight w:val="none"/>
        </w:rPr>
        <w:t>2.</w:t>
      </w:r>
      <w:r>
        <w:rPr>
          <w:rFonts w:hint="eastAsia" w:ascii="宋体" w:hAnsi="宋体" w:cs="宋体"/>
          <w:color w:val="auto"/>
          <w:sz w:val="21"/>
          <w:szCs w:val="21"/>
          <w:highlight w:val="none"/>
        </w:rPr>
        <w:t>2符合性审查</w:t>
      </w:r>
      <w:bookmarkEnd w:id="141"/>
      <w:r>
        <w:rPr>
          <w:rFonts w:hint="eastAsia" w:ascii="宋体" w:hAnsi="宋体" w:cs="宋体"/>
          <w:color w:val="auto"/>
          <w:sz w:val="21"/>
          <w:szCs w:val="21"/>
          <w:highlight w:val="none"/>
        </w:rPr>
        <w:t>标准</w:t>
      </w:r>
      <w:bookmarkEnd w:id="142"/>
    </w:p>
    <w:p>
      <w:pPr>
        <w:autoSpaceDE w:val="0"/>
        <w:autoSpaceDN w:val="0"/>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按评标办法前附表约定的投标单位报价排序数量进行符合性审查</w:t>
      </w:r>
      <w:r>
        <w:rPr>
          <w:rFonts w:hint="eastAsia" w:ascii="宋体" w:hAnsi="宋体"/>
          <w:color w:val="auto"/>
          <w:spacing w:val="4"/>
          <w:kern w:val="0"/>
          <w:szCs w:val="21"/>
          <w:highlight w:val="none"/>
        </w:rPr>
        <w:t>。符合性审查内容：技术方案评审（如有）、资格评审、形式评审、响应性、</w:t>
      </w:r>
      <w:r>
        <w:rPr>
          <w:rFonts w:hint="eastAsia" w:ascii="宋体" w:hAnsi="宋体"/>
          <w:color w:val="auto"/>
          <w:spacing w:val="4"/>
          <w:kern w:val="0"/>
          <w:szCs w:val="21"/>
          <w:highlight w:val="none"/>
          <w:lang w:val="en-US" w:eastAsia="zh-CN"/>
        </w:rPr>
        <w:t>响应声明书</w:t>
      </w:r>
      <w:r>
        <w:rPr>
          <w:rFonts w:hint="eastAsia" w:ascii="宋体" w:hAnsi="宋体"/>
          <w:color w:val="auto"/>
          <w:spacing w:val="4"/>
          <w:kern w:val="0"/>
          <w:szCs w:val="21"/>
          <w:highlight w:val="none"/>
        </w:rPr>
        <w:t>部分及经济部分</w:t>
      </w:r>
      <w:r>
        <w:rPr>
          <w:rFonts w:hint="eastAsia" w:ascii="宋体" w:hAnsi="宋体"/>
          <w:color w:val="auto"/>
          <w:spacing w:val="4"/>
          <w:kern w:val="0"/>
          <w:szCs w:val="21"/>
          <w:highlight w:val="none"/>
          <w:lang w:eastAsia="zh-CN"/>
        </w:rPr>
        <w:t>（</w:t>
      </w:r>
      <w:r>
        <w:rPr>
          <w:rFonts w:hint="eastAsia" w:ascii="宋体" w:hAnsi="宋体"/>
          <w:color w:val="auto"/>
          <w:spacing w:val="4"/>
          <w:kern w:val="0"/>
          <w:szCs w:val="21"/>
          <w:highlight w:val="none"/>
          <w:lang w:val="en-US" w:eastAsia="zh-CN"/>
        </w:rPr>
        <w:t>如有）</w:t>
      </w:r>
      <w:r>
        <w:rPr>
          <w:rFonts w:hint="eastAsia" w:ascii="宋体" w:hAnsi="宋体"/>
          <w:color w:val="auto"/>
          <w:spacing w:val="4"/>
          <w:kern w:val="0"/>
          <w:szCs w:val="21"/>
          <w:highlight w:val="none"/>
        </w:rPr>
        <w:t>评审</w:t>
      </w:r>
      <w:r>
        <w:rPr>
          <w:rFonts w:hint="eastAsia" w:ascii="宋体" w:hAnsi="宋体" w:cs="宋体"/>
          <w:color w:val="auto"/>
          <w:szCs w:val="21"/>
          <w:highlight w:val="none"/>
        </w:rPr>
        <w:t>。</w:t>
      </w:r>
    </w:p>
    <w:p>
      <w:pPr>
        <w:autoSpaceDE w:val="0"/>
        <w:autoSpaceDN w:val="0"/>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2.2.1  技术方案评审标准：见评标办法前附表。</w:t>
      </w:r>
    </w:p>
    <w:p>
      <w:pPr>
        <w:autoSpaceDE w:val="0"/>
        <w:autoSpaceDN w:val="0"/>
        <w:adjustRightInd w:val="0"/>
        <w:snapToGrid w:val="0"/>
        <w:spacing w:line="360" w:lineRule="auto"/>
        <w:ind w:firstLine="420" w:firstLineChars="200"/>
        <w:jc w:val="left"/>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2A  资格评审标准：见资格预审文件第三章“资格审查办法”详细审查标准（适用于已进行资格预审的）。</w:t>
      </w:r>
    </w:p>
    <w:p>
      <w:pPr>
        <w:autoSpaceDE w:val="0"/>
        <w:autoSpaceDN w:val="0"/>
        <w:adjustRightInd w:val="0"/>
        <w:snapToGrid w:val="0"/>
        <w:spacing w:line="360" w:lineRule="auto"/>
        <w:ind w:firstLine="420" w:firstLineChars="200"/>
        <w:jc w:val="left"/>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2B  资格评审标准：见评标办法前附表（适用于未进行资格预审的）。</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3  形式评审标准：见评标办法前附表。</w:t>
      </w:r>
    </w:p>
    <w:p>
      <w:pPr>
        <w:autoSpaceDE w:val="0"/>
        <w:autoSpaceDN w:val="0"/>
        <w:adjustRightInd w:val="0"/>
        <w:snapToGrid w:val="0"/>
        <w:spacing w:line="360" w:lineRule="auto"/>
        <w:ind w:firstLine="420" w:firstLineChars="200"/>
        <w:jc w:val="left"/>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4  响应性评审标准：见评标办法前附表。</w:t>
      </w:r>
    </w:p>
    <w:p>
      <w:pPr>
        <w:autoSpaceDE w:val="0"/>
        <w:autoSpaceDN w:val="0"/>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2.2.5  投标函部分及经济部分评审标准：见评标办法前附表。</w:t>
      </w:r>
    </w:p>
    <w:p>
      <w:pPr>
        <w:pStyle w:val="5"/>
        <w:spacing w:before="0" w:after="0" w:line="360" w:lineRule="auto"/>
        <w:rPr>
          <w:rFonts w:hint="eastAsia" w:ascii="宋体" w:hAnsi="宋体" w:cs="宋体"/>
          <w:color w:val="auto"/>
          <w:sz w:val="28"/>
          <w:szCs w:val="28"/>
          <w:highlight w:val="none"/>
        </w:rPr>
      </w:pPr>
      <w:bookmarkStart w:id="143" w:name="_Toc57795922"/>
      <w:bookmarkStart w:id="144" w:name="_Toc33106445"/>
      <w:bookmarkStart w:id="145" w:name="_Toc8634"/>
      <w:r>
        <w:rPr>
          <w:rFonts w:hint="eastAsia" w:ascii="宋体" w:hAnsi="宋体" w:cs="宋体"/>
          <w:color w:val="auto"/>
          <w:sz w:val="28"/>
          <w:szCs w:val="28"/>
          <w:highlight w:val="none"/>
        </w:rPr>
        <w:t>3. 评标程序</w:t>
      </w:r>
      <w:bookmarkEnd w:id="143"/>
      <w:bookmarkEnd w:id="144"/>
      <w:bookmarkEnd w:id="145"/>
    </w:p>
    <w:p>
      <w:pPr>
        <w:pStyle w:val="6"/>
        <w:spacing w:before="0" w:after="0" w:line="360" w:lineRule="auto"/>
        <w:rPr>
          <w:rFonts w:hint="eastAsia" w:ascii="宋体" w:hAnsi="宋体" w:cs="宋体"/>
          <w:color w:val="auto"/>
          <w:sz w:val="21"/>
          <w:szCs w:val="21"/>
          <w:highlight w:val="none"/>
        </w:rPr>
      </w:pPr>
      <w:bookmarkStart w:id="146" w:name="_Toc57795923"/>
      <w:bookmarkStart w:id="147" w:name="_Toc33106446"/>
      <w:r>
        <w:rPr>
          <w:rFonts w:hint="eastAsia" w:ascii="宋体" w:hAnsi="宋体" w:cs="宋体"/>
          <w:color w:val="auto"/>
          <w:sz w:val="21"/>
          <w:szCs w:val="21"/>
          <w:highlight w:val="none"/>
        </w:rPr>
        <w:t>3.1报价排序</w:t>
      </w:r>
      <w:bookmarkEnd w:id="146"/>
      <w:bookmarkEnd w:id="147"/>
    </w:p>
    <w:p>
      <w:pPr>
        <w:spacing w:line="360" w:lineRule="auto"/>
        <w:ind w:firstLine="413" w:firstLineChars="197"/>
        <w:rPr>
          <w:rFonts w:ascii="宋体" w:hAnsi="宋体" w:cs="宋体"/>
          <w:color w:val="auto"/>
          <w:szCs w:val="21"/>
          <w:highlight w:val="none"/>
        </w:rPr>
      </w:pPr>
      <w:r>
        <w:rPr>
          <w:rFonts w:hint="eastAsia" w:ascii="宋体" w:hAnsi="宋体" w:cs="宋体"/>
          <w:color w:val="auto"/>
          <w:szCs w:val="21"/>
          <w:highlight w:val="none"/>
        </w:rPr>
        <w:t>对报价不高于最高限价的所有投标人的投标文件，按照报价由低到高的顺序排序。需技术方案评审的，由电子评标系统对技术方案进行自动随机编号。在投标函部分及经济部分评审前，推送给评标委员会的投标文件不得显示排序。</w:t>
      </w:r>
    </w:p>
    <w:p>
      <w:pPr>
        <w:pStyle w:val="6"/>
        <w:spacing w:before="0" w:after="0" w:line="360" w:lineRule="auto"/>
        <w:rPr>
          <w:rFonts w:hint="eastAsia" w:ascii="宋体" w:hAnsi="宋体" w:cs="宋体"/>
          <w:color w:val="auto"/>
          <w:sz w:val="21"/>
          <w:szCs w:val="21"/>
          <w:highlight w:val="none"/>
        </w:rPr>
      </w:pPr>
      <w:bookmarkStart w:id="148" w:name="_Toc57795924"/>
      <w:bookmarkStart w:id="149" w:name="_Toc33106447"/>
      <w:r>
        <w:rPr>
          <w:rFonts w:hint="eastAsia" w:ascii="宋体" w:hAnsi="宋体" w:cs="宋体"/>
          <w:color w:val="auto"/>
          <w:sz w:val="21"/>
          <w:szCs w:val="21"/>
          <w:highlight w:val="none"/>
        </w:rPr>
        <w:t>3.2符合性审查</w:t>
      </w:r>
      <w:bookmarkEnd w:id="148"/>
      <w:bookmarkEnd w:id="149"/>
    </w:p>
    <w:p>
      <w:pPr>
        <w:spacing w:line="360" w:lineRule="auto"/>
        <w:ind w:firstLine="413" w:firstLineChars="197"/>
        <w:rPr>
          <w:rFonts w:hint="eastAsia"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2</w:t>
      </w:r>
      <w:r>
        <w:rPr>
          <w:rFonts w:ascii="宋体" w:hAnsi="宋体" w:cs="宋体"/>
          <w:color w:val="auto"/>
          <w:szCs w:val="21"/>
          <w:highlight w:val="none"/>
        </w:rPr>
        <w:t>.1评标委员会依据本章第2.</w:t>
      </w:r>
      <w:r>
        <w:rPr>
          <w:rFonts w:hint="eastAsia" w:ascii="宋体" w:hAnsi="宋体" w:cs="宋体"/>
          <w:color w:val="auto"/>
          <w:szCs w:val="21"/>
          <w:highlight w:val="none"/>
        </w:rPr>
        <w:t>2</w:t>
      </w:r>
      <w:r>
        <w:rPr>
          <w:rFonts w:ascii="宋体" w:hAnsi="宋体" w:cs="宋体"/>
          <w:color w:val="auto"/>
          <w:szCs w:val="21"/>
          <w:highlight w:val="none"/>
        </w:rPr>
        <w:t xml:space="preserve"> </w:t>
      </w:r>
      <w:r>
        <w:rPr>
          <w:rFonts w:hint="eastAsia" w:ascii="宋体" w:hAnsi="宋体" w:cs="宋体"/>
          <w:color w:val="auto"/>
          <w:szCs w:val="21"/>
          <w:highlight w:val="none"/>
        </w:rPr>
        <w:t>款规定的标准对投标文件进行符合性审查。符合性审查顺序：资格评审、形式评审、响应性</w:t>
      </w:r>
      <w:r>
        <w:rPr>
          <w:rFonts w:hint="eastAsia" w:ascii="宋体" w:hAnsi="宋体" w:cs="宋体"/>
          <w:color w:val="auto"/>
          <w:szCs w:val="21"/>
          <w:highlight w:val="none"/>
          <w:lang w:val="en-US" w:eastAsia="zh-CN"/>
        </w:rPr>
        <w:t>评审</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2</w:t>
      </w:r>
      <w:r>
        <w:rPr>
          <w:rFonts w:ascii="宋体" w:hAnsi="宋体" w:cs="宋体"/>
          <w:color w:val="auto"/>
          <w:szCs w:val="21"/>
          <w:highlight w:val="none"/>
        </w:rPr>
        <w:t>.2 投标人有以下情形之一的，</w:t>
      </w:r>
      <w:r>
        <w:rPr>
          <w:rFonts w:hint="eastAsia" w:ascii="宋体" w:hAnsi="宋体" w:cs="宋体"/>
          <w:color w:val="auto"/>
          <w:szCs w:val="21"/>
          <w:highlight w:val="none"/>
        </w:rPr>
        <w:t>其投标文件将被否决：</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w:t>
      </w:r>
      <w:r>
        <w:rPr>
          <w:rFonts w:ascii="宋体" w:hAnsi="宋体" w:cs="宋体"/>
          <w:color w:val="auto"/>
          <w:szCs w:val="21"/>
          <w:highlight w:val="none"/>
        </w:rPr>
        <w:t>）</w:t>
      </w:r>
      <w:r>
        <w:rPr>
          <w:rFonts w:hint="eastAsia" w:ascii="宋体" w:hAnsi="宋体" w:cs="宋体"/>
          <w:color w:val="auto"/>
          <w:szCs w:val="21"/>
          <w:highlight w:val="none"/>
        </w:rPr>
        <w:t>本次投标有串通投标、弄虚作假等其他违反招投标相关法律、法规行为的；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）拒绝按评标委员会要求澄清、说明或补正的。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3.2.3 投标报价有算术错误的，评标委员会按以下原则对投标报价进行修正，修正的价格经投标人书面确认后具有约束力，修正原则如下：</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（1）投标文件中的大写金额与小写金额不一致的，以大写金额为准；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响应声明书</w:t>
      </w:r>
      <w:r>
        <w:rPr>
          <w:rFonts w:hint="eastAsia" w:ascii="宋体" w:hAnsi="宋体" w:cs="宋体"/>
          <w:color w:val="auto"/>
          <w:szCs w:val="21"/>
          <w:highlight w:val="none"/>
        </w:rPr>
        <w:t>中的总报价与已标价</w:t>
      </w:r>
      <w:r>
        <w:rPr>
          <w:rFonts w:hint="eastAsia" w:ascii="宋体" w:hAnsi="宋体" w:cs="宋体"/>
          <w:color w:val="auto"/>
          <w:szCs w:val="21"/>
          <w:highlight w:val="none"/>
          <w:lang w:eastAsia="zh-CN"/>
        </w:rPr>
        <w:t>采购清单</w:t>
      </w:r>
      <w:r>
        <w:rPr>
          <w:rFonts w:hint="eastAsia" w:ascii="宋体" w:hAnsi="宋体" w:cs="宋体"/>
          <w:color w:val="auto"/>
          <w:szCs w:val="21"/>
          <w:highlight w:val="none"/>
        </w:rPr>
        <w:t>总报价不一致的，由评标委员会作否决投标处理。</w:t>
      </w:r>
    </w:p>
    <w:p>
      <w:pPr>
        <w:pStyle w:val="6"/>
        <w:spacing w:before="0" w:after="0" w:line="360" w:lineRule="auto"/>
        <w:rPr>
          <w:rFonts w:hint="eastAsia" w:ascii="宋体" w:hAnsi="宋体" w:cs="宋体"/>
          <w:color w:val="auto"/>
          <w:sz w:val="21"/>
          <w:szCs w:val="21"/>
          <w:highlight w:val="none"/>
        </w:rPr>
      </w:pPr>
      <w:bookmarkStart w:id="150" w:name="_Toc57795925"/>
      <w:bookmarkStart w:id="151" w:name="_Toc33106448"/>
      <w:r>
        <w:rPr>
          <w:rFonts w:hint="eastAsia" w:ascii="宋体" w:hAnsi="宋体" w:cs="宋体"/>
          <w:color w:val="auto"/>
          <w:sz w:val="21"/>
          <w:szCs w:val="21"/>
          <w:highlight w:val="none"/>
        </w:rPr>
        <w:t>3.3 投标文件的澄清和补正</w:t>
      </w:r>
      <w:bookmarkEnd w:id="150"/>
      <w:bookmarkEnd w:id="151"/>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.1 </w:t>
      </w:r>
      <w:r>
        <w:rPr>
          <w:rFonts w:hint="eastAsia" w:ascii="宋体" w:hAnsi="宋体" w:cs="宋体"/>
          <w:color w:val="auto"/>
          <w:szCs w:val="21"/>
          <w:highlight w:val="none"/>
        </w:rPr>
        <w:t>在评标过程中，评标委员会可以书面形式要求投标人对所提交投标文件中不明确的内容进行书面澄清或说明，或者对细微偏差进行补正。评标委员会不接受投标人主动提出的澄清、说明或补正。</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.2 </w:t>
      </w:r>
      <w:r>
        <w:rPr>
          <w:rFonts w:hint="eastAsia" w:ascii="宋体" w:hAnsi="宋体" w:cs="宋体"/>
          <w:color w:val="auto"/>
          <w:szCs w:val="21"/>
          <w:highlight w:val="none"/>
        </w:rPr>
        <w:t>澄清、说明和补正不得改变投标文件的实质性内容（算术性错误修正的除外）。投标人的书面澄清、说明和补正属于投标文件的组成部分。</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.3 </w:t>
      </w:r>
      <w:r>
        <w:rPr>
          <w:rFonts w:hint="eastAsia" w:ascii="宋体" w:hAnsi="宋体" w:cs="宋体"/>
          <w:color w:val="auto"/>
          <w:szCs w:val="21"/>
          <w:highlight w:val="none"/>
        </w:rPr>
        <w:t>评标委员会对投标人提交的澄清、说明或补正有疑问的，可以要求投标人进一步澄清、说明或补正，直至满足评标委员会的要求。</w:t>
      </w:r>
    </w:p>
    <w:p>
      <w:pPr>
        <w:pStyle w:val="6"/>
        <w:spacing w:before="0" w:after="0" w:line="360" w:lineRule="auto"/>
        <w:rPr>
          <w:rFonts w:hint="eastAsia" w:ascii="宋体" w:hAnsi="宋体" w:cs="宋体"/>
          <w:color w:val="auto"/>
          <w:sz w:val="21"/>
          <w:szCs w:val="21"/>
          <w:highlight w:val="none"/>
        </w:rPr>
      </w:pPr>
      <w:bookmarkStart w:id="152" w:name="_Toc33106449"/>
      <w:bookmarkStart w:id="153" w:name="_Toc479262406"/>
      <w:bookmarkStart w:id="154" w:name="_Toc484465184"/>
      <w:bookmarkStart w:id="155" w:name="_Toc57795926"/>
      <w:r>
        <w:rPr>
          <w:rFonts w:hint="eastAsia" w:ascii="宋体" w:hAnsi="宋体" w:cs="宋体"/>
          <w:color w:val="auto"/>
          <w:sz w:val="21"/>
          <w:szCs w:val="21"/>
          <w:highlight w:val="none"/>
        </w:rPr>
        <w:t>3.4 评标结果</w:t>
      </w:r>
      <w:bookmarkEnd w:id="152"/>
      <w:bookmarkEnd w:id="153"/>
      <w:bookmarkEnd w:id="154"/>
      <w:bookmarkEnd w:id="155"/>
    </w:p>
    <w:p>
      <w:pPr>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 xml:space="preserve"> 除第二章“投标人须知”前附表授权直接确定中标人外，评标委员会按经评审的最低投标价法推荐中标候选人。</w:t>
      </w:r>
    </w:p>
    <w:p>
      <w:pPr>
        <w:spacing w:line="360" w:lineRule="auto"/>
        <w:ind w:firstLine="420" w:firstLineChars="200"/>
        <w:jc w:val="center"/>
        <w:rPr>
          <w:rFonts w:hint="default"/>
          <w:highlight w:val="none"/>
          <w:lang w:val="en-US" w:eastAsia="zh-CN"/>
        </w:rPr>
      </w:pPr>
      <w:r>
        <w:rPr>
          <w:rFonts w:ascii="宋体" w:hAnsi="宋体" w:cs="宋体"/>
          <w:color w:val="auto"/>
          <w:szCs w:val="21"/>
          <w:highlight w:val="none"/>
        </w:rPr>
        <w:t>3.</w:t>
      </w:r>
      <w:r>
        <w:rPr>
          <w:rFonts w:hint="eastAsia" w:ascii="宋体" w:hAnsi="宋体" w:cs="宋体"/>
          <w:color w:val="auto"/>
          <w:szCs w:val="21"/>
          <w:highlight w:val="none"/>
        </w:rPr>
        <w:t>4</w:t>
      </w:r>
      <w:r>
        <w:rPr>
          <w:rFonts w:ascii="宋体" w:hAnsi="宋体" w:cs="宋体"/>
          <w:color w:val="auto"/>
          <w:szCs w:val="21"/>
          <w:highlight w:val="none"/>
        </w:rPr>
        <w:t>.2</w:t>
      </w:r>
      <w:r>
        <w:rPr>
          <w:rFonts w:hint="eastAsia" w:ascii="宋体" w:hAnsi="宋体" w:cs="宋体"/>
          <w:color w:val="auto"/>
          <w:szCs w:val="21"/>
          <w:highlight w:val="none"/>
        </w:rPr>
        <w:t xml:space="preserve"> 评标委员会完成评标后，应当向</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提交书面评标报告和中标候选人名单。</w:t>
      </w:r>
      <w:r>
        <w:rPr>
          <w:rFonts w:hint="eastAsia"/>
          <w:highlight w:val="none"/>
        </w:rPr>
        <w:br w:type="page"/>
      </w:r>
      <w:bookmarkStart w:id="156" w:name="_Toc13787"/>
      <w:r>
        <w:rPr>
          <w:rStyle w:val="81"/>
          <w:rFonts w:hint="eastAsia"/>
          <w:b/>
          <w:bCs/>
          <w:highlight w:val="none"/>
          <w:lang w:val="en-US" w:eastAsia="zh-CN"/>
        </w:rPr>
        <w:t>第四章 报价说明</w:t>
      </w:r>
      <w:bookmarkEnd w:id="156"/>
    </w:p>
    <w:p>
      <w:pPr>
        <w:pStyle w:val="29"/>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1、工程量清单应与本工程竞争性比选文件、技术标准和要求等文件结合起来查阅与理解。</w:t>
      </w:r>
    </w:p>
    <w:p>
      <w:pPr>
        <w:pStyle w:val="29"/>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本竞争性比选报价采用综合单价报价。综合单价是指完成工程量清单中一个规定计量单位的分部分项工程量清单费用、措施项目清单费用、其他项目清单费用、规费、税金等完成本项目的一切费用（即本项目除安全生产费以外的人工费、材料设备及采管费和二次转运费、交通组织费、工程照管费、机械使用费、安装和调试费、差旅费、交通费、车辆通行费、车辆台班费、办理施工许可、竣工资料编制、驻地建设、竣工验收、保险、环境保护、文物保护、废弃物转运处理、综合费等），以及竞争性比选文件中明示或暗示的的所有责任、义务和一般风险。</w:t>
      </w:r>
    </w:p>
    <w:p>
      <w:pPr>
        <w:pStyle w:val="29"/>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3、“安全生产费”</w:t>
      </w:r>
      <w:r>
        <w:rPr>
          <w:rFonts w:hint="eastAsia" w:ascii="宋体" w:hAnsi="宋体" w:cs="宋体"/>
          <w:b w:val="0"/>
          <w:bCs w:val="0"/>
          <w:sz w:val="21"/>
          <w:szCs w:val="21"/>
          <w:highlight w:val="none"/>
          <w:lang w:val="en-US" w:eastAsia="zh-CN"/>
        </w:rPr>
        <w:t>为不可竞争性费用</w:t>
      </w:r>
      <w:r>
        <w:rPr>
          <w:rFonts w:hint="eastAsia" w:ascii="宋体" w:hAnsi="宋体" w:eastAsia="宋体" w:cs="宋体"/>
          <w:b w:val="0"/>
          <w:bCs w:val="0"/>
          <w:sz w:val="21"/>
          <w:szCs w:val="21"/>
          <w:highlight w:val="none"/>
          <w:lang w:val="en-US" w:eastAsia="zh-CN"/>
        </w:rPr>
        <w:t>，</w:t>
      </w:r>
      <w:r>
        <w:rPr>
          <w:rFonts w:hint="eastAsia" w:ascii="宋体" w:hAnsi="宋体" w:cs="宋体"/>
          <w:b w:val="0"/>
          <w:bCs w:val="0"/>
          <w:sz w:val="21"/>
          <w:szCs w:val="21"/>
          <w:highlight w:val="none"/>
          <w:lang w:val="en-US" w:eastAsia="zh-CN"/>
        </w:rPr>
        <w:t>为投标报价的2%，</w:t>
      </w:r>
      <w:r>
        <w:rPr>
          <w:rFonts w:hint="eastAsia" w:ascii="宋体" w:hAnsi="宋体" w:eastAsia="宋体" w:cs="宋体"/>
          <w:b w:val="0"/>
          <w:bCs w:val="0"/>
          <w:sz w:val="21"/>
          <w:szCs w:val="21"/>
          <w:highlight w:val="none"/>
          <w:lang w:val="en-US" w:eastAsia="zh-CN"/>
        </w:rPr>
        <w:t>不得</w:t>
      </w:r>
      <w:r>
        <w:rPr>
          <w:rFonts w:hint="eastAsia" w:ascii="宋体" w:hAnsi="宋体" w:cs="宋体"/>
          <w:b w:val="0"/>
          <w:bCs w:val="0"/>
          <w:sz w:val="21"/>
          <w:szCs w:val="21"/>
          <w:highlight w:val="none"/>
          <w:lang w:val="en-US" w:eastAsia="zh-CN"/>
        </w:rPr>
        <w:t>随意</w:t>
      </w:r>
      <w:r>
        <w:rPr>
          <w:rFonts w:hint="eastAsia" w:ascii="宋体" w:hAnsi="宋体" w:eastAsia="宋体" w:cs="宋体"/>
          <w:b w:val="0"/>
          <w:bCs w:val="0"/>
          <w:sz w:val="21"/>
          <w:szCs w:val="21"/>
          <w:highlight w:val="none"/>
          <w:lang w:val="en-US" w:eastAsia="zh-CN"/>
        </w:rPr>
        <w:t>调整</w:t>
      </w:r>
      <w:r>
        <w:rPr>
          <w:rFonts w:hint="eastAsia" w:ascii="宋体" w:hAnsi="宋体" w:cs="宋体"/>
          <w:b w:val="0"/>
          <w:bCs w:val="0"/>
          <w:sz w:val="21"/>
          <w:szCs w:val="21"/>
          <w:highlight w:val="none"/>
          <w:lang w:val="en-US" w:eastAsia="zh-CN"/>
        </w:rPr>
        <w:t>，据实结算，</w:t>
      </w:r>
      <w:r>
        <w:rPr>
          <w:rFonts w:hint="eastAsia" w:ascii="宋体" w:hAnsi="宋体" w:eastAsia="宋体" w:cs="宋体"/>
          <w:b w:val="0"/>
          <w:bCs w:val="0"/>
          <w:sz w:val="21"/>
          <w:szCs w:val="21"/>
          <w:highlight w:val="none"/>
          <w:lang w:val="en-US" w:eastAsia="zh-CN"/>
        </w:rPr>
        <w:t>安全生产费包含但不限于①.设置、完善、改造和维护安全防护设施设备支出；②.配备、维护、保养应急救援的器材和设备支出和应急演练支出；③.重大危险源和事故隐患评估、监控(包括远程监控)和整改支出；④.安全生产检查、咨询、评价和安全生产标准化支出；⑤.配备和更新现场作业人员安全防护用品支出；⑥.安全生产宣传、教育、培训支出；⑦.安全生产适用的新技术、新标准、新工艺、新装备的推广应用支出；⑧.安全设施及特种设备检测检验支出；⑨.其他与安全生产直接相关的支出）。保险均由报价人承担并支付，不在报价中单列。</w:t>
      </w:r>
    </w:p>
    <w:p>
      <w:pPr>
        <w:pStyle w:val="29"/>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采购人供应的材料、设备的金额不进入总报价，其他全部进入总报价。报价人在实施土建工作时，如管沟开挖、设备基础等，应包含定位放样、基础开挖和回填、弃土外运、基础钢筋制作和支模、基础浇筑及附属管道敷设等全部工作内容，电缆应根据要求进行防盗包封，设备及线缆标识按采购人要求制作安装，以上工作内容采购人不再另行计量与支付。</w:t>
      </w:r>
    </w:p>
    <w:p>
      <w:pPr>
        <w:pStyle w:val="29"/>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5、报价人应结合施工现场实际和现在的市场情况、自身技术及管理水平、经营状况、机械设备及制定的施工方案的要求自行报价，该报价不低于报价人完成该项目的成本。</w:t>
      </w:r>
    </w:p>
    <w:p>
      <w:pPr>
        <w:pStyle w:val="29"/>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6、工程量清单中所列工程数量是估算的数量，仅作为报价的共同基础，不能作为最终结算与支付的依据。实际支付应按实际完成的工程量*工程量清单的单价来计算支付金额。</w:t>
      </w:r>
    </w:p>
    <w:p>
      <w:pPr>
        <w:pStyle w:val="29"/>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7、工程量清单中所列工程量的变动，丝毫不会降低或影响合同条款的效力，也不免除报价人按规定的标准进行施工和修复缺陷的责任。</w:t>
      </w:r>
    </w:p>
    <w:p>
      <w:pPr>
        <w:pStyle w:val="29"/>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8、对工程量清单中的每一个细目，报价人均填单价和合价，对于未填入单价和合价的细目，其费用应视为已包括在工程量清单中的其他细目的单价和合价中，报价人必须按采购人指令完成工程量清单中未填入单价和合价的细目，但不能得到结算与支付，报价人的总报价应是所有工程费用的汇总。</w:t>
      </w:r>
    </w:p>
    <w:p>
      <w:pPr>
        <w:pStyle w:val="29"/>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9、工程量清单中的任何内容不得随意删除或涂改，若有误，在有效时间内书面向采购人提出，以“补遗”资料为准。</w:t>
      </w:r>
    </w:p>
    <w:p>
      <w:pPr>
        <w:pStyle w:val="29"/>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10、不同单项及单位工程中的分部分项工程量清单中相同项目（项目特征及工作内容相同）的应报价统一，如有差异，按最低的一个报价进行结算；材料设备单价处理办法相同。</w:t>
      </w:r>
    </w:p>
    <w:p>
      <w:pPr>
        <w:pStyle w:val="29"/>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11、对作业和材料设备的技术标准和要求及一般说明或规定，未重复写入工程量清单内，在给工程量清单各细目报价前，应参阅并满足设计文件及竞争性比选文件中技术标准和要求的有关部分，如不满足相关技术标准和要求，由此对采购人造成的一切损失由报价人承担。</w:t>
      </w:r>
    </w:p>
    <w:p>
      <w:pPr>
        <w:pStyle w:val="29"/>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12、对于符合要求的竞争性比选响应文件，在签订合同协议书前，如发现工程量清单中有计算方面的算术差错，按以下规定予以修正：（1）当以数字表示的金额与文字表示的金额有差异时，以文字表示的金额为准；（2）当单价与数量相乘不等于合价时，以单价计算为准，如果单价有明显的小数点位置差错，应以标出的合价为准，同时对单价予以修正；（3）当各细目的合价累计不等于总价时，应以各细目合价累计数为准，修正总价。当按以上原则对算术性差错的修正，应以取得报价人的同意，并确认修正后的最终报价。如果报价人拒绝确认，则报价做废标处理。</w:t>
      </w:r>
    </w:p>
    <w:p>
      <w:pPr>
        <w:pStyle w:val="29"/>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13、工程量清单中的任何内容不得随意删除或涂改，若有误，在有效时间内书面向采购人提出，以“补遗”资料为准。</w:t>
      </w:r>
    </w:p>
    <w:p>
      <w:pPr>
        <w:pStyle w:val="29"/>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14、报价中的单价和合价全部以人民币（元）表示。</w:t>
      </w:r>
    </w:p>
    <w:p>
      <w:pPr>
        <w:pStyle w:val="29"/>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15、对于报价人报价中明显高于市场价的单项报价，采购人有权进行价格审核后调整。调整后应以取得报价人的同意，并确认修正后的最终报价。如果报价人拒绝确认，则其竞争性响应文件将不予评审。</w:t>
      </w:r>
    </w:p>
    <w:p>
      <w:pPr>
        <w:pStyle w:val="29"/>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16、合同为单价合同，合同期间不予调价。</w:t>
      </w:r>
    </w:p>
    <w:p>
      <w:pPr>
        <w:pStyle w:val="29"/>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17、报价人应严格按照工程量清单进行报价，不得随意修改采购人发布的工程量清单数量、公式及相关内容。</w:t>
      </w:r>
    </w:p>
    <w:p>
      <w:pPr>
        <w:pStyle w:val="29"/>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18、报价人提供的材料设备需在报价清单中明确品牌及型号</w:t>
      </w:r>
      <w:r>
        <w:rPr>
          <w:rFonts w:hint="eastAsia" w:ascii="宋体" w:hAnsi="宋体" w:cs="宋体"/>
          <w:b w:val="0"/>
          <w:bCs w:val="0"/>
          <w:sz w:val="21"/>
          <w:szCs w:val="21"/>
          <w:highlight w:val="none"/>
          <w:lang w:val="en-US" w:eastAsia="zh-CN"/>
        </w:rPr>
        <w:t>，且报价人提供的设备质保期为2年，自本项目交工验收合格之日起计算</w:t>
      </w:r>
      <w:r>
        <w:rPr>
          <w:rFonts w:hint="eastAsia" w:ascii="宋体" w:hAnsi="宋体" w:eastAsia="宋体" w:cs="宋体"/>
          <w:b w:val="0"/>
          <w:bCs w:val="0"/>
          <w:sz w:val="21"/>
          <w:szCs w:val="21"/>
          <w:highlight w:val="none"/>
          <w:lang w:val="en-US" w:eastAsia="zh-CN"/>
        </w:rPr>
        <w:t xml:space="preserve">。 </w:t>
      </w:r>
    </w:p>
    <w:p>
      <w:pPr>
        <w:pStyle w:val="29"/>
        <w:rPr>
          <w:rFonts w:hint="default"/>
          <w:highlight w:val="none"/>
          <w:lang w:val="en-US" w:eastAsia="zh-CN"/>
        </w:rPr>
        <w:sectPr>
          <w:footerReference r:id="rId9" w:type="default"/>
          <w:pgSz w:w="11906" w:h="16838"/>
          <w:pgMar w:top="1440" w:right="1800" w:bottom="1440" w:left="1800" w:header="851" w:footer="992" w:gutter="0"/>
          <w:cols w:space="720" w:num="1"/>
          <w:titlePg/>
          <w:docGrid w:type="lines" w:linePitch="312" w:charSpace="0"/>
        </w:sectPr>
      </w:pPr>
    </w:p>
    <w:p>
      <w:pPr>
        <w:pStyle w:val="4"/>
        <w:spacing w:before="0" w:after="0" w:line="360" w:lineRule="auto"/>
        <w:jc w:val="center"/>
        <w:rPr>
          <w:rFonts w:hint="eastAsia" w:ascii="宋体" w:hAnsi="宋体" w:cs="宋体"/>
          <w:highlight w:val="none"/>
        </w:rPr>
      </w:pPr>
      <w:bookmarkStart w:id="157" w:name="_Toc179632789"/>
      <w:bookmarkStart w:id="158" w:name="_Toc152045772"/>
      <w:bookmarkStart w:id="159" w:name="_Toc2000409"/>
      <w:bookmarkStart w:id="160" w:name="_Toc246997083"/>
      <w:bookmarkStart w:id="161" w:name="_Toc144974834"/>
      <w:bookmarkStart w:id="162" w:name="_Toc152042554"/>
      <w:bookmarkStart w:id="163" w:name="_Toc247085855"/>
      <w:bookmarkStart w:id="164" w:name="_Toc514858705"/>
      <w:bookmarkStart w:id="165" w:name="_Toc246996340"/>
      <w:bookmarkStart w:id="166" w:name="_Toc24503"/>
      <w:bookmarkStart w:id="167" w:name="_Toc144974855"/>
      <w:bookmarkStart w:id="168" w:name="_Toc179632806"/>
      <w:bookmarkStart w:id="169" w:name="_Toc152042575"/>
      <w:bookmarkStart w:id="170" w:name="_Toc152045786"/>
      <w:bookmarkStart w:id="171" w:name="_Toc247085872"/>
      <w:bookmarkStart w:id="172" w:name="_Toc246996354"/>
      <w:bookmarkStart w:id="173" w:name="_Toc246997097"/>
      <w:r>
        <w:rPr>
          <w:rFonts w:hint="eastAsia" w:ascii="宋体" w:hAnsi="宋体" w:cs="宋体"/>
          <w:highlight w:val="none"/>
        </w:rPr>
        <w:t>第五章  工程量清单</w:t>
      </w:r>
      <w:bookmarkEnd w:id="157"/>
      <w:bookmarkEnd w:id="158"/>
      <w:bookmarkEnd w:id="159"/>
      <w:bookmarkEnd w:id="160"/>
      <w:bookmarkEnd w:id="161"/>
      <w:bookmarkEnd w:id="162"/>
      <w:bookmarkEnd w:id="163"/>
      <w:bookmarkEnd w:id="164"/>
      <w:bookmarkEnd w:id="165"/>
      <w:bookmarkEnd w:id="166"/>
    </w:p>
    <w:p>
      <w:pPr>
        <w:ind w:firstLine="420"/>
        <w:jc w:val="left"/>
        <w:rPr>
          <w:rFonts w:hint="eastAsia" w:ascii="宋体" w:hAnsi="宋体" w:cs="宋体"/>
          <w:b/>
          <w:highlight w:val="none"/>
        </w:rPr>
      </w:pPr>
      <w:bookmarkStart w:id="174" w:name="_Toc246997093"/>
      <w:bookmarkStart w:id="175" w:name="_Toc247096438"/>
      <w:bookmarkStart w:id="176" w:name="_Toc144974851"/>
      <w:bookmarkStart w:id="177" w:name="_Toc247085866"/>
      <w:bookmarkStart w:id="178" w:name="_Toc179632800"/>
      <w:bookmarkStart w:id="179" w:name="_Toc246996350"/>
      <w:bookmarkStart w:id="180" w:name="_Toc152045782"/>
      <w:bookmarkStart w:id="181" w:name="_Toc152042571"/>
    </w:p>
    <w:p>
      <w:pPr>
        <w:jc w:val="center"/>
        <w:rPr>
          <w:rFonts w:hint="eastAsia" w:ascii="宋体" w:hAnsi="宋体" w:cs="宋体"/>
          <w:b/>
          <w:highlight w:val="none"/>
        </w:rPr>
      </w:pPr>
      <w:r>
        <w:rPr>
          <w:rFonts w:hint="eastAsia" w:ascii="宋体" w:hAnsi="宋体" w:cs="宋体"/>
          <w:b/>
          <w:kern w:val="0"/>
          <w:sz w:val="24"/>
          <w:highlight w:val="none"/>
        </w:rPr>
        <w:t>详见竞争性比选文件附件。</w:t>
      </w: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rPr>
          <w:rFonts w:hint="eastAsia" w:ascii="宋体" w:hAnsi="宋体" w:cs="宋体"/>
          <w:b/>
          <w:highlight w:val="none"/>
        </w:rPr>
      </w:pPr>
    </w:p>
    <w:p>
      <w:pPr>
        <w:jc w:val="center"/>
        <w:rPr>
          <w:rFonts w:hint="eastAsia" w:ascii="宋体" w:hAnsi="宋体" w:cs="宋体"/>
          <w:b/>
          <w:highlight w:val="none"/>
        </w:rPr>
        <w:sectPr>
          <w:pgSz w:w="11906" w:h="16838"/>
          <w:pgMar w:top="1440" w:right="1800" w:bottom="1440" w:left="1800" w:header="851" w:footer="992" w:gutter="0"/>
          <w:cols w:space="720" w:num="1"/>
          <w:titlePg/>
          <w:docGrid w:type="lines" w:linePitch="312" w:charSpace="0"/>
        </w:sectPr>
      </w:pPr>
    </w:p>
    <w:p>
      <w:pPr>
        <w:pStyle w:val="4"/>
        <w:spacing w:before="0" w:after="0" w:line="360" w:lineRule="auto"/>
        <w:jc w:val="center"/>
        <w:rPr>
          <w:rFonts w:hint="eastAsia" w:ascii="宋体" w:hAnsi="宋体" w:cs="宋体"/>
          <w:highlight w:val="none"/>
        </w:rPr>
      </w:pPr>
      <w:bookmarkStart w:id="182" w:name="_Toc2000410"/>
      <w:bookmarkStart w:id="183" w:name="_Toc12440"/>
      <w:bookmarkStart w:id="184" w:name="_Toc514858706"/>
      <w:bookmarkStart w:id="185" w:name="_Toc447827048"/>
      <w:bookmarkStart w:id="186" w:name="_Toc503951042"/>
      <w:bookmarkStart w:id="187" w:name="_Toc513633963"/>
      <w:r>
        <w:rPr>
          <w:rFonts w:hint="eastAsia" w:ascii="宋体" w:hAnsi="宋体" w:cs="宋体"/>
          <w:highlight w:val="none"/>
        </w:rPr>
        <w:t>第六章  图  纸</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pPr>
        <w:jc w:val="center"/>
        <w:rPr>
          <w:rFonts w:hint="eastAsia" w:ascii="宋体" w:hAnsi="宋体" w:cs="宋体"/>
          <w:b/>
          <w:highlight w:val="none"/>
        </w:rPr>
      </w:pPr>
      <w:r>
        <w:rPr>
          <w:rFonts w:hint="eastAsia" w:ascii="宋体" w:hAnsi="宋体" w:cs="宋体"/>
          <w:b/>
          <w:kern w:val="0"/>
          <w:sz w:val="24"/>
          <w:highlight w:val="none"/>
        </w:rPr>
        <w:t>详见竞争性比选文件附件。</w:t>
      </w:r>
    </w:p>
    <w:p>
      <w:pPr>
        <w:spacing w:line="400" w:lineRule="exact"/>
        <w:rPr>
          <w:rFonts w:hint="eastAsia" w:ascii="宋体" w:hAnsi="宋体" w:cs="宋体"/>
          <w:highlight w:val="none"/>
        </w:rPr>
      </w:pPr>
      <w:r>
        <w:rPr>
          <w:rFonts w:hint="eastAsia" w:ascii="宋体" w:hAnsi="宋体" w:cs="宋体"/>
          <w:highlight w:val="none"/>
        </w:rPr>
        <w:br w:type="page"/>
      </w:r>
      <w:bookmarkStart w:id="188" w:name="_Toc152045785"/>
      <w:bookmarkStart w:id="189" w:name="_Toc144974854"/>
      <w:bookmarkStart w:id="190" w:name="_Toc152042574"/>
    </w:p>
    <w:p>
      <w:pPr>
        <w:pStyle w:val="4"/>
        <w:spacing w:before="0" w:after="0" w:line="360" w:lineRule="auto"/>
        <w:jc w:val="center"/>
        <w:rPr>
          <w:rFonts w:hint="eastAsia" w:ascii="宋体" w:hAnsi="宋体" w:cs="宋体"/>
          <w:highlight w:val="none"/>
        </w:rPr>
      </w:pPr>
      <w:bookmarkStart w:id="191" w:name="_Toc246997096"/>
      <w:bookmarkStart w:id="192" w:name="_Toc10887"/>
      <w:bookmarkStart w:id="193" w:name="_Toc447827049"/>
      <w:bookmarkStart w:id="194" w:name="_Toc246996353"/>
      <w:bookmarkStart w:id="195" w:name="_Toc503951043"/>
      <w:bookmarkStart w:id="196" w:name="_Toc179632804"/>
      <w:bookmarkStart w:id="197" w:name="_Toc513633964"/>
      <w:bookmarkStart w:id="198" w:name="_Toc247085870"/>
      <w:bookmarkStart w:id="199" w:name="_Toc514858707"/>
      <w:bookmarkStart w:id="200" w:name="_Toc2000411"/>
      <w:r>
        <w:rPr>
          <w:rFonts w:hint="eastAsia" w:ascii="宋体" w:hAnsi="宋体" w:cs="宋体"/>
          <w:highlight w:val="none"/>
        </w:rPr>
        <w:t>第七章  技术标准和工作要求</w:t>
      </w:r>
      <w:bookmarkEnd w:id="188"/>
      <w:bookmarkEnd w:id="189"/>
      <w:bookmarkEnd w:id="190"/>
      <w:bookmarkEnd w:id="191"/>
      <w:bookmarkEnd w:id="192"/>
      <w:bookmarkEnd w:id="193"/>
      <w:bookmarkEnd w:id="194"/>
      <w:bookmarkEnd w:id="195"/>
      <w:bookmarkEnd w:id="196"/>
      <w:bookmarkEnd w:id="197"/>
      <w:bookmarkEnd w:id="198"/>
      <w:bookmarkEnd w:id="199"/>
      <w:bookmarkEnd w:id="200"/>
    </w:p>
    <w:bookmarkEnd w:id="167"/>
    <w:bookmarkEnd w:id="168"/>
    <w:bookmarkEnd w:id="169"/>
    <w:bookmarkEnd w:id="170"/>
    <w:bookmarkEnd w:id="171"/>
    <w:bookmarkEnd w:id="172"/>
    <w:bookmarkEnd w:id="173"/>
    <w:p>
      <w:pPr>
        <w:pStyle w:val="4"/>
        <w:spacing w:before="0" w:after="0" w:line="360" w:lineRule="auto"/>
        <w:jc w:val="center"/>
        <w:rPr>
          <w:rFonts w:hint="default" w:ascii="宋体" w:hAnsi="宋体" w:eastAsia="宋体" w:cs="宋体"/>
          <w:highlight w:val="none"/>
          <w:lang w:val="en-US" w:eastAsia="zh-CN"/>
        </w:rPr>
      </w:pPr>
      <w:bookmarkStart w:id="201" w:name="_Toc514858708"/>
      <w:bookmarkStart w:id="202" w:name="_Toc12089"/>
      <w:bookmarkStart w:id="203" w:name="_Toc2000412"/>
      <w:bookmarkStart w:id="204" w:name="_Toc514430114"/>
      <w:bookmarkStart w:id="205" w:name="_Toc247085873"/>
      <w:bookmarkStart w:id="206" w:name="_Toc507320039"/>
      <w:bookmarkStart w:id="207" w:name="_Toc152045787"/>
      <w:bookmarkStart w:id="208" w:name="_Toc246996355"/>
      <w:bookmarkStart w:id="209" w:name="_Toc152042576"/>
      <w:bookmarkStart w:id="210" w:name="_Toc246997098"/>
      <w:bookmarkStart w:id="211" w:name="_Toc179632807"/>
      <w:bookmarkStart w:id="212" w:name="_Toc144974856"/>
      <w:r>
        <w:rPr>
          <w:rFonts w:hint="eastAsia"/>
          <w:sz w:val="24"/>
          <w:szCs w:val="24"/>
          <w:highlight w:val="none"/>
          <w:lang w:val="en-US" w:eastAsia="zh-CN"/>
        </w:rPr>
        <w:t>见图纸和清单说明</w:t>
      </w:r>
      <w:r>
        <w:rPr>
          <w:rFonts w:hint="eastAsia" w:ascii="宋体" w:hAnsi="宋体" w:cs="宋体"/>
          <w:sz w:val="24"/>
          <w:szCs w:val="24"/>
          <w:highlight w:val="none"/>
          <w:lang w:val="en-US" w:eastAsia="zh-CN"/>
        </w:rPr>
        <w:t>。</w:t>
      </w:r>
      <w:r>
        <w:rPr>
          <w:rFonts w:hint="eastAsia" w:ascii="宋体" w:hAnsi="宋体" w:cs="宋体"/>
          <w:highlight w:val="none"/>
        </w:rPr>
        <w:br w:type="page"/>
      </w:r>
      <w:r>
        <w:rPr>
          <w:rFonts w:hint="eastAsia" w:ascii="宋体" w:hAnsi="宋体" w:cs="宋体"/>
          <w:highlight w:val="none"/>
        </w:rPr>
        <w:t xml:space="preserve">第八章  </w:t>
      </w:r>
      <w:bookmarkEnd w:id="201"/>
      <w:bookmarkEnd w:id="202"/>
      <w:bookmarkEnd w:id="203"/>
      <w:bookmarkEnd w:id="204"/>
      <w:r>
        <w:rPr>
          <w:rFonts w:hint="eastAsia" w:ascii="宋体" w:hAnsi="宋体" w:cs="宋体"/>
          <w:highlight w:val="none"/>
          <w:lang w:val="en-US" w:eastAsia="zh-CN"/>
        </w:rPr>
        <w:t>合同范本</w:t>
      </w:r>
    </w:p>
    <w:p>
      <w:pPr>
        <w:spacing w:line="360" w:lineRule="auto"/>
        <w:ind w:firstLine="482" w:firstLineChars="200"/>
        <w:jc w:val="center"/>
        <w:rPr>
          <w:rFonts w:hint="eastAsia" w:ascii="宋体" w:hAnsi="宋体" w:cs="宋体"/>
          <w:szCs w:val="21"/>
          <w:highlight w:val="none"/>
        </w:rPr>
      </w:pPr>
      <w:r>
        <w:rPr>
          <w:rFonts w:hint="eastAsia" w:ascii="宋体" w:hAnsi="宋体" w:cs="宋体"/>
          <w:b/>
          <w:kern w:val="0"/>
          <w:sz w:val="24"/>
          <w:highlight w:val="none"/>
        </w:rPr>
        <w:t>详见竞争性比选文件附件。</w:t>
      </w: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sectPr>
          <w:pgSz w:w="11906" w:h="16838"/>
          <w:pgMar w:top="1440" w:right="1803" w:bottom="1440" w:left="1803" w:header="851" w:footer="992" w:gutter="0"/>
          <w:cols w:space="720" w:num="1"/>
          <w:titlePg/>
          <w:docGrid w:type="lines" w:linePitch="319" w:charSpace="0"/>
        </w:sectPr>
      </w:pPr>
      <w:bookmarkStart w:id="213" w:name="_Toc513633965"/>
    </w:p>
    <w:p>
      <w:pPr>
        <w:pStyle w:val="4"/>
        <w:spacing w:before="0" w:after="0" w:line="360" w:lineRule="auto"/>
        <w:jc w:val="center"/>
        <w:rPr>
          <w:rFonts w:hint="eastAsia" w:ascii="宋体" w:hAnsi="宋体" w:cs="宋体"/>
          <w:highlight w:val="none"/>
        </w:rPr>
      </w:pPr>
      <w:bookmarkStart w:id="214" w:name="_Toc514858709"/>
      <w:bookmarkStart w:id="215" w:name="_Toc24853"/>
      <w:bookmarkStart w:id="216" w:name="_Toc2000413"/>
      <w:r>
        <w:rPr>
          <w:rFonts w:hint="eastAsia" w:ascii="宋体" w:hAnsi="宋体" w:cs="宋体"/>
          <w:highlight w:val="none"/>
        </w:rPr>
        <w:t>第九章  竞争性比选响应文件格式</w:t>
      </w:r>
      <w:bookmarkEnd w:id="213"/>
      <w:bookmarkEnd w:id="214"/>
      <w:bookmarkEnd w:id="215"/>
      <w:bookmarkEnd w:id="216"/>
    </w:p>
    <w:p>
      <w:pPr>
        <w:rPr>
          <w:rFonts w:hint="eastAsia" w:ascii="宋体" w:hAnsi="宋体" w:cs="宋体"/>
          <w:highlight w:val="none"/>
        </w:rPr>
      </w:pPr>
    </w:p>
    <w:p>
      <w:pPr>
        <w:rPr>
          <w:rFonts w:hint="eastAsia" w:ascii="宋体" w:hAnsi="宋体" w:cs="宋体"/>
          <w:highlight w:val="none"/>
        </w:rPr>
        <w:sectPr>
          <w:pgSz w:w="11906" w:h="16838"/>
          <w:pgMar w:top="1440" w:right="1803" w:bottom="1440" w:left="1803" w:header="851" w:footer="992" w:gutter="0"/>
          <w:cols w:space="720" w:num="1"/>
          <w:titlePg/>
          <w:docGrid w:type="lines" w:linePitch="319" w:charSpace="0"/>
        </w:sectPr>
      </w:pPr>
    </w:p>
    <w:p>
      <w:pPr>
        <w:rPr>
          <w:rFonts w:hint="eastAsia" w:ascii="宋体" w:hAnsi="宋体" w:cs="宋体"/>
          <w:highlight w:val="none"/>
        </w:rPr>
      </w:pPr>
    </w:p>
    <w:p>
      <w:pPr>
        <w:jc w:val="center"/>
        <w:rPr>
          <w:rFonts w:hint="eastAsia" w:ascii="宋体" w:hAnsi="宋体" w:cs="宋体"/>
          <w:sz w:val="52"/>
          <w:szCs w:val="52"/>
          <w:highlight w:val="none"/>
          <w:u w:val="single"/>
        </w:rPr>
      </w:pPr>
      <w:bookmarkStart w:id="217" w:name="_Toc513633967"/>
      <w:bookmarkStart w:id="218" w:name="_Toc503951046"/>
      <w:bookmarkStart w:id="219" w:name="_Toc503971829"/>
      <w:bookmarkStart w:id="220" w:name="_Toc514858710"/>
      <w:bookmarkStart w:id="221" w:name="_Toc513646738"/>
      <w:r>
        <w:rPr>
          <w:rFonts w:hint="eastAsia" w:ascii="宋体" w:hAnsi="宋体" w:cs="宋体"/>
          <w:highlight w:val="none"/>
          <w:u w:val="single"/>
        </w:rPr>
        <w:t xml:space="preserve">                   </w:t>
      </w:r>
      <w:r>
        <w:rPr>
          <w:rFonts w:hint="eastAsia" w:ascii="宋体" w:hAnsi="宋体" w:cs="宋体"/>
          <w:highlight w:val="none"/>
          <w:u w:val="single"/>
          <w:lang w:val="en-US" w:eastAsia="zh-CN"/>
        </w:rPr>
        <w:t xml:space="preserve">    </w:t>
      </w:r>
      <w:r>
        <w:rPr>
          <w:rFonts w:hint="eastAsia" w:ascii="宋体" w:hAnsi="宋体" w:cs="宋体"/>
          <w:highlight w:val="none"/>
          <w:u w:val="single"/>
        </w:rPr>
        <w:t xml:space="preserve">    </w:t>
      </w:r>
      <w:r>
        <w:rPr>
          <w:rFonts w:hint="eastAsia" w:ascii="宋体" w:hAnsi="宋体" w:cs="宋体"/>
          <w:sz w:val="52"/>
          <w:szCs w:val="52"/>
          <w:highlight w:val="none"/>
          <w:u w:val="single"/>
        </w:rPr>
        <w:t>（项目名称）</w:t>
      </w:r>
      <w:bookmarkEnd w:id="217"/>
      <w:bookmarkEnd w:id="218"/>
      <w:bookmarkEnd w:id="219"/>
      <w:bookmarkEnd w:id="220"/>
      <w:bookmarkEnd w:id="221"/>
      <w:r>
        <w:rPr>
          <w:rFonts w:hint="eastAsia" w:ascii="宋体" w:hAnsi="宋体" w:cs="宋体"/>
          <w:sz w:val="52"/>
          <w:szCs w:val="52"/>
          <w:highlight w:val="none"/>
          <w:u w:val="single"/>
        </w:rPr>
        <w:t xml:space="preserve"> </w:t>
      </w:r>
    </w:p>
    <w:p>
      <w:pPr>
        <w:rPr>
          <w:rFonts w:hint="eastAsia" w:ascii="宋体" w:hAnsi="宋体" w:cs="宋体"/>
          <w:sz w:val="20"/>
          <w:szCs w:val="20"/>
          <w:highlight w:val="none"/>
        </w:rPr>
      </w:pPr>
    </w:p>
    <w:p>
      <w:pPr>
        <w:jc w:val="center"/>
        <w:rPr>
          <w:rFonts w:hint="eastAsia" w:ascii="宋体" w:hAnsi="宋体" w:cs="宋体"/>
          <w:sz w:val="44"/>
          <w:szCs w:val="44"/>
          <w:highlight w:val="none"/>
        </w:rPr>
      </w:pPr>
      <w:r>
        <w:rPr>
          <w:rFonts w:hint="eastAsia" w:ascii="宋体" w:hAnsi="宋体" w:cs="宋体"/>
          <w:sz w:val="44"/>
          <w:szCs w:val="44"/>
          <w:highlight w:val="none"/>
        </w:rPr>
        <w:t xml:space="preserve"> </w:t>
      </w: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jc w:val="center"/>
        <w:rPr>
          <w:rFonts w:hint="eastAsia" w:ascii="宋体" w:hAnsi="宋体" w:cs="宋体"/>
          <w:b/>
          <w:sz w:val="72"/>
          <w:szCs w:val="44"/>
          <w:highlight w:val="none"/>
        </w:rPr>
      </w:pPr>
      <w:r>
        <w:rPr>
          <w:rFonts w:hint="eastAsia" w:ascii="宋体" w:hAnsi="宋体" w:cs="宋体"/>
          <w:b/>
          <w:sz w:val="72"/>
          <w:szCs w:val="44"/>
          <w:highlight w:val="none"/>
        </w:rPr>
        <w:t>竞争性比选响应文件</w:t>
      </w:r>
    </w:p>
    <w:p>
      <w:pPr>
        <w:jc w:val="center"/>
        <w:rPr>
          <w:rFonts w:hint="eastAsia" w:ascii="宋体" w:hAnsi="宋体" w:cs="宋体"/>
          <w:b/>
          <w:sz w:val="32"/>
          <w:szCs w:val="32"/>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pStyle w:val="29"/>
        <w:rPr>
          <w:rFonts w:hint="eastAsia"/>
          <w:highlight w:val="none"/>
        </w:rPr>
      </w:pPr>
    </w:p>
    <w:p>
      <w:pPr>
        <w:rPr>
          <w:rFonts w:hint="eastAsia"/>
          <w:highlight w:val="none"/>
        </w:rPr>
      </w:pPr>
    </w:p>
    <w:p>
      <w:pPr>
        <w:pStyle w:val="29"/>
        <w:rPr>
          <w:rFonts w:hint="eastAsia"/>
          <w:highlight w:val="none"/>
        </w:rPr>
      </w:pPr>
    </w:p>
    <w:p>
      <w:pPr>
        <w:rPr>
          <w:rFonts w:hint="eastAsia"/>
          <w:highlight w:val="none"/>
        </w:rPr>
      </w:pPr>
    </w:p>
    <w:p>
      <w:pPr>
        <w:pStyle w:val="29"/>
        <w:rPr>
          <w:rFonts w:hint="eastAsia"/>
          <w:highlight w:val="none"/>
        </w:rPr>
      </w:pPr>
    </w:p>
    <w:p>
      <w:pPr>
        <w:jc w:val="center"/>
        <w:rPr>
          <w:rFonts w:hint="eastAsia" w:ascii="宋体" w:hAnsi="宋体" w:cs="宋体"/>
          <w:sz w:val="28"/>
          <w:szCs w:val="28"/>
          <w:highlight w:val="none"/>
          <w:u w:val="single"/>
        </w:rPr>
      </w:pPr>
      <w:r>
        <w:rPr>
          <w:rFonts w:hint="eastAsia" w:ascii="宋体" w:hAnsi="宋体" w:cs="宋体"/>
          <w:sz w:val="28"/>
          <w:szCs w:val="28"/>
          <w:highlight w:val="none"/>
        </w:rPr>
        <w:t>报价人：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（盖单位鲜公章）</w:t>
      </w:r>
    </w:p>
    <w:p>
      <w:pPr>
        <w:jc w:val="center"/>
        <w:rPr>
          <w:rFonts w:hint="eastAsia" w:ascii="宋体" w:hAnsi="宋体" w:cs="宋体"/>
          <w:sz w:val="28"/>
          <w:szCs w:val="28"/>
          <w:highlight w:val="none"/>
        </w:rPr>
      </w:pPr>
      <w:r>
        <w:rPr>
          <w:rFonts w:hint="eastAsia" w:ascii="宋体" w:hAnsi="宋体" w:cs="宋体"/>
          <w:sz w:val="28"/>
          <w:szCs w:val="28"/>
          <w:highlight w:val="none"/>
        </w:rPr>
        <w:t>法定代表人或其委托代理人：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（签字）</w:t>
      </w:r>
    </w:p>
    <w:p>
      <w:pPr>
        <w:jc w:val="center"/>
        <w:rPr>
          <w:rFonts w:hint="eastAsia" w:ascii="宋体" w:hAnsi="宋体" w:cs="宋体"/>
          <w:sz w:val="20"/>
          <w:szCs w:val="20"/>
          <w:highlight w:val="none"/>
        </w:rPr>
      </w:pPr>
      <w:r>
        <w:rPr>
          <w:rFonts w:hint="eastAsia" w:ascii="宋体" w:hAnsi="宋体" w:cs="宋体"/>
          <w:sz w:val="28"/>
          <w:szCs w:val="28"/>
          <w:highlight w:val="none"/>
          <w:u w:val="single"/>
        </w:rPr>
        <w:t xml:space="preserve">        </w:t>
      </w:r>
      <w:r>
        <w:rPr>
          <w:rFonts w:hint="eastAsia" w:ascii="宋体" w:hAnsi="宋体" w:cs="宋体"/>
          <w:sz w:val="28"/>
          <w:szCs w:val="28"/>
          <w:highlight w:val="none"/>
        </w:rPr>
        <w:t>年</w:t>
      </w:r>
      <w:r>
        <w:rPr>
          <w:rFonts w:hint="eastAsia" w:ascii="宋体" w:hAnsi="宋体" w:cs="宋体"/>
          <w:sz w:val="28"/>
          <w:szCs w:val="28"/>
          <w:highlight w:val="none"/>
          <w:u w:val="single"/>
        </w:rPr>
        <w:t xml:space="preserve">        </w:t>
      </w:r>
      <w:r>
        <w:rPr>
          <w:rFonts w:hint="eastAsia" w:ascii="宋体" w:hAnsi="宋体" w:cs="宋体"/>
          <w:sz w:val="28"/>
          <w:szCs w:val="28"/>
          <w:highlight w:val="none"/>
        </w:rPr>
        <w:t>月</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日</w:t>
      </w: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pStyle w:val="5"/>
        <w:jc w:val="center"/>
        <w:rPr>
          <w:rFonts w:hint="eastAsia" w:ascii="宋体" w:hAnsi="宋体" w:eastAsia="宋体" w:cs="宋体"/>
          <w:highlight w:val="none"/>
        </w:rPr>
      </w:pPr>
      <w:bookmarkStart w:id="222" w:name="_Toc28780"/>
      <w:bookmarkStart w:id="223" w:name="_Toc1368"/>
      <w:bookmarkStart w:id="224" w:name="_Toc11329273"/>
      <w:bookmarkStart w:id="225" w:name="_Toc5459"/>
      <w:r>
        <w:rPr>
          <w:rFonts w:hint="eastAsia" w:ascii="宋体" w:hAnsi="宋体" w:eastAsia="宋体" w:cs="宋体"/>
          <w:highlight w:val="none"/>
        </w:rPr>
        <w:t>目    录</w:t>
      </w:r>
      <w:bookmarkEnd w:id="205"/>
      <w:bookmarkEnd w:id="206"/>
      <w:bookmarkEnd w:id="207"/>
      <w:bookmarkEnd w:id="208"/>
      <w:bookmarkEnd w:id="209"/>
      <w:bookmarkEnd w:id="210"/>
      <w:bookmarkEnd w:id="211"/>
      <w:bookmarkEnd w:id="212"/>
      <w:bookmarkEnd w:id="222"/>
      <w:bookmarkEnd w:id="223"/>
      <w:bookmarkEnd w:id="224"/>
      <w:bookmarkEnd w:id="225"/>
    </w:p>
    <w:p>
      <w:pPr>
        <w:numPr>
          <w:ilvl w:val="0"/>
          <w:numId w:val="5"/>
        </w:numPr>
        <w:spacing w:line="400" w:lineRule="exact"/>
        <w:rPr>
          <w:rFonts w:hint="eastAsia" w:ascii="宋体" w:hAnsi="宋体" w:cs="宋体"/>
          <w:highlight w:val="none"/>
          <w:lang w:val="en-US" w:eastAsia="zh-CN"/>
        </w:rPr>
      </w:pPr>
      <w:r>
        <w:rPr>
          <w:rFonts w:hint="eastAsia" w:ascii="宋体" w:hAnsi="宋体" w:cs="宋体"/>
          <w:highlight w:val="none"/>
          <w:lang w:val="en-US" w:eastAsia="zh-CN"/>
        </w:rPr>
        <w:t>竞争性响应声明书</w:t>
      </w:r>
    </w:p>
    <w:p>
      <w:pPr>
        <w:numPr>
          <w:ilvl w:val="0"/>
          <w:numId w:val="5"/>
        </w:numPr>
        <w:spacing w:line="400" w:lineRule="exact"/>
        <w:rPr>
          <w:rFonts w:hint="default" w:ascii="宋体" w:hAnsi="宋体" w:cs="宋体"/>
          <w:highlight w:val="none"/>
          <w:lang w:val="en-US" w:eastAsia="zh-CN"/>
        </w:rPr>
      </w:pPr>
      <w:r>
        <w:rPr>
          <w:rFonts w:hint="default" w:ascii="宋体" w:hAnsi="宋体" w:cs="宋体"/>
          <w:highlight w:val="none"/>
          <w:lang w:val="en-US" w:eastAsia="zh-CN"/>
        </w:rPr>
        <w:t>法定代表人身份证明或法定代表人授权委托书</w:t>
      </w:r>
    </w:p>
    <w:p>
      <w:pPr>
        <w:spacing w:line="400" w:lineRule="exact"/>
        <w:rPr>
          <w:rFonts w:hint="default" w:ascii="宋体" w:hAnsi="宋体" w:eastAsia="宋体" w:cs="宋体"/>
          <w:highlight w:val="none"/>
          <w:lang w:val="en-US" w:eastAsia="zh-CN"/>
        </w:rPr>
      </w:pPr>
      <w:r>
        <w:rPr>
          <w:rFonts w:hint="eastAsia" w:ascii="宋体" w:hAnsi="宋体" w:cs="宋体"/>
          <w:highlight w:val="none"/>
          <w:lang w:val="en-US" w:eastAsia="zh-CN"/>
        </w:rPr>
        <w:t>三</w:t>
      </w:r>
      <w:r>
        <w:rPr>
          <w:rFonts w:hint="eastAsia" w:ascii="宋体" w:hAnsi="宋体" w:cs="宋体"/>
          <w:highlight w:val="none"/>
        </w:rPr>
        <w:t>、</w:t>
      </w:r>
      <w:r>
        <w:rPr>
          <w:rFonts w:hint="eastAsia" w:ascii="宋体" w:hAnsi="宋体" w:cs="宋体"/>
          <w:highlight w:val="none"/>
          <w:lang w:val="en-US" w:eastAsia="zh-CN"/>
        </w:rPr>
        <w:t>报价一览表</w:t>
      </w:r>
    </w:p>
    <w:p>
      <w:pPr>
        <w:spacing w:line="400" w:lineRule="exact"/>
        <w:rPr>
          <w:rFonts w:hint="eastAsia" w:ascii="宋体" w:hAnsi="宋体" w:cs="宋体"/>
          <w:highlight w:val="none"/>
        </w:rPr>
      </w:pPr>
      <w:r>
        <w:rPr>
          <w:rFonts w:hint="eastAsia" w:ascii="宋体" w:hAnsi="宋体" w:cs="宋体"/>
          <w:highlight w:val="none"/>
          <w:lang w:val="en-US" w:eastAsia="zh-CN"/>
        </w:rPr>
        <w:t>四</w:t>
      </w:r>
      <w:r>
        <w:rPr>
          <w:rFonts w:hint="eastAsia" w:ascii="宋体" w:hAnsi="宋体" w:cs="宋体"/>
          <w:highlight w:val="none"/>
        </w:rPr>
        <w:t>、报价人基本信息及其他材料</w:t>
      </w:r>
    </w:p>
    <w:p>
      <w:pPr>
        <w:spacing w:line="400" w:lineRule="exact"/>
        <w:rPr>
          <w:rFonts w:hint="eastAsia" w:ascii="宋体" w:hAnsi="宋体" w:cs="宋体"/>
          <w:highlight w:val="none"/>
          <w:lang w:val="en-US" w:eastAsia="zh-CN"/>
        </w:rPr>
      </w:pPr>
      <w:r>
        <w:rPr>
          <w:rFonts w:hint="eastAsia" w:ascii="宋体" w:hAnsi="宋体" w:cs="宋体"/>
          <w:highlight w:val="none"/>
          <w:lang w:val="en-US" w:eastAsia="zh-CN"/>
        </w:rPr>
        <w:t>五、承诺书</w:t>
      </w:r>
    </w:p>
    <w:p>
      <w:pPr>
        <w:spacing w:line="400" w:lineRule="exact"/>
        <w:rPr>
          <w:rFonts w:hint="eastAsia" w:ascii="宋体" w:hAnsi="宋体" w:cs="宋体"/>
          <w:highlight w:val="none"/>
          <w:lang w:val="en-US" w:eastAsia="zh-CN"/>
        </w:rPr>
      </w:pPr>
      <w:r>
        <w:rPr>
          <w:rFonts w:hint="eastAsia" w:ascii="宋体" w:hAnsi="宋体" w:cs="宋体"/>
          <w:highlight w:val="none"/>
          <w:lang w:val="en-US" w:eastAsia="zh-CN"/>
        </w:rPr>
        <w:t>六、其他</w:t>
      </w:r>
    </w:p>
    <w:p>
      <w:pPr>
        <w:pStyle w:val="29"/>
        <w:rPr>
          <w:rFonts w:ascii="宋体" w:hAnsi="宋体" w:cs="宋体"/>
          <w:b w:val="0"/>
          <w:bCs w:val="0"/>
          <w:caps w:val="0"/>
          <w:sz w:val="21"/>
          <w:szCs w:val="21"/>
        </w:rPr>
      </w:pPr>
      <w:r>
        <w:rPr>
          <w:rFonts w:hint="eastAsia" w:ascii="宋体" w:hAnsi="宋体" w:cs="宋体"/>
          <w:b w:val="0"/>
          <w:bCs w:val="0"/>
          <w:caps w:val="0"/>
          <w:sz w:val="21"/>
          <w:szCs w:val="21"/>
        </w:rPr>
        <w:t>七、现场安全负责人承诺书</w:t>
      </w:r>
    </w:p>
    <w:p>
      <w:pPr>
        <w:pStyle w:val="18"/>
        <w:rPr>
          <w:rFonts w:hint="default"/>
          <w:lang w:val="en-US" w:eastAsia="zh-CN"/>
        </w:rPr>
      </w:pPr>
    </w:p>
    <w:p>
      <w:pPr>
        <w:spacing w:line="400" w:lineRule="exact"/>
        <w:rPr>
          <w:rFonts w:hint="eastAsia" w:ascii="宋体" w:hAnsi="宋体" w:cs="宋体"/>
          <w:highlight w:val="none"/>
        </w:rPr>
      </w:pPr>
      <w:r>
        <w:rPr>
          <w:rFonts w:hint="eastAsia" w:ascii="宋体" w:hAnsi="宋体" w:cs="宋体"/>
          <w:highlight w:val="none"/>
        </w:rPr>
        <w:t xml:space="preserve"> </w:t>
      </w: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r>
        <w:rPr>
          <w:rFonts w:ascii="宋体" w:hAnsi="宋体" w:cs="宋体"/>
          <w:highlight w:val="none"/>
        </w:rPr>
        <w:br w:type="page"/>
      </w:r>
    </w:p>
    <w:p>
      <w:pPr>
        <w:pStyle w:val="5"/>
        <w:spacing w:before="0" w:after="0" w:line="360" w:lineRule="auto"/>
        <w:jc w:val="center"/>
        <w:rPr>
          <w:rFonts w:hint="eastAsia" w:ascii="宋体" w:hAnsi="宋体" w:eastAsia="宋体" w:cs="宋体"/>
          <w:sz w:val="28"/>
          <w:highlight w:val="none"/>
        </w:rPr>
      </w:pPr>
      <w:bookmarkStart w:id="226" w:name="_Toc11329274"/>
      <w:bookmarkStart w:id="227" w:name="_Toc8870"/>
      <w:bookmarkStart w:id="228" w:name="_Toc15863"/>
      <w:bookmarkStart w:id="229" w:name="_Toc25874"/>
      <w:bookmarkStart w:id="230" w:name="_Toc29547"/>
      <w:bookmarkStart w:id="231" w:name="_Toc513633969"/>
      <w:bookmarkStart w:id="232" w:name="_Toc447827053"/>
      <w:bookmarkStart w:id="233" w:name="_Toc503951048"/>
      <w:r>
        <w:rPr>
          <w:rFonts w:hint="eastAsia" w:ascii="宋体" w:hAnsi="宋体" w:eastAsia="宋体" w:cs="宋体"/>
          <w:sz w:val="28"/>
          <w:highlight w:val="none"/>
        </w:rPr>
        <w:t>一、</w:t>
      </w:r>
      <w:bookmarkEnd w:id="226"/>
      <w:bookmarkEnd w:id="227"/>
      <w:r>
        <w:rPr>
          <w:rFonts w:hint="eastAsia" w:ascii="宋体" w:hAnsi="宋体" w:eastAsia="宋体" w:cs="宋体"/>
          <w:sz w:val="28"/>
          <w:highlight w:val="none"/>
          <w:lang w:eastAsia="zh-CN"/>
        </w:rPr>
        <w:t>竞争比选</w:t>
      </w:r>
      <w:r>
        <w:rPr>
          <w:rFonts w:hint="eastAsia" w:ascii="宋体" w:hAnsi="宋体" w:eastAsia="宋体" w:cs="宋体"/>
          <w:sz w:val="28"/>
          <w:highlight w:val="none"/>
        </w:rPr>
        <w:t>响应声明书</w:t>
      </w:r>
      <w:bookmarkEnd w:id="228"/>
      <w:bookmarkEnd w:id="229"/>
      <w:bookmarkEnd w:id="230"/>
    </w:p>
    <w:p>
      <w:pPr>
        <w:tabs>
          <w:tab w:val="left" w:pos="900"/>
        </w:tabs>
        <w:spacing w:line="300" w:lineRule="auto"/>
        <w:rPr>
          <w:rFonts w:hint="eastAsia" w:ascii="Arial" w:hAnsi="Arial" w:cs="Arial"/>
          <w:color w:val="000000"/>
          <w:sz w:val="24"/>
          <w:highlight w:val="none"/>
        </w:rPr>
      </w:pPr>
      <w:r>
        <w:rPr>
          <w:rFonts w:ascii="Arial" w:hAnsi="Arial" w:cs="Arial"/>
          <w:color w:val="000000"/>
          <w:sz w:val="24"/>
          <w:highlight w:val="none"/>
        </w:rPr>
        <w:t xml:space="preserve"> </w:t>
      </w:r>
      <w:r>
        <w:rPr>
          <w:rFonts w:hint="eastAsia" w:ascii="Arial" w:hAnsi="Arial" w:cs="Arial"/>
          <w:b/>
          <w:color w:val="000000"/>
          <w:sz w:val="24"/>
          <w:highlight w:val="none"/>
        </w:rPr>
        <w:t>致：</w:t>
      </w:r>
      <w:r>
        <w:rPr>
          <w:rFonts w:hint="eastAsia" w:ascii="Arial" w:hAnsi="Arial" w:cs="Arial"/>
          <w:b/>
          <w:bCs/>
          <w:color w:val="000000"/>
          <w:sz w:val="24"/>
          <w:highlight w:val="none"/>
          <w:u w:val="single"/>
          <w:lang w:eastAsia="zh-CN"/>
        </w:rPr>
        <w:t>重庆首讯科技股份有限公司</w:t>
      </w:r>
    </w:p>
    <w:p>
      <w:pPr>
        <w:spacing w:line="700" w:lineRule="atLeast"/>
        <w:ind w:firstLine="480" w:firstLineChars="200"/>
        <w:rPr>
          <w:rFonts w:hint="eastAsia" w:ascii="Arial" w:hAnsi="Arial" w:cs="Arial"/>
          <w:color w:val="000000"/>
          <w:sz w:val="24"/>
          <w:highlight w:val="none"/>
        </w:rPr>
      </w:pPr>
      <w:r>
        <w:rPr>
          <w:rFonts w:hint="eastAsia" w:ascii="Arial" w:hAnsi="Arial" w:cs="Arial"/>
          <w:color w:val="000000"/>
          <w:sz w:val="24"/>
          <w:highlight w:val="none"/>
        </w:rPr>
        <w:t>根据贵</w:t>
      </w:r>
      <w:r>
        <w:rPr>
          <w:rFonts w:hint="eastAsia" w:ascii="Arial" w:hAnsi="Arial" w:cs="Arial"/>
          <w:color w:val="auto"/>
          <w:sz w:val="24"/>
          <w:highlight w:val="none"/>
        </w:rPr>
        <w:t>方为</w:t>
      </w:r>
      <w:r>
        <w:rPr>
          <w:rFonts w:hint="eastAsia" w:ascii="Arial" w:hAnsi="Arial" w:cs="Arial"/>
          <w:color w:val="000000"/>
          <w:sz w:val="24"/>
          <w:highlight w:val="none"/>
          <w:u w:val="single"/>
          <w:lang w:val="en-US" w:eastAsia="zh-CN"/>
        </w:rPr>
        <w:t>曾家机电站办公用房装饰装修项目（第二次）</w:t>
      </w:r>
      <w:r>
        <w:rPr>
          <w:rFonts w:hint="eastAsia" w:ascii="Arial" w:hAnsi="Arial" w:cs="Arial"/>
          <w:color w:val="auto"/>
          <w:sz w:val="24"/>
          <w:highlight w:val="none"/>
          <w:lang w:eastAsia="zh-CN"/>
        </w:rPr>
        <w:t>竞争比</w:t>
      </w:r>
      <w:r>
        <w:rPr>
          <w:rFonts w:hint="eastAsia" w:ascii="Arial" w:hAnsi="Arial" w:eastAsia="宋体" w:cs="Arial"/>
          <w:color w:val="auto"/>
          <w:sz w:val="24"/>
          <w:highlight w:val="none"/>
          <w:lang w:eastAsia="zh-CN"/>
        </w:rPr>
        <w:t>选</w:t>
      </w:r>
      <w:r>
        <w:rPr>
          <w:rFonts w:hint="eastAsia" w:ascii="Arial" w:hAnsi="Arial" w:cs="Arial"/>
          <w:color w:val="auto"/>
          <w:sz w:val="24"/>
          <w:highlight w:val="none"/>
        </w:rPr>
        <w:t>项目及服</w:t>
      </w:r>
      <w:r>
        <w:rPr>
          <w:rFonts w:hint="eastAsia" w:ascii="Arial" w:hAnsi="Arial" w:cs="Arial"/>
          <w:color w:val="000000"/>
          <w:sz w:val="24"/>
          <w:highlight w:val="none"/>
        </w:rPr>
        <w:t>务的</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邀请，签字代表</w:t>
      </w:r>
      <w:r>
        <w:rPr>
          <w:rFonts w:ascii="Arial" w:hAnsi="Arial" w:cs="Arial"/>
          <w:color w:val="000000"/>
          <w:sz w:val="24"/>
          <w:highlight w:val="none"/>
          <w:u w:val="single"/>
        </w:rPr>
        <w:t xml:space="preserve">          </w:t>
      </w:r>
      <w:r>
        <w:rPr>
          <w:rFonts w:hint="eastAsia" w:ascii="Arial" w:hAnsi="Arial" w:cs="Arial"/>
          <w:color w:val="000000"/>
          <w:sz w:val="24"/>
          <w:highlight w:val="none"/>
          <w:u w:val="single"/>
        </w:rPr>
        <w:t>（全名、职务）</w:t>
      </w:r>
      <w:r>
        <w:rPr>
          <w:rFonts w:hint="eastAsia" w:ascii="Arial" w:hAnsi="Arial" w:cs="Arial"/>
          <w:color w:val="000000"/>
          <w:sz w:val="24"/>
          <w:highlight w:val="none"/>
        </w:rPr>
        <w:t>经正式授权并代表</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响应单位</w:t>
      </w:r>
      <w:r>
        <w:rPr>
          <w:rFonts w:ascii="Arial" w:hAnsi="Arial" w:cs="Arial"/>
          <w:color w:val="000000"/>
          <w:sz w:val="24"/>
          <w:highlight w:val="none"/>
          <w:u w:val="single"/>
        </w:rPr>
        <w:t xml:space="preserve"> </w:t>
      </w:r>
      <w:r>
        <w:rPr>
          <w:rFonts w:hint="eastAsia" w:ascii="Arial" w:hAnsi="Arial" w:cs="Arial"/>
          <w:color w:val="000000"/>
          <w:sz w:val="24"/>
          <w:highlight w:val="none"/>
          <w:u w:val="single"/>
        </w:rPr>
        <w:t>（</w:t>
      </w:r>
      <w:r>
        <w:rPr>
          <w:rFonts w:hint="eastAsia" w:ascii="Arial" w:hAnsi="Arial" w:cs="Arial"/>
          <w:color w:val="000000"/>
          <w:sz w:val="24"/>
          <w:highlight w:val="none"/>
          <w:u w:val="single"/>
          <w:lang w:eastAsia="zh-CN"/>
        </w:rPr>
        <w:t>竞争比选</w:t>
      </w:r>
      <w:r>
        <w:rPr>
          <w:rFonts w:hint="eastAsia" w:ascii="Arial" w:hAnsi="Arial" w:cs="Arial"/>
          <w:color w:val="000000"/>
          <w:sz w:val="24"/>
          <w:highlight w:val="none"/>
          <w:u w:val="single"/>
        </w:rPr>
        <w:t>响应单位名称）</w:t>
      </w:r>
      <w:r>
        <w:rPr>
          <w:rFonts w:ascii="Arial" w:hAnsi="Arial" w:cs="Arial"/>
          <w:color w:val="000000"/>
          <w:sz w:val="24"/>
          <w:highlight w:val="none"/>
          <w:u w:val="single"/>
        </w:rPr>
        <w:t xml:space="preserve"> </w:t>
      </w:r>
      <w:r>
        <w:rPr>
          <w:rFonts w:hint="eastAsia" w:ascii="Arial" w:hAnsi="Arial" w:cs="Arial"/>
          <w:color w:val="000000"/>
          <w:sz w:val="24"/>
          <w:highlight w:val="none"/>
        </w:rPr>
        <w:t>提交</w:t>
      </w:r>
      <w:r>
        <w:rPr>
          <w:rFonts w:hint="eastAsia" w:ascii="Arial" w:hAnsi="Arial" w:cs="Arial"/>
          <w:color w:val="000000"/>
          <w:sz w:val="24"/>
          <w:highlight w:val="none"/>
          <w:lang w:val="en-US" w:eastAsia="zh-CN"/>
        </w:rPr>
        <w:t>报价</w:t>
      </w:r>
      <w:r>
        <w:rPr>
          <w:rFonts w:hint="eastAsia" w:ascii="Arial" w:hAnsi="Arial" w:cs="Arial"/>
          <w:color w:val="000000"/>
          <w:sz w:val="24"/>
          <w:highlight w:val="none"/>
        </w:rPr>
        <w:t>文件。</w:t>
      </w:r>
    </w:p>
    <w:p>
      <w:pPr>
        <w:spacing w:line="700" w:lineRule="atLeast"/>
        <w:ind w:firstLine="480" w:firstLineChars="200"/>
        <w:rPr>
          <w:rFonts w:hint="eastAsia" w:ascii="Arial" w:hAnsi="Arial" w:cs="Arial"/>
          <w:color w:val="000000"/>
          <w:sz w:val="24"/>
          <w:highlight w:val="none"/>
          <w:u w:val="single"/>
        </w:rPr>
      </w:pPr>
      <w:r>
        <w:rPr>
          <w:rFonts w:hint="eastAsia" w:ascii="Arial" w:hAnsi="Arial" w:cs="Arial"/>
          <w:color w:val="000000"/>
          <w:sz w:val="24"/>
          <w:highlight w:val="none"/>
          <w:u w:val="single"/>
        </w:rPr>
        <w:t>我方愿以人民币：              元（大写              元）的报价总价按照</w:t>
      </w:r>
      <w:r>
        <w:rPr>
          <w:rFonts w:hint="eastAsia" w:ascii="Arial" w:hAnsi="Arial" w:cs="Arial"/>
          <w:color w:val="000000"/>
          <w:sz w:val="24"/>
          <w:highlight w:val="none"/>
          <w:u w:val="single"/>
          <w:lang w:eastAsia="zh-CN"/>
        </w:rPr>
        <w:t>竞争比选</w:t>
      </w:r>
      <w:r>
        <w:rPr>
          <w:rFonts w:hint="eastAsia" w:ascii="Arial" w:hAnsi="Arial" w:cs="Arial"/>
          <w:color w:val="000000"/>
          <w:sz w:val="24"/>
          <w:highlight w:val="none"/>
          <w:u w:val="single"/>
        </w:rPr>
        <w:t>文件的要求，承担本次</w:t>
      </w:r>
      <w:r>
        <w:rPr>
          <w:rFonts w:hint="eastAsia" w:ascii="Arial" w:hAnsi="Arial" w:cs="Arial"/>
          <w:color w:val="000000"/>
          <w:sz w:val="24"/>
          <w:highlight w:val="none"/>
          <w:u w:val="single"/>
          <w:lang w:eastAsia="zh-CN"/>
        </w:rPr>
        <w:t>竞争比选</w:t>
      </w:r>
      <w:r>
        <w:rPr>
          <w:rFonts w:hint="eastAsia" w:ascii="Arial" w:hAnsi="Arial" w:cs="Arial"/>
          <w:color w:val="000000"/>
          <w:sz w:val="24"/>
          <w:highlight w:val="none"/>
          <w:u w:val="single"/>
        </w:rPr>
        <w:t>文件要求的</w:t>
      </w:r>
      <w:r>
        <w:rPr>
          <w:rFonts w:hint="eastAsia" w:ascii="Arial" w:hAnsi="Arial" w:cs="Arial"/>
          <w:color w:val="000000"/>
          <w:sz w:val="24"/>
          <w:highlight w:val="none"/>
          <w:u w:val="single"/>
          <w:lang w:val="en-US" w:eastAsia="zh-CN"/>
        </w:rPr>
        <w:t>项目实施</w:t>
      </w:r>
      <w:r>
        <w:rPr>
          <w:rFonts w:hint="eastAsia" w:ascii="Arial" w:hAnsi="Arial" w:cs="Arial"/>
          <w:color w:val="000000"/>
          <w:sz w:val="24"/>
          <w:highlight w:val="none"/>
          <w:u w:val="single"/>
        </w:rPr>
        <w:t>。</w:t>
      </w:r>
    </w:p>
    <w:p>
      <w:pPr>
        <w:tabs>
          <w:tab w:val="left" w:pos="540"/>
          <w:tab w:val="left" w:pos="900"/>
        </w:tabs>
        <w:spacing w:line="300" w:lineRule="auto"/>
        <w:rPr>
          <w:rFonts w:ascii="Arial" w:hAnsi="Arial" w:cs="Arial"/>
          <w:color w:val="000000"/>
          <w:sz w:val="24"/>
          <w:highlight w:val="none"/>
        </w:rPr>
      </w:pPr>
      <w:r>
        <w:rPr>
          <w:rFonts w:ascii="Arial" w:hAnsi="Arial" w:cs="Arial"/>
          <w:color w:val="000000"/>
          <w:sz w:val="24"/>
          <w:highlight w:val="none"/>
        </w:rPr>
        <w:t xml:space="preserve">    </w:t>
      </w:r>
    </w:p>
    <w:p>
      <w:pPr>
        <w:keepNext w:val="0"/>
        <w:keepLines w:val="0"/>
        <w:pageBreakBefore w:val="0"/>
        <w:widowControl w:val="0"/>
        <w:tabs>
          <w:tab w:val="left" w:pos="540"/>
          <w:tab w:val="left" w:pos="9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据此函，签字代表宣布同意如下：</w:t>
      </w:r>
    </w:p>
    <w:p>
      <w:pPr>
        <w:keepNext w:val="0"/>
        <w:keepLines w:val="0"/>
        <w:pageBreakBefore w:val="0"/>
        <w:widowControl w:val="0"/>
        <w:tabs>
          <w:tab w:val="left" w:pos="540"/>
          <w:tab w:val="left" w:pos="9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w:t>
      </w:r>
      <w:r>
        <w:rPr>
          <w:rFonts w:hint="eastAsia" w:asciiTheme="minorEastAsia" w:hAnsiTheme="minorEastAsia" w:eastAsiaTheme="minorEastAsia" w:cstheme="minorEastAsia"/>
          <w:color w:val="000000"/>
          <w:sz w:val="24"/>
          <w:szCs w:val="24"/>
          <w:highlight w:val="none"/>
          <w:lang w:eastAsia="zh-CN"/>
        </w:rPr>
        <w:t>、竞争比选</w:t>
      </w:r>
      <w:r>
        <w:rPr>
          <w:rFonts w:hint="eastAsia" w:asciiTheme="minorEastAsia" w:hAnsiTheme="minorEastAsia" w:eastAsiaTheme="minorEastAsia" w:cstheme="minorEastAsia"/>
          <w:color w:val="000000"/>
          <w:sz w:val="24"/>
          <w:szCs w:val="24"/>
          <w:highlight w:val="none"/>
        </w:rPr>
        <w:t>响应单位将按</w:t>
      </w:r>
      <w:r>
        <w:rPr>
          <w:rFonts w:hint="eastAsia" w:asciiTheme="minorEastAsia" w:hAnsiTheme="minorEastAsia" w:eastAsiaTheme="minorEastAsia" w:cstheme="minorEastAsia"/>
          <w:color w:val="000000"/>
          <w:sz w:val="24"/>
          <w:szCs w:val="24"/>
          <w:highlight w:val="none"/>
          <w:lang w:eastAsia="zh-CN"/>
        </w:rPr>
        <w:t>竞争比选</w:t>
      </w:r>
      <w:r>
        <w:rPr>
          <w:rFonts w:hint="eastAsia" w:asciiTheme="minorEastAsia" w:hAnsiTheme="minorEastAsia" w:eastAsiaTheme="minorEastAsia" w:cstheme="minorEastAsia"/>
          <w:color w:val="000000"/>
          <w:sz w:val="24"/>
          <w:szCs w:val="24"/>
          <w:highlight w:val="none"/>
        </w:rPr>
        <w:t>文件规定履行合同责任和义务。</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color w:val="000000"/>
          <w:sz w:val="24"/>
          <w:szCs w:val="24"/>
          <w:highlight w:val="none"/>
        </w:rPr>
        <w:t>2</w:t>
      </w:r>
      <w:r>
        <w:rPr>
          <w:rFonts w:hint="eastAsia" w:asciiTheme="minorEastAsia" w:hAnsiTheme="minorEastAsia" w:eastAsiaTheme="minorEastAsia" w:cstheme="minorEastAsia"/>
          <w:color w:val="000000"/>
          <w:sz w:val="24"/>
          <w:szCs w:val="24"/>
          <w:highlight w:val="none"/>
          <w:lang w:eastAsia="zh-CN"/>
        </w:rPr>
        <w:t>、竞争比选</w:t>
      </w:r>
      <w:r>
        <w:rPr>
          <w:rFonts w:hint="eastAsia" w:asciiTheme="minorEastAsia" w:hAnsiTheme="minorEastAsia" w:eastAsiaTheme="minorEastAsia" w:cstheme="minorEastAsia"/>
          <w:color w:val="000000"/>
          <w:sz w:val="24"/>
          <w:szCs w:val="24"/>
          <w:highlight w:val="none"/>
        </w:rPr>
        <w:t>响应单位已详细审查全部</w:t>
      </w:r>
      <w:r>
        <w:rPr>
          <w:rFonts w:hint="eastAsia" w:asciiTheme="minorEastAsia" w:hAnsiTheme="minorEastAsia" w:eastAsiaTheme="minorEastAsia" w:cstheme="minorEastAsia"/>
          <w:color w:val="000000"/>
          <w:sz w:val="24"/>
          <w:szCs w:val="24"/>
          <w:highlight w:val="none"/>
          <w:lang w:eastAsia="zh-CN"/>
        </w:rPr>
        <w:t>竞争比选</w:t>
      </w:r>
      <w:r>
        <w:rPr>
          <w:rFonts w:hint="eastAsia" w:asciiTheme="minorEastAsia" w:hAnsiTheme="minorEastAsia" w:eastAsiaTheme="minorEastAsia" w:cstheme="minorEastAsia"/>
          <w:color w:val="000000"/>
          <w:sz w:val="24"/>
          <w:szCs w:val="24"/>
          <w:highlight w:val="none"/>
        </w:rPr>
        <w:t>文件，包括修改文件（如有的话）以及全部参考资料和相关附件。我们完全理解并同意放弃对这方面有不明及误解的权利。</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color w:val="000000"/>
          <w:sz w:val="24"/>
          <w:szCs w:val="24"/>
          <w:highlight w:val="none"/>
        </w:rPr>
        <w:t>3、</w:t>
      </w:r>
      <w:r>
        <w:rPr>
          <w:rFonts w:hint="eastAsia" w:asciiTheme="minorEastAsia" w:hAnsiTheme="minorEastAsia" w:eastAsiaTheme="minorEastAsia" w:cstheme="minorEastAsia"/>
          <w:color w:val="000000"/>
          <w:sz w:val="24"/>
          <w:szCs w:val="24"/>
          <w:highlight w:val="none"/>
          <w:lang w:eastAsia="zh-CN"/>
        </w:rPr>
        <w:t>竞争比选</w:t>
      </w:r>
      <w:r>
        <w:rPr>
          <w:rFonts w:hint="eastAsia" w:asciiTheme="minorEastAsia" w:hAnsiTheme="minorEastAsia" w:eastAsiaTheme="minorEastAsia" w:cstheme="minorEastAsia"/>
          <w:color w:val="000000"/>
          <w:sz w:val="24"/>
          <w:szCs w:val="24"/>
          <w:highlight w:val="none"/>
        </w:rPr>
        <w:t>响应单位同意提供</w:t>
      </w:r>
      <w:r>
        <w:rPr>
          <w:rFonts w:hint="eastAsia" w:asciiTheme="minorEastAsia" w:hAnsiTheme="minorEastAsia" w:eastAsiaTheme="minorEastAsia" w:cstheme="minorEastAsia"/>
          <w:color w:val="000000"/>
          <w:sz w:val="24"/>
          <w:szCs w:val="24"/>
          <w:highlight w:val="none"/>
          <w:lang w:val="en-US" w:eastAsia="zh-CN"/>
        </w:rPr>
        <w:t>采购</w:t>
      </w:r>
      <w:r>
        <w:rPr>
          <w:rFonts w:hint="eastAsia" w:asciiTheme="minorEastAsia" w:hAnsiTheme="minorEastAsia" w:eastAsiaTheme="minorEastAsia" w:cstheme="minorEastAsia"/>
          <w:color w:val="000000"/>
          <w:sz w:val="24"/>
          <w:szCs w:val="24"/>
          <w:highlight w:val="none"/>
        </w:rPr>
        <w:t>人可能要求的与其</w:t>
      </w:r>
      <w:r>
        <w:rPr>
          <w:rFonts w:hint="eastAsia" w:asciiTheme="minorEastAsia" w:hAnsiTheme="minorEastAsia" w:eastAsiaTheme="minorEastAsia" w:cstheme="minorEastAsia"/>
          <w:color w:val="000000"/>
          <w:sz w:val="24"/>
          <w:szCs w:val="24"/>
          <w:highlight w:val="none"/>
          <w:lang w:eastAsia="zh-CN"/>
        </w:rPr>
        <w:t>竞争比选</w:t>
      </w:r>
      <w:r>
        <w:rPr>
          <w:rFonts w:hint="eastAsia" w:asciiTheme="minorEastAsia" w:hAnsiTheme="minorEastAsia" w:eastAsiaTheme="minorEastAsia" w:cstheme="minorEastAsia"/>
          <w:color w:val="000000"/>
          <w:sz w:val="24"/>
          <w:szCs w:val="24"/>
          <w:highlight w:val="none"/>
        </w:rPr>
        <w:t>响应文件有关的一切数据或资料，完全理解</w:t>
      </w:r>
      <w:r>
        <w:rPr>
          <w:rFonts w:hint="eastAsia" w:asciiTheme="minorEastAsia" w:hAnsiTheme="minorEastAsia" w:eastAsiaTheme="minorEastAsia" w:cstheme="minorEastAsia"/>
          <w:color w:val="000000"/>
          <w:sz w:val="24"/>
          <w:szCs w:val="24"/>
          <w:highlight w:val="none"/>
          <w:lang w:val="en-US" w:eastAsia="zh-CN"/>
        </w:rPr>
        <w:t>采购</w:t>
      </w:r>
      <w:r>
        <w:rPr>
          <w:rFonts w:hint="eastAsia" w:asciiTheme="minorEastAsia" w:hAnsiTheme="minorEastAsia" w:eastAsiaTheme="minorEastAsia" w:cstheme="minorEastAsia"/>
          <w:color w:val="000000"/>
          <w:sz w:val="24"/>
          <w:szCs w:val="24"/>
          <w:highlight w:val="none"/>
        </w:rPr>
        <w:t>人不一定要接受最低报价的</w:t>
      </w:r>
      <w:r>
        <w:rPr>
          <w:rFonts w:hint="eastAsia" w:asciiTheme="minorEastAsia" w:hAnsiTheme="minorEastAsia" w:eastAsiaTheme="minorEastAsia" w:cstheme="minorEastAsia"/>
          <w:color w:val="000000"/>
          <w:sz w:val="24"/>
          <w:szCs w:val="24"/>
          <w:highlight w:val="none"/>
          <w:lang w:eastAsia="zh-CN"/>
        </w:rPr>
        <w:t>竞争比选</w:t>
      </w:r>
      <w:r>
        <w:rPr>
          <w:rFonts w:hint="eastAsia" w:asciiTheme="minorEastAsia" w:hAnsiTheme="minorEastAsia" w:eastAsiaTheme="minorEastAsia" w:cstheme="minorEastAsia"/>
          <w:color w:val="000000"/>
          <w:sz w:val="24"/>
          <w:szCs w:val="24"/>
          <w:highlight w:val="none"/>
        </w:rPr>
        <w:t>响应或收到的任何</w:t>
      </w:r>
      <w:r>
        <w:rPr>
          <w:rFonts w:hint="eastAsia" w:asciiTheme="minorEastAsia" w:hAnsiTheme="minorEastAsia" w:eastAsiaTheme="minorEastAsia" w:cstheme="minorEastAsia"/>
          <w:color w:val="000000"/>
          <w:sz w:val="24"/>
          <w:szCs w:val="24"/>
          <w:highlight w:val="none"/>
          <w:lang w:val="en-US" w:eastAsia="zh-CN"/>
        </w:rPr>
        <w:t>报价</w:t>
      </w:r>
      <w:r>
        <w:rPr>
          <w:rFonts w:hint="eastAsia" w:asciiTheme="minorEastAsia" w:hAnsiTheme="minorEastAsia" w:eastAsiaTheme="minorEastAsia" w:cstheme="minorEastAsia"/>
          <w:color w:val="000000"/>
          <w:sz w:val="24"/>
          <w:szCs w:val="24"/>
          <w:highlight w:val="none"/>
        </w:rPr>
        <w:t>。</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color w:val="000000"/>
          <w:sz w:val="24"/>
          <w:szCs w:val="24"/>
          <w:highlight w:val="none"/>
        </w:rPr>
        <w:t>4、与本</w:t>
      </w:r>
      <w:r>
        <w:rPr>
          <w:rFonts w:hint="eastAsia" w:asciiTheme="minorEastAsia" w:hAnsiTheme="minorEastAsia" w:eastAsiaTheme="minorEastAsia" w:cstheme="minorEastAsia"/>
          <w:color w:val="000000"/>
          <w:sz w:val="24"/>
          <w:szCs w:val="24"/>
          <w:highlight w:val="none"/>
          <w:lang w:eastAsia="zh-CN"/>
        </w:rPr>
        <w:t>竞争比选</w:t>
      </w:r>
      <w:r>
        <w:rPr>
          <w:rFonts w:hint="eastAsia" w:asciiTheme="minorEastAsia" w:hAnsiTheme="minorEastAsia" w:eastAsiaTheme="minorEastAsia" w:cstheme="minorEastAsia"/>
          <w:color w:val="000000"/>
          <w:sz w:val="24"/>
          <w:szCs w:val="24"/>
          <w:highlight w:val="none"/>
        </w:rPr>
        <w:t>响应有关的一切正式往来通讯请寄：</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color w:val="000000"/>
          <w:sz w:val="24"/>
          <w:szCs w:val="24"/>
          <w:highlight w:val="none"/>
        </w:rPr>
        <w:t>地址：</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rPr>
        <w:t xml:space="preserve">   邮编：</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b/>
          <w:color w:val="000000"/>
          <w:sz w:val="24"/>
          <w:szCs w:val="24"/>
          <w:highlight w:val="none"/>
        </w:rPr>
        <w:t xml:space="preserve">  </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sz w:val="24"/>
          <w:szCs w:val="24"/>
          <w:highlight w:val="none"/>
          <w:u w:val="single"/>
        </w:rPr>
      </w:pPr>
      <w:r>
        <w:rPr>
          <w:rFonts w:hint="eastAsia" w:asciiTheme="minorEastAsia" w:hAnsiTheme="minorEastAsia" w:eastAsiaTheme="minorEastAsia" w:cstheme="minorEastAsia"/>
          <w:color w:val="000000"/>
          <w:sz w:val="24"/>
          <w:szCs w:val="24"/>
          <w:highlight w:val="none"/>
        </w:rPr>
        <w:t>电话：</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rPr>
        <w:t xml:space="preserve">         传真：</w:t>
      </w:r>
      <w:r>
        <w:rPr>
          <w:rFonts w:hint="eastAsia" w:asciiTheme="minorEastAsia" w:hAnsiTheme="minorEastAsia" w:eastAsiaTheme="minorEastAsia" w:cstheme="minorEastAsia"/>
          <w:color w:val="000000"/>
          <w:sz w:val="24"/>
          <w:szCs w:val="24"/>
          <w:highlight w:val="none"/>
          <w:u w:val="single"/>
        </w:rPr>
        <w:t xml:space="preserve">            </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竞争比选</w:t>
      </w:r>
      <w:r>
        <w:rPr>
          <w:rFonts w:hint="eastAsia" w:asciiTheme="minorEastAsia" w:hAnsiTheme="minorEastAsia" w:eastAsiaTheme="minorEastAsia" w:cstheme="minorEastAsia"/>
          <w:color w:val="auto"/>
          <w:sz w:val="24"/>
          <w:szCs w:val="24"/>
          <w:highlight w:val="none"/>
        </w:rPr>
        <w:t>响应单位</w:t>
      </w:r>
      <w:r>
        <w:rPr>
          <w:rFonts w:hint="eastAsia" w:asciiTheme="minorEastAsia" w:hAnsiTheme="minorEastAsia" w:eastAsiaTheme="minorEastAsia" w:cstheme="minorEastAsia"/>
          <w:color w:val="auto"/>
          <w:sz w:val="24"/>
          <w:szCs w:val="24"/>
          <w:highlight w:val="none"/>
          <w:lang w:eastAsia="zh-CN"/>
        </w:rPr>
        <w:t>法定代表人或授权代表人（签字）：</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none"/>
        </w:rPr>
        <w:t xml:space="preserve">  </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竞争比选</w:t>
      </w:r>
      <w:r>
        <w:rPr>
          <w:rFonts w:hint="eastAsia" w:asciiTheme="minorEastAsia" w:hAnsiTheme="minorEastAsia" w:eastAsiaTheme="minorEastAsia" w:cstheme="minorEastAsia"/>
          <w:color w:val="auto"/>
          <w:sz w:val="24"/>
          <w:szCs w:val="24"/>
          <w:highlight w:val="none"/>
        </w:rPr>
        <w:t>响应单位</w:t>
      </w:r>
      <w:r>
        <w:rPr>
          <w:rFonts w:hint="eastAsia" w:asciiTheme="minorEastAsia" w:hAnsiTheme="minorEastAsia" w:eastAsiaTheme="minorEastAsia" w:cstheme="minorEastAsia"/>
          <w:color w:val="auto"/>
          <w:sz w:val="24"/>
          <w:szCs w:val="24"/>
          <w:highlight w:val="none"/>
          <w:lang w:eastAsia="zh-CN"/>
        </w:rPr>
        <w:t>法定代表人或授权代表人</w:t>
      </w:r>
      <w:r>
        <w:rPr>
          <w:rFonts w:hint="eastAsia" w:asciiTheme="minorEastAsia" w:hAnsiTheme="minorEastAsia" w:eastAsiaTheme="minorEastAsia" w:cstheme="minorEastAsia"/>
          <w:color w:val="auto"/>
          <w:sz w:val="24"/>
          <w:szCs w:val="24"/>
          <w:highlight w:val="none"/>
        </w:rPr>
        <w:t>职务：</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none"/>
        </w:rPr>
        <w:t xml:space="preserve">               </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auto"/>
          <w:sz w:val="24"/>
          <w:szCs w:val="24"/>
          <w:highlight w:val="none"/>
          <w:lang w:eastAsia="zh-CN"/>
        </w:rPr>
        <w:t>竞争比选</w:t>
      </w:r>
      <w:r>
        <w:rPr>
          <w:rFonts w:hint="eastAsia" w:asciiTheme="minorEastAsia" w:hAnsiTheme="minorEastAsia" w:eastAsiaTheme="minorEastAsia" w:cstheme="minorEastAsia"/>
          <w:color w:val="auto"/>
          <w:sz w:val="24"/>
          <w:szCs w:val="24"/>
          <w:highlight w:val="none"/>
        </w:rPr>
        <w:t>响应单位</w:t>
      </w:r>
      <w:r>
        <w:rPr>
          <w:rFonts w:hint="eastAsia" w:asciiTheme="minorEastAsia" w:hAnsiTheme="minorEastAsia" w:eastAsiaTheme="minorEastAsia" w:cstheme="minorEastAsia"/>
          <w:color w:val="auto"/>
          <w:sz w:val="24"/>
          <w:szCs w:val="24"/>
          <w:highlight w:val="none"/>
          <w:lang w:eastAsia="zh-CN"/>
        </w:rPr>
        <w:t>名称</w:t>
      </w:r>
      <w:r>
        <w:rPr>
          <w:rFonts w:hint="eastAsia" w:asciiTheme="minorEastAsia" w:hAnsiTheme="minorEastAsia" w:eastAsiaTheme="minorEastAsia" w:cstheme="minorEastAsia"/>
          <w:color w:val="auto"/>
          <w:sz w:val="24"/>
          <w:szCs w:val="24"/>
          <w:highlight w:val="none"/>
        </w:rPr>
        <w:t>（加盖公章）：</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u w:val="single"/>
        </w:rPr>
        <w:t xml:space="preserve">                  </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日期：</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rPr>
        <w:t>年</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rPr>
        <w:t>月</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rPr>
        <w:t xml:space="preserve">日 </w:t>
      </w:r>
    </w:p>
    <w:p>
      <w:pPr>
        <w:outlineLvl w:val="0"/>
        <w:rPr>
          <w:rFonts w:hint="eastAsia"/>
          <w:b/>
          <w:sz w:val="24"/>
          <w:highlight w:val="none"/>
        </w:rPr>
      </w:pPr>
    </w:p>
    <w:p>
      <w:pPr>
        <w:outlineLvl w:val="0"/>
        <w:rPr>
          <w:rFonts w:hint="eastAsia"/>
          <w:b/>
          <w:sz w:val="24"/>
          <w:highlight w:val="none"/>
        </w:rPr>
      </w:pPr>
    </w:p>
    <w:p>
      <w:pPr>
        <w:outlineLvl w:val="0"/>
        <w:rPr>
          <w:rFonts w:hint="eastAsia"/>
          <w:b/>
          <w:sz w:val="24"/>
          <w:highlight w:val="none"/>
        </w:rPr>
      </w:pPr>
    </w:p>
    <w:p>
      <w:pPr>
        <w:pStyle w:val="5"/>
        <w:jc w:val="center"/>
        <w:rPr>
          <w:rFonts w:hint="eastAsia" w:ascii="宋体" w:hAnsi="宋体" w:eastAsia="宋体" w:cs="宋体"/>
          <w:sz w:val="28"/>
          <w:szCs w:val="28"/>
          <w:highlight w:val="none"/>
        </w:rPr>
      </w:pPr>
      <w:bookmarkStart w:id="234" w:name="_Toc27815"/>
      <w:bookmarkStart w:id="235" w:name="_Toc491883232"/>
      <w:r>
        <w:rPr>
          <w:rFonts w:hint="eastAsia" w:ascii="宋体" w:hAnsi="宋体" w:eastAsia="宋体" w:cs="宋体"/>
          <w:sz w:val="28"/>
          <w:szCs w:val="28"/>
          <w:highlight w:val="none"/>
        </w:rPr>
        <w:t>二、法定代表人身份证明或法定代表人授权委托书</w:t>
      </w:r>
      <w:bookmarkEnd w:id="234"/>
    </w:p>
    <w:p>
      <w:pPr>
        <w:pStyle w:val="5"/>
        <w:jc w:val="center"/>
        <w:rPr>
          <w:rFonts w:hint="eastAsia" w:ascii="宋体" w:hAnsi="宋体" w:eastAsia="宋体" w:cs="宋体"/>
          <w:sz w:val="24"/>
          <w:szCs w:val="24"/>
          <w:highlight w:val="none"/>
        </w:rPr>
      </w:pPr>
      <w:bookmarkStart w:id="236" w:name="_Toc14141"/>
      <w:r>
        <w:rPr>
          <w:rFonts w:hint="eastAsia" w:ascii="宋体" w:hAnsi="宋体" w:eastAsia="宋体" w:cs="宋体"/>
          <w:sz w:val="24"/>
          <w:szCs w:val="24"/>
          <w:highlight w:val="none"/>
        </w:rPr>
        <w:t>（一）法定代表人身份证明</w:t>
      </w:r>
      <w:bookmarkEnd w:id="235"/>
      <w:bookmarkEnd w:id="236"/>
    </w:p>
    <w:p>
      <w:pPr>
        <w:spacing w:line="440" w:lineRule="exact"/>
        <w:rPr>
          <w:rFonts w:ascii="宋体" w:hAnsi="宋体"/>
          <w:sz w:val="24"/>
          <w:szCs w:val="24"/>
          <w:highlight w:val="none"/>
        </w:rPr>
      </w:pPr>
      <w:r>
        <w:rPr>
          <w:rFonts w:hint="eastAsia" w:ascii="宋体" w:hAnsi="宋体"/>
          <w:sz w:val="24"/>
          <w:szCs w:val="24"/>
          <w:highlight w:val="none"/>
          <w:lang w:eastAsia="zh-CN"/>
        </w:rPr>
        <w:t>报价人</w:t>
      </w:r>
      <w:r>
        <w:rPr>
          <w:rFonts w:ascii="宋体" w:hAnsi="宋体"/>
          <w:sz w:val="24"/>
          <w:szCs w:val="24"/>
          <w:highlight w:val="none"/>
        </w:rPr>
        <w:t>名称：</w:t>
      </w:r>
      <w:r>
        <w:rPr>
          <w:rFonts w:ascii="宋体" w:hAnsi="宋体"/>
          <w:sz w:val="24"/>
          <w:szCs w:val="24"/>
          <w:highlight w:val="none"/>
          <w:u w:val="single"/>
        </w:rPr>
        <w:t xml:space="preserve">                        </w:t>
      </w:r>
    </w:p>
    <w:p>
      <w:pPr>
        <w:spacing w:line="440" w:lineRule="exact"/>
        <w:rPr>
          <w:rFonts w:ascii="宋体" w:hAnsi="宋体"/>
          <w:sz w:val="24"/>
          <w:szCs w:val="24"/>
          <w:highlight w:val="none"/>
        </w:rPr>
      </w:pPr>
      <w:r>
        <w:rPr>
          <w:rFonts w:ascii="宋体" w:hAnsi="宋体"/>
          <w:sz w:val="24"/>
          <w:szCs w:val="24"/>
          <w:highlight w:val="none"/>
        </w:rPr>
        <w:t>姓名：</w:t>
      </w:r>
      <w:r>
        <w:rPr>
          <w:rFonts w:ascii="宋体" w:hAnsi="宋体"/>
          <w:sz w:val="24"/>
          <w:szCs w:val="24"/>
          <w:highlight w:val="none"/>
          <w:u w:val="single"/>
        </w:rPr>
        <w:t xml:space="preserve">                </w:t>
      </w:r>
      <w:r>
        <w:rPr>
          <w:rFonts w:ascii="宋体" w:hAnsi="宋体"/>
          <w:sz w:val="24"/>
          <w:szCs w:val="24"/>
          <w:highlight w:val="none"/>
        </w:rPr>
        <w:t>性别：</w:t>
      </w:r>
      <w:bookmarkStart w:id="237" w:name="_Toc27897"/>
      <w:bookmarkStart w:id="238" w:name="_Toc369531698"/>
      <w:bookmarkStart w:id="239" w:name="_Toc352691662"/>
      <w:r>
        <w:rPr>
          <w:rFonts w:ascii="宋体" w:hAnsi="宋体"/>
          <w:sz w:val="24"/>
          <w:szCs w:val="24"/>
          <w:highlight w:val="none"/>
          <w:u w:val="single"/>
        </w:rPr>
        <w:t xml:space="preserve">        </w:t>
      </w:r>
      <w:r>
        <w:rPr>
          <w:rFonts w:ascii="宋体" w:hAnsi="宋体"/>
          <w:sz w:val="24"/>
          <w:szCs w:val="24"/>
          <w:highlight w:val="none"/>
        </w:rPr>
        <w:t>年</w:t>
      </w:r>
      <w:bookmarkEnd w:id="237"/>
      <w:bookmarkEnd w:id="238"/>
      <w:bookmarkEnd w:id="239"/>
      <w:r>
        <w:rPr>
          <w:rFonts w:ascii="宋体" w:hAnsi="宋体"/>
          <w:sz w:val="24"/>
          <w:szCs w:val="24"/>
          <w:highlight w:val="none"/>
        </w:rPr>
        <w:t>龄</w:t>
      </w:r>
      <w:bookmarkStart w:id="240" w:name="_Toc152042578"/>
      <w:bookmarkStart w:id="241" w:name="_Toc352691663"/>
      <w:bookmarkStart w:id="242" w:name="_Toc152045789"/>
      <w:bookmarkStart w:id="243" w:name="_Toc247527829"/>
      <w:bookmarkStart w:id="244" w:name="_Toc361508754"/>
      <w:bookmarkStart w:id="245" w:name="_Toc300835211"/>
      <w:bookmarkStart w:id="246" w:name="_Toc369531699"/>
      <w:bookmarkStart w:id="247" w:name="_Toc384308377"/>
      <w:bookmarkStart w:id="248" w:name="_Toc144974858"/>
      <w:bookmarkStart w:id="249" w:name="_Toc15573"/>
      <w:bookmarkStart w:id="250" w:name="_Toc247514248"/>
      <w:r>
        <w:rPr>
          <w:rFonts w:ascii="宋体" w:hAnsi="宋体"/>
          <w:sz w:val="24"/>
          <w:szCs w:val="24"/>
          <w:highlight w:val="none"/>
        </w:rPr>
        <w:t>：</w:t>
      </w:r>
      <w:bookmarkEnd w:id="240"/>
      <w:bookmarkEnd w:id="241"/>
      <w:bookmarkEnd w:id="242"/>
      <w:bookmarkEnd w:id="243"/>
      <w:bookmarkEnd w:id="244"/>
      <w:bookmarkEnd w:id="245"/>
      <w:bookmarkEnd w:id="246"/>
      <w:bookmarkEnd w:id="247"/>
      <w:bookmarkEnd w:id="248"/>
      <w:bookmarkEnd w:id="249"/>
      <w:bookmarkEnd w:id="250"/>
      <w:r>
        <w:rPr>
          <w:rFonts w:ascii="宋体" w:hAnsi="宋体"/>
          <w:sz w:val="24"/>
          <w:szCs w:val="24"/>
          <w:highlight w:val="none"/>
          <w:u w:val="single"/>
        </w:rPr>
        <w:t xml:space="preserve">        </w:t>
      </w:r>
      <w:r>
        <w:rPr>
          <w:rFonts w:ascii="宋体" w:hAnsi="宋体"/>
          <w:sz w:val="24"/>
          <w:szCs w:val="24"/>
          <w:highlight w:val="none"/>
        </w:rPr>
        <w:t>职务：</w:t>
      </w:r>
      <w:r>
        <w:rPr>
          <w:rFonts w:ascii="宋体" w:hAnsi="宋体"/>
          <w:sz w:val="24"/>
          <w:szCs w:val="24"/>
          <w:highlight w:val="none"/>
          <w:u w:val="single"/>
        </w:rPr>
        <w:t xml:space="preserve">        </w:t>
      </w:r>
    </w:p>
    <w:p>
      <w:pPr>
        <w:spacing w:line="440" w:lineRule="exact"/>
        <w:rPr>
          <w:rFonts w:ascii="宋体" w:hAnsi="宋体"/>
          <w:sz w:val="24"/>
          <w:szCs w:val="24"/>
          <w:highlight w:val="none"/>
        </w:rPr>
      </w:pPr>
      <w:r>
        <w:rPr>
          <w:rFonts w:ascii="宋体" w:hAnsi="宋体"/>
          <w:sz w:val="24"/>
          <w:szCs w:val="24"/>
          <w:highlight w:val="none"/>
        </w:rPr>
        <w:t>系</w:t>
      </w:r>
      <w:r>
        <w:rPr>
          <w:rFonts w:ascii="宋体" w:hAnsi="宋体"/>
          <w:sz w:val="24"/>
          <w:szCs w:val="24"/>
          <w:highlight w:val="none"/>
          <w:u w:val="single"/>
        </w:rPr>
        <w:t xml:space="preserve">                        </w:t>
      </w:r>
      <w:r>
        <w:rPr>
          <w:rFonts w:ascii="宋体" w:hAnsi="宋体"/>
          <w:sz w:val="24"/>
          <w:szCs w:val="24"/>
          <w:highlight w:val="none"/>
        </w:rPr>
        <w:t>（</w:t>
      </w:r>
      <w:r>
        <w:rPr>
          <w:rFonts w:hint="eastAsia" w:ascii="宋体" w:hAnsi="宋体"/>
          <w:sz w:val="24"/>
          <w:szCs w:val="24"/>
          <w:highlight w:val="none"/>
          <w:lang w:eastAsia="zh-CN"/>
        </w:rPr>
        <w:t>报价人</w:t>
      </w:r>
      <w:r>
        <w:rPr>
          <w:rFonts w:ascii="宋体" w:hAnsi="宋体"/>
          <w:sz w:val="24"/>
          <w:szCs w:val="24"/>
          <w:highlight w:val="none"/>
        </w:rPr>
        <w:t>名称）的法定代表人。</w:t>
      </w:r>
    </w:p>
    <w:p>
      <w:pPr>
        <w:spacing w:line="440" w:lineRule="exact"/>
        <w:ind w:firstLine="480" w:firstLineChars="200"/>
        <w:rPr>
          <w:rFonts w:ascii="宋体" w:hAnsi="宋体"/>
          <w:sz w:val="24"/>
          <w:szCs w:val="24"/>
          <w:highlight w:val="none"/>
        </w:rPr>
      </w:pPr>
      <w:r>
        <w:rPr>
          <w:rFonts w:ascii="宋体" w:hAnsi="宋体"/>
          <w:sz w:val="24"/>
          <w:szCs w:val="24"/>
          <w:highlight w:val="none"/>
        </w:rPr>
        <w:t>特此证明。</w:t>
      </w:r>
    </w:p>
    <w:p>
      <w:pPr>
        <w:spacing w:line="440" w:lineRule="exact"/>
        <w:rPr>
          <w:rFonts w:ascii="宋体" w:hAnsi="宋体"/>
          <w:sz w:val="24"/>
          <w:szCs w:val="24"/>
          <w:highlight w:val="none"/>
        </w:rPr>
      </w:pPr>
    </w:p>
    <w:p>
      <w:pPr>
        <w:spacing w:line="440" w:lineRule="exact"/>
        <w:rPr>
          <w:rFonts w:ascii="宋体" w:hAnsi="宋体"/>
          <w:sz w:val="24"/>
          <w:szCs w:val="24"/>
          <w:highlight w:val="none"/>
        </w:rPr>
      </w:pPr>
      <w:r>
        <w:rPr>
          <w:rFonts w:ascii="宋体" w:hAnsi="宋体"/>
          <w:sz w:val="24"/>
          <w:szCs w:val="24"/>
          <w:highlight w:val="none"/>
        </w:rPr>
        <w:t>附：法定代表人身份证复印件</w:t>
      </w:r>
      <w:r>
        <w:rPr>
          <w:rFonts w:hint="eastAsia" w:ascii="宋体" w:hAnsi="宋体"/>
          <w:sz w:val="24"/>
          <w:szCs w:val="24"/>
          <w:highlight w:val="none"/>
        </w:rPr>
        <w:t>（正、反面）</w:t>
      </w:r>
      <w:r>
        <w:rPr>
          <w:rFonts w:ascii="宋体" w:hAnsi="宋体"/>
          <w:sz w:val="24"/>
          <w:szCs w:val="24"/>
          <w:highlight w:val="none"/>
        </w:rPr>
        <w:t>。</w:t>
      </w: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jc w:val="center"/>
        <w:rPr>
          <w:rFonts w:ascii="宋体" w:hAnsi="宋体"/>
          <w:sz w:val="24"/>
          <w:szCs w:val="24"/>
          <w:highlight w:val="none"/>
        </w:rPr>
      </w:pPr>
      <w:r>
        <w:rPr>
          <w:rFonts w:ascii="宋体" w:hAnsi="宋体"/>
          <w:sz w:val="24"/>
          <w:szCs w:val="24"/>
          <w:highlight w:val="none"/>
        </w:rPr>
        <w:t xml:space="preserve">                              </w:t>
      </w:r>
      <w:r>
        <w:rPr>
          <w:rFonts w:hint="eastAsia" w:ascii="宋体" w:hAnsi="宋体"/>
          <w:sz w:val="24"/>
          <w:szCs w:val="24"/>
          <w:highlight w:val="none"/>
          <w:lang w:eastAsia="zh-CN"/>
        </w:rPr>
        <w:t>报价人</w:t>
      </w:r>
      <w:r>
        <w:rPr>
          <w:rFonts w:ascii="宋体" w:hAnsi="宋体"/>
          <w:sz w:val="24"/>
          <w:szCs w:val="24"/>
          <w:highlight w:val="none"/>
        </w:rPr>
        <w:t>：</w:t>
      </w:r>
      <w:r>
        <w:rPr>
          <w:rFonts w:ascii="宋体" w:hAnsi="宋体"/>
          <w:sz w:val="24"/>
          <w:szCs w:val="24"/>
          <w:highlight w:val="none"/>
          <w:u w:val="single"/>
        </w:rPr>
        <w:t xml:space="preserve">          </w:t>
      </w:r>
      <w:r>
        <w:rPr>
          <w:rFonts w:ascii="宋体" w:hAnsi="宋体"/>
          <w:sz w:val="24"/>
          <w:szCs w:val="24"/>
          <w:highlight w:val="none"/>
          <w:u w:val="single"/>
        </w:rPr>
        <w:tab/>
      </w:r>
      <w:r>
        <w:rPr>
          <w:rFonts w:ascii="宋体" w:hAnsi="宋体"/>
          <w:sz w:val="24"/>
          <w:szCs w:val="24"/>
          <w:highlight w:val="none"/>
        </w:rPr>
        <w:t>（</w:t>
      </w:r>
      <w:r>
        <w:rPr>
          <w:rFonts w:hint="eastAsia" w:ascii="宋体" w:hAnsi="宋体"/>
          <w:sz w:val="24"/>
          <w:szCs w:val="24"/>
          <w:highlight w:val="none"/>
        </w:rPr>
        <w:t>盖</w:t>
      </w:r>
      <w:r>
        <w:rPr>
          <w:rFonts w:ascii="宋体" w:hAnsi="宋体"/>
          <w:sz w:val="24"/>
          <w:szCs w:val="24"/>
          <w:highlight w:val="none"/>
        </w:rPr>
        <w:t>单位</w:t>
      </w:r>
      <w:r>
        <w:rPr>
          <w:rFonts w:hint="eastAsia" w:ascii="宋体" w:hAnsi="宋体"/>
          <w:sz w:val="24"/>
          <w:szCs w:val="24"/>
          <w:highlight w:val="none"/>
        </w:rPr>
        <w:t>公章</w:t>
      </w:r>
      <w:r>
        <w:rPr>
          <w:rFonts w:ascii="宋体" w:hAnsi="宋体"/>
          <w:sz w:val="24"/>
          <w:szCs w:val="24"/>
          <w:highlight w:val="none"/>
        </w:rPr>
        <w:t>）</w:t>
      </w:r>
    </w:p>
    <w:p>
      <w:pPr>
        <w:spacing w:line="440" w:lineRule="exact"/>
        <w:rPr>
          <w:rFonts w:ascii="宋体" w:hAnsi="宋体"/>
          <w:sz w:val="24"/>
          <w:szCs w:val="24"/>
          <w:highlight w:val="none"/>
        </w:rPr>
      </w:pPr>
    </w:p>
    <w:p>
      <w:pPr>
        <w:spacing w:line="440" w:lineRule="exact"/>
        <w:ind w:firstLine="5280" w:firstLineChars="2200"/>
        <w:rPr>
          <w:rFonts w:ascii="宋体" w:hAnsi="宋体"/>
          <w:sz w:val="24"/>
          <w:szCs w:val="24"/>
          <w:highlight w:val="none"/>
        </w:rPr>
      </w:pPr>
      <w:r>
        <w:rPr>
          <w:rFonts w:ascii="宋体" w:hAnsi="宋体"/>
          <w:sz w:val="24"/>
          <w:szCs w:val="24"/>
          <w:highlight w:val="none"/>
          <w:u w:val="single"/>
        </w:rPr>
        <w:t xml:space="preserve">      </w:t>
      </w:r>
      <w:r>
        <w:rPr>
          <w:rFonts w:ascii="宋体" w:hAnsi="宋体"/>
          <w:sz w:val="24"/>
          <w:szCs w:val="24"/>
          <w:highlight w:val="none"/>
        </w:rPr>
        <w:t>年</w:t>
      </w:r>
      <w:r>
        <w:rPr>
          <w:rFonts w:ascii="宋体" w:hAnsi="宋体"/>
          <w:sz w:val="24"/>
          <w:szCs w:val="24"/>
          <w:highlight w:val="none"/>
          <w:u w:val="single"/>
        </w:rPr>
        <w:t xml:space="preserve">      </w:t>
      </w:r>
      <w:r>
        <w:rPr>
          <w:rFonts w:ascii="宋体" w:hAnsi="宋体"/>
          <w:sz w:val="24"/>
          <w:szCs w:val="24"/>
          <w:highlight w:val="none"/>
        </w:rPr>
        <w:t>月</w:t>
      </w:r>
      <w:r>
        <w:rPr>
          <w:rFonts w:ascii="宋体" w:hAnsi="宋体"/>
          <w:sz w:val="24"/>
          <w:szCs w:val="24"/>
          <w:highlight w:val="none"/>
          <w:u w:val="single"/>
        </w:rPr>
        <w:t xml:space="preserve">      </w:t>
      </w:r>
      <w:r>
        <w:rPr>
          <w:rFonts w:ascii="宋体" w:hAnsi="宋体"/>
          <w:sz w:val="24"/>
          <w:szCs w:val="24"/>
          <w:highlight w:val="none"/>
        </w:rPr>
        <w:t>日</w:t>
      </w:r>
    </w:p>
    <w:p>
      <w:pPr>
        <w:rPr>
          <w:rFonts w:ascii="宋体" w:hAnsi="宋体"/>
          <w:sz w:val="24"/>
          <w:szCs w:val="24"/>
          <w:highlight w:val="none"/>
        </w:rPr>
      </w:pPr>
    </w:p>
    <w:p>
      <w:pPr>
        <w:rPr>
          <w:rFonts w:ascii="宋体" w:hAnsi="宋体"/>
          <w:sz w:val="24"/>
          <w:szCs w:val="24"/>
          <w:highlight w:val="none"/>
        </w:rPr>
      </w:pPr>
    </w:p>
    <w:p>
      <w:pPr>
        <w:spacing w:line="440" w:lineRule="exact"/>
        <w:rPr>
          <w:rFonts w:ascii="宋体" w:hAnsi="宋体"/>
          <w:sz w:val="24"/>
          <w:szCs w:val="24"/>
          <w:highlight w:val="none"/>
        </w:rPr>
      </w:pPr>
      <w:r>
        <w:rPr>
          <w:rFonts w:ascii="宋体" w:hAnsi="宋体"/>
          <w:sz w:val="24"/>
          <w:szCs w:val="24"/>
          <w:highlight w:val="none"/>
        </w:rPr>
        <w:t>注：本身份证明需由</w:t>
      </w:r>
      <w:r>
        <w:rPr>
          <w:rFonts w:hint="eastAsia" w:ascii="宋体" w:hAnsi="宋体"/>
          <w:sz w:val="24"/>
          <w:szCs w:val="24"/>
          <w:highlight w:val="none"/>
          <w:lang w:eastAsia="zh-CN"/>
        </w:rPr>
        <w:t>报价人</w:t>
      </w:r>
      <w:r>
        <w:rPr>
          <w:rFonts w:ascii="宋体" w:hAnsi="宋体"/>
          <w:sz w:val="24"/>
          <w:szCs w:val="24"/>
          <w:highlight w:val="none"/>
        </w:rPr>
        <w:t>加盖单位</w:t>
      </w:r>
      <w:r>
        <w:rPr>
          <w:rFonts w:hint="eastAsia" w:ascii="宋体" w:hAnsi="宋体"/>
          <w:sz w:val="24"/>
          <w:szCs w:val="24"/>
          <w:highlight w:val="none"/>
        </w:rPr>
        <w:t>公章</w:t>
      </w:r>
      <w:r>
        <w:rPr>
          <w:rFonts w:ascii="宋体" w:hAnsi="宋体"/>
          <w:sz w:val="24"/>
          <w:szCs w:val="24"/>
          <w:highlight w:val="none"/>
        </w:rPr>
        <w:t>。</w:t>
      </w:r>
    </w:p>
    <w:p>
      <w:pPr>
        <w:spacing w:line="440" w:lineRule="exact"/>
        <w:rPr>
          <w:rFonts w:ascii="宋体" w:hAnsi="宋体"/>
          <w:sz w:val="20"/>
          <w:highlight w:val="none"/>
        </w:rPr>
      </w:pPr>
    </w:p>
    <w:p>
      <w:pPr>
        <w:spacing w:line="20" w:lineRule="exact"/>
        <w:jc w:val="center"/>
        <w:rPr>
          <w:rFonts w:ascii="宋体" w:hAnsi="宋体"/>
          <w:sz w:val="20"/>
          <w:highlight w:val="none"/>
        </w:rPr>
      </w:pPr>
      <w:r>
        <w:rPr>
          <w:rFonts w:ascii="宋体" w:hAnsi="宋体"/>
          <w:sz w:val="20"/>
          <w:highlight w:val="none"/>
        </w:rPr>
        <w:br w:type="page"/>
      </w:r>
    </w:p>
    <w:p>
      <w:pPr>
        <w:pStyle w:val="5"/>
        <w:jc w:val="center"/>
        <w:rPr>
          <w:rFonts w:ascii="宋体" w:hAnsi="宋体"/>
          <w:sz w:val="28"/>
          <w:szCs w:val="28"/>
          <w:highlight w:val="none"/>
        </w:rPr>
      </w:pPr>
      <w:bookmarkStart w:id="251" w:name="_Toc491883233"/>
      <w:bookmarkStart w:id="252" w:name="_Toc58"/>
      <w:r>
        <w:rPr>
          <w:rFonts w:hint="eastAsia" w:ascii="宋体" w:hAnsi="宋体" w:eastAsia="宋体" w:cs="宋体"/>
          <w:sz w:val="24"/>
          <w:szCs w:val="24"/>
          <w:highlight w:val="none"/>
        </w:rPr>
        <w:t>（二）</w:t>
      </w:r>
      <w:bookmarkEnd w:id="251"/>
      <w:r>
        <w:rPr>
          <w:rFonts w:hint="eastAsia" w:ascii="宋体" w:hAnsi="宋体" w:eastAsia="宋体" w:cs="宋体"/>
          <w:sz w:val="24"/>
          <w:szCs w:val="24"/>
          <w:highlight w:val="none"/>
        </w:rPr>
        <w:t>法定代表人授权委托书</w:t>
      </w:r>
      <w:bookmarkEnd w:id="252"/>
    </w:p>
    <w:p>
      <w:pPr>
        <w:topLinePunct/>
        <w:spacing w:line="440" w:lineRule="exact"/>
        <w:ind w:firstLine="480" w:firstLineChars="200"/>
        <w:rPr>
          <w:rFonts w:ascii="宋体" w:hAnsi="宋体"/>
          <w:sz w:val="24"/>
          <w:szCs w:val="24"/>
          <w:highlight w:val="none"/>
        </w:rPr>
      </w:pPr>
      <w:r>
        <w:rPr>
          <w:rFonts w:ascii="宋体" w:hAnsi="宋体"/>
          <w:sz w:val="24"/>
          <w:szCs w:val="24"/>
          <w:highlight w:val="none"/>
        </w:rPr>
        <w:t>本人</w:t>
      </w:r>
      <w:r>
        <w:rPr>
          <w:rFonts w:ascii="宋体" w:hAnsi="宋体"/>
          <w:sz w:val="24"/>
          <w:szCs w:val="24"/>
          <w:highlight w:val="none"/>
          <w:u w:val="single"/>
        </w:rPr>
        <w:t xml:space="preserve">              </w:t>
      </w:r>
      <w:r>
        <w:rPr>
          <w:rFonts w:ascii="宋体" w:hAnsi="宋体"/>
          <w:sz w:val="24"/>
          <w:szCs w:val="24"/>
          <w:highlight w:val="none"/>
        </w:rPr>
        <w:t>（姓名）系</w:t>
      </w:r>
      <w:r>
        <w:rPr>
          <w:rFonts w:ascii="宋体" w:hAnsi="宋体"/>
          <w:sz w:val="24"/>
          <w:szCs w:val="24"/>
          <w:highlight w:val="none"/>
          <w:u w:val="single"/>
        </w:rPr>
        <w:t xml:space="preserve">                    </w:t>
      </w:r>
      <w:r>
        <w:rPr>
          <w:rFonts w:ascii="宋体" w:hAnsi="宋体"/>
          <w:sz w:val="24"/>
          <w:szCs w:val="24"/>
          <w:highlight w:val="none"/>
        </w:rPr>
        <w:t>（</w:t>
      </w:r>
      <w:r>
        <w:rPr>
          <w:rFonts w:hint="eastAsia" w:ascii="宋体" w:hAnsi="宋体"/>
          <w:sz w:val="24"/>
          <w:szCs w:val="24"/>
          <w:highlight w:val="none"/>
          <w:lang w:eastAsia="zh-CN"/>
        </w:rPr>
        <w:t>报价人</w:t>
      </w:r>
      <w:r>
        <w:rPr>
          <w:rFonts w:ascii="宋体" w:hAnsi="宋体"/>
          <w:sz w:val="24"/>
          <w:szCs w:val="24"/>
          <w:highlight w:val="none"/>
        </w:rPr>
        <w:t>名称）的法定代表人，现委托</w:t>
      </w:r>
      <w:r>
        <w:rPr>
          <w:rFonts w:ascii="宋体" w:hAnsi="宋体"/>
          <w:sz w:val="24"/>
          <w:szCs w:val="24"/>
          <w:highlight w:val="none"/>
          <w:u w:val="single"/>
        </w:rPr>
        <w:t xml:space="preserve">            </w:t>
      </w:r>
      <w:r>
        <w:rPr>
          <w:rFonts w:ascii="宋体" w:hAnsi="宋体"/>
          <w:sz w:val="24"/>
          <w:szCs w:val="24"/>
          <w:highlight w:val="none"/>
        </w:rPr>
        <w:t>（姓名）为我方代理人。代理人根据授权，以我方名义签署、澄清确认、递交、撤回、修改招标项目</w:t>
      </w:r>
      <w:r>
        <w:rPr>
          <w:rFonts w:hint="eastAsia" w:ascii="宋体" w:hAnsi="宋体"/>
          <w:sz w:val="24"/>
          <w:szCs w:val="24"/>
          <w:highlight w:val="none"/>
          <w:lang w:val="en-US" w:eastAsia="zh-CN"/>
        </w:rPr>
        <w:t>比选</w:t>
      </w:r>
      <w:r>
        <w:rPr>
          <w:rFonts w:ascii="宋体" w:hAnsi="宋体"/>
          <w:sz w:val="24"/>
          <w:szCs w:val="24"/>
          <w:highlight w:val="none"/>
        </w:rPr>
        <w:t>文件、签订合同和处理有关事宜，其法律后果由我方承担。</w:t>
      </w:r>
    </w:p>
    <w:p>
      <w:pPr>
        <w:spacing w:line="440" w:lineRule="exact"/>
        <w:rPr>
          <w:rFonts w:ascii="宋体" w:hAnsi="宋体"/>
          <w:sz w:val="24"/>
          <w:szCs w:val="24"/>
          <w:highlight w:val="none"/>
        </w:rPr>
      </w:pPr>
      <w:r>
        <w:rPr>
          <w:rFonts w:ascii="宋体" w:hAnsi="宋体"/>
          <w:sz w:val="24"/>
          <w:szCs w:val="24"/>
          <w:highlight w:val="none"/>
        </w:rPr>
        <w:t>委托期限：</w:t>
      </w:r>
      <w:r>
        <w:rPr>
          <w:rFonts w:ascii="宋体" w:hAnsi="宋体"/>
          <w:sz w:val="24"/>
          <w:szCs w:val="24"/>
          <w:highlight w:val="none"/>
          <w:u w:val="single"/>
        </w:rPr>
        <w:t xml:space="preserve">                       </w:t>
      </w:r>
      <w:r>
        <w:rPr>
          <w:rFonts w:ascii="宋体" w:hAnsi="宋体"/>
          <w:sz w:val="24"/>
          <w:szCs w:val="24"/>
          <w:highlight w:val="none"/>
        </w:rPr>
        <w:t>。</w:t>
      </w:r>
    </w:p>
    <w:p>
      <w:pPr>
        <w:spacing w:line="440" w:lineRule="exact"/>
        <w:ind w:firstLine="480" w:firstLineChars="200"/>
        <w:rPr>
          <w:rFonts w:ascii="宋体" w:hAnsi="宋体"/>
          <w:sz w:val="24"/>
          <w:szCs w:val="24"/>
          <w:highlight w:val="none"/>
        </w:rPr>
      </w:pPr>
      <w:r>
        <w:rPr>
          <w:rFonts w:ascii="宋体" w:hAnsi="宋体"/>
          <w:sz w:val="24"/>
          <w:szCs w:val="24"/>
          <w:highlight w:val="none"/>
        </w:rPr>
        <w:t>代理人无转委托权。</w:t>
      </w:r>
    </w:p>
    <w:p>
      <w:pPr>
        <w:spacing w:line="440" w:lineRule="exact"/>
        <w:ind w:firstLine="480" w:firstLineChars="200"/>
        <w:rPr>
          <w:rFonts w:ascii="宋体" w:hAnsi="宋体"/>
          <w:sz w:val="24"/>
          <w:szCs w:val="24"/>
          <w:highlight w:val="none"/>
        </w:rPr>
      </w:pPr>
    </w:p>
    <w:p>
      <w:pPr>
        <w:spacing w:line="440" w:lineRule="exact"/>
        <w:rPr>
          <w:rFonts w:ascii="宋体" w:hAnsi="宋体"/>
          <w:sz w:val="24"/>
          <w:szCs w:val="24"/>
          <w:highlight w:val="none"/>
        </w:rPr>
      </w:pPr>
      <w:r>
        <w:rPr>
          <w:rFonts w:ascii="宋体" w:hAnsi="宋体"/>
          <w:sz w:val="24"/>
          <w:szCs w:val="24"/>
          <w:highlight w:val="none"/>
        </w:rPr>
        <w:t>附：法定代表人身份证复印件及委托代理人身份证复印件</w:t>
      </w:r>
      <w:r>
        <w:rPr>
          <w:rFonts w:hint="eastAsia" w:ascii="宋体" w:hAnsi="宋体"/>
          <w:sz w:val="24"/>
          <w:szCs w:val="24"/>
          <w:highlight w:val="none"/>
        </w:rPr>
        <w:t>（正、反面）</w:t>
      </w: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ind w:firstLine="3076" w:firstLineChars="1282"/>
        <w:rPr>
          <w:rFonts w:ascii="宋体" w:hAnsi="宋体"/>
          <w:sz w:val="24"/>
          <w:szCs w:val="24"/>
          <w:highlight w:val="none"/>
        </w:rPr>
      </w:pPr>
      <w:r>
        <w:rPr>
          <w:rFonts w:hint="eastAsia" w:ascii="宋体" w:hAnsi="宋体"/>
          <w:sz w:val="24"/>
          <w:szCs w:val="24"/>
          <w:highlight w:val="none"/>
          <w:lang w:eastAsia="zh-CN"/>
        </w:rPr>
        <w:t>报  价  人</w:t>
      </w:r>
      <w:r>
        <w:rPr>
          <w:rFonts w:ascii="宋体" w:hAnsi="宋体"/>
          <w:sz w:val="24"/>
          <w:szCs w:val="24"/>
          <w:highlight w:val="none"/>
        </w:rPr>
        <w:t>：</w:t>
      </w:r>
      <w:r>
        <w:rPr>
          <w:rFonts w:ascii="宋体" w:hAnsi="宋体"/>
          <w:sz w:val="24"/>
          <w:szCs w:val="24"/>
          <w:highlight w:val="none"/>
          <w:u w:val="single"/>
        </w:rPr>
        <w:tab/>
      </w:r>
      <w:r>
        <w:rPr>
          <w:rFonts w:ascii="宋体" w:hAnsi="宋体"/>
          <w:sz w:val="24"/>
          <w:szCs w:val="24"/>
          <w:highlight w:val="none"/>
          <w:u w:val="single"/>
        </w:rPr>
        <w:tab/>
      </w:r>
      <w:r>
        <w:rPr>
          <w:rFonts w:ascii="宋体" w:hAnsi="宋体"/>
          <w:sz w:val="24"/>
          <w:szCs w:val="24"/>
          <w:highlight w:val="none"/>
          <w:u w:val="single"/>
        </w:rPr>
        <w:tab/>
      </w:r>
      <w:r>
        <w:rPr>
          <w:rFonts w:ascii="宋体" w:hAnsi="宋体"/>
          <w:sz w:val="24"/>
          <w:szCs w:val="24"/>
          <w:highlight w:val="none"/>
          <w:u w:val="single"/>
        </w:rPr>
        <w:t xml:space="preserve">               </w:t>
      </w:r>
      <w:r>
        <w:rPr>
          <w:rFonts w:ascii="宋体" w:hAnsi="宋体"/>
          <w:sz w:val="24"/>
          <w:szCs w:val="24"/>
          <w:highlight w:val="none"/>
          <w:u w:val="single"/>
        </w:rPr>
        <w:tab/>
      </w:r>
      <w:r>
        <w:rPr>
          <w:rFonts w:ascii="宋体" w:hAnsi="宋体"/>
          <w:sz w:val="24"/>
          <w:szCs w:val="24"/>
          <w:highlight w:val="none"/>
        </w:rPr>
        <w:t>（</w:t>
      </w:r>
      <w:r>
        <w:rPr>
          <w:rFonts w:hint="eastAsia" w:ascii="宋体" w:hAnsi="宋体"/>
          <w:sz w:val="24"/>
          <w:szCs w:val="24"/>
          <w:highlight w:val="none"/>
        </w:rPr>
        <w:t>盖</w:t>
      </w:r>
      <w:r>
        <w:rPr>
          <w:rFonts w:ascii="宋体" w:hAnsi="宋体"/>
          <w:sz w:val="24"/>
          <w:szCs w:val="24"/>
          <w:highlight w:val="none"/>
        </w:rPr>
        <w:t>单位</w:t>
      </w:r>
      <w:r>
        <w:rPr>
          <w:rFonts w:hint="eastAsia" w:ascii="宋体" w:hAnsi="宋体"/>
          <w:sz w:val="24"/>
          <w:szCs w:val="24"/>
          <w:highlight w:val="none"/>
        </w:rPr>
        <w:t>公章</w:t>
      </w:r>
      <w:r>
        <w:rPr>
          <w:rFonts w:ascii="宋体" w:hAnsi="宋体"/>
          <w:sz w:val="24"/>
          <w:szCs w:val="24"/>
          <w:highlight w:val="none"/>
        </w:rPr>
        <w:t>）</w:t>
      </w:r>
    </w:p>
    <w:p>
      <w:pPr>
        <w:spacing w:line="440" w:lineRule="exact"/>
        <w:ind w:firstLine="3074" w:firstLineChars="1281"/>
        <w:jc w:val="left"/>
        <w:rPr>
          <w:rFonts w:ascii="宋体" w:hAnsi="宋体"/>
          <w:sz w:val="24"/>
          <w:szCs w:val="24"/>
          <w:highlight w:val="none"/>
        </w:rPr>
      </w:pPr>
      <w:r>
        <w:rPr>
          <w:rFonts w:ascii="宋体" w:hAnsi="宋体"/>
          <w:sz w:val="24"/>
          <w:szCs w:val="24"/>
          <w:highlight w:val="none"/>
        </w:rPr>
        <w:t>法定代表人：</w:t>
      </w:r>
      <w:r>
        <w:rPr>
          <w:rFonts w:ascii="宋体" w:hAnsi="宋体"/>
          <w:sz w:val="24"/>
          <w:szCs w:val="24"/>
          <w:highlight w:val="none"/>
          <w:u w:val="single"/>
        </w:rPr>
        <w:tab/>
      </w:r>
      <w:r>
        <w:rPr>
          <w:rFonts w:ascii="宋体" w:hAnsi="宋体"/>
          <w:sz w:val="24"/>
          <w:szCs w:val="24"/>
          <w:highlight w:val="none"/>
          <w:u w:val="single"/>
        </w:rPr>
        <w:tab/>
      </w:r>
      <w:r>
        <w:rPr>
          <w:rFonts w:ascii="宋体" w:hAnsi="宋体"/>
          <w:sz w:val="24"/>
          <w:szCs w:val="24"/>
          <w:highlight w:val="none"/>
          <w:u w:val="single"/>
        </w:rPr>
        <w:tab/>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ascii="宋体" w:hAnsi="宋体"/>
          <w:sz w:val="24"/>
          <w:szCs w:val="24"/>
          <w:highlight w:val="none"/>
          <w:u w:val="single"/>
        </w:rPr>
        <w:tab/>
      </w:r>
      <w:r>
        <w:rPr>
          <w:rFonts w:ascii="宋体" w:hAnsi="宋体"/>
          <w:sz w:val="24"/>
          <w:szCs w:val="24"/>
          <w:highlight w:val="none"/>
        </w:rPr>
        <w:t>（签字</w:t>
      </w:r>
      <w:r>
        <w:rPr>
          <w:rFonts w:hint="eastAsia" w:ascii="宋体" w:hAnsi="宋体"/>
          <w:sz w:val="24"/>
          <w:szCs w:val="24"/>
          <w:highlight w:val="none"/>
        </w:rPr>
        <w:t xml:space="preserve"> </w:t>
      </w:r>
      <w:r>
        <w:rPr>
          <w:rFonts w:ascii="宋体" w:hAnsi="宋体"/>
          <w:sz w:val="24"/>
          <w:szCs w:val="24"/>
          <w:highlight w:val="none"/>
        </w:rPr>
        <w:t>）</w:t>
      </w:r>
    </w:p>
    <w:p>
      <w:pPr>
        <w:spacing w:line="440" w:lineRule="exact"/>
        <w:ind w:firstLine="3076" w:firstLineChars="1282"/>
        <w:rPr>
          <w:rFonts w:ascii="宋体" w:hAnsi="宋体"/>
          <w:sz w:val="24"/>
          <w:szCs w:val="24"/>
          <w:highlight w:val="none"/>
        </w:rPr>
      </w:pPr>
      <w:r>
        <w:rPr>
          <w:rFonts w:ascii="宋体" w:hAnsi="宋体"/>
          <w:sz w:val="24"/>
          <w:szCs w:val="24"/>
          <w:highlight w:val="none"/>
        </w:rPr>
        <w:t>身份证号码：</w:t>
      </w:r>
      <w:r>
        <w:rPr>
          <w:rFonts w:ascii="宋体" w:hAnsi="宋体"/>
          <w:sz w:val="24"/>
          <w:szCs w:val="24"/>
          <w:highlight w:val="none"/>
          <w:u w:val="single"/>
        </w:rPr>
        <w:tab/>
      </w:r>
      <w:r>
        <w:rPr>
          <w:rFonts w:ascii="宋体" w:hAnsi="宋体"/>
          <w:sz w:val="24"/>
          <w:szCs w:val="24"/>
          <w:highlight w:val="none"/>
          <w:u w:val="single"/>
        </w:rPr>
        <w:tab/>
      </w:r>
      <w:r>
        <w:rPr>
          <w:rFonts w:ascii="宋体" w:hAnsi="宋体"/>
          <w:sz w:val="24"/>
          <w:szCs w:val="24"/>
          <w:highlight w:val="none"/>
          <w:u w:val="single"/>
        </w:rPr>
        <w:tab/>
      </w:r>
      <w:r>
        <w:rPr>
          <w:rFonts w:ascii="宋体" w:hAnsi="宋体"/>
          <w:sz w:val="24"/>
          <w:szCs w:val="24"/>
          <w:highlight w:val="none"/>
          <w:u w:val="single"/>
        </w:rPr>
        <w:t xml:space="preserve">                            </w:t>
      </w:r>
      <w:r>
        <w:rPr>
          <w:rFonts w:ascii="宋体" w:hAnsi="宋体"/>
          <w:sz w:val="24"/>
          <w:szCs w:val="24"/>
          <w:highlight w:val="none"/>
          <w:u w:val="single"/>
        </w:rPr>
        <w:tab/>
      </w:r>
    </w:p>
    <w:p>
      <w:pPr>
        <w:spacing w:line="440" w:lineRule="exact"/>
        <w:ind w:firstLine="3076" w:firstLineChars="1282"/>
        <w:rPr>
          <w:rFonts w:ascii="宋体" w:hAnsi="宋体"/>
          <w:sz w:val="24"/>
          <w:szCs w:val="24"/>
          <w:highlight w:val="none"/>
        </w:rPr>
      </w:pPr>
      <w:r>
        <w:rPr>
          <w:rFonts w:ascii="宋体" w:hAnsi="宋体"/>
          <w:sz w:val="24"/>
          <w:szCs w:val="24"/>
          <w:highlight w:val="none"/>
        </w:rPr>
        <w:t>委托代理人：</w:t>
      </w:r>
      <w:r>
        <w:rPr>
          <w:rFonts w:ascii="宋体" w:hAnsi="宋体"/>
          <w:sz w:val="24"/>
          <w:szCs w:val="24"/>
          <w:highlight w:val="none"/>
          <w:u w:val="single"/>
        </w:rPr>
        <w:tab/>
      </w:r>
      <w:r>
        <w:rPr>
          <w:rFonts w:ascii="宋体" w:hAnsi="宋体"/>
          <w:sz w:val="24"/>
          <w:szCs w:val="24"/>
          <w:highlight w:val="none"/>
          <w:u w:val="single"/>
        </w:rPr>
        <w:tab/>
      </w:r>
      <w:r>
        <w:rPr>
          <w:rFonts w:ascii="宋体" w:hAnsi="宋体"/>
          <w:sz w:val="24"/>
          <w:szCs w:val="24"/>
          <w:highlight w:val="none"/>
          <w:u w:val="single"/>
        </w:rPr>
        <w:tab/>
      </w:r>
      <w:r>
        <w:rPr>
          <w:rFonts w:ascii="宋体" w:hAnsi="宋体"/>
          <w:sz w:val="24"/>
          <w:szCs w:val="24"/>
          <w:highlight w:val="none"/>
          <w:u w:val="single"/>
        </w:rPr>
        <w:t xml:space="preserve">                     </w:t>
      </w:r>
      <w:r>
        <w:rPr>
          <w:rFonts w:ascii="宋体" w:hAnsi="宋体"/>
          <w:sz w:val="24"/>
          <w:szCs w:val="24"/>
          <w:highlight w:val="none"/>
          <w:u w:val="single"/>
        </w:rPr>
        <w:tab/>
      </w:r>
      <w:r>
        <w:rPr>
          <w:rFonts w:ascii="宋体" w:hAnsi="宋体"/>
          <w:sz w:val="24"/>
          <w:szCs w:val="24"/>
          <w:highlight w:val="none"/>
        </w:rPr>
        <w:t>（签字）</w:t>
      </w:r>
    </w:p>
    <w:p>
      <w:pPr>
        <w:spacing w:line="440" w:lineRule="exact"/>
        <w:ind w:firstLine="3076" w:firstLineChars="1282"/>
        <w:rPr>
          <w:rFonts w:ascii="宋体" w:hAnsi="宋体"/>
          <w:sz w:val="24"/>
          <w:szCs w:val="24"/>
          <w:highlight w:val="none"/>
        </w:rPr>
      </w:pPr>
      <w:r>
        <w:rPr>
          <w:rFonts w:ascii="宋体" w:hAnsi="宋体"/>
          <w:sz w:val="24"/>
          <w:szCs w:val="24"/>
          <w:highlight w:val="none"/>
        </w:rPr>
        <w:t>身份证号码：</w:t>
      </w:r>
      <w:r>
        <w:rPr>
          <w:rFonts w:ascii="宋体" w:hAnsi="宋体"/>
          <w:sz w:val="24"/>
          <w:szCs w:val="24"/>
          <w:highlight w:val="none"/>
          <w:u w:val="single"/>
        </w:rPr>
        <w:tab/>
      </w:r>
      <w:r>
        <w:rPr>
          <w:rFonts w:ascii="宋体" w:hAnsi="宋体"/>
          <w:sz w:val="24"/>
          <w:szCs w:val="24"/>
          <w:highlight w:val="none"/>
          <w:u w:val="single"/>
        </w:rPr>
        <w:tab/>
      </w:r>
      <w:r>
        <w:rPr>
          <w:rFonts w:ascii="宋体" w:hAnsi="宋体"/>
          <w:sz w:val="24"/>
          <w:szCs w:val="24"/>
          <w:highlight w:val="none"/>
          <w:u w:val="single"/>
        </w:rPr>
        <w:tab/>
      </w:r>
      <w:r>
        <w:rPr>
          <w:rFonts w:ascii="宋体" w:hAnsi="宋体"/>
          <w:sz w:val="24"/>
          <w:szCs w:val="24"/>
          <w:highlight w:val="none"/>
          <w:u w:val="single"/>
        </w:rPr>
        <w:t xml:space="preserve">                            </w:t>
      </w:r>
      <w:r>
        <w:rPr>
          <w:rFonts w:ascii="宋体" w:hAnsi="宋体"/>
          <w:sz w:val="24"/>
          <w:szCs w:val="24"/>
          <w:highlight w:val="none"/>
          <w:u w:val="single"/>
        </w:rPr>
        <w:tab/>
      </w:r>
    </w:p>
    <w:p>
      <w:pPr>
        <w:spacing w:line="440" w:lineRule="exact"/>
        <w:ind w:firstLine="3076" w:firstLineChars="1282"/>
        <w:rPr>
          <w:rFonts w:ascii="宋体" w:hAnsi="宋体"/>
          <w:sz w:val="24"/>
          <w:szCs w:val="24"/>
          <w:highlight w:val="none"/>
        </w:rPr>
      </w:pPr>
    </w:p>
    <w:p>
      <w:pPr>
        <w:spacing w:line="440" w:lineRule="exact"/>
        <w:ind w:firstLine="4636" w:firstLineChars="1932"/>
        <w:jc w:val="right"/>
        <w:rPr>
          <w:rFonts w:ascii="宋体" w:hAnsi="宋体"/>
          <w:sz w:val="24"/>
          <w:szCs w:val="24"/>
          <w:highlight w:val="none"/>
        </w:rPr>
      </w:pPr>
      <w:r>
        <w:rPr>
          <w:rFonts w:ascii="宋体" w:hAnsi="宋体"/>
          <w:sz w:val="24"/>
          <w:szCs w:val="24"/>
          <w:highlight w:val="none"/>
          <w:u w:val="single"/>
        </w:rPr>
        <w:t xml:space="preserve">       </w:t>
      </w:r>
      <w:r>
        <w:rPr>
          <w:rFonts w:ascii="宋体" w:hAnsi="宋体"/>
          <w:sz w:val="24"/>
          <w:szCs w:val="24"/>
          <w:highlight w:val="none"/>
        </w:rPr>
        <w:t>年</w:t>
      </w:r>
      <w:r>
        <w:rPr>
          <w:rFonts w:ascii="宋体" w:hAnsi="宋体"/>
          <w:sz w:val="24"/>
          <w:szCs w:val="24"/>
          <w:highlight w:val="none"/>
          <w:u w:val="single"/>
        </w:rPr>
        <w:t xml:space="preserve">       </w:t>
      </w:r>
      <w:r>
        <w:rPr>
          <w:rFonts w:ascii="宋体" w:hAnsi="宋体"/>
          <w:sz w:val="24"/>
          <w:szCs w:val="24"/>
          <w:highlight w:val="none"/>
        </w:rPr>
        <w:t>月</w:t>
      </w:r>
      <w:r>
        <w:rPr>
          <w:rFonts w:ascii="宋体" w:hAnsi="宋体"/>
          <w:sz w:val="24"/>
          <w:szCs w:val="24"/>
          <w:highlight w:val="none"/>
          <w:u w:val="single"/>
        </w:rPr>
        <w:t xml:space="preserve">       </w:t>
      </w:r>
      <w:r>
        <w:rPr>
          <w:rFonts w:ascii="宋体" w:hAnsi="宋体"/>
          <w:sz w:val="24"/>
          <w:szCs w:val="24"/>
          <w:highlight w:val="none"/>
        </w:rPr>
        <w:t>日</w:t>
      </w:r>
    </w:p>
    <w:p>
      <w:pPr>
        <w:rPr>
          <w:rFonts w:ascii="宋体" w:hAnsi="宋体"/>
          <w:sz w:val="24"/>
          <w:szCs w:val="24"/>
          <w:highlight w:val="none"/>
        </w:rPr>
      </w:pPr>
    </w:p>
    <w:p>
      <w:pPr>
        <w:rPr>
          <w:rFonts w:ascii="宋体" w:hAnsi="宋体"/>
          <w:sz w:val="24"/>
          <w:szCs w:val="24"/>
          <w:highlight w:val="none"/>
        </w:rPr>
      </w:pPr>
    </w:p>
    <w:p>
      <w:pPr>
        <w:spacing w:line="440" w:lineRule="exact"/>
        <w:rPr>
          <w:rFonts w:ascii="宋体" w:hAnsi="宋体"/>
          <w:sz w:val="24"/>
          <w:szCs w:val="24"/>
          <w:highlight w:val="none"/>
        </w:rPr>
      </w:pPr>
      <w:r>
        <w:rPr>
          <w:rFonts w:ascii="宋体" w:hAnsi="宋体"/>
          <w:sz w:val="24"/>
          <w:szCs w:val="24"/>
          <w:highlight w:val="none"/>
        </w:rPr>
        <w:t>注：本授权委托书需由</w:t>
      </w:r>
      <w:r>
        <w:rPr>
          <w:rFonts w:hint="eastAsia" w:ascii="宋体" w:hAnsi="宋体"/>
          <w:sz w:val="24"/>
          <w:szCs w:val="24"/>
          <w:highlight w:val="none"/>
          <w:lang w:eastAsia="zh-CN"/>
        </w:rPr>
        <w:t>报价人</w:t>
      </w:r>
      <w:r>
        <w:rPr>
          <w:rFonts w:ascii="宋体" w:hAnsi="宋体"/>
          <w:sz w:val="24"/>
          <w:szCs w:val="24"/>
          <w:highlight w:val="none"/>
        </w:rPr>
        <w:t>加盖单位</w:t>
      </w:r>
      <w:r>
        <w:rPr>
          <w:rFonts w:hint="eastAsia" w:ascii="宋体" w:hAnsi="宋体"/>
          <w:sz w:val="24"/>
          <w:szCs w:val="24"/>
          <w:highlight w:val="none"/>
        </w:rPr>
        <w:t>公章</w:t>
      </w:r>
      <w:r>
        <w:rPr>
          <w:rFonts w:ascii="宋体" w:hAnsi="宋体"/>
          <w:sz w:val="24"/>
          <w:szCs w:val="24"/>
          <w:highlight w:val="none"/>
        </w:rPr>
        <w:t>并由其法定代表人和委托代理人签字。</w:t>
      </w:r>
    </w:p>
    <w:p>
      <w:pPr>
        <w:pStyle w:val="29"/>
        <w:rPr>
          <w:rFonts w:hint="eastAsia"/>
          <w:highlight w:val="none"/>
        </w:rPr>
        <w:sectPr>
          <w:pgSz w:w="11906" w:h="16838"/>
          <w:pgMar w:top="1440" w:right="1803" w:bottom="1440" w:left="1803" w:header="851" w:footer="992" w:gutter="0"/>
          <w:cols w:space="720" w:num="1"/>
          <w:titlePg/>
          <w:docGrid w:type="lines" w:linePitch="319" w:charSpace="0"/>
        </w:sectPr>
      </w:pPr>
    </w:p>
    <w:p>
      <w:pPr>
        <w:rPr>
          <w:rFonts w:hint="eastAsia" w:ascii="宋体" w:hAnsi="宋体" w:cs="宋体"/>
          <w:snapToGrid w:val="0"/>
          <w:kern w:val="0"/>
          <w:szCs w:val="21"/>
          <w:highlight w:val="none"/>
        </w:rPr>
      </w:pPr>
    </w:p>
    <w:p>
      <w:pPr>
        <w:jc w:val="center"/>
        <w:rPr>
          <w:rFonts w:hint="eastAsia" w:ascii="宋体" w:hAnsi="宋体" w:cs="宋体"/>
          <w:b/>
          <w:highlight w:val="none"/>
        </w:rPr>
      </w:pPr>
      <w:bookmarkStart w:id="253" w:name="_Toc11329275"/>
      <w:r>
        <w:rPr>
          <w:rFonts w:hint="eastAsia" w:ascii="宋体" w:hAnsi="宋体" w:cs="宋体"/>
          <w:b/>
          <w:bCs/>
          <w:kern w:val="0"/>
          <w:sz w:val="28"/>
          <w:szCs w:val="32"/>
          <w:highlight w:val="none"/>
          <w:lang w:val="en-US" w:eastAsia="zh-CN" w:bidi="ar-SA"/>
        </w:rPr>
        <w:t>三</w:t>
      </w:r>
      <w:r>
        <w:rPr>
          <w:rFonts w:hint="eastAsia" w:ascii="宋体" w:hAnsi="宋体" w:eastAsia="宋体" w:cs="宋体"/>
          <w:b/>
          <w:bCs/>
          <w:kern w:val="0"/>
          <w:sz w:val="28"/>
          <w:szCs w:val="32"/>
          <w:highlight w:val="none"/>
          <w:lang w:val="en-US" w:eastAsia="zh-CN" w:bidi="ar-SA"/>
        </w:rPr>
        <w:t>、</w:t>
      </w:r>
      <w:bookmarkEnd w:id="231"/>
      <w:bookmarkEnd w:id="232"/>
      <w:bookmarkEnd w:id="233"/>
      <w:bookmarkEnd w:id="253"/>
      <w:r>
        <w:rPr>
          <w:rFonts w:hint="eastAsia" w:ascii="宋体" w:hAnsi="宋体" w:eastAsia="宋体" w:cs="宋体"/>
          <w:b/>
          <w:bCs/>
          <w:kern w:val="0"/>
          <w:sz w:val="28"/>
          <w:szCs w:val="32"/>
          <w:highlight w:val="none"/>
          <w:lang w:val="en-US" w:eastAsia="zh-CN" w:bidi="ar-SA"/>
        </w:rPr>
        <w:t>报价一览表</w:t>
      </w:r>
    </w:p>
    <w:p>
      <w:pPr>
        <w:ind w:left="765"/>
        <w:jc w:val="center"/>
        <w:rPr>
          <w:rFonts w:hint="eastAsia" w:ascii="宋体" w:hAnsi="宋体" w:cs="宋体"/>
          <w:szCs w:val="21"/>
          <w:highlight w:val="none"/>
        </w:rPr>
      </w:pPr>
    </w:p>
    <w:p>
      <w:pPr>
        <w:pStyle w:val="39"/>
        <w:jc w:val="both"/>
        <w:rPr>
          <w:rFonts w:hint="eastAsia" w:hAnsi="宋体"/>
          <w:highlight w:val="none"/>
        </w:rPr>
      </w:pPr>
      <w:r>
        <w:rPr>
          <w:rFonts w:hint="eastAsia" w:hAnsi="宋体"/>
          <w:highlight w:val="none"/>
          <w:lang w:eastAsia="zh-CN"/>
        </w:rPr>
        <w:t>重庆首讯科技股份有限公司</w:t>
      </w:r>
      <w:r>
        <w:rPr>
          <w:rFonts w:hint="eastAsia" w:hAnsi="宋体"/>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b/>
          <w:color w:val="000000"/>
          <w:sz w:val="24"/>
          <w:highlight w:val="none"/>
        </w:rPr>
      </w:pPr>
      <w:r>
        <w:rPr>
          <w:rFonts w:hint="eastAsia" w:ascii="宋体" w:hAnsi="宋体"/>
          <w:color w:val="000000"/>
          <w:sz w:val="24"/>
          <w:highlight w:val="none"/>
        </w:rPr>
        <w:t>在研究了</w:t>
      </w:r>
      <w:r>
        <w:rPr>
          <w:rFonts w:hint="eastAsia" w:ascii="宋体" w:hAnsi="宋体"/>
          <w:color w:val="000000"/>
          <w:sz w:val="24"/>
          <w:highlight w:val="none"/>
          <w:lang w:eastAsia="zh-CN"/>
        </w:rPr>
        <w:t>竞争比选</w:t>
      </w:r>
      <w:r>
        <w:rPr>
          <w:rFonts w:hint="eastAsia" w:ascii="宋体" w:hAnsi="宋体"/>
          <w:color w:val="000000"/>
          <w:sz w:val="24"/>
          <w:highlight w:val="none"/>
        </w:rPr>
        <w:t>文件中所有文件后，我司</w:t>
      </w:r>
      <w:r>
        <w:rPr>
          <w:rFonts w:hint="eastAsia" w:ascii="宋体" w:hAnsi="宋体"/>
          <w:color w:val="000000"/>
          <w:sz w:val="24"/>
          <w:highlight w:val="none"/>
          <w:lang w:eastAsia="zh-CN"/>
        </w:rPr>
        <w:t>对</w:t>
      </w:r>
      <w:r>
        <w:rPr>
          <w:rFonts w:hint="eastAsia" w:ascii="Arial" w:hAnsi="Arial" w:cs="Arial"/>
          <w:color w:val="000000"/>
          <w:sz w:val="24"/>
          <w:highlight w:val="none"/>
          <w:u w:val="single"/>
          <w:lang w:val="en-US" w:eastAsia="zh-CN"/>
        </w:rPr>
        <w:t>曾家机电站办公用房装饰装修项目（第二次）</w:t>
      </w:r>
      <w:r>
        <w:rPr>
          <w:rFonts w:hint="eastAsia" w:ascii="宋体" w:hAnsi="宋体"/>
          <w:color w:val="000000"/>
          <w:sz w:val="24"/>
          <w:highlight w:val="none"/>
          <w:lang w:eastAsia="zh-CN"/>
        </w:rPr>
        <w:t>竞</w:t>
      </w:r>
      <w:r>
        <w:rPr>
          <w:rFonts w:hint="eastAsia" w:ascii="Arial" w:hAnsi="Arial" w:eastAsia="宋体" w:cs="Arial"/>
          <w:color w:val="000000"/>
          <w:sz w:val="24"/>
          <w:highlight w:val="none"/>
          <w:lang w:eastAsia="zh-CN"/>
        </w:rPr>
        <w:t>争比选</w:t>
      </w:r>
      <w:r>
        <w:rPr>
          <w:rFonts w:hint="eastAsia" w:ascii="Arial" w:hAnsi="Arial" w:cs="Arial"/>
          <w:color w:val="000000"/>
          <w:sz w:val="24"/>
          <w:highlight w:val="none"/>
        </w:rPr>
        <w:t>响应</w:t>
      </w:r>
      <w:r>
        <w:rPr>
          <w:rFonts w:hint="eastAsia" w:ascii="宋体" w:hAnsi="宋体"/>
          <w:color w:val="000000"/>
          <w:sz w:val="24"/>
          <w:highlight w:val="none"/>
        </w:rPr>
        <w:t>报价如下：</w:t>
      </w:r>
      <w:r>
        <w:rPr>
          <w:rFonts w:hint="eastAsia" w:ascii="宋体" w:hAnsi="宋体"/>
          <w:b/>
          <w:color w:val="000000"/>
          <w:sz w:val="24"/>
          <w:highlight w:val="none"/>
        </w:rPr>
        <w:t xml:space="preserve"> </w:t>
      </w:r>
    </w:p>
    <w:p>
      <w:pPr>
        <w:keepNext w:val="0"/>
        <w:keepLines w:val="0"/>
        <w:pageBreakBefore w:val="0"/>
        <w:widowControl w:val="0"/>
        <w:tabs>
          <w:tab w:val="left" w:pos="1680"/>
          <w:tab w:val="left" w:pos="4215"/>
          <w:tab w:val="left" w:pos="4305"/>
          <w:tab w:val="left" w:pos="8000"/>
        </w:tabs>
        <w:kinsoku/>
        <w:wordWrap/>
        <w:overflowPunct/>
        <w:topLinePunct w:val="0"/>
        <w:autoSpaceDE w:val="0"/>
        <w:autoSpaceDN w:val="0"/>
        <w:bidi w:val="0"/>
        <w:adjustRightInd w:val="0"/>
        <w:snapToGrid w:val="0"/>
        <w:spacing w:line="360" w:lineRule="auto"/>
        <w:ind w:firstLine="482" w:firstLineChars="200"/>
        <w:jc w:val="both"/>
        <w:textAlignment w:val="auto"/>
        <w:rPr>
          <w:rFonts w:hint="eastAsia" w:ascii="宋体" w:hAnsi="宋体" w:cs="宋体"/>
          <w:b/>
          <w:kern w:val="0"/>
          <w:sz w:val="28"/>
          <w:szCs w:val="28"/>
          <w:highlight w:val="none"/>
        </w:rPr>
      </w:pPr>
      <w:r>
        <w:rPr>
          <w:rFonts w:hint="eastAsia" w:ascii="宋体" w:hAnsi="宋体" w:cs="Times New Roman"/>
          <w:b/>
          <w:bCs/>
          <w:color w:val="000000"/>
          <w:sz w:val="24"/>
          <w:highlight w:val="none"/>
          <w:lang w:eastAsia="zh-CN"/>
        </w:rPr>
        <w:t>报价采用表格形式，见“工程量清单”。</w:t>
      </w:r>
      <w:r>
        <w:rPr>
          <w:rFonts w:hint="eastAsia" w:ascii="宋体" w:hAnsi="宋体" w:cs="宋体"/>
          <w:b/>
          <w:kern w:val="0"/>
          <w:sz w:val="28"/>
          <w:szCs w:val="28"/>
          <w:highlight w:val="none"/>
        </w:rPr>
        <w:t xml:space="preserve"> </w:t>
      </w:r>
    </w:p>
    <w:p>
      <w:pPr>
        <w:spacing w:line="400" w:lineRule="exact"/>
        <w:rPr>
          <w:rFonts w:hint="eastAsia" w:ascii="宋体" w:hAnsi="宋体" w:cs="宋体"/>
          <w:kern w:val="0"/>
          <w:szCs w:val="21"/>
          <w:highlight w:val="none"/>
        </w:rPr>
      </w:pPr>
    </w:p>
    <w:p>
      <w:pPr>
        <w:pStyle w:val="18"/>
        <w:rPr>
          <w:rFonts w:hint="eastAsia" w:ascii="宋体" w:hAnsi="宋体" w:cs="宋体"/>
          <w:kern w:val="0"/>
          <w:szCs w:val="21"/>
          <w:highlight w:val="none"/>
        </w:rPr>
      </w:pPr>
    </w:p>
    <w:p>
      <w:pPr>
        <w:rPr>
          <w:rFonts w:hint="eastAsia" w:ascii="宋体" w:hAnsi="宋体" w:cs="宋体"/>
          <w:kern w:val="0"/>
          <w:szCs w:val="21"/>
          <w:highlight w:val="none"/>
        </w:rPr>
      </w:pPr>
    </w:p>
    <w:p>
      <w:pPr>
        <w:pStyle w:val="18"/>
        <w:rPr>
          <w:rFonts w:hint="eastAsia" w:ascii="宋体" w:hAnsi="宋体" w:cs="宋体"/>
          <w:kern w:val="0"/>
          <w:szCs w:val="21"/>
          <w:highlight w:val="none"/>
        </w:rPr>
      </w:pPr>
    </w:p>
    <w:p>
      <w:pPr>
        <w:rPr>
          <w:rFonts w:hint="eastAsia" w:ascii="宋体" w:hAnsi="宋体" w:cs="宋体"/>
          <w:kern w:val="0"/>
          <w:szCs w:val="21"/>
          <w:highlight w:val="none"/>
        </w:rPr>
      </w:pPr>
    </w:p>
    <w:p>
      <w:pPr>
        <w:pStyle w:val="18"/>
        <w:rPr>
          <w:rFonts w:hint="eastAsia" w:ascii="宋体" w:hAnsi="宋体" w:cs="宋体"/>
          <w:kern w:val="0"/>
          <w:szCs w:val="21"/>
          <w:highlight w:val="none"/>
        </w:rPr>
      </w:pPr>
    </w:p>
    <w:p>
      <w:pPr>
        <w:rPr>
          <w:rFonts w:hint="eastAsia" w:ascii="宋体" w:hAnsi="宋体" w:cs="宋体"/>
          <w:kern w:val="0"/>
          <w:szCs w:val="21"/>
          <w:highlight w:val="none"/>
        </w:rPr>
      </w:pPr>
    </w:p>
    <w:p>
      <w:pPr>
        <w:pStyle w:val="18"/>
        <w:rPr>
          <w:rFonts w:hint="eastAsia" w:ascii="宋体" w:hAnsi="宋体" w:cs="宋体"/>
          <w:kern w:val="0"/>
          <w:szCs w:val="21"/>
          <w:highlight w:val="none"/>
        </w:rPr>
      </w:pPr>
    </w:p>
    <w:p>
      <w:pPr>
        <w:rPr>
          <w:rFonts w:hint="eastAsia" w:ascii="宋体" w:hAnsi="宋体" w:cs="宋体"/>
          <w:kern w:val="0"/>
          <w:szCs w:val="21"/>
          <w:highlight w:val="none"/>
        </w:rPr>
      </w:pPr>
    </w:p>
    <w:p>
      <w:pPr>
        <w:pStyle w:val="18"/>
        <w:rPr>
          <w:rFonts w:hint="eastAsia" w:ascii="宋体" w:hAnsi="宋体" w:cs="宋体"/>
          <w:kern w:val="0"/>
          <w:szCs w:val="21"/>
          <w:highlight w:val="none"/>
        </w:rPr>
      </w:pPr>
    </w:p>
    <w:p>
      <w:pPr>
        <w:rPr>
          <w:rFonts w:hint="eastAsia" w:ascii="宋体" w:hAnsi="宋体" w:cs="宋体"/>
          <w:kern w:val="0"/>
          <w:szCs w:val="21"/>
          <w:highlight w:val="none"/>
        </w:rPr>
      </w:pPr>
    </w:p>
    <w:p>
      <w:pPr>
        <w:pStyle w:val="18"/>
        <w:rPr>
          <w:rFonts w:hint="eastAsia" w:ascii="宋体" w:hAnsi="宋体" w:cs="宋体"/>
          <w:kern w:val="0"/>
          <w:szCs w:val="21"/>
          <w:highlight w:val="none"/>
        </w:rPr>
      </w:pPr>
    </w:p>
    <w:p>
      <w:pPr>
        <w:rPr>
          <w:rFonts w:hint="eastAsia" w:ascii="宋体" w:hAnsi="宋体" w:cs="宋体"/>
          <w:kern w:val="0"/>
          <w:szCs w:val="21"/>
          <w:highlight w:val="none"/>
        </w:rPr>
      </w:pPr>
    </w:p>
    <w:p>
      <w:pPr>
        <w:pStyle w:val="18"/>
        <w:rPr>
          <w:rFonts w:hint="eastAsia" w:ascii="宋体" w:hAnsi="宋体" w:cs="宋体"/>
          <w:kern w:val="0"/>
          <w:szCs w:val="21"/>
          <w:highlight w:val="none"/>
        </w:rPr>
      </w:pPr>
    </w:p>
    <w:p>
      <w:pPr>
        <w:rPr>
          <w:rFonts w:hint="eastAsia" w:ascii="宋体" w:hAnsi="宋体" w:cs="宋体"/>
          <w:kern w:val="0"/>
          <w:szCs w:val="21"/>
          <w:highlight w:val="none"/>
        </w:rPr>
      </w:pPr>
    </w:p>
    <w:p>
      <w:pPr>
        <w:pStyle w:val="18"/>
        <w:rPr>
          <w:rFonts w:hint="eastAsia" w:ascii="宋体" w:hAnsi="宋体" w:cs="宋体"/>
          <w:kern w:val="0"/>
          <w:szCs w:val="21"/>
          <w:highlight w:val="none"/>
        </w:rPr>
      </w:pPr>
    </w:p>
    <w:p>
      <w:pPr>
        <w:rPr>
          <w:rFonts w:hint="eastAsia" w:ascii="宋体" w:hAnsi="宋体" w:cs="宋体"/>
          <w:kern w:val="0"/>
          <w:szCs w:val="21"/>
          <w:highlight w:val="none"/>
        </w:rPr>
      </w:pPr>
    </w:p>
    <w:p>
      <w:pPr>
        <w:pStyle w:val="18"/>
        <w:rPr>
          <w:rFonts w:hint="eastAsia" w:ascii="宋体" w:hAnsi="宋体" w:cs="宋体"/>
          <w:kern w:val="0"/>
          <w:szCs w:val="21"/>
          <w:highlight w:val="none"/>
        </w:rPr>
      </w:pPr>
    </w:p>
    <w:p>
      <w:pPr>
        <w:rPr>
          <w:rFonts w:hint="eastAsia" w:ascii="宋体" w:hAnsi="宋体" w:cs="宋体"/>
          <w:kern w:val="0"/>
          <w:szCs w:val="21"/>
          <w:highlight w:val="none"/>
        </w:rPr>
      </w:pPr>
    </w:p>
    <w:p>
      <w:pPr>
        <w:pStyle w:val="18"/>
        <w:rPr>
          <w:rFonts w:hint="eastAsia" w:ascii="宋体" w:hAnsi="宋体" w:cs="宋体"/>
          <w:kern w:val="0"/>
          <w:szCs w:val="21"/>
          <w:highlight w:val="none"/>
        </w:rPr>
      </w:pPr>
    </w:p>
    <w:p>
      <w:pPr>
        <w:rPr>
          <w:rFonts w:hint="eastAsia" w:ascii="宋体" w:hAnsi="宋体" w:cs="宋体"/>
          <w:kern w:val="0"/>
          <w:szCs w:val="21"/>
          <w:highlight w:val="none"/>
        </w:rPr>
      </w:pPr>
    </w:p>
    <w:p>
      <w:pPr>
        <w:pStyle w:val="18"/>
        <w:rPr>
          <w:rFonts w:hint="eastAsia" w:ascii="宋体" w:hAnsi="宋体" w:cs="宋体"/>
          <w:kern w:val="0"/>
          <w:szCs w:val="21"/>
          <w:highlight w:val="none"/>
        </w:rPr>
      </w:pPr>
    </w:p>
    <w:p>
      <w:pPr>
        <w:rPr>
          <w:rFonts w:hint="eastAsia" w:ascii="宋体" w:hAnsi="宋体" w:cs="宋体"/>
          <w:kern w:val="0"/>
          <w:szCs w:val="21"/>
          <w:highlight w:val="none"/>
        </w:rPr>
      </w:pPr>
    </w:p>
    <w:p>
      <w:pPr>
        <w:pStyle w:val="18"/>
        <w:rPr>
          <w:rFonts w:hint="eastAsia" w:ascii="宋体" w:hAnsi="宋体" w:cs="宋体"/>
          <w:kern w:val="0"/>
          <w:szCs w:val="21"/>
          <w:highlight w:val="none"/>
        </w:rPr>
      </w:pPr>
    </w:p>
    <w:p>
      <w:pPr>
        <w:rPr>
          <w:rFonts w:hint="eastAsia" w:ascii="宋体" w:hAnsi="宋体" w:cs="宋体"/>
          <w:kern w:val="0"/>
          <w:szCs w:val="21"/>
          <w:highlight w:val="none"/>
        </w:rPr>
      </w:pPr>
    </w:p>
    <w:p>
      <w:pPr>
        <w:pStyle w:val="18"/>
        <w:rPr>
          <w:rFonts w:hint="eastAsia"/>
        </w:rPr>
      </w:pPr>
    </w:p>
    <w:p>
      <w:pPr>
        <w:pStyle w:val="5"/>
        <w:spacing w:before="0" w:after="0" w:line="360" w:lineRule="auto"/>
        <w:jc w:val="center"/>
        <w:rPr>
          <w:rFonts w:hint="eastAsia" w:ascii="宋体" w:hAnsi="宋体" w:eastAsia="宋体" w:cs="宋体"/>
          <w:sz w:val="28"/>
          <w:highlight w:val="none"/>
          <w:lang w:val="en-US" w:eastAsia="zh-CN"/>
        </w:rPr>
      </w:pPr>
      <w:bookmarkStart w:id="254" w:name="_Toc513633971"/>
      <w:bookmarkStart w:id="255" w:name="_Toc11329278"/>
      <w:bookmarkStart w:id="256" w:name="_Toc503951050"/>
      <w:bookmarkStart w:id="257" w:name="_Toc144974871"/>
      <w:bookmarkStart w:id="258" w:name="_Toc246997112"/>
      <w:bookmarkStart w:id="259" w:name="_Toc152042592"/>
      <w:bookmarkStart w:id="260" w:name="_Toc152045803"/>
      <w:bookmarkStart w:id="261" w:name="_Toc246996369"/>
      <w:bookmarkStart w:id="262" w:name="_Toc179632823"/>
      <w:bookmarkStart w:id="263" w:name="_Toc247085887"/>
      <w:bookmarkStart w:id="264" w:name="_Toc447827058"/>
      <w:r>
        <w:rPr>
          <w:rFonts w:hint="eastAsia" w:ascii="宋体" w:hAnsi="宋体" w:eastAsia="宋体" w:cs="宋体"/>
          <w:sz w:val="28"/>
          <w:highlight w:val="none"/>
          <w:lang w:val="en-US" w:eastAsia="zh-CN"/>
        </w:rPr>
        <w:t>四</w:t>
      </w:r>
      <w:r>
        <w:rPr>
          <w:rFonts w:hint="eastAsia" w:ascii="宋体" w:hAnsi="宋体" w:eastAsia="宋体" w:cs="宋体"/>
          <w:sz w:val="28"/>
          <w:highlight w:val="none"/>
        </w:rPr>
        <w:t>、报价人</w:t>
      </w:r>
      <w:r>
        <w:rPr>
          <w:rFonts w:hint="eastAsia" w:ascii="宋体" w:hAnsi="宋体" w:eastAsia="宋体" w:cs="宋体"/>
          <w:sz w:val="28"/>
          <w:highlight w:val="none"/>
          <w:lang w:val="en-US" w:eastAsia="zh-CN"/>
        </w:rPr>
        <w:t>基本信息及其他材料</w:t>
      </w:r>
    </w:p>
    <w:p>
      <w:pPr>
        <w:pStyle w:val="6"/>
        <w:spacing w:before="0" w:after="0" w:line="360" w:lineRule="auto"/>
        <w:jc w:val="center"/>
        <w:rPr>
          <w:sz w:val="28"/>
          <w:szCs w:val="28"/>
        </w:rPr>
      </w:pPr>
      <w:r>
        <w:rPr>
          <w:rFonts w:hint="eastAsia"/>
          <w:sz w:val="28"/>
          <w:szCs w:val="28"/>
          <w:lang w:eastAsia="zh-CN"/>
        </w:rPr>
        <w:t>（</w:t>
      </w:r>
      <w:r>
        <w:rPr>
          <w:rFonts w:hint="eastAsia"/>
          <w:sz w:val="28"/>
          <w:szCs w:val="28"/>
          <w:lang w:val="en-US" w:eastAsia="zh-CN"/>
        </w:rPr>
        <w:t>一</w:t>
      </w:r>
      <w:r>
        <w:rPr>
          <w:rFonts w:hint="eastAsia"/>
          <w:sz w:val="28"/>
          <w:szCs w:val="28"/>
          <w:lang w:eastAsia="zh-CN"/>
        </w:rPr>
        <w:t>）</w:t>
      </w:r>
      <w:r>
        <w:rPr>
          <w:rFonts w:hint="eastAsia"/>
          <w:sz w:val="28"/>
          <w:szCs w:val="28"/>
        </w:rPr>
        <w:t>报价人基本信息表</w:t>
      </w:r>
    </w:p>
    <w:p>
      <w:pPr>
        <w:pStyle w:val="27"/>
      </w:pPr>
    </w:p>
    <w:tbl>
      <w:tblPr>
        <w:tblStyle w:val="42"/>
        <w:tblW w:w="8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897"/>
        <w:gridCol w:w="1029"/>
        <w:gridCol w:w="762"/>
        <w:gridCol w:w="420"/>
        <w:gridCol w:w="311"/>
        <w:gridCol w:w="1059"/>
        <w:gridCol w:w="19"/>
        <w:gridCol w:w="490"/>
        <w:gridCol w:w="341"/>
        <w:gridCol w:w="15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报价人名称</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报价人</w:t>
            </w:r>
          </w:p>
          <w:p>
            <w:pPr>
              <w:topLinePunct/>
              <w:spacing w:line="440" w:lineRule="exact"/>
              <w:jc w:val="center"/>
              <w:rPr>
                <w:rFonts w:ascii="宋体" w:hAnsi="宋体" w:cs="宋体"/>
                <w:color w:val="000000"/>
                <w:szCs w:val="21"/>
              </w:rPr>
            </w:pPr>
            <w:r>
              <w:rPr>
                <w:rFonts w:hint="eastAsia" w:ascii="宋体" w:hAnsi="宋体" w:cs="宋体"/>
                <w:color w:val="000000"/>
                <w:szCs w:val="21"/>
              </w:rPr>
              <w:t>公司股权结构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注册地址</w:t>
            </w:r>
          </w:p>
        </w:tc>
        <w:tc>
          <w:tcPr>
            <w:tcW w:w="341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6"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联系方式</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组织结构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法定代表人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技术负责人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成立时间</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年</w:t>
            </w:r>
            <w:r>
              <w:rPr>
                <w:rFonts w:hint="eastAsia" w:ascii="宋体" w:hAnsi="宋体" w:cs="宋体"/>
                <w:color w:val="000000"/>
                <w:szCs w:val="21"/>
                <w:lang w:val="en-US" w:eastAsia="zh-CN"/>
              </w:rPr>
              <w:t xml:space="preserve"> </w:t>
            </w:r>
            <w:r>
              <w:rPr>
                <w:rFonts w:hint="eastAsia" w:ascii="宋体" w:hAnsi="宋体" w:cs="宋体"/>
                <w:color w:val="000000"/>
                <w:szCs w:val="21"/>
              </w:rPr>
              <w:t>月</w:t>
            </w:r>
            <w:r>
              <w:rPr>
                <w:rFonts w:hint="eastAsia" w:ascii="宋体" w:hAnsi="宋体" w:cs="宋体"/>
                <w:color w:val="000000"/>
                <w:szCs w:val="21"/>
                <w:lang w:val="en-US" w:eastAsia="zh-CN"/>
              </w:rPr>
              <w:t xml:space="preserve"> </w:t>
            </w:r>
            <w:r>
              <w:rPr>
                <w:rFonts w:hint="eastAsia" w:ascii="宋体" w:hAnsi="宋体" w:cs="宋体"/>
                <w:color w:val="000000"/>
                <w:szCs w:val="21"/>
              </w:rPr>
              <w:t>日</w:t>
            </w:r>
          </w:p>
        </w:tc>
        <w:tc>
          <w:tcPr>
            <w:tcW w:w="4913"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jc w:val="center"/>
              <w:rPr>
                <w:rFonts w:ascii="宋体" w:hAnsi="宋体" w:cs="宋体"/>
                <w:color w:val="000000"/>
                <w:szCs w:val="21"/>
              </w:rPr>
            </w:pPr>
            <w:r>
              <w:rPr>
                <w:rFonts w:hint="eastAsia" w:ascii="宋体" w:hAnsi="宋体" w:cs="宋体"/>
                <w:color w:val="000000"/>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企业资质等级</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其中</w:t>
            </w: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营业执照号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注册资金</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开户银行</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账号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rPr>
            </w:pPr>
            <w:r>
              <w:rPr>
                <w:rFonts w:hint="eastAsia" w:ascii="宋体" w:hAnsi="宋体" w:cs="宋体"/>
                <w:color w:val="000000"/>
                <w:szCs w:val="21"/>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726" w:type="dxa"/>
            <w:tcBorders>
              <w:top w:val="single" w:color="auto" w:sz="4" w:space="0"/>
              <w:left w:val="single" w:color="auto" w:sz="4" w:space="0"/>
              <w:bottom w:val="nil"/>
              <w:right w:val="single" w:color="auto" w:sz="4" w:space="0"/>
            </w:tcBorders>
            <w:vAlign w:val="center"/>
          </w:tcPr>
          <w:p>
            <w:pPr>
              <w:topLinePunct/>
              <w:spacing w:line="440" w:lineRule="exact"/>
              <w:ind w:firstLine="210" w:firstLineChars="100"/>
              <w:jc w:val="center"/>
              <w:rPr>
                <w:rFonts w:ascii="宋体" w:hAnsi="宋体" w:cs="宋体"/>
                <w:color w:val="000000"/>
                <w:szCs w:val="21"/>
              </w:rPr>
            </w:pPr>
            <w:r>
              <w:rPr>
                <w:rFonts w:hint="eastAsia" w:ascii="宋体" w:hAnsi="宋体" w:cs="宋体"/>
                <w:color w:val="000000"/>
                <w:szCs w:val="21"/>
              </w:rPr>
              <w:t>经营范围</w:t>
            </w:r>
          </w:p>
        </w:tc>
        <w:tc>
          <w:tcPr>
            <w:tcW w:w="6839" w:type="dxa"/>
            <w:gridSpan w:val="10"/>
            <w:tcBorders>
              <w:top w:val="single" w:color="auto" w:sz="4" w:space="0"/>
              <w:left w:val="single" w:color="auto" w:sz="4" w:space="0"/>
              <w:bottom w:val="nil"/>
              <w:right w:val="single" w:color="auto" w:sz="4" w:space="0"/>
            </w:tcBorders>
            <w:vAlign w:val="center"/>
          </w:tcPr>
          <w:p>
            <w:pPr>
              <w:topLinePunct/>
              <w:spacing w:line="440" w:lineRule="exact"/>
              <w:rPr>
                <w:rFonts w:ascii="宋体" w:hAnsi="宋体" w:cs="宋体"/>
                <w:color w:val="000000"/>
                <w:szCs w:val="21"/>
              </w:rPr>
            </w:pPr>
            <w:r>
              <w:rPr>
                <w:rFonts w:hint="eastAsia" w:ascii="宋体" w:hAnsi="宋体" w:cs="宋体"/>
                <w:color w:val="000000"/>
                <w:szCs w:val="21"/>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备注</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bl>
    <w:p>
      <w:pPr>
        <w:pStyle w:val="6"/>
        <w:jc w:val="both"/>
        <w:rPr>
          <w:rFonts w:hint="eastAsia" w:ascii="宋体" w:hAnsi="宋体" w:cs="宋体"/>
          <w:sz w:val="28"/>
          <w:highlight w:val="none"/>
          <w:lang w:eastAsia="zh-CN"/>
        </w:rPr>
      </w:pPr>
    </w:p>
    <w:p>
      <w:pPr>
        <w:rPr>
          <w:rFonts w:hint="eastAsia"/>
          <w:lang w:eastAsia="zh-CN"/>
        </w:rPr>
      </w:pPr>
    </w:p>
    <w:p>
      <w:pPr>
        <w:pStyle w:val="6"/>
        <w:numPr>
          <w:ilvl w:val="0"/>
          <w:numId w:val="6"/>
        </w:numPr>
        <w:jc w:val="center"/>
        <w:rPr>
          <w:rFonts w:hint="eastAsia"/>
          <w:lang w:val="en-US" w:eastAsia="zh-CN"/>
        </w:rPr>
      </w:pPr>
      <w:r>
        <w:rPr>
          <w:rFonts w:hint="eastAsia" w:ascii="宋体" w:hAnsi="宋体" w:cs="宋体"/>
          <w:sz w:val="28"/>
          <w:highlight w:val="none"/>
          <w:lang w:val="en-US" w:eastAsia="zh-CN"/>
        </w:rPr>
        <w:t>基本材料</w:t>
      </w:r>
    </w:p>
    <w:p>
      <w:pPr>
        <w:pStyle w:val="5"/>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firstLine="480" w:firstLineChars="200"/>
        <w:jc w:val="lef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营业执照、具备有效的安全生产许可证、具备建筑装修装饰工程专业承包贰级及以上资质。</w:t>
      </w:r>
    </w:p>
    <w:p>
      <w:pPr>
        <w:pStyle w:val="5"/>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firstLine="480" w:firstLineChars="200"/>
        <w:jc w:val="left"/>
        <w:textAlignment w:val="auto"/>
        <w:rPr>
          <w:rFonts w:hint="eastAsia"/>
          <w:sz w:val="24"/>
          <w:szCs w:val="24"/>
        </w:rPr>
      </w:pPr>
      <w:r>
        <w:rPr>
          <w:rFonts w:hint="eastAsia" w:ascii="宋体" w:hAnsi="宋体" w:eastAsia="宋体" w:cs="宋体"/>
          <w:b w:val="0"/>
          <w:bCs w:val="0"/>
          <w:sz w:val="24"/>
          <w:szCs w:val="24"/>
          <w:highlight w:val="none"/>
          <w:lang w:val="en-US" w:eastAsia="zh-CN"/>
        </w:rPr>
        <w:t>注：提供扫描件并加盖公章。</w:t>
      </w:r>
      <w:r>
        <w:rPr>
          <w:rFonts w:hint="eastAsia" w:ascii="宋体" w:hAnsi="宋体" w:eastAsia="宋体" w:cs="宋体"/>
          <w:sz w:val="24"/>
          <w:szCs w:val="24"/>
          <w:highlight w:val="none"/>
        </w:rPr>
        <w:br w:type="page"/>
      </w:r>
      <w:bookmarkEnd w:id="254"/>
      <w:bookmarkEnd w:id="255"/>
      <w:bookmarkEnd w:id="256"/>
    </w:p>
    <w:p>
      <w:pPr>
        <w:pStyle w:val="6"/>
        <w:numPr>
          <w:ilvl w:val="0"/>
          <w:numId w:val="6"/>
        </w:numPr>
        <w:jc w:val="center"/>
        <w:rPr>
          <w:rFonts w:hint="eastAsia" w:ascii="宋体" w:hAnsi="宋体" w:cs="宋体"/>
          <w:b/>
          <w:szCs w:val="21"/>
          <w:highlight w:val="none"/>
        </w:rPr>
      </w:pPr>
      <w:r>
        <w:rPr>
          <w:rFonts w:hint="eastAsia" w:ascii="宋体" w:hAnsi="宋体" w:cs="宋体"/>
          <w:sz w:val="28"/>
          <w:highlight w:val="none"/>
          <w:lang w:val="en-US" w:eastAsia="zh-CN"/>
        </w:rPr>
        <w:t>人员资料</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lang w:eastAsia="zh-CN"/>
        </w:rPr>
      </w:pPr>
      <w:r>
        <w:rPr>
          <w:rFonts w:hint="eastAsia" w:ascii="宋体" w:hAnsi="宋体" w:cs="宋体"/>
          <w:b/>
          <w:szCs w:val="21"/>
          <w:highlight w:val="none"/>
        </w:rPr>
        <w:t>主要管理人员</w:t>
      </w:r>
      <w:r>
        <w:rPr>
          <w:rFonts w:hint="eastAsia" w:ascii="宋体" w:hAnsi="宋体" w:cs="宋体"/>
          <w:b/>
          <w:szCs w:val="21"/>
          <w:highlight w:val="none"/>
          <w:lang w:val="en-US" w:eastAsia="zh-CN"/>
        </w:rPr>
        <w:t>名单</w:t>
      </w:r>
    </w:p>
    <w:bookmarkEnd w:id="257"/>
    <w:bookmarkEnd w:id="258"/>
    <w:bookmarkEnd w:id="259"/>
    <w:bookmarkEnd w:id="260"/>
    <w:bookmarkEnd w:id="261"/>
    <w:bookmarkEnd w:id="262"/>
    <w:bookmarkEnd w:id="263"/>
    <w:bookmarkEnd w:id="264"/>
    <w:tbl>
      <w:tblPr>
        <w:tblStyle w:val="42"/>
        <w:tblW w:w="102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
        <w:gridCol w:w="1581"/>
        <w:gridCol w:w="1191"/>
        <w:gridCol w:w="2808"/>
        <w:gridCol w:w="3060"/>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5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rPr>
            </w:pPr>
            <w:bookmarkStart w:id="265" w:name="_Toc447827068"/>
            <w:bookmarkStart w:id="266" w:name="_Toc513633973"/>
            <w:bookmarkStart w:id="267" w:name="_Toc503951055"/>
            <w:r>
              <w:rPr>
                <w:rFonts w:hint="eastAsia" w:ascii="宋体" w:hAnsi="宋体" w:cs="宋体"/>
                <w:szCs w:val="21"/>
                <w:highlight w:val="none"/>
              </w:rPr>
              <w:t>序号</w:t>
            </w:r>
          </w:p>
        </w:tc>
        <w:tc>
          <w:tcPr>
            <w:tcW w:w="15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人  员</w:t>
            </w:r>
          </w:p>
        </w:tc>
        <w:tc>
          <w:tcPr>
            <w:tcW w:w="119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姓名</w:t>
            </w:r>
          </w:p>
        </w:tc>
        <w:tc>
          <w:tcPr>
            <w:tcW w:w="2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身份证号码</w:t>
            </w:r>
          </w:p>
        </w:tc>
        <w:tc>
          <w:tcPr>
            <w:tcW w:w="30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资格证件号码</w:t>
            </w:r>
          </w:p>
        </w:tc>
        <w:tc>
          <w:tcPr>
            <w:tcW w:w="10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55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1</w:t>
            </w:r>
          </w:p>
        </w:tc>
        <w:tc>
          <w:tcPr>
            <w:tcW w:w="15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项目经理</w:t>
            </w:r>
          </w:p>
        </w:tc>
        <w:tc>
          <w:tcPr>
            <w:tcW w:w="119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highlight w:val="none"/>
                <w:lang w:val="en-US" w:eastAsia="zh-CN"/>
              </w:rPr>
            </w:pPr>
          </w:p>
        </w:tc>
        <w:tc>
          <w:tcPr>
            <w:tcW w:w="2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szCs w:val="21"/>
                <w:highlight w:val="none"/>
                <w:lang w:val="en-US" w:eastAsia="zh-CN"/>
              </w:rPr>
            </w:pPr>
          </w:p>
        </w:tc>
        <w:tc>
          <w:tcPr>
            <w:tcW w:w="30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lang w:val="en-US" w:eastAsia="zh-CN"/>
              </w:rPr>
            </w:pPr>
          </w:p>
        </w:tc>
        <w:tc>
          <w:tcPr>
            <w:tcW w:w="10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55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2</w:t>
            </w:r>
          </w:p>
        </w:tc>
        <w:tc>
          <w:tcPr>
            <w:tcW w:w="158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default" w:ascii="宋体" w:hAnsi="宋体" w:cs="宋体"/>
                <w:szCs w:val="21"/>
                <w:highlight w:val="none"/>
                <w:lang w:val="en-US" w:eastAsia="zh-CN"/>
              </w:rPr>
              <w:t>安全负责人</w:t>
            </w:r>
          </w:p>
        </w:tc>
        <w:tc>
          <w:tcPr>
            <w:tcW w:w="119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p>
        </w:tc>
        <w:tc>
          <w:tcPr>
            <w:tcW w:w="2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lang w:val="en-US" w:eastAsia="zh-CN"/>
              </w:rPr>
            </w:pPr>
          </w:p>
        </w:tc>
        <w:tc>
          <w:tcPr>
            <w:tcW w:w="30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lang w:val="en-US" w:eastAsia="zh-CN"/>
              </w:rPr>
            </w:pPr>
          </w:p>
        </w:tc>
        <w:tc>
          <w:tcPr>
            <w:tcW w:w="10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lang w:val="en-US" w:eastAsia="zh-CN"/>
              </w:rPr>
            </w:pPr>
          </w:p>
        </w:tc>
      </w:tr>
    </w:tbl>
    <w:p>
      <w:pPr>
        <w:pStyle w:val="148"/>
        <w:adjustRightInd/>
        <w:spacing w:line="360" w:lineRule="auto"/>
        <w:jc w:val="left"/>
        <w:rPr>
          <w:rFonts w:hint="eastAsia" w:ascii="Times New Roman" w:hAnsi="宋体" w:cs="Times New Roman"/>
          <w:b w:val="0"/>
          <w:bCs w:val="0"/>
          <w:color w:val="auto"/>
          <w:sz w:val="24"/>
          <w:szCs w:val="24"/>
          <w:highlight w:val="none"/>
          <w:lang w:val="en-US" w:eastAsia="zh-CN"/>
        </w:rPr>
      </w:pPr>
      <w:bookmarkStart w:id="268" w:name="_Toc11672"/>
      <w:bookmarkStart w:id="269" w:name="_Toc11329281"/>
      <w:r>
        <w:rPr>
          <w:rFonts w:hint="eastAsia" w:ascii="Times New Roman" w:hAnsi="宋体" w:cs="Times New Roman"/>
          <w:b w:val="0"/>
          <w:bCs w:val="0"/>
          <w:color w:val="auto"/>
          <w:sz w:val="24"/>
          <w:szCs w:val="24"/>
          <w:highlight w:val="none"/>
          <w:lang w:val="en-US" w:eastAsia="zh-CN"/>
        </w:rPr>
        <w:t>注：需提供项目主要管理人员名单（表格形式），以上人员相关资质证件、身份证复印件及由社保局出具的报价人为以上人员缴纳2024年3月2024年5月之间的养老保险证明（带有社保部门公章或社保部门的有效电子印章），并加盖单位鲜公章。</w:t>
      </w:r>
    </w:p>
    <w:p>
      <w:pPr>
        <w:pStyle w:val="6"/>
        <w:numPr>
          <w:ilvl w:val="0"/>
          <w:numId w:val="0"/>
        </w:numPr>
        <w:jc w:val="both"/>
        <w:rPr>
          <w:rFonts w:hint="eastAsia" w:ascii="宋体" w:hAnsi="宋体" w:cs="宋体"/>
          <w:b/>
          <w:szCs w:val="21"/>
          <w:highlight w:val="none"/>
        </w:rPr>
      </w:pPr>
      <w:r>
        <w:rPr>
          <w:rFonts w:hint="eastAsia" w:ascii="宋体" w:hAnsi="宋体" w:eastAsia="宋体" w:cs="宋体"/>
          <w:sz w:val="28"/>
          <w:highlight w:val="none"/>
        </w:rPr>
        <w:br w:type="page"/>
      </w:r>
      <w:bookmarkEnd w:id="265"/>
      <w:bookmarkEnd w:id="266"/>
      <w:bookmarkEnd w:id="267"/>
      <w:bookmarkEnd w:id="268"/>
      <w:bookmarkEnd w:id="269"/>
      <w:r>
        <w:rPr>
          <w:rFonts w:hint="eastAsia" w:ascii="宋体" w:hAnsi="宋体" w:cs="宋体"/>
          <w:sz w:val="28"/>
          <w:highlight w:val="none"/>
          <w:lang w:val="en-US" w:eastAsia="zh-CN"/>
        </w:rPr>
        <w:t>业绩资料</w:t>
      </w:r>
    </w:p>
    <w:p>
      <w:pPr>
        <w:pStyle w:val="5"/>
        <w:keepNext/>
        <w:keepLines/>
        <w:pageBreakBefore w:val="0"/>
        <w:widowControl w:val="0"/>
        <w:kinsoku/>
        <w:wordWrap/>
        <w:overflowPunct/>
        <w:topLinePunct w:val="0"/>
        <w:autoSpaceDE/>
        <w:autoSpaceDN/>
        <w:bidi w:val="0"/>
        <w:adjustRightInd/>
        <w:snapToGrid/>
        <w:spacing w:before="0" w:after="0" w:line="360" w:lineRule="auto"/>
        <w:ind w:firstLine="480" w:firstLineChars="200"/>
        <w:jc w:val="left"/>
        <w:textAlignment w:val="auto"/>
        <w:rPr>
          <w:rFonts w:hint="eastAsia" w:ascii="宋体" w:hAnsi="宋体" w:eastAsia="宋体" w:cs="宋体"/>
          <w:b w:val="0"/>
          <w:bCs w:val="0"/>
          <w:sz w:val="24"/>
          <w:szCs w:val="28"/>
          <w:highlight w:val="none"/>
        </w:rPr>
      </w:pPr>
      <w:r>
        <w:rPr>
          <w:rFonts w:hint="eastAsia" w:ascii="宋体" w:hAnsi="宋体" w:eastAsia="宋体" w:cs="宋体"/>
          <w:b w:val="0"/>
          <w:bCs w:val="0"/>
          <w:sz w:val="24"/>
          <w:szCs w:val="28"/>
          <w:highlight w:val="none"/>
        </w:rPr>
        <w:t>业绩要求：2021年1月1日至报价截止日期（以合同签订时间为准）承担过一项合同金额不低于20万元的办公场所装饰装修业绩（以合同签订时间为准）</w:t>
      </w:r>
      <w:r>
        <w:rPr>
          <w:rFonts w:hint="eastAsia" w:ascii="宋体" w:hAnsi="宋体" w:eastAsia="宋体" w:cs="宋体"/>
          <w:b w:val="0"/>
          <w:bCs w:val="0"/>
          <w:sz w:val="24"/>
          <w:szCs w:val="28"/>
          <w:highlight w:val="none"/>
          <w:lang w:val="en-US" w:eastAsia="zh-CN"/>
        </w:rPr>
        <w:t>。</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宋体"/>
          <w:sz w:val="24"/>
          <w:szCs w:val="32"/>
          <w:lang w:val="en-US" w:eastAsia="zh-CN"/>
        </w:rPr>
      </w:pPr>
      <w:r>
        <w:rPr>
          <w:rFonts w:hint="eastAsia" w:ascii="宋体" w:hAnsi="宋体" w:cs="宋体"/>
          <w:b w:val="0"/>
          <w:bCs w:val="0"/>
          <w:sz w:val="24"/>
          <w:szCs w:val="28"/>
          <w:highlight w:val="none"/>
          <w:lang w:val="en-US" w:eastAsia="zh-CN"/>
        </w:rPr>
        <w:t>注：提供业绩合同扫描件并加盖公章。</w:t>
      </w:r>
    </w:p>
    <w:p>
      <w:pPr>
        <w:pStyle w:val="29"/>
        <w:rPr>
          <w:rFonts w:hint="eastAsia"/>
          <w:highlight w:val="none"/>
        </w:rPr>
      </w:pPr>
    </w:p>
    <w:p>
      <w:pPr>
        <w:rPr>
          <w:rFonts w:hint="eastAsia"/>
          <w:highlight w:val="none"/>
        </w:rPr>
      </w:pPr>
    </w:p>
    <w:p>
      <w:pPr>
        <w:pStyle w:val="18"/>
        <w:rPr>
          <w:rFonts w:hint="eastAsia"/>
          <w:highlight w:val="none"/>
        </w:rPr>
      </w:pPr>
    </w:p>
    <w:p>
      <w:pPr>
        <w:rPr>
          <w:rFonts w:hint="eastAsia"/>
          <w:highlight w:val="none"/>
        </w:rPr>
      </w:pPr>
    </w:p>
    <w:p>
      <w:pPr>
        <w:pStyle w:val="18"/>
        <w:rPr>
          <w:rFonts w:hint="eastAsia"/>
          <w:highlight w:val="none"/>
        </w:rPr>
      </w:pPr>
    </w:p>
    <w:p>
      <w:pPr>
        <w:rPr>
          <w:rFonts w:hint="eastAsia"/>
          <w:highlight w:val="none"/>
        </w:rPr>
      </w:pPr>
    </w:p>
    <w:p>
      <w:pPr>
        <w:pStyle w:val="18"/>
        <w:rPr>
          <w:rFonts w:hint="eastAsia"/>
          <w:highlight w:val="none"/>
        </w:rPr>
      </w:pPr>
    </w:p>
    <w:p>
      <w:pPr>
        <w:rPr>
          <w:rFonts w:hint="eastAsia"/>
          <w:highlight w:val="none"/>
        </w:rPr>
      </w:pPr>
    </w:p>
    <w:p>
      <w:pPr>
        <w:pStyle w:val="18"/>
        <w:rPr>
          <w:rFonts w:hint="eastAsia"/>
          <w:highlight w:val="none"/>
        </w:rPr>
      </w:pPr>
    </w:p>
    <w:p>
      <w:pPr>
        <w:rPr>
          <w:rFonts w:hint="eastAsia"/>
          <w:highlight w:val="none"/>
        </w:rPr>
      </w:pPr>
    </w:p>
    <w:p>
      <w:pPr>
        <w:pStyle w:val="18"/>
        <w:rPr>
          <w:rFonts w:hint="eastAsia"/>
          <w:highlight w:val="none"/>
        </w:rPr>
      </w:pPr>
    </w:p>
    <w:p>
      <w:pPr>
        <w:rPr>
          <w:rFonts w:hint="eastAsia"/>
          <w:highlight w:val="none"/>
        </w:rPr>
      </w:pPr>
    </w:p>
    <w:p>
      <w:pPr>
        <w:pStyle w:val="18"/>
        <w:rPr>
          <w:rFonts w:hint="eastAsia"/>
          <w:highlight w:val="none"/>
        </w:rPr>
      </w:pPr>
    </w:p>
    <w:p>
      <w:pPr>
        <w:rPr>
          <w:rFonts w:hint="eastAsia"/>
          <w:highlight w:val="none"/>
        </w:rPr>
      </w:pPr>
    </w:p>
    <w:p>
      <w:pPr>
        <w:pStyle w:val="18"/>
        <w:rPr>
          <w:rFonts w:hint="eastAsia"/>
          <w:highlight w:val="none"/>
        </w:rPr>
      </w:pPr>
    </w:p>
    <w:p>
      <w:pPr>
        <w:rPr>
          <w:rFonts w:hint="eastAsia"/>
          <w:highlight w:val="none"/>
        </w:rPr>
      </w:pPr>
    </w:p>
    <w:p>
      <w:pPr>
        <w:pStyle w:val="18"/>
        <w:rPr>
          <w:rFonts w:hint="eastAsia"/>
          <w:highlight w:val="none"/>
        </w:rPr>
      </w:pPr>
    </w:p>
    <w:p>
      <w:pPr>
        <w:rPr>
          <w:rFonts w:hint="eastAsia"/>
          <w:highlight w:val="none"/>
        </w:rPr>
      </w:pPr>
    </w:p>
    <w:p>
      <w:pPr>
        <w:pStyle w:val="18"/>
        <w:rPr>
          <w:rFonts w:hint="eastAsia"/>
          <w:highlight w:val="none"/>
        </w:rPr>
      </w:pPr>
    </w:p>
    <w:p>
      <w:pPr>
        <w:rPr>
          <w:rFonts w:hint="eastAsia"/>
          <w:highlight w:val="none"/>
        </w:rPr>
      </w:pPr>
    </w:p>
    <w:p>
      <w:pPr>
        <w:pStyle w:val="18"/>
        <w:rPr>
          <w:rFonts w:hint="eastAsia"/>
          <w:highlight w:val="none"/>
        </w:rPr>
      </w:pPr>
    </w:p>
    <w:p>
      <w:pPr>
        <w:rPr>
          <w:rFonts w:hint="eastAsia"/>
          <w:highlight w:val="none"/>
        </w:rPr>
      </w:pPr>
    </w:p>
    <w:p>
      <w:pPr>
        <w:pStyle w:val="18"/>
        <w:rPr>
          <w:rFonts w:hint="eastAsia"/>
          <w:highlight w:val="none"/>
        </w:rPr>
      </w:pPr>
    </w:p>
    <w:p>
      <w:pPr>
        <w:rPr>
          <w:rFonts w:hint="eastAsia"/>
          <w:highlight w:val="none"/>
        </w:rPr>
      </w:pPr>
    </w:p>
    <w:p>
      <w:pPr>
        <w:pStyle w:val="18"/>
        <w:rPr>
          <w:rFonts w:hint="eastAsia"/>
          <w:highlight w:val="none"/>
        </w:rPr>
      </w:pPr>
    </w:p>
    <w:p>
      <w:pPr>
        <w:rPr>
          <w:rFonts w:hint="eastAsia"/>
          <w:highlight w:val="none"/>
        </w:rPr>
      </w:pPr>
    </w:p>
    <w:p>
      <w:pPr>
        <w:pStyle w:val="18"/>
        <w:rPr>
          <w:rFonts w:hint="eastAsia"/>
          <w:highlight w:val="none"/>
        </w:rPr>
      </w:pPr>
    </w:p>
    <w:p>
      <w:pPr>
        <w:pStyle w:val="5"/>
        <w:spacing w:before="0" w:after="0" w:line="360" w:lineRule="auto"/>
        <w:jc w:val="center"/>
        <w:rPr>
          <w:rFonts w:hint="eastAsia" w:ascii="宋体" w:hAnsi="宋体" w:eastAsia="宋体" w:cs="宋体"/>
          <w:sz w:val="28"/>
        </w:rPr>
      </w:pPr>
      <w:bookmarkStart w:id="270" w:name="_Toc503951058"/>
      <w:bookmarkStart w:id="271" w:name="_Toc513633974"/>
      <w:r>
        <w:rPr>
          <w:rFonts w:hint="eastAsia" w:ascii="宋体" w:hAnsi="宋体" w:eastAsia="宋体" w:cs="宋体"/>
          <w:sz w:val="28"/>
        </w:rPr>
        <w:t>五、报价人承诺</w:t>
      </w:r>
    </w:p>
    <w:p>
      <w:pPr>
        <w:pStyle w:val="38"/>
        <w:keepNext w:val="0"/>
        <w:keepLines w:val="0"/>
        <w:widowControl w:val="0"/>
        <w:suppressLineNumbers w:val="0"/>
        <w:spacing w:before="0" w:beforeAutospacing="1" w:after="120" w:afterAutospacing="0"/>
        <w:ind w:left="0" w:right="0"/>
        <w:jc w:val="both"/>
        <w:rPr>
          <w:rFonts w:hint="eastAsia"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bidi="ar"/>
        </w:rPr>
        <w:t xml:space="preserve"> </w:t>
      </w:r>
    </w:p>
    <w:p>
      <w:pPr>
        <w:pStyle w:val="38"/>
        <w:keepNext w:val="0"/>
        <w:keepLines w:val="0"/>
        <w:widowControl w:val="0"/>
        <w:suppressLineNumbers w:val="0"/>
        <w:spacing w:before="0" w:beforeAutospacing="0" w:after="0" w:afterAutospacing="0" w:line="480" w:lineRule="auto"/>
        <w:ind w:left="0" w:right="0"/>
        <w:jc w:val="both"/>
        <w:rPr>
          <w:rFonts w:hint="eastAsia" w:ascii="宋体" w:hAnsi="宋体" w:eastAsia="宋体" w:cs="Arial"/>
          <w:b/>
          <w:color w:val="000000"/>
          <w:kern w:val="2"/>
          <w:sz w:val="24"/>
          <w:szCs w:val="24"/>
        </w:rPr>
      </w:pPr>
      <w:r>
        <w:rPr>
          <w:rFonts w:hint="eastAsia" w:ascii="宋体" w:hAnsi="宋体" w:eastAsia="宋体" w:cs="宋体"/>
          <w:b/>
          <w:color w:val="000000"/>
          <w:kern w:val="2"/>
          <w:sz w:val="24"/>
          <w:szCs w:val="24"/>
          <w:lang w:val="en-US" w:eastAsia="zh-CN" w:bidi="ar"/>
        </w:rPr>
        <w:t>致：</w:t>
      </w:r>
      <w:r>
        <w:rPr>
          <w:rFonts w:hint="eastAsia" w:ascii="宋体" w:hAnsi="宋体" w:eastAsia="宋体" w:cs="宋体"/>
          <w:b/>
          <w:color w:val="000000"/>
          <w:kern w:val="2"/>
          <w:sz w:val="24"/>
          <w:szCs w:val="24"/>
          <w:u w:val="single"/>
          <w:lang w:val="en-US" w:eastAsia="zh-CN" w:bidi="ar"/>
        </w:rPr>
        <w:t>重庆首讯科技股份有限公司</w:t>
      </w:r>
    </w:p>
    <w:p>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kern w:val="2"/>
          <w:sz w:val="21"/>
          <w:szCs w:val="21"/>
        </w:rPr>
      </w:pPr>
      <w:r>
        <w:rPr>
          <w:rFonts w:hint="eastAsia" w:ascii="Times New Roman" w:hAnsi="Times New Roman" w:eastAsia="宋体" w:cs="Times New Roman"/>
          <w:kern w:val="2"/>
          <w:sz w:val="21"/>
          <w:szCs w:val="21"/>
          <w:lang w:val="en-US" w:eastAsia="zh-CN" w:bidi="ar"/>
        </w:rPr>
        <w:t xml:space="preserve"> </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000000"/>
          <w:kern w:val="2"/>
          <w:sz w:val="24"/>
          <w:szCs w:val="24"/>
          <w:lang w:val="en-US" w:eastAsia="zh-CN" w:bidi="ar"/>
        </w:rPr>
      </w:pPr>
      <w:r>
        <w:rPr>
          <w:rFonts w:hint="eastAsia" w:asciiTheme="minorEastAsia" w:hAnsiTheme="minorEastAsia" w:eastAsiaTheme="minorEastAsia" w:cstheme="minorEastAsia"/>
          <w:color w:val="000000"/>
          <w:kern w:val="2"/>
          <w:sz w:val="24"/>
          <w:szCs w:val="24"/>
          <w:lang w:val="en-US" w:eastAsia="zh-CN" w:bidi="ar"/>
        </w:rPr>
        <w:t>在研究</w:t>
      </w:r>
      <w:r>
        <w:rPr>
          <w:rFonts w:hint="eastAsia" w:asciiTheme="minorEastAsia" w:hAnsiTheme="minorEastAsia" w:eastAsiaTheme="minorEastAsia" w:cstheme="minorEastAsia"/>
          <w:color w:val="000000"/>
          <w:kern w:val="2"/>
          <w:sz w:val="24"/>
          <w:szCs w:val="24"/>
          <w:u w:val="single"/>
          <w:lang w:val="en-US" w:eastAsia="zh-CN" w:bidi="ar"/>
        </w:rPr>
        <w:t xml:space="preserve">XXXX   </w:t>
      </w:r>
      <w:r>
        <w:rPr>
          <w:rFonts w:hint="eastAsia" w:asciiTheme="minorEastAsia" w:hAnsiTheme="minorEastAsia" w:eastAsiaTheme="minorEastAsia" w:cstheme="minorEastAsia"/>
          <w:color w:val="000000"/>
          <w:kern w:val="2"/>
          <w:sz w:val="24"/>
          <w:szCs w:val="24"/>
          <w:lang w:val="en-US" w:eastAsia="zh-CN" w:bidi="ar"/>
        </w:rPr>
        <w:t>项目竞争比选文件后，在此郑重承诺：</w:t>
      </w:r>
    </w:p>
    <w:p>
      <w:pPr>
        <w:keepNext w:val="0"/>
        <w:keepLines w:val="0"/>
        <w:pageBreakBefore w:val="0"/>
        <w:widowControl w:val="0"/>
        <w:numPr>
          <w:ilvl w:val="0"/>
          <w:numId w:val="7"/>
        </w:numPr>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000000"/>
          <w:kern w:val="2"/>
          <w:sz w:val="24"/>
          <w:szCs w:val="24"/>
          <w:lang w:val="en-US" w:eastAsia="zh-CN" w:bidi="ar"/>
        </w:rPr>
      </w:pPr>
      <w:r>
        <w:rPr>
          <w:rFonts w:hint="eastAsia" w:asciiTheme="minorEastAsia" w:hAnsiTheme="minorEastAsia" w:eastAsiaTheme="minorEastAsia" w:cstheme="minorEastAsia"/>
          <w:color w:val="000000"/>
          <w:kern w:val="2"/>
          <w:sz w:val="24"/>
          <w:szCs w:val="24"/>
          <w:lang w:val="en-US" w:eastAsia="zh-CN" w:bidi="ar"/>
        </w:rPr>
        <w:t>我司承诺满足本项目一切报价内容、报价、工期、质量标准以及第七章技术标准和工作要求等相关一切要求；</w:t>
      </w:r>
    </w:p>
    <w:p>
      <w:pPr>
        <w:pStyle w:val="2"/>
        <w:numPr>
          <w:ilvl w:val="0"/>
          <w:numId w:val="7"/>
        </w:numPr>
        <w:ind w:left="0" w:leftChars="0" w:firstLine="480" w:firstLineChars="200"/>
        <w:rPr>
          <w:rFonts w:hint="eastAsia" w:asciiTheme="minorEastAsia" w:hAnsiTheme="minorEastAsia" w:eastAsiaTheme="minorEastAsia" w:cstheme="minorEastAsia"/>
          <w:color w:val="000000"/>
          <w:kern w:val="2"/>
          <w:sz w:val="24"/>
          <w:szCs w:val="24"/>
          <w:lang w:val="en-US" w:eastAsia="zh-CN" w:bidi="ar"/>
        </w:rPr>
      </w:pPr>
      <w:r>
        <w:rPr>
          <w:rFonts w:hint="eastAsia" w:asciiTheme="minorEastAsia" w:hAnsiTheme="minorEastAsia" w:eastAsiaTheme="minorEastAsia" w:cstheme="minorEastAsia"/>
          <w:color w:val="000000"/>
          <w:kern w:val="2"/>
          <w:sz w:val="24"/>
          <w:szCs w:val="24"/>
          <w:lang w:val="en-US" w:eastAsia="zh-CN" w:bidi="ar"/>
        </w:rPr>
        <w:t>根据界面提交情况及项目部要求追加机械、人员，满足工程进度需要。</w:t>
      </w:r>
    </w:p>
    <w:p>
      <w:pPr>
        <w:pStyle w:val="2"/>
        <w:numPr>
          <w:ilvl w:val="0"/>
          <w:numId w:val="7"/>
        </w:numPr>
        <w:ind w:left="0" w:leftChars="0" w:firstLine="480" w:firstLineChars="200"/>
        <w:rPr>
          <w:rFonts w:hint="eastAsia" w:asciiTheme="minorEastAsia" w:hAnsiTheme="minorEastAsia" w:eastAsiaTheme="minorEastAsia" w:cstheme="minorEastAsia"/>
          <w:color w:val="000000"/>
          <w:kern w:val="2"/>
          <w:sz w:val="24"/>
          <w:szCs w:val="24"/>
          <w:highlight w:val="yellow"/>
          <w:lang w:val="en-US" w:eastAsia="zh-CN" w:bidi="ar"/>
        </w:rPr>
      </w:pPr>
      <w:r>
        <w:rPr>
          <w:rFonts w:hint="eastAsia" w:asciiTheme="minorEastAsia" w:hAnsiTheme="minorEastAsia" w:eastAsiaTheme="minorEastAsia" w:cstheme="minorEastAsia"/>
          <w:color w:val="000000"/>
          <w:kern w:val="2"/>
          <w:sz w:val="24"/>
          <w:szCs w:val="24"/>
          <w:highlight w:val="yellow"/>
          <w:lang w:val="en-US" w:eastAsia="zh-CN" w:bidi="ar"/>
        </w:rPr>
        <w:t>其他内容自拟。</w:t>
      </w:r>
    </w:p>
    <w:p>
      <w:pPr>
        <w:keepNext w:val="0"/>
        <w:keepLines w:val="0"/>
        <w:pageBreakBefore w:val="0"/>
        <w:widowControl w:val="0"/>
        <w:numPr>
          <w:ilvl w:val="0"/>
          <w:numId w:val="0"/>
        </w:numPr>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000000"/>
          <w:kern w:val="2"/>
          <w:sz w:val="24"/>
          <w:szCs w:val="24"/>
          <w:lang w:val="en-US" w:eastAsia="zh-CN" w:bidi="ar"/>
        </w:rPr>
      </w:pPr>
      <w:r>
        <w:rPr>
          <w:rFonts w:hint="eastAsia" w:asciiTheme="minorEastAsia" w:hAnsiTheme="minorEastAsia" w:eastAsiaTheme="minorEastAsia" w:cstheme="minorEastAsia"/>
          <w:color w:val="000000"/>
          <w:kern w:val="2"/>
          <w:sz w:val="24"/>
          <w:szCs w:val="24"/>
          <w:lang w:val="en-US" w:eastAsia="zh-CN" w:bidi="ar"/>
        </w:rPr>
        <w:t>若我司中标本项目且无法满足业主相关需求，我司愿承担由此给采购人造成的一切损失。</w:t>
      </w:r>
    </w:p>
    <w:p>
      <w:pPr>
        <w:pStyle w:val="38"/>
        <w:keepNext w:val="0"/>
        <w:keepLines w:val="0"/>
        <w:widowControl w:val="0"/>
        <w:suppressLineNumbers w:val="0"/>
        <w:spacing w:before="0" w:beforeAutospacing="1" w:after="120" w:afterAutospacing="0" w:line="480" w:lineRule="auto"/>
        <w:ind w:left="0" w:right="0"/>
        <w:jc w:val="both"/>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 </w:t>
      </w:r>
    </w:p>
    <w:p>
      <w:pPr>
        <w:keepNext w:val="0"/>
        <w:keepLines w:val="0"/>
        <w:widowControl w:val="0"/>
        <w:suppressLineNumbers w:val="0"/>
        <w:spacing w:before="0" w:beforeAutospacing="0" w:after="0" w:afterAutospacing="0" w:line="480" w:lineRule="auto"/>
        <w:ind w:left="0" w:right="0"/>
        <w:jc w:val="right"/>
        <w:rPr>
          <w:rFonts w:hint="eastAsia"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lang w:val="en-US" w:eastAsia="zh-CN" w:bidi="ar"/>
        </w:rPr>
        <w:t xml:space="preserve">                                   报价人：XX公司</w:t>
      </w:r>
    </w:p>
    <w:p>
      <w:pPr>
        <w:pStyle w:val="38"/>
        <w:keepNext w:val="0"/>
        <w:keepLines w:val="0"/>
        <w:widowControl w:val="0"/>
        <w:suppressLineNumbers w:val="0"/>
        <w:spacing w:before="0" w:beforeAutospacing="1" w:after="120" w:afterAutospacing="0" w:line="480" w:lineRule="auto"/>
        <w:ind w:left="0" w:right="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                                        日期：</w:t>
      </w:r>
      <w:bookmarkEnd w:id="270"/>
      <w:bookmarkEnd w:id="271"/>
    </w:p>
    <w:p>
      <w:pPr>
        <w:rPr>
          <w:rFonts w:hint="default" w:ascii="Arial" w:hAnsi="Arial" w:eastAsia="宋体" w:cs="Arial"/>
          <w:b/>
          <w:bCs/>
          <w:caps w:val="0"/>
          <w:color w:val="000000"/>
          <w:kern w:val="2"/>
          <w:sz w:val="24"/>
          <w:szCs w:val="24"/>
          <w:highlight w:val="none"/>
          <w:lang w:val="en-US" w:eastAsia="zh-CN" w:bidi="ar-SA"/>
        </w:rPr>
      </w:pPr>
    </w:p>
    <w:p>
      <w:pPr>
        <w:rPr>
          <w:rFonts w:hint="default" w:ascii="Arial" w:hAnsi="Arial" w:eastAsia="宋体" w:cs="Arial"/>
          <w:b/>
          <w:bCs/>
          <w:caps w:val="0"/>
          <w:color w:val="000000"/>
          <w:kern w:val="2"/>
          <w:sz w:val="24"/>
          <w:szCs w:val="24"/>
          <w:highlight w:val="none"/>
          <w:lang w:val="en-US" w:eastAsia="zh-CN" w:bidi="ar-SA"/>
        </w:rPr>
      </w:pPr>
    </w:p>
    <w:p>
      <w:pPr>
        <w:pStyle w:val="29"/>
        <w:jc w:val="both"/>
        <w:rPr>
          <w:rFonts w:hint="default" w:ascii="Arial" w:hAnsi="Arial" w:eastAsia="宋体" w:cs="Arial"/>
          <w:b/>
          <w:bCs/>
          <w:caps w:val="0"/>
          <w:color w:val="000000"/>
          <w:kern w:val="2"/>
          <w:sz w:val="24"/>
          <w:szCs w:val="24"/>
          <w:highlight w:val="none"/>
          <w:lang w:val="en-US" w:eastAsia="zh-CN" w:bidi="ar-SA"/>
        </w:rPr>
      </w:pPr>
      <w:r>
        <w:rPr>
          <w:rFonts w:hint="default" w:ascii="Arial" w:hAnsi="Arial" w:eastAsia="宋体" w:cs="Arial"/>
          <w:b/>
          <w:bCs/>
          <w:caps w:val="0"/>
          <w:color w:val="000000"/>
          <w:kern w:val="2"/>
          <w:sz w:val="24"/>
          <w:szCs w:val="24"/>
          <w:highlight w:val="none"/>
          <w:lang w:val="en-US" w:eastAsia="zh-CN" w:bidi="ar-SA"/>
        </w:rPr>
        <w:t>竞争比选响应单位名称（加盖公章）：</w:t>
      </w:r>
    </w:p>
    <w:p>
      <w:pPr>
        <w:pStyle w:val="29"/>
        <w:jc w:val="both"/>
        <w:rPr>
          <w:rFonts w:hint="default" w:ascii="Arial" w:hAnsi="Arial" w:eastAsia="宋体" w:cs="Arial"/>
          <w:b/>
          <w:bCs/>
          <w:caps w:val="0"/>
          <w:color w:val="000000"/>
          <w:kern w:val="2"/>
          <w:sz w:val="24"/>
          <w:szCs w:val="24"/>
          <w:highlight w:val="none"/>
          <w:lang w:val="en-US" w:eastAsia="zh-CN" w:bidi="ar-SA"/>
        </w:rPr>
      </w:pPr>
      <w:r>
        <w:rPr>
          <w:rFonts w:hint="default" w:ascii="Arial" w:hAnsi="Arial" w:eastAsia="宋体" w:cs="Arial"/>
          <w:b/>
          <w:bCs/>
          <w:caps w:val="0"/>
          <w:color w:val="000000"/>
          <w:kern w:val="2"/>
          <w:sz w:val="24"/>
          <w:szCs w:val="24"/>
          <w:highlight w:val="none"/>
          <w:lang w:val="en-US" w:eastAsia="zh-CN" w:bidi="ar-SA"/>
        </w:rPr>
        <w:t>日期：</w:t>
      </w:r>
      <w:r>
        <w:rPr>
          <w:rFonts w:hint="default" w:ascii="Arial" w:hAnsi="Arial" w:eastAsia="宋体" w:cs="Arial"/>
          <w:b/>
          <w:bCs/>
          <w:caps w:val="0"/>
          <w:color w:val="000000"/>
          <w:kern w:val="2"/>
          <w:sz w:val="24"/>
          <w:szCs w:val="24"/>
          <w:highlight w:val="none"/>
          <w:u w:val="single"/>
          <w:lang w:val="en-US" w:eastAsia="zh-CN" w:bidi="ar-SA"/>
        </w:rPr>
        <w:t xml:space="preserve">     </w:t>
      </w:r>
      <w:r>
        <w:rPr>
          <w:rFonts w:hint="default" w:ascii="Arial" w:hAnsi="Arial" w:eastAsia="宋体" w:cs="Arial"/>
          <w:b/>
          <w:bCs/>
          <w:caps w:val="0"/>
          <w:color w:val="000000"/>
          <w:kern w:val="2"/>
          <w:sz w:val="24"/>
          <w:szCs w:val="24"/>
          <w:highlight w:val="none"/>
          <w:lang w:val="en-US" w:eastAsia="zh-CN" w:bidi="ar-SA"/>
        </w:rPr>
        <w:t>年</w:t>
      </w:r>
      <w:r>
        <w:rPr>
          <w:rFonts w:hint="default" w:ascii="Arial" w:hAnsi="Arial" w:eastAsia="宋体" w:cs="Arial"/>
          <w:b/>
          <w:bCs/>
          <w:caps w:val="0"/>
          <w:color w:val="000000"/>
          <w:kern w:val="2"/>
          <w:sz w:val="24"/>
          <w:szCs w:val="24"/>
          <w:highlight w:val="none"/>
          <w:u w:val="single"/>
          <w:lang w:val="en-US" w:eastAsia="zh-CN" w:bidi="ar-SA"/>
        </w:rPr>
        <w:t xml:space="preserve">      </w:t>
      </w:r>
      <w:r>
        <w:rPr>
          <w:rFonts w:hint="default" w:ascii="Arial" w:hAnsi="Arial" w:eastAsia="宋体" w:cs="Arial"/>
          <w:b/>
          <w:bCs/>
          <w:caps w:val="0"/>
          <w:color w:val="000000"/>
          <w:kern w:val="2"/>
          <w:sz w:val="24"/>
          <w:szCs w:val="24"/>
          <w:highlight w:val="none"/>
          <w:lang w:val="en-US" w:eastAsia="zh-CN" w:bidi="ar-SA"/>
        </w:rPr>
        <w:t>月</w:t>
      </w:r>
      <w:r>
        <w:rPr>
          <w:rFonts w:hint="default" w:ascii="Arial" w:hAnsi="Arial" w:eastAsia="宋体" w:cs="Arial"/>
          <w:b/>
          <w:bCs/>
          <w:caps w:val="0"/>
          <w:color w:val="000000"/>
          <w:kern w:val="2"/>
          <w:sz w:val="24"/>
          <w:szCs w:val="24"/>
          <w:highlight w:val="none"/>
          <w:u w:val="single"/>
          <w:lang w:val="en-US" w:eastAsia="zh-CN" w:bidi="ar-SA"/>
        </w:rPr>
        <w:t xml:space="preserve">      </w:t>
      </w:r>
      <w:r>
        <w:rPr>
          <w:rFonts w:hint="default" w:ascii="Arial" w:hAnsi="Arial" w:eastAsia="宋体" w:cs="Arial"/>
          <w:b/>
          <w:bCs/>
          <w:caps w:val="0"/>
          <w:color w:val="000000"/>
          <w:kern w:val="2"/>
          <w:sz w:val="24"/>
          <w:szCs w:val="24"/>
          <w:highlight w:val="none"/>
          <w:lang w:val="en-US" w:eastAsia="zh-CN" w:bidi="ar-SA"/>
        </w:rPr>
        <w:t>日</w:t>
      </w:r>
    </w:p>
    <w:p>
      <w:pPr>
        <w:rPr>
          <w:rFonts w:hint="default" w:ascii="Arial" w:hAnsi="Arial" w:eastAsia="宋体" w:cs="Arial"/>
          <w:b/>
          <w:bCs/>
          <w:caps w:val="0"/>
          <w:color w:val="000000"/>
          <w:kern w:val="2"/>
          <w:sz w:val="24"/>
          <w:szCs w:val="24"/>
          <w:highlight w:val="none"/>
          <w:lang w:val="en-US" w:eastAsia="zh-CN" w:bidi="ar-SA"/>
        </w:rPr>
      </w:pPr>
    </w:p>
    <w:p>
      <w:pPr>
        <w:pStyle w:val="18"/>
        <w:rPr>
          <w:rFonts w:hint="default" w:ascii="Arial" w:hAnsi="Arial" w:eastAsia="宋体" w:cs="Arial"/>
          <w:b/>
          <w:bCs/>
          <w:caps w:val="0"/>
          <w:color w:val="000000"/>
          <w:kern w:val="2"/>
          <w:sz w:val="24"/>
          <w:szCs w:val="24"/>
          <w:highlight w:val="none"/>
          <w:lang w:val="en-US" w:eastAsia="zh-CN" w:bidi="ar-SA"/>
        </w:rPr>
      </w:pPr>
    </w:p>
    <w:p>
      <w:pPr>
        <w:rPr>
          <w:rFonts w:hint="default" w:ascii="Arial" w:hAnsi="Arial" w:eastAsia="宋体" w:cs="Arial"/>
          <w:b/>
          <w:bCs/>
          <w:caps w:val="0"/>
          <w:color w:val="000000"/>
          <w:kern w:val="2"/>
          <w:sz w:val="24"/>
          <w:szCs w:val="24"/>
          <w:highlight w:val="none"/>
          <w:lang w:val="en-US" w:eastAsia="zh-CN" w:bidi="ar-SA"/>
        </w:rPr>
      </w:pPr>
    </w:p>
    <w:p>
      <w:pPr>
        <w:pStyle w:val="18"/>
        <w:rPr>
          <w:rFonts w:hint="default" w:ascii="Arial" w:hAnsi="Arial" w:eastAsia="宋体" w:cs="Arial"/>
          <w:b/>
          <w:bCs/>
          <w:caps w:val="0"/>
          <w:color w:val="000000"/>
          <w:kern w:val="2"/>
          <w:sz w:val="24"/>
          <w:szCs w:val="24"/>
          <w:highlight w:val="none"/>
          <w:lang w:val="en-US" w:eastAsia="zh-CN" w:bidi="ar-SA"/>
        </w:rPr>
      </w:pPr>
    </w:p>
    <w:p>
      <w:pPr>
        <w:rPr>
          <w:rFonts w:hint="default"/>
          <w:lang w:val="en-US" w:eastAsia="zh-CN"/>
        </w:rPr>
      </w:pPr>
    </w:p>
    <w:p>
      <w:pPr>
        <w:pStyle w:val="18"/>
        <w:rPr>
          <w:rFonts w:hint="default"/>
          <w:lang w:val="en-US" w:eastAsia="zh-CN"/>
        </w:rPr>
      </w:pPr>
    </w:p>
    <w:p>
      <w:pPr>
        <w:rPr>
          <w:rFonts w:hint="default"/>
          <w:lang w:val="en-US" w:eastAsia="zh-CN"/>
        </w:rPr>
      </w:pPr>
    </w:p>
    <w:p>
      <w:pPr>
        <w:pStyle w:val="18"/>
        <w:rPr>
          <w:rFonts w:hint="default"/>
          <w:lang w:val="en-US" w:eastAsia="zh-CN"/>
        </w:rPr>
      </w:pPr>
    </w:p>
    <w:p>
      <w:pPr>
        <w:rPr>
          <w:rFonts w:hint="default"/>
          <w:lang w:val="en-US" w:eastAsia="zh-CN"/>
        </w:rPr>
      </w:pPr>
    </w:p>
    <w:p>
      <w:pPr>
        <w:pStyle w:val="18"/>
        <w:rPr>
          <w:rFonts w:hint="default"/>
          <w:lang w:val="en-US" w:eastAsia="zh-CN"/>
        </w:rPr>
      </w:pPr>
    </w:p>
    <w:p>
      <w:pPr>
        <w:pStyle w:val="5"/>
        <w:numPr>
          <w:ilvl w:val="0"/>
          <w:numId w:val="8"/>
        </w:numPr>
        <w:spacing w:before="0" w:after="0" w:line="360" w:lineRule="auto"/>
        <w:jc w:val="center"/>
        <w:rPr>
          <w:rFonts w:hint="eastAsia" w:ascii="宋体" w:hAnsi="宋体" w:eastAsia="宋体" w:cs="宋体"/>
          <w:sz w:val="28"/>
          <w:highlight w:val="none"/>
          <w:lang w:val="en-US" w:eastAsia="zh-CN"/>
        </w:rPr>
      </w:pPr>
      <w:r>
        <w:rPr>
          <w:rFonts w:hint="eastAsia" w:ascii="宋体" w:hAnsi="宋体" w:eastAsia="宋体" w:cs="宋体"/>
          <w:sz w:val="28"/>
          <w:highlight w:val="none"/>
          <w:lang w:val="en-US" w:eastAsia="zh-CN"/>
        </w:rPr>
        <w:t>其他</w:t>
      </w:r>
    </w:p>
    <w:p>
      <w:pPr>
        <w:widowControl w:val="0"/>
        <w:numPr>
          <w:ilvl w:val="0"/>
          <w:numId w:val="0"/>
        </w:numPr>
        <w:jc w:val="both"/>
        <w:rPr>
          <w:rFonts w:hint="eastAsia"/>
          <w:lang w:val="en-US" w:eastAsia="zh-CN"/>
        </w:rPr>
      </w:pPr>
    </w:p>
    <w:p>
      <w:pPr>
        <w:pStyle w:val="18"/>
        <w:rPr>
          <w:rFonts w:hint="eastAsia"/>
          <w:lang w:val="en-US" w:eastAsia="zh-CN"/>
        </w:rPr>
      </w:pPr>
    </w:p>
    <w:p>
      <w:pPr>
        <w:rPr>
          <w:rFonts w:hint="eastAsia"/>
          <w:lang w:val="en-US" w:eastAsia="zh-CN"/>
        </w:rPr>
      </w:pPr>
    </w:p>
    <w:p>
      <w:pPr>
        <w:pStyle w:val="18"/>
        <w:rPr>
          <w:rFonts w:hint="eastAsia"/>
          <w:lang w:val="en-US" w:eastAsia="zh-CN"/>
        </w:rPr>
      </w:pPr>
    </w:p>
    <w:p>
      <w:pPr>
        <w:rPr>
          <w:rFonts w:hint="eastAsia"/>
          <w:lang w:val="en-US" w:eastAsia="zh-CN"/>
        </w:rPr>
      </w:pPr>
    </w:p>
    <w:p>
      <w:pPr>
        <w:pStyle w:val="18"/>
        <w:rPr>
          <w:rFonts w:hint="eastAsia"/>
          <w:lang w:val="en-US" w:eastAsia="zh-CN"/>
        </w:rPr>
      </w:pPr>
    </w:p>
    <w:p>
      <w:pPr>
        <w:rPr>
          <w:rFonts w:hint="eastAsia"/>
          <w:lang w:val="en-US" w:eastAsia="zh-CN"/>
        </w:rPr>
      </w:pPr>
    </w:p>
    <w:p>
      <w:pPr>
        <w:pStyle w:val="18"/>
        <w:rPr>
          <w:rFonts w:hint="eastAsia"/>
          <w:lang w:val="en-US" w:eastAsia="zh-CN"/>
        </w:rPr>
      </w:pPr>
    </w:p>
    <w:p>
      <w:pPr>
        <w:rPr>
          <w:rFonts w:hint="eastAsia"/>
          <w:lang w:val="en-US" w:eastAsia="zh-CN"/>
        </w:rPr>
      </w:pPr>
    </w:p>
    <w:p>
      <w:pPr>
        <w:pStyle w:val="18"/>
        <w:rPr>
          <w:rFonts w:hint="eastAsia"/>
          <w:lang w:val="en-US" w:eastAsia="zh-CN"/>
        </w:rPr>
      </w:pPr>
    </w:p>
    <w:p>
      <w:pPr>
        <w:rPr>
          <w:rFonts w:hint="eastAsia"/>
          <w:lang w:val="en-US" w:eastAsia="zh-CN"/>
        </w:rPr>
      </w:pPr>
    </w:p>
    <w:p>
      <w:pPr>
        <w:pStyle w:val="18"/>
        <w:rPr>
          <w:rFonts w:hint="eastAsia"/>
          <w:lang w:val="en-US" w:eastAsia="zh-CN"/>
        </w:rPr>
      </w:pPr>
    </w:p>
    <w:p>
      <w:pPr>
        <w:rPr>
          <w:rFonts w:hint="eastAsia"/>
          <w:lang w:val="en-US" w:eastAsia="zh-CN"/>
        </w:rPr>
      </w:pPr>
    </w:p>
    <w:p>
      <w:pPr>
        <w:pStyle w:val="18"/>
        <w:rPr>
          <w:rFonts w:hint="eastAsia"/>
          <w:lang w:val="en-US" w:eastAsia="zh-CN"/>
        </w:rPr>
      </w:pPr>
    </w:p>
    <w:p>
      <w:pPr>
        <w:rPr>
          <w:rFonts w:hint="eastAsia"/>
          <w:lang w:val="en-US" w:eastAsia="zh-CN"/>
        </w:rPr>
      </w:pPr>
    </w:p>
    <w:p>
      <w:pPr>
        <w:pStyle w:val="18"/>
        <w:rPr>
          <w:rFonts w:hint="eastAsia"/>
          <w:lang w:val="en-US" w:eastAsia="zh-CN"/>
        </w:rPr>
      </w:pPr>
    </w:p>
    <w:p>
      <w:pPr>
        <w:rPr>
          <w:rFonts w:hint="eastAsia"/>
          <w:lang w:val="en-US" w:eastAsia="zh-CN"/>
        </w:rPr>
      </w:pPr>
    </w:p>
    <w:p>
      <w:pPr>
        <w:pStyle w:val="18"/>
        <w:rPr>
          <w:rFonts w:hint="eastAsia"/>
          <w:lang w:val="en-US" w:eastAsia="zh-CN"/>
        </w:rPr>
      </w:pPr>
    </w:p>
    <w:p>
      <w:pPr>
        <w:rPr>
          <w:rFonts w:hint="eastAsia"/>
          <w:lang w:val="en-US" w:eastAsia="zh-CN"/>
        </w:rPr>
      </w:pPr>
    </w:p>
    <w:p>
      <w:pPr>
        <w:pStyle w:val="18"/>
        <w:rPr>
          <w:rFonts w:hint="eastAsia"/>
          <w:lang w:val="en-US" w:eastAsia="zh-CN"/>
        </w:rPr>
      </w:pPr>
    </w:p>
    <w:p>
      <w:pPr>
        <w:rPr>
          <w:rFonts w:hint="eastAsia"/>
          <w:lang w:val="en-US" w:eastAsia="zh-CN"/>
        </w:rPr>
      </w:pPr>
    </w:p>
    <w:p>
      <w:pPr>
        <w:pStyle w:val="18"/>
        <w:rPr>
          <w:rFonts w:hint="eastAsia"/>
          <w:lang w:val="en-US" w:eastAsia="zh-CN"/>
        </w:rPr>
      </w:pPr>
    </w:p>
    <w:p>
      <w:pPr>
        <w:rPr>
          <w:rFonts w:hint="eastAsia"/>
          <w:lang w:val="en-US" w:eastAsia="zh-CN"/>
        </w:rPr>
      </w:pPr>
    </w:p>
    <w:p>
      <w:pPr>
        <w:pStyle w:val="18"/>
        <w:rPr>
          <w:rFonts w:hint="eastAsia"/>
          <w:lang w:val="en-US" w:eastAsia="zh-CN"/>
        </w:rPr>
      </w:pPr>
    </w:p>
    <w:p>
      <w:pPr>
        <w:rPr>
          <w:rFonts w:hint="eastAsia"/>
          <w:lang w:val="en-US" w:eastAsia="zh-CN"/>
        </w:rPr>
      </w:pPr>
    </w:p>
    <w:p>
      <w:pPr>
        <w:pStyle w:val="18"/>
        <w:rPr>
          <w:rFonts w:hint="eastAsia"/>
          <w:lang w:val="en-US" w:eastAsia="zh-CN"/>
        </w:rPr>
      </w:pPr>
    </w:p>
    <w:p>
      <w:pPr>
        <w:rPr>
          <w:rFonts w:hint="eastAsia"/>
          <w:lang w:val="en-US" w:eastAsia="zh-CN"/>
        </w:rPr>
      </w:pPr>
    </w:p>
    <w:p>
      <w:pPr>
        <w:pStyle w:val="18"/>
        <w:rPr>
          <w:rFonts w:hint="eastAsia"/>
          <w:lang w:val="en-US" w:eastAsia="zh-CN"/>
        </w:rPr>
      </w:pPr>
    </w:p>
    <w:p>
      <w:pPr>
        <w:rPr>
          <w:rFonts w:hint="eastAsia"/>
          <w:lang w:val="en-US" w:eastAsia="zh-CN"/>
        </w:rPr>
      </w:pPr>
    </w:p>
    <w:p>
      <w:pPr>
        <w:pStyle w:val="18"/>
        <w:rPr>
          <w:rFonts w:hint="eastAsia"/>
          <w:lang w:val="en-US" w:eastAsia="zh-CN"/>
        </w:rPr>
      </w:pPr>
    </w:p>
    <w:p>
      <w:pPr>
        <w:rPr>
          <w:rFonts w:hint="eastAsia"/>
          <w:lang w:val="en-US" w:eastAsia="zh-CN"/>
        </w:rPr>
      </w:pPr>
    </w:p>
    <w:p>
      <w:pPr>
        <w:pStyle w:val="18"/>
        <w:rPr>
          <w:rFonts w:hint="eastAsia"/>
          <w:lang w:val="en-US" w:eastAsia="zh-CN"/>
        </w:rPr>
      </w:pPr>
    </w:p>
    <w:p>
      <w:pPr>
        <w:rPr>
          <w:rFonts w:hint="eastAsia"/>
          <w:lang w:val="en-US" w:eastAsia="zh-CN"/>
        </w:rPr>
      </w:pPr>
    </w:p>
    <w:p>
      <w:pPr>
        <w:pStyle w:val="18"/>
        <w:rPr>
          <w:rFonts w:hint="eastAsia"/>
          <w:lang w:val="en-US" w:eastAsia="zh-CN"/>
        </w:rPr>
      </w:pPr>
    </w:p>
    <w:p>
      <w:pPr>
        <w:pStyle w:val="5"/>
        <w:spacing w:before="0" w:after="0" w:line="360" w:lineRule="auto"/>
        <w:jc w:val="center"/>
        <w:rPr>
          <w:rFonts w:ascii="宋体" w:hAnsi="宋体" w:eastAsia="宋体" w:cs="宋体"/>
          <w:sz w:val="28"/>
        </w:rPr>
      </w:pPr>
      <w:r>
        <w:rPr>
          <w:rFonts w:hint="eastAsia" w:ascii="宋体" w:hAnsi="宋体" w:eastAsia="宋体" w:cs="宋体"/>
          <w:sz w:val="28"/>
        </w:rPr>
        <w:t>七、现场安全负责人承诺书</w:t>
      </w:r>
    </w:p>
    <w:p/>
    <w:p>
      <w:pPr>
        <w:tabs>
          <w:tab w:val="left" w:pos="900"/>
        </w:tabs>
        <w:spacing w:line="300" w:lineRule="auto"/>
        <w:rPr>
          <w:rFonts w:ascii="Arial" w:hAnsi="Arial" w:cs="Arial"/>
          <w:b/>
          <w:bCs/>
          <w:color w:val="000000"/>
          <w:sz w:val="24"/>
          <w:u w:val="single"/>
        </w:rPr>
      </w:pPr>
      <w:r>
        <w:rPr>
          <w:rFonts w:ascii="Arial" w:hAnsi="Arial" w:cs="Arial"/>
          <w:color w:val="000000"/>
          <w:sz w:val="24"/>
        </w:rPr>
        <w:t xml:space="preserve"> </w:t>
      </w:r>
      <w:r>
        <w:rPr>
          <w:rFonts w:hint="eastAsia" w:ascii="Arial" w:hAnsi="Arial" w:cs="Arial"/>
          <w:b/>
          <w:color w:val="000000"/>
          <w:sz w:val="24"/>
        </w:rPr>
        <w:t>致：</w:t>
      </w:r>
      <w:r>
        <w:rPr>
          <w:rFonts w:hint="eastAsia" w:ascii="Arial" w:hAnsi="Arial" w:cs="Arial"/>
          <w:b/>
          <w:bCs/>
          <w:color w:val="000000"/>
          <w:sz w:val="24"/>
          <w:u w:val="single"/>
        </w:rPr>
        <w:t>重庆首讯科技股份有限公司</w:t>
      </w:r>
    </w:p>
    <w:p>
      <w:pPr>
        <w:spacing w:line="700" w:lineRule="atLeast"/>
        <w:ind w:firstLine="480" w:firstLineChars="200"/>
      </w:pPr>
      <w:r>
        <w:rPr>
          <w:rFonts w:hint="eastAsia" w:ascii="Arial" w:hAnsi="Arial" w:cs="Arial"/>
          <w:color w:val="000000"/>
          <w:sz w:val="24"/>
        </w:rPr>
        <w:t>根据贵方</w:t>
      </w:r>
      <w:r>
        <w:rPr>
          <w:rFonts w:hint="eastAsia" w:ascii="Arial" w:hAnsi="Arial" w:cs="Arial"/>
          <w:color w:val="000000"/>
          <w:sz w:val="24"/>
          <w:u w:val="single"/>
          <w:lang w:eastAsia="zh-CN"/>
        </w:rPr>
        <w:t>曾家机电站办公用房装饰装修项目（第二次）</w:t>
      </w:r>
      <w:r>
        <w:rPr>
          <w:rFonts w:hint="eastAsia" w:ascii="Arial" w:hAnsi="Arial" w:cs="Arial"/>
          <w:color w:val="000000"/>
          <w:sz w:val="24"/>
        </w:rPr>
        <w:t>竞争比选项目</w:t>
      </w:r>
      <w:r>
        <w:rPr>
          <w:rFonts w:hint="eastAsia" w:ascii="Arial" w:hAnsi="Arial" w:cs="Arial"/>
          <w:color w:val="000000"/>
          <w:sz w:val="24"/>
          <w:lang w:val="en-US" w:eastAsia="zh-CN"/>
        </w:rPr>
        <w:t>的要求</w:t>
      </w:r>
      <w:r>
        <w:rPr>
          <w:rFonts w:hint="eastAsia" w:ascii="Arial" w:hAnsi="Arial" w:cs="Arial"/>
          <w:color w:val="000000"/>
          <w:sz w:val="24"/>
        </w:rPr>
        <w:t>，</w:t>
      </w:r>
      <w:r>
        <w:rPr>
          <w:rFonts w:hint="eastAsia" w:ascii="Arial" w:hAnsi="Arial" w:cs="Arial"/>
          <w:color w:val="000000"/>
          <w:sz w:val="24"/>
          <w:u w:val="single"/>
        </w:rPr>
        <w:t xml:space="preserve"> （姓名）</w:t>
      </w:r>
      <w:r>
        <w:rPr>
          <w:rFonts w:hint="eastAsia" w:ascii="Arial" w:hAnsi="Arial" w:cs="Arial"/>
          <w:color w:val="000000"/>
          <w:sz w:val="24"/>
        </w:rPr>
        <w:t>经正式任命为</w:t>
      </w:r>
      <w:r>
        <w:rPr>
          <w:rFonts w:hint="eastAsia" w:ascii="Arial" w:hAnsi="Arial" w:cs="Arial"/>
          <w:color w:val="000000"/>
          <w:sz w:val="24"/>
          <w:u w:val="single"/>
          <w:lang w:val="en-US" w:eastAsia="zh-CN"/>
        </w:rPr>
        <w:t>三曾家机电站办公用房装饰装修项目（第二次）</w:t>
      </w:r>
      <w:r>
        <w:rPr>
          <w:rFonts w:hint="eastAsia" w:ascii="Arial" w:hAnsi="Arial" w:cs="Arial"/>
          <w:color w:val="000000"/>
          <w:sz w:val="24"/>
        </w:rPr>
        <w:t>竞争比选项目及服务现场安全负责人，严格遵守国家有关安全生产的法律法规及《首讯公司工程安全生产的违约处理细则》渝高速首讯文〔2019〕40 号等有关安全生产的规定，承诺施工期间在现场开展安全管理工作。</w:t>
      </w:r>
    </w:p>
    <w:p>
      <w:pPr>
        <w:tabs>
          <w:tab w:val="left" w:pos="540"/>
          <w:tab w:val="left" w:pos="900"/>
        </w:tabs>
        <w:spacing w:line="300" w:lineRule="auto"/>
        <w:rPr>
          <w:rFonts w:ascii="Arial" w:hAnsi="Arial" w:cs="Arial"/>
          <w:sz w:val="24"/>
        </w:rPr>
      </w:pPr>
      <w:r>
        <w:rPr>
          <w:rFonts w:hint="eastAsia" w:ascii="Arial" w:hAnsi="Arial" w:cs="Arial"/>
          <w:sz w:val="24"/>
        </w:rPr>
        <w:t xml:space="preserve">    </w:t>
      </w:r>
    </w:p>
    <w:p>
      <w:pPr>
        <w:pStyle w:val="29"/>
        <w:rPr>
          <w:rFonts w:ascii="Arial" w:hAnsi="Arial" w:cs="Arial"/>
          <w:caps w:val="0"/>
          <w:color w:val="000000"/>
          <w:sz w:val="24"/>
          <w:szCs w:val="24"/>
        </w:rPr>
      </w:pPr>
    </w:p>
    <w:p>
      <w:pPr>
        <w:rPr>
          <w:rFonts w:ascii="Arial" w:hAnsi="Arial" w:cs="Arial"/>
          <w:b/>
          <w:bCs/>
          <w:color w:val="000000"/>
          <w:sz w:val="24"/>
        </w:rPr>
      </w:pPr>
    </w:p>
    <w:p>
      <w:pPr>
        <w:pStyle w:val="29"/>
        <w:rPr>
          <w:rFonts w:ascii="Arial" w:hAnsi="Arial" w:cs="Arial"/>
          <w:caps w:val="0"/>
          <w:color w:val="000000"/>
          <w:sz w:val="24"/>
          <w:szCs w:val="24"/>
        </w:rPr>
      </w:pPr>
    </w:p>
    <w:p>
      <w:pPr>
        <w:rPr>
          <w:rFonts w:ascii="Arial" w:hAnsi="Arial" w:cs="Arial"/>
          <w:b/>
          <w:bCs/>
          <w:color w:val="000000"/>
          <w:sz w:val="24"/>
        </w:rPr>
      </w:pPr>
    </w:p>
    <w:p>
      <w:pPr>
        <w:rPr>
          <w:rFonts w:ascii="Arial" w:hAnsi="Arial" w:cs="Arial"/>
          <w:b/>
          <w:bCs/>
          <w:color w:val="000000"/>
          <w:sz w:val="24"/>
        </w:rPr>
      </w:pPr>
    </w:p>
    <w:p>
      <w:pPr>
        <w:pStyle w:val="29"/>
        <w:jc w:val="both"/>
        <w:rPr>
          <w:rFonts w:ascii="Arial" w:hAnsi="Arial" w:cs="Arial"/>
          <w:caps w:val="0"/>
          <w:color w:val="000000"/>
          <w:sz w:val="24"/>
          <w:szCs w:val="24"/>
          <w:u w:val="single"/>
        </w:rPr>
      </w:pPr>
      <w:r>
        <w:rPr>
          <w:rFonts w:ascii="Arial" w:hAnsi="Arial" w:cs="Arial"/>
          <w:caps w:val="0"/>
          <w:color w:val="000000"/>
          <w:sz w:val="24"/>
          <w:szCs w:val="24"/>
        </w:rPr>
        <w:t>竞争比选响应单位</w:t>
      </w:r>
      <w:r>
        <w:rPr>
          <w:rFonts w:hint="eastAsia" w:ascii="Arial" w:hAnsi="Arial" w:cs="Arial"/>
          <w:caps w:val="0"/>
          <w:color w:val="000000"/>
          <w:sz w:val="24"/>
          <w:szCs w:val="24"/>
        </w:rPr>
        <w:t>现场安全负责人</w:t>
      </w:r>
      <w:r>
        <w:rPr>
          <w:rFonts w:ascii="Arial" w:hAnsi="Arial" w:cs="Arial"/>
          <w:caps w:val="0"/>
          <w:color w:val="000000"/>
          <w:sz w:val="24"/>
          <w:szCs w:val="24"/>
        </w:rPr>
        <w:t>（签字）：</w:t>
      </w:r>
      <w:r>
        <w:rPr>
          <w:rFonts w:hint="eastAsia" w:ascii="Arial" w:hAnsi="Arial" w:cs="Arial"/>
          <w:caps w:val="0"/>
          <w:color w:val="000000"/>
          <w:sz w:val="24"/>
          <w:szCs w:val="24"/>
          <w:u w:val="single"/>
        </w:rPr>
        <w:t xml:space="preserve">               </w:t>
      </w:r>
    </w:p>
    <w:p>
      <w:pPr>
        <w:pStyle w:val="29"/>
        <w:jc w:val="both"/>
        <w:rPr>
          <w:rFonts w:ascii="Arial" w:hAnsi="Arial" w:cs="Arial"/>
          <w:caps w:val="0"/>
          <w:color w:val="000000"/>
          <w:sz w:val="24"/>
          <w:szCs w:val="24"/>
        </w:rPr>
      </w:pPr>
      <w:r>
        <w:rPr>
          <w:rFonts w:ascii="Arial" w:hAnsi="Arial" w:cs="Arial"/>
          <w:caps w:val="0"/>
          <w:color w:val="000000"/>
          <w:sz w:val="24"/>
          <w:szCs w:val="24"/>
        </w:rPr>
        <w:t>竞争比选响应单位名称（加盖公章）：</w:t>
      </w:r>
    </w:p>
    <w:p>
      <w:pPr>
        <w:pStyle w:val="29"/>
        <w:jc w:val="both"/>
        <w:rPr>
          <w:rFonts w:ascii="Arial" w:hAnsi="Arial" w:cs="Arial"/>
          <w:caps w:val="0"/>
          <w:color w:val="000000"/>
          <w:sz w:val="24"/>
          <w:szCs w:val="24"/>
        </w:rPr>
      </w:pPr>
      <w:r>
        <w:rPr>
          <w:rFonts w:ascii="Arial" w:hAnsi="Arial" w:cs="Arial"/>
          <w:caps w:val="0"/>
          <w:color w:val="000000"/>
          <w:sz w:val="24"/>
          <w:szCs w:val="24"/>
        </w:rPr>
        <w:t>日期：</w:t>
      </w:r>
      <w:r>
        <w:rPr>
          <w:rFonts w:ascii="Arial" w:hAnsi="Arial" w:cs="Arial"/>
          <w:caps w:val="0"/>
          <w:color w:val="000000"/>
          <w:sz w:val="24"/>
          <w:szCs w:val="24"/>
          <w:u w:val="single"/>
        </w:rPr>
        <w:t xml:space="preserve">     </w:t>
      </w:r>
      <w:r>
        <w:rPr>
          <w:rFonts w:ascii="Arial" w:hAnsi="Arial" w:cs="Arial"/>
          <w:caps w:val="0"/>
          <w:color w:val="000000"/>
          <w:sz w:val="24"/>
          <w:szCs w:val="24"/>
        </w:rPr>
        <w:t>年</w:t>
      </w:r>
      <w:r>
        <w:rPr>
          <w:rFonts w:ascii="Arial" w:hAnsi="Arial" w:cs="Arial"/>
          <w:caps w:val="0"/>
          <w:color w:val="000000"/>
          <w:sz w:val="24"/>
          <w:szCs w:val="24"/>
          <w:u w:val="single"/>
        </w:rPr>
        <w:t xml:space="preserve">      </w:t>
      </w:r>
      <w:r>
        <w:rPr>
          <w:rFonts w:ascii="Arial" w:hAnsi="Arial" w:cs="Arial"/>
          <w:caps w:val="0"/>
          <w:color w:val="000000"/>
          <w:sz w:val="24"/>
          <w:szCs w:val="24"/>
        </w:rPr>
        <w:t>月</w:t>
      </w:r>
      <w:r>
        <w:rPr>
          <w:rFonts w:ascii="Arial" w:hAnsi="Arial" w:cs="Arial"/>
          <w:caps w:val="0"/>
          <w:color w:val="000000"/>
          <w:sz w:val="24"/>
          <w:szCs w:val="24"/>
          <w:u w:val="single"/>
        </w:rPr>
        <w:t xml:space="preserve">      </w:t>
      </w:r>
      <w:r>
        <w:rPr>
          <w:rFonts w:ascii="Arial" w:hAnsi="Arial" w:cs="Arial"/>
          <w:caps w:val="0"/>
          <w:color w:val="000000"/>
          <w:sz w:val="24"/>
          <w:szCs w:val="24"/>
        </w:rPr>
        <w:t>日</w:t>
      </w:r>
    </w:p>
    <w:p>
      <w:pPr>
        <w:pStyle w:val="29"/>
        <w:rPr>
          <w:rFonts w:ascii="Arial" w:hAnsi="Arial" w:cs="Arial"/>
          <w:caps w:val="0"/>
          <w:color w:val="000000"/>
          <w:sz w:val="24"/>
          <w:szCs w:val="24"/>
        </w:rPr>
      </w:pPr>
    </w:p>
    <w:p>
      <w:pPr>
        <w:rPr>
          <w:rFonts w:ascii="Arial" w:hAnsi="Arial" w:cs="Arial"/>
          <w:b/>
          <w:bCs/>
          <w:color w:val="000000"/>
          <w:sz w:val="24"/>
        </w:rPr>
      </w:pPr>
    </w:p>
    <w:p>
      <w:pPr>
        <w:pStyle w:val="29"/>
        <w:rPr>
          <w:rFonts w:ascii="Arial" w:hAnsi="Arial" w:cs="Arial"/>
          <w:caps w:val="0"/>
          <w:color w:val="000000"/>
          <w:sz w:val="24"/>
          <w:szCs w:val="24"/>
        </w:rPr>
      </w:pPr>
    </w:p>
    <w:p>
      <w:pPr>
        <w:pStyle w:val="29"/>
        <w:rPr>
          <w:rFonts w:ascii="Arial" w:hAnsi="Arial" w:cs="Arial"/>
          <w:caps w:val="0"/>
          <w:color w:val="000000"/>
          <w:sz w:val="24"/>
          <w:szCs w:val="24"/>
        </w:rPr>
      </w:pPr>
    </w:p>
    <w:p>
      <w:pPr>
        <w:pStyle w:val="29"/>
      </w:pPr>
    </w:p>
    <w:p>
      <w:pPr>
        <w:rPr>
          <w:rFonts w:hint="eastAsia"/>
          <w:lang w:val="en-US" w:eastAsia="zh-CN"/>
        </w:rPr>
      </w:pPr>
    </w:p>
    <w:p>
      <w:pPr>
        <w:rPr>
          <w:rFonts w:hint="eastAsia"/>
          <w:lang w:val="en-US" w:eastAsia="zh-CN"/>
        </w:rPr>
      </w:pPr>
    </w:p>
    <w:p>
      <w:pPr>
        <w:rPr>
          <w:rFonts w:hint="eastAsia"/>
        </w:rPr>
      </w:pPr>
    </w:p>
    <w:sectPr>
      <w:footerReference r:id="rId11" w:type="first"/>
      <w:footerReference r:id="rId10"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3399BA8-B4FF-41E8-A330-47DCE32C544B}"/>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Arial Unicode MS">
    <w:panose1 w:val="020B0604020202020204"/>
    <w:charset w:val="86"/>
    <w:family w:val="swiss"/>
    <w:pitch w:val="default"/>
    <w:sig w:usb0="FFFFFFFF" w:usb1="E9FFFFFF" w:usb2="0000003F" w:usb3="00000000" w:csb0="603F01FF" w:csb1="FFFF0000"/>
  </w:font>
  <w:font w:name="Wingdings 2">
    <w:panose1 w:val="05020102010507070707"/>
    <w:charset w:val="00"/>
    <w:family w:val="auto"/>
    <w:pitch w:val="default"/>
    <w:sig w:usb0="00000000" w:usb1="00000000" w:usb2="00000000" w:usb3="00000000" w:csb0="80000000" w:csb1="00000000"/>
    <w:embedRegular r:id="rId2" w:fontKey="{73846DCF-E887-4D8D-892F-A2A7444C07A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6"/>
      </w:rPr>
    </w:pPr>
    <w:r>
      <w:fldChar w:fldCharType="begin"/>
    </w:r>
    <w:r>
      <w:rPr>
        <w:rStyle w:val="46"/>
      </w:rPr>
      <w:instrText xml:space="preserve">PAGE  </w:instrText>
    </w:r>
    <w:r>
      <w:fldChar w:fldCharType="end"/>
    </w:r>
  </w:p>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PAGE   \* MERGEFORMAT</w:instrText>
    </w:r>
    <w:r>
      <w:fldChar w:fldCharType="separate"/>
    </w:r>
    <w:r>
      <w:rPr>
        <w:lang w:val="zh-CN" w:eastAsia="zh-CN"/>
      </w:rPr>
      <w:t>79</w:t>
    </w:r>
    <w:r>
      <w:fldChar w:fldCharType="end"/>
    </w:r>
  </w:p>
  <w:p>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PAGE   \* MERGEFORMAT</w:instrText>
    </w:r>
    <w:r>
      <w:fldChar w:fldCharType="separate"/>
    </w:r>
    <w:r>
      <w:rPr>
        <w:lang w:val="zh-CN" w:eastAsia="zh-CN"/>
      </w:rPr>
      <w:t>35</w:t>
    </w:r>
    <w:r>
      <w:fldChar w:fldCharType="end"/>
    </w:r>
  </w:p>
  <w:p>
    <w:pPr>
      <w:pStyle w:val="2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520" w:h="235" w:hRule="exact" w:wrap="around" w:vAnchor="text" w:hAnchor="page" w:x="6073" w:y="-2"/>
      <w:rPr>
        <w:rStyle w:val="46"/>
      </w:rPr>
    </w:pPr>
    <w:r>
      <w:fldChar w:fldCharType="begin"/>
    </w:r>
    <w:r>
      <w:rPr>
        <w:rStyle w:val="46"/>
      </w:rPr>
      <w:instrText xml:space="preserve">PAGE  </w:instrText>
    </w:r>
    <w:r>
      <w:fldChar w:fldCharType="separate"/>
    </w:r>
    <w:r>
      <w:rPr>
        <w:rStyle w:val="46"/>
      </w:rPr>
      <w:t>73</w:t>
    </w:r>
    <w:r>
      <w:fldChar w:fldCharType="end"/>
    </w:r>
  </w:p>
  <w:p>
    <w:pPr>
      <w:pStyle w:val="27"/>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520" w:h="235" w:hRule="exact" w:wrap="around" w:vAnchor="text" w:hAnchor="page" w:x="6073" w:y="-2"/>
      <w:rPr>
        <w:rStyle w:val="46"/>
      </w:rPr>
    </w:pPr>
    <w:r>
      <w:fldChar w:fldCharType="begin"/>
    </w:r>
    <w:r>
      <w:rPr>
        <w:rStyle w:val="46"/>
      </w:rPr>
      <w:instrText xml:space="preserve">PAGE  </w:instrText>
    </w:r>
    <w:r>
      <w:fldChar w:fldCharType="separate"/>
    </w:r>
    <w:r>
      <w:rPr>
        <w:rStyle w:val="46"/>
      </w:rPr>
      <w:t>78</w:t>
    </w:r>
    <w:r>
      <w:fldChar w:fldCharType="end"/>
    </w:r>
  </w:p>
  <w:p>
    <w:pPr>
      <w:pStyle w:val="27"/>
      <w:ind w:right="360"/>
      <w:jc w:val="center"/>
      <w:rPr>
        <w:rFonts w:hint="eastAsi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rPr>
                              <w:rStyle w:val="46"/>
                            </w:rPr>
                          </w:pPr>
                          <w:r>
                            <w:fldChar w:fldCharType="begin"/>
                          </w:r>
                          <w:r>
                            <w:rPr>
                              <w:rStyle w:val="46"/>
                            </w:rPr>
                            <w:instrText xml:space="preserve">PAGE  </w:instrText>
                          </w:r>
                          <w:r>
                            <w:fldChar w:fldCharType="separate"/>
                          </w:r>
                          <w:r>
                            <w:rPr>
                              <w:rStyle w:val="46"/>
                            </w:rPr>
                            <w:t>95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pPr>
                      <w:pStyle w:val="27"/>
                      <w:rPr>
                        <w:rStyle w:val="46"/>
                      </w:rPr>
                    </w:pPr>
                    <w:r>
                      <w:fldChar w:fldCharType="begin"/>
                    </w:r>
                    <w:r>
                      <w:rPr>
                        <w:rStyle w:val="46"/>
                      </w:rPr>
                      <w:instrText xml:space="preserve">PAGE  </w:instrText>
                    </w:r>
                    <w:r>
                      <w:fldChar w:fldCharType="separate"/>
                    </w:r>
                    <w:r>
                      <w:rPr>
                        <w:rStyle w:val="46"/>
                      </w:rPr>
                      <w:t>95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92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27"/>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92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85E9B2"/>
    <w:multiLevelType w:val="singleLevel"/>
    <w:tmpl w:val="8285E9B2"/>
    <w:lvl w:ilvl="0" w:tentative="0">
      <w:start w:val="1"/>
      <w:numFmt w:val="decimal"/>
      <w:lvlText w:val="%1."/>
      <w:lvlJc w:val="left"/>
      <w:pPr>
        <w:tabs>
          <w:tab w:val="left" w:pos="312"/>
        </w:tabs>
      </w:pPr>
    </w:lvl>
  </w:abstractNum>
  <w:abstractNum w:abstractNumId="1">
    <w:nsid w:val="8987779F"/>
    <w:multiLevelType w:val="singleLevel"/>
    <w:tmpl w:val="8987779F"/>
    <w:lvl w:ilvl="0" w:tentative="0">
      <w:start w:val="1"/>
      <w:numFmt w:val="chineseCounting"/>
      <w:suff w:val="nothing"/>
      <w:lvlText w:val="%1、"/>
      <w:lvlJc w:val="left"/>
      <w:pPr>
        <w:ind w:left="525" w:leftChars="0" w:firstLine="0" w:firstLineChars="0"/>
      </w:pPr>
      <w:rPr>
        <w:rFonts w:hint="eastAsia"/>
      </w:rPr>
    </w:lvl>
  </w:abstractNum>
  <w:abstractNum w:abstractNumId="2">
    <w:nsid w:val="FCFB3683"/>
    <w:multiLevelType w:val="singleLevel"/>
    <w:tmpl w:val="FCFB3683"/>
    <w:lvl w:ilvl="0" w:tentative="0">
      <w:start w:val="1"/>
      <w:numFmt w:val="decimal"/>
      <w:suff w:val="nothing"/>
      <w:lvlText w:val="（%1）"/>
      <w:lvlJc w:val="left"/>
    </w:lvl>
  </w:abstractNum>
  <w:abstractNum w:abstractNumId="3">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41"/>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4">
    <w:nsid w:val="1CC3CD8A"/>
    <w:multiLevelType w:val="singleLevel"/>
    <w:tmpl w:val="1CC3CD8A"/>
    <w:lvl w:ilvl="0" w:tentative="0">
      <w:start w:val="6"/>
      <w:numFmt w:val="chineseCounting"/>
      <w:suff w:val="nothing"/>
      <w:lvlText w:val="%1、"/>
      <w:lvlJc w:val="left"/>
      <w:rPr>
        <w:rFonts w:hint="eastAsia"/>
      </w:rPr>
    </w:lvl>
  </w:abstractNum>
  <w:abstractNum w:abstractNumId="5">
    <w:nsid w:val="3871CE1D"/>
    <w:multiLevelType w:val="singleLevel"/>
    <w:tmpl w:val="3871CE1D"/>
    <w:lvl w:ilvl="0" w:tentative="0">
      <w:start w:val="1"/>
      <w:numFmt w:val="chineseCounting"/>
      <w:suff w:val="nothing"/>
      <w:lvlText w:val="%1、"/>
      <w:lvlJc w:val="left"/>
      <w:rPr>
        <w:rFonts w:hint="eastAsia"/>
      </w:rPr>
    </w:lvl>
  </w:abstractNum>
  <w:abstractNum w:abstractNumId="6">
    <w:nsid w:val="511A757A"/>
    <w:multiLevelType w:val="singleLevel"/>
    <w:tmpl w:val="511A757A"/>
    <w:lvl w:ilvl="0" w:tentative="0">
      <w:start w:val="2"/>
      <w:numFmt w:val="chineseCounting"/>
      <w:suff w:val="nothing"/>
      <w:lvlText w:val="（%1）"/>
      <w:lvlJc w:val="left"/>
      <w:rPr>
        <w:rFonts w:hint="eastAsia"/>
      </w:rPr>
    </w:lvl>
  </w:abstractNum>
  <w:abstractNum w:abstractNumId="7">
    <w:nsid w:val="6F6BD9B8"/>
    <w:multiLevelType w:val="singleLevel"/>
    <w:tmpl w:val="6F6BD9B8"/>
    <w:lvl w:ilvl="0" w:tentative="0">
      <w:start w:val="1"/>
      <w:numFmt w:val="decimal"/>
      <w:suff w:val="nothing"/>
      <w:lvlText w:val="（%1）"/>
      <w:lvlJc w:val="left"/>
    </w:lvl>
  </w:abstractNum>
  <w:num w:numId="1">
    <w:abstractNumId w:val="3"/>
  </w:num>
  <w:num w:numId="2">
    <w:abstractNumId w:val="1"/>
  </w:num>
  <w:num w:numId="3">
    <w:abstractNumId w:val="0"/>
  </w:num>
  <w:num w:numId="4">
    <w:abstractNumId w:val="7"/>
  </w:num>
  <w:num w:numId="5">
    <w:abstractNumId w:val="5"/>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NotTrackMoves/>
  <w:documentProtection w:enforcement="0"/>
  <w:defaultTabStop w:val="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jYmZhZDM3NGJmNGU0ZTQ0ZTdlMzcxNDk2MGJhMjAifQ=="/>
  </w:docVars>
  <w:rsids>
    <w:rsidRoot w:val="00F1787C"/>
    <w:rsid w:val="00002283"/>
    <w:rsid w:val="0000322E"/>
    <w:rsid w:val="00003524"/>
    <w:rsid w:val="00006DC2"/>
    <w:rsid w:val="00014F18"/>
    <w:rsid w:val="0002191D"/>
    <w:rsid w:val="00022C81"/>
    <w:rsid w:val="000247E8"/>
    <w:rsid w:val="00025133"/>
    <w:rsid w:val="000252CD"/>
    <w:rsid w:val="00025B39"/>
    <w:rsid w:val="00031B7B"/>
    <w:rsid w:val="000329B5"/>
    <w:rsid w:val="000338C1"/>
    <w:rsid w:val="000349C1"/>
    <w:rsid w:val="00035D65"/>
    <w:rsid w:val="00035FD9"/>
    <w:rsid w:val="00037178"/>
    <w:rsid w:val="000439F3"/>
    <w:rsid w:val="00046EC8"/>
    <w:rsid w:val="0005109B"/>
    <w:rsid w:val="00055B95"/>
    <w:rsid w:val="000563B8"/>
    <w:rsid w:val="000572DF"/>
    <w:rsid w:val="00057B74"/>
    <w:rsid w:val="0006209E"/>
    <w:rsid w:val="000620D8"/>
    <w:rsid w:val="00066BA0"/>
    <w:rsid w:val="00067251"/>
    <w:rsid w:val="000757B2"/>
    <w:rsid w:val="0007698A"/>
    <w:rsid w:val="00076FDF"/>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81C"/>
    <w:rsid w:val="000A18D6"/>
    <w:rsid w:val="000A1E4C"/>
    <w:rsid w:val="000A2296"/>
    <w:rsid w:val="000A31DB"/>
    <w:rsid w:val="000A423A"/>
    <w:rsid w:val="000A4B3C"/>
    <w:rsid w:val="000A5164"/>
    <w:rsid w:val="000A60BC"/>
    <w:rsid w:val="000A6558"/>
    <w:rsid w:val="000B3499"/>
    <w:rsid w:val="000B446C"/>
    <w:rsid w:val="000B48BA"/>
    <w:rsid w:val="000B7D1A"/>
    <w:rsid w:val="000C0102"/>
    <w:rsid w:val="000C153A"/>
    <w:rsid w:val="000C3C36"/>
    <w:rsid w:val="000C4170"/>
    <w:rsid w:val="000C42B0"/>
    <w:rsid w:val="000C4955"/>
    <w:rsid w:val="000C5DB1"/>
    <w:rsid w:val="000C6C80"/>
    <w:rsid w:val="000C6EF3"/>
    <w:rsid w:val="000D0FF5"/>
    <w:rsid w:val="000D6003"/>
    <w:rsid w:val="000E2A4B"/>
    <w:rsid w:val="000E313E"/>
    <w:rsid w:val="000E59C6"/>
    <w:rsid w:val="000F2842"/>
    <w:rsid w:val="00100F21"/>
    <w:rsid w:val="0010112E"/>
    <w:rsid w:val="00101194"/>
    <w:rsid w:val="00104DDA"/>
    <w:rsid w:val="00105562"/>
    <w:rsid w:val="001060F0"/>
    <w:rsid w:val="00107D39"/>
    <w:rsid w:val="00107E81"/>
    <w:rsid w:val="00110CAE"/>
    <w:rsid w:val="00112802"/>
    <w:rsid w:val="001150C8"/>
    <w:rsid w:val="00115A03"/>
    <w:rsid w:val="00120582"/>
    <w:rsid w:val="00123DF3"/>
    <w:rsid w:val="0012612C"/>
    <w:rsid w:val="0012618D"/>
    <w:rsid w:val="001264BE"/>
    <w:rsid w:val="00131319"/>
    <w:rsid w:val="001326B8"/>
    <w:rsid w:val="00133F0F"/>
    <w:rsid w:val="0013640A"/>
    <w:rsid w:val="00137B7C"/>
    <w:rsid w:val="00137FF4"/>
    <w:rsid w:val="00142542"/>
    <w:rsid w:val="00143D4F"/>
    <w:rsid w:val="00147ECF"/>
    <w:rsid w:val="001509A5"/>
    <w:rsid w:val="00151358"/>
    <w:rsid w:val="001528F7"/>
    <w:rsid w:val="00157E7E"/>
    <w:rsid w:val="00160A9D"/>
    <w:rsid w:val="00161FBA"/>
    <w:rsid w:val="0016324C"/>
    <w:rsid w:val="001637E6"/>
    <w:rsid w:val="001646C7"/>
    <w:rsid w:val="001661DF"/>
    <w:rsid w:val="00166289"/>
    <w:rsid w:val="00167BC0"/>
    <w:rsid w:val="00170C4F"/>
    <w:rsid w:val="001743B9"/>
    <w:rsid w:val="00180EFE"/>
    <w:rsid w:val="00183BEA"/>
    <w:rsid w:val="00184A5E"/>
    <w:rsid w:val="0018579A"/>
    <w:rsid w:val="0019148A"/>
    <w:rsid w:val="001A0539"/>
    <w:rsid w:val="001A09DE"/>
    <w:rsid w:val="001A5CDC"/>
    <w:rsid w:val="001A7336"/>
    <w:rsid w:val="001B37EE"/>
    <w:rsid w:val="001B455F"/>
    <w:rsid w:val="001B7789"/>
    <w:rsid w:val="001C0BBE"/>
    <w:rsid w:val="001C47B4"/>
    <w:rsid w:val="001C7A81"/>
    <w:rsid w:val="001D0E4A"/>
    <w:rsid w:val="001D4A30"/>
    <w:rsid w:val="001D5992"/>
    <w:rsid w:val="001D620B"/>
    <w:rsid w:val="001D748A"/>
    <w:rsid w:val="001E2FBC"/>
    <w:rsid w:val="001E35E5"/>
    <w:rsid w:val="001E3AE0"/>
    <w:rsid w:val="001E4ED8"/>
    <w:rsid w:val="001F5D0C"/>
    <w:rsid w:val="001F6241"/>
    <w:rsid w:val="00203576"/>
    <w:rsid w:val="002111A4"/>
    <w:rsid w:val="002136F9"/>
    <w:rsid w:val="00213C13"/>
    <w:rsid w:val="00214A65"/>
    <w:rsid w:val="00214E11"/>
    <w:rsid w:val="0021510A"/>
    <w:rsid w:val="00217ABC"/>
    <w:rsid w:val="00217CD9"/>
    <w:rsid w:val="00217F8C"/>
    <w:rsid w:val="002202C8"/>
    <w:rsid w:val="00220469"/>
    <w:rsid w:val="00220B1B"/>
    <w:rsid w:val="00220F2D"/>
    <w:rsid w:val="00222DE6"/>
    <w:rsid w:val="002258E9"/>
    <w:rsid w:val="00226226"/>
    <w:rsid w:val="00230813"/>
    <w:rsid w:val="00231314"/>
    <w:rsid w:val="00231845"/>
    <w:rsid w:val="002339FF"/>
    <w:rsid w:val="00235CEC"/>
    <w:rsid w:val="002460EA"/>
    <w:rsid w:val="00246DBB"/>
    <w:rsid w:val="002537F9"/>
    <w:rsid w:val="00253875"/>
    <w:rsid w:val="0025448C"/>
    <w:rsid w:val="00264707"/>
    <w:rsid w:val="002660DD"/>
    <w:rsid w:val="00272FC8"/>
    <w:rsid w:val="00277351"/>
    <w:rsid w:val="00277BB5"/>
    <w:rsid w:val="002826F6"/>
    <w:rsid w:val="00287A1A"/>
    <w:rsid w:val="0029648C"/>
    <w:rsid w:val="002966A3"/>
    <w:rsid w:val="00296F6F"/>
    <w:rsid w:val="00297D35"/>
    <w:rsid w:val="002A0370"/>
    <w:rsid w:val="002A055F"/>
    <w:rsid w:val="002A2803"/>
    <w:rsid w:val="002A4245"/>
    <w:rsid w:val="002B19F4"/>
    <w:rsid w:val="002B4E72"/>
    <w:rsid w:val="002B52E8"/>
    <w:rsid w:val="002B6790"/>
    <w:rsid w:val="002B6B13"/>
    <w:rsid w:val="002B6E57"/>
    <w:rsid w:val="002B72CF"/>
    <w:rsid w:val="002C2E51"/>
    <w:rsid w:val="002C471B"/>
    <w:rsid w:val="002C5A0E"/>
    <w:rsid w:val="002C7AB6"/>
    <w:rsid w:val="002D54DB"/>
    <w:rsid w:val="002E1D11"/>
    <w:rsid w:val="002E695F"/>
    <w:rsid w:val="002F308B"/>
    <w:rsid w:val="002F59DF"/>
    <w:rsid w:val="002F6545"/>
    <w:rsid w:val="002F737A"/>
    <w:rsid w:val="002F73BF"/>
    <w:rsid w:val="002F7968"/>
    <w:rsid w:val="00300BA8"/>
    <w:rsid w:val="0030183E"/>
    <w:rsid w:val="00305027"/>
    <w:rsid w:val="003111A2"/>
    <w:rsid w:val="0031451A"/>
    <w:rsid w:val="0031530B"/>
    <w:rsid w:val="00321B30"/>
    <w:rsid w:val="00322C4B"/>
    <w:rsid w:val="00323A00"/>
    <w:rsid w:val="0032479B"/>
    <w:rsid w:val="00325CDF"/>
    <w:rsid w:val="00326D75"/>
    <w:rsid w:val="003331DE"/>
    <w:rsid w:val="003332D7"/>
    <w:rsid w:val="003349A6"/>
    <w:rsid w:val="00336D14"/>
    <w:rsid w:val="00340515"/>
    <w:rsid w:val="003413B4"/>
    <w:rsid w:val="0034521F"/>
    <w:rsid w:val="003458EB"/>
    <w:rsid w:val="00345A28"/>
    <w:rsid w:val="003467A2"/>
    <w:rsid w:val="003515E2"/>
    <w:rsid w:val="00351749"/>
    <w:rsid w:val="0035184A"/>
    <w:rsid w:val="00355399"/>
    <w:rsid w:val="003600B5"/>
    <w:rsid w:val="00361ABE"/>
    <w:rsid w:val="00362AD2"/>
    <w:rsid w:val="003638FE"/>
    <w:rsid w:val="003668C2"/>
    <w:rsid w:val="00367182"/>
    <w:rsid w:val="0037709D"/>
    <w:rsid w:val="00380543"/>
    <w:rsid w:val="00383AFE"/>
    <w:rsid w:val="00384108"/>
    <w:rsid w:val="00384E9A"/>
    <w:rsid w:val="003856B3"/>
    <w:rsid w:val="003858BE"/>
    <w:rsid w:val="003859B8"/>
    <w:rsid w:val="0039099F"/>
    <w:rsid w:val="00397134"/>
    <w:rsid w:val="003A063A"/>
    <w:rsid w:val="003A67CF"/>
    <w:rsid w:val="003B5115"/>
    <w:rsid w:val="003B5AAE"/>
    <w:rsid w:val="003B696A"/>
    <w:rsid w:val="003C18C8"/>
    <w:rsid w:val="003C28DD"/>
    <w:rsid w:val="003C4C34"/>
    <w:rsid w:val="003C7632"/>
    <w:rsid w:val="003C7809"/>
    <w:rsid w:val="003D0BF2"/>
    <w:rsid w:val="003D4436"/>
    <w:rsid w:val="003D5153"/>
    <w:rsid w:val="003D5F84"/>
    <w:rsid w:val="003E0D5A"/>
    <w:rsid w:val="003E3829"/>
    <w:rsid w:val="003E38BD"/>
    <w:rsid w:val="003E68AB"/>
    <w:rsid w:val="003F098D"/>
    <w:rsid w:val="003F1C45"/>
    <w:rsid w:val="003F1F45"/>
    <w:rsid w:val="003F34F8"/>
    <w:rsid w:val="003F6AEE"/>
    <w:rsid w:val="003F7927"/>
    <w:rsid w:val="003F7A0C"/>
    <w:rsid w:val="00402F66"/>
    <w:rsid w:val="00403314"/>
    <w:rsid w:val="00404848"/>
    <w:rsid w:val="00411545"/>
    <w:rsid w:val="00412072"/>
    <w:rsid w:val="00415B93"/>
    <w:rsid w:val="00420586"/>
    <w:rsid w:val="00420FC3"/>
    <w:rsid w:val="00421DFA"/>
    <w:rsid w:val="00423CEA"/>
    <w:rsid w:val="00426621"/>
    <w:rsid w:val="0043226B"/>
    <w:rsid w:val="0043326B"/>
    <w:rsid w:val="00434144"/>
    <w:rsid w:val="00435BC6"/>
    <w:rsid w:val="004409EE"/>
    <w:rsid w:val="0044320E"/>
    <w:rsid w:val="00443CBF"/>
    <w:rsid w:val="00443D8E"/>
    <w:rsid w:val="00444730"/>
    <w:rsid w:val="00452F25"/>
    <w:rsid w:val="00453BE6"/>
    <w:rsid w:val="00454E6B"/>
    <w:rsid w:val="0045502B"/>
    <w:rsid w:val="004566D2"/>
    <w:rsid w:val="0045695D"/>
    <w:rsid w:val="00461AD0"/>
    <w:rsid w:val="004634AB"/>
    <w:rsid w:val="00466348"/>
    <w:rsid w:val="004706E6"/>
    <w:rsid w:val="0047569F"/>
    <w:rsid w:val="00476803"/>
    <w:rsid w:val="004774EC"/>
    <w:rsid w:val="00480132"/>
    <w:rsid w:val="004802D9"/>
    <w:rsid w:val="00480BDB"/>
    <w:rsid w:val="00481CDD"/>
    <w:rsid w:val="0048320C"/>
    <w:rsid w:val="004851D3"/>
    <w:rsid w:val="00492555"/>
    <w:rsid w:val="00493C71"/>
    <w:rsid w:val="00494844"/>
    <w:rsid w:val="00496C67"/>
    <w:rsid w:val="004A15BA"/>
    <w:rsid w:val="004A1630"/>
    <w:rsid w:val="004A16CA"/>
    <w:rsid w:val="004A19AC"/>
    <w:rsid w:val="004A3E48"/>
    <w:rsid w:val="004B13EB"/>
    <w:rsid w:val="004B24DB"/>
    <w:rsid w:val="004B36BA"/>
    <w:rsid w:val="004C00BE"/>
    <w:rsid w:val="004C023B"/>
    <w:rsid w:val="004C0E82"/>
    <w:rsid w:val="004C1326"/>
    <w:rsid w:val="004C1C0B"/>
    <w:rsid w:val="004C42BC"/>
    <w:rsid w:val="004C4B65"/>
    <w:rsid w:val="004C5682"/>
    <w:rsid w:val="004C6795"/>
    <w:rsid w:val="004C71DC"/>
    <w:rsid w:val="004D1ADF"/>
    <w:rsid w:val="004D4A97"/>
    <w:rsid w:val="004D5467"/>
    <w:rsid w:val="004D6EA5"/>
    <w:rsid w:val="004E6A77"/>
    <w:rsid w:val="004F05BD"/>
    <w:rsid w:val="004F5845"/>
    <w:rsid w:val="004F7236"/>
    <w:rsid w:val="005016AD"/>
    <w:rsid w:val="00501C58"/>
    <w:rsid w:val="00502E26"/>
    <w:rsid w:val="00504EDE"/>
    <w:rsid w:val="005118BF"/>
    <w:rsid w:val="005142E6"/>
    <w:rsid w:val="00514DF5"/>
    <w:rsid w:val="005216B1"/>
    <w:rsid w:val="005230E8"/>
    <w:rsid w:val="005248B7"/>
    <w:rsid w:val="00524AAD"/>
    <w:rsid w:val="00527DED"/>
    <w:rsid w:val="0053576A"/>
    <w:rsid w:val="0053749E"/>
    <w:rsid w:val="0053783C"/>
    <w:rsid w:val="00540A63"/>
    <w:rsid w:val="00541EAD"/>
    <w:rsid w:val="00543B84"/>
    <w:rsid w:val="00551444"/>
    <w:rsid w:val="005516BA"/>
    <w:rsid w:val="00554CE3"/>
    <w:rsid w:val="00565E3C"/>
    <w:rsid w:val="0056641F"/>
    <w:rsid w:val="005668C7"/>
    <w:rsid w:val="00571660"/>
    <w:rsid w:val="0057233D"/>
    <w:rsid w:val="00573321"/>
    <w:rsid w:val="005758E3"/>
    <w:rsid w:val="005914DA"/>
    <w:rsid w:val="00591F3F"/>
    <w:rsid w:val="00594228"/>
    <w:rsid w:val="005946A1"/>
    <w:rsid w:val="00594DBC"/>
    <w:rsid w:val="0059501D"/>
    <w:rsid w:val="005A0E5B"/>
    <w:rsid w:val="005A1707"/>
    <w:rsid w:val="005A390C"/>
    <w:rsid w:val="005A3A26"/>
    <w:rsid w:val="005A6CF0"/>
    <w:rsid w:val="005B0870"/>
    <w:rsid w:val="005B2C7F"/>
    <w:rsid w:val="005B635A"/>
    <w:rsid w:val="005C1367"/>
    <w:rsid w:val="005C137A"/>
    <w:rsid w:val="005C3C93"/>
    <w:rsid w:val="005C7304"/>
    <w:rsid w:val="005D1938"/>
    <w:rsid w:val="005D1C59"/>
    <w:rsid w:val="005D3202"/>
    <w:rsid w:val="005D48DB"/>
    <w:rsid w:val="005E25FB"/>
    <w:rsid w:val="005E3EBE"/>
    <w:rsid w:val="005E3F38"/>
    <w:rsid w:val="005E782A"/>
    <w:rsid w:val="005F18AC"/>
    <w:rsid w:val="005F2C77"/>
    <w:rsid w:val="00605878"/>
    <w:rsid w:val="00606A11"/>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33525"/>
    <w:rsid w:val="00634491"/>
    <w:rsid w:val="00640A2B"/>
    <w:rsid w:val="006410AE"/>
    <w:rsid w:val="00641DDB"/>
    <w:rsid w:val="00645AA4"/>
    <w:rsid w:val="0064614C"/>
    <w:rsid w:val="006501D9"/>
    <w:rsid w:val="0065343F"/>
    <w:rsid w:val="00662461"/>
    <w:rsid w:val="00663C2A"/>
    <w:rsid w:val="00664ABD"/>
    <w:rsid w:val="00672863"/>
    <w:rsid w:val="0067333E"/>
    <w:rsid w:val="00674008"/>
    <w:rsid w:val="006747F2"/>
    <w:rsid w:val="0067739E"/>
    <w:rsid w:val="00677827"/>
    <w:rsid w:val="00680AC1"/>
    <w:rsid w:val="00681547"/>
    <w:rsid w:val="00681630"/>
    <w:rsid w:val="00682C95"/>
    <w:rsid w:val="00685B7E"/>
    <w:rsid w:val="00685D10"/>
    <w:rsid w:val="00694FA7"/>
    <w:rsid w:val="006A29F5"/>
    <w:rsid w:val="006A2D0D"/>
    <w:rsid w:val="006A4D20"/>
    <w:rsid w:val="006A79F4"/>
    <w:rsid w:val="006B1A0A"/>
    <w:rsid w:val="006B49C1"/>
    <w:rsid w:val="006B60A9"/>
    <w:rsid w:val="006C41F0"/>
    <w:rsid w:val="006C497C"/>
    <w:rsid w:val="006C75C9"/>
    <w:rsid w:val="006C7F0A"/>
    <w:rsid w:val="006D1032"/>
    <w:rsid w:val="006D48FF"/>
    <w:rsid w:val="006D4950"/>
    <w:rsid w:val="006E2BEB"/>
    <w:rsid w:val="006E2F3D"/>
    <w:rsid w:val="006E3F3F"/>
    <w:rsid w:val="006E44D5"/>
    <w:rsid w:val="006F08B7"/>
    <w:rsid w:val="00702554"/>
    <w:rsid w:val="0070267A"/>
    <w:rsid w:val="00704E87"/>
    <w:rsid w:val="00705864"/>
    <w:rsid w:val="0071015C"/>
    <w:rsid w:val="0071261D"/>
    <w:rsid w:val="0071777A"/>
    <w:rsid w:val="00722FD3"/>
    <w:rsid w:val="00724D14"/>
    <w:rsid w:val="00727D4B"/>
    <w:rsid w:val="00736D71"/>
    <w:rsid w:val="007372DF"/>
    <w:rsid w:val="00737EEA"/>
    <w:rsid w:val="00741B7A"/>
    <w:rsid w:val="00747B86"/>
    <w:rsid w:val="007504EC"/>
    <w:rsid w:val="007508E2"/>
    <w:rsid w:val="007560DB"/>
    <w:rsid w:val="00756FB5"/>
    <w:rsid w:val="00756FFD"/>
    <w:rsid w:val="00761FD8"/>
    <w:rsid w:val="00766052"/>
    <w:rsid w:val="00767E72"/>
    <w:rsid w:val="00770B52"/>
    <w:rsid w:val="00771915"/>
    <w:rsid w:val="00775C9B"/>
    <w:rsid w:val="00776703"/>
    <w:rsid w:val="007857ED"/>
    <w:rsid w:val="0079289A"/>
    <w:rsid w:val="00795C0E"/>
    <w:rsid w:val="007961C7"/>
    <w:rsid w:val="0079740B"/>
    <w:rsid w:val="00797B24"/>
    <w:rsid w:val="007A0CD6"/>
    <w:rsid w:val="007A0FAF"/>
    <w:rsid w:val="007A113F"/>
    <w:rsid w:val="007A1179"/>
    <w:rsid w:val="007A1D32"/>
    <w:rsid w:val="007A5B10"/>
    <w:rsid w:val="007A6154"/>
    <w:rsid w:val="007A683C"/>
    <w:rsid w:val="007A6D78"/>
    <w:rsid w:val="007B04A9"/>
    <w:rsid w:val="007B119C"/>
    <w:rsid w:val="007B187B"/>
    <w:rsid w:val="007B1FF2"/>
    <w:rsid w:val="007B536D"/>
    <w:rsid w:val="007B53BD"/>
    <w:rsid w:val="007C074F"/>
    <w:rsid w:val="007C2233"/>
    <w:rsid w:val="007C27E7"/>
    <w:rsid w:val="007C38AE"/>
    <w:rsid w:val="007C4438"/>
    <w:rsid w:val="007C4BDE"/>
    <w:rsid w:val="007C6B07"/>
    <w:rsid w:val="007D0ED0"/>
    <w:rsid w:val="007D39FA"/>
    <w:rsid w:val="007D3CE4"/>
    <w:rsid w:val="007D6D40"/>
    <w:rsid w:val="007D719A"/>
    <w:rsid w:val="007E07E5"/>
    <w:rsid w:val="007E090D"/>
    <w:rsid w:val="007E4D6B"/>
    <w:rsid w:val="007E586D"/>
    <w:rsid w:val="007E5AE7"/>
    <w:rsid w:val="007F1DF1"/>
    <w:rsid w:val="007F2820"/>
    <w:rsid w:val="007F2E31"/>
    <w:rsid w:val="007F2F27"/>
    <w:rsid w:val="007F341C"/>
    <w:rsid w:val="007F3F04"/>
    <w:rsid w:val="007F5056"/>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6118"/>
    <w:rsid w:val="00816C40"/>
    <w:rsid w:val="008170C3"/>
    <w:rsid w:val="00825742"/>
    <w:rsid w:val="00833989"/>
    <w:rsid w:val="00833FEE"/>
    <w:rsid w:val="00834654"/>
    <w:rsid w:val="008346F1"/>
    <w:rsid w:val="008354B1"/>
    <w:rsid w:val="008365E2"/>
    <w:rsid w:val="00836AA3"/>
    <w:rsid w:val="0084014A"/>
    <w:rsid w:val="00840D93"/>
    <w:rsid w:val="0084176C"/>
    <w:rsid w:val="00842D69"/>
    <w:rsid w:val="008450AB"/>
    <w:rsid w:val="00846D68"/>
    <w:rsid w:val="008539A0"/>
    <w:rsid w:val="00855C88"/>
    <w:rsid w:val="00857785"/>
    <w:rsid w:val="00857AD8"/>
    <w:rsid w:val="008601D6"/>
    <w:rsid w:val="008607DC"/>
    <w:rsid w:val="00860E29"/>
    <w:rsid w:val="00861BC4"/>
    <w:rsid w:val="00863EE0"/>
    <w:rsid w:val="00866111"/>
    <w:rsid w:val="00866AB6"/>
    <w:rsid w:val="008704B2"/>
    <w:rsid w:val="00872187"/>
    <w:rsid w:val="00874906"/>
    <w:rsid w:val="00874BFC"/>
    <w:rsid w:val="00876B56"/>
    <w:rsid w:val="0088161E"/>
    <w:rsid w:val="0088193E"/>
    <w:rsid w:val="00882774"/>
    <w:rsid w:val="00882B8D"/>
    <w:rsid w:val="00885AC5"/>
    <w:rsid w:val="00886F6A"/>
    <w:rsid w:val="00887D97"/>
    <w:rsid w:val="00890EBC"/>
    <w:rsid w:val="00891734"/>
    <w:rsid w:val="00895E46"/>
    <w:rsid w:val="008967CB"/>
    <w:rsid w:val="008977A4"/>
    <w:rsid w:val="008A3AA0"/>
    <w:rsid w:val="008A55D4"/>
    <w:rsid w:val="008B1019"/>
    <w:rsid w:val="008B3FC7"/>
    <w:rsid w:val="008B5DEA"/>
    <w:rsid w:val="008B6331"/>
    <w:rsid w:val="008B67BA"/>
    <w:rsid w:val="008B7405"/>
    <w:rsid w:val="008C301B"/>
    <w:rsid w:val="008C5B46"/>
    <w:rsid w:val="008C725C"/>
    <w:rsid w:val="008D00FA"/>
    <w:rsid w:val="008D63E7"/>
    <w:rsid w:val="008D73C7"/>
    <w:rsid w:val="008E0572"/>
    <w:rsid w:val="008E1519"/>
    <w:rsid w:val="008E287D"/>
    <w:rsid w:val="008E45A7"/>
    <w:rsid w:val="00900693"/>
    <w:rsid w:val="009006A6"/>
    <w:rsid w:val="00903037"/>
    <w:rsid w:val="009046B3"/>
    <w:rsid w:val="00905B3A"/>
    <w:rsid w:val="00916B64"/>
    <w:rsid w:val="00920C99"/>
    <w:rsid w:val="00925EBF"/>
    <w:rsid w:val="00927097"/>
    <w:rsid w:val="009275AE"/>
    <w:rsid w:val="009279C7"/>
    <w:rsid w:val="00931886"/>
    <w:rsid w:val="009332B4"/>
    <w:rsid w:val="0093372E"/>
    <w:rsid w:val="00933E5E"/>
    <w:rsid w:val="00940847"/>
    <w:rsid w:val="00940FA6"/>
    <w:rsid w:val="0094101C"/>
    <w:rsid w:val="009421B0"/>
    <w:rsid w:val="0094715F"/>
    <w:rsid w:val="009514A5"/>
    <w:rsid w:val="00953549"/>
    <w:rsid w:val="00954247"/>
    <w:rsid w:val="009564C7"/>
    <w:rsid w:val="00956F8D"/>
    <w:rsid w:val="009572C8"/>
    <w:rsid w:val="00962870"/>
    <w:rsid w:val="00962ACC"/>
    <w:rsid w:val="00964B02"/>
    <w:rsid w:val="009661C5"/>
    <w:rsid w:val="00972900"/>
    <w:rsid w:val="00972BE1"/>
    <w:rsid w:val="00974712"/>
    <w:rsid w:val="00974ED2"/>
    <w:rsid w:val="009756CC"/>
    <w:rsid w:val="00984865"/>
    <w:rsid w:val="00993114"/>
    <w:rsid w:val="009933AA"/>
    <w:rsid w:val="009967E9"/>
    <w:rsid w:val="00997538"/>
    <w:rsid w:val="009A2809"/>
    <w:rsid w:val="009A2EF8"/>
    <w:rsid w:val="009A4256"/>
    <w:rsid w:val="009B2BC0"/>
    <w:rsid w:val="009C1CE2"/>
    <w:rsid w:val="009C33B6"/>
    <w:rsid w:val="009C5D1A"/>
    <w:rsid w:val="009C64B8"/>
    <w:rsid w:val="009C672B"/>
    <w:rsid w:val="009C6EA7"/>
    <w:rsid w:val="009D1627"/>
    <w:rsid w:val="009D412F"/>
    <w:rsid w:val="009D797B"/>
    <w:rsid w:val="009D7B9F"/>
    <w:rsid w:val="009E0777"/>
    <w:rsid w:val="009E1498"/>
    <w:rsid w:val="009E1C34"/>
    <w:rsid w:val="009E2FCF"/>
    <w:rsid w:val="009E3D1F"/>
    <w:rsid w:val="009E7FE7"/>
    <w:rsid w:val="009F2D22"/>
    <w:rsid w:val="009F5199"/>
    <w:rsid w:val="009F6408"/>
    <w:rsid w:val="00A00E02"/>
    <w:rsid w:val="00A047ED"/>
    <w:rsid w:val="00A05452"/>
    <w:rsid w:val="00A077AC"/>
    <w:rsid w:val="00A07D0B"/>
    <w:rsid w:val="00A123BA"/>
    <w:rsid w:val="00A14408"/>
    <w:rsid w:val="00A21CCE"/>
    <w:rsid w:val="00A2254A"/>
    <w:rsid w:val="00A23A4F"/>
    <w:rsid w:val="00A23CC4"/>
    <w:rsid w:val="00A2552A"/>
    <w:rsid w:val="00A260BF"/>
    <w:rsid w:val="00A268ED"/>
    <w:rsid w:val="00A27BFC"/>
    <w:rsid w:val="00A3283D"/>
    <w:rsid w:val="00A32C05"/>
    <w:rsid w:val="00A347AC"/>
    <w:rsid w:val="00A35AB5"/>
    <w:rsid w:val="00A35DDA"/>
    <w:rsid w:val="00A40D7A"/>
    <w:rsid w:val="00A428B1"/>
    <w:rsid w:val="00A4428D"/>
    <w:rsid w:val="00A45C50"/>
    <w:rsid w:val="00A45DFE"/>
    <w:rsid w:val="00A47351"/>
    <w:rsid w:val="00A47721"/>
    <w:rsid w:val="00A47E7E"/>
    <w:rsid w:val="00A47FEC"/>
    <w:rsid w:val="00A50146"/>
    <w:rsid w:val="00A52E4B"/>
    <w:rsid w:val="00A53075"/>
    <w:rsid w:val="00A543C4"/>
    <w:rsid w:val="00A56AFF"/>
    <w:rsid w:val="00A637BA"/>
    <w:rsid w:val="00A63F81"/>
    <w:rsid w:val="00A66FA8"/>
    <w:rsid w:val="00A70CA2"/>
    <w:rsid w:val="00A71A44"/>
    <w:rsid w:val="00A7363E"/>
    <w:rsid w:val="00A805C4"/>
    <w:rsid w:val="00A81C0E"/>
    <w:rsid w:val="00A826A4"/>
    <w:rsid w:val="00A828D4"/>
    <w:rsid w:val="00A83919"/>
    <w:rsid w:val="00A84585"/>
    <w:rsid w:val="00A84832"/>
    <w:rsid w:val="00A8542F"/>
    <w:rsid w:val="00A92E22"/>
    <w:rsid w:val="00A95AFB"/>
    <w:rsid w:val="00AA1ED7"/>
    <w:rsid w:val="00AA2125"/>
    <w:rsid w:val="00AA7B39"/>
    <w:rsid w:val="00AB291E"/>
    <w:rsid w:val="00AB3079"/>
    <w:rsid w:val="00AB454C"/>
    <w:rsid w:val="00AB7314"/>
    <w:rsid w:val="00AC0B60"/>
    <w:rsid w:val="00AC35C8"/>
    <w:rsid w:val="00AC5579"/>
    <w:rsid w:val="00AC77D9"/>
    <w:rsid w:val="00AD254C"/>
    <w:rsid w:val="00AD3F91"/>
    <w:rsid w:val="00AD5063"/>
    <w:rsid w:val="00AE0656"/>
    <w:rsid w:val="00AE0F5B"/>
    <w:rsid w:val="00AE17FA"/>
    <w:rsid w:val="00AE3AEB"/>
    <w:rsid w:val="00AE7FF3"/>
    <w:rsid w:val="00AF5F1C"/>
    <w:rsid w:val="00AF6CF5"/>
    <w:rsid w:val="00B0490C"/>
    <w:rsid w:val="00B05534"/>
    <w:rsid w:val="00B05CAE"/>
    <w:rsid w:val="00B070E2"/>
    <w:rsid w:val="00B12019"/>
    <w:rsid w:val="00B122D8"/>
    <w:rsid w:val="00B13624"/>
    <w:rsid w:val="00B13908"/>
    <w:rsid w:val="00B151A8"/>
    <w:rsid w:val="00B20392"/>
    <w:rsid w:val="00B235BC"/>
    <w:rsid w:val="00B24221"/>
    <w:rsid w:val="00B2626C"/>
    <w:rsid w:val="00B307F7"/>
    <w:rsid w:val="00B32CAE"/>
    <w:rsid w:val="00B3421D"/>
    <w:rsid w:val="00B35641"/>
    <w:rsid w:val="00B36173"/>
    <w:rsid w:val="00B41020"/>
    <w:rsid w:val="00B42F9A"/>
    <w:rsid w:val="00B459DA"/>
    <w:rsid w:val="00B4774B"/>
    <w:rsid w:val="00B52622"/>
    <w:rsid w:val="00B529B8"/>
    <w:rsid w:val="00B53EAE"/>
    <w:rsid w:val="00B63108"/>
    <w:rsid w:val="00B64A4E"/>
    <w:rsid w:val="00B64BC6"/>
    <w:rsid w:val="00B657A0"/>
    <w:rsid w:val="00B66875"/>
    <w:rsid w:val="00B71C05"/>
    <w:rsid w:val="00B73167"/>
    <w:rsid w:val="00B756D1"/>
    <w:rsid w:val="00B7661F"/>
    <w:rsid w:val="00B77958"/>
    <w:rsid w:val="00B7798B"/>
    <w:rsid w:val="00B82491"/>
    <w:rsid w:val="00B851D0"/>
    <w:rsid w:val="00B92194"/>
    <w:rsid w:val="00B94AC5"/>
    <w:rsid w:val="00B95D90"/>
    <w:rsid w:val="00B96171"/>
    <w:rsid w:val="00B97C03"/>
    <w:rsid w:val="00BA114B"/>
    <w:rsid w:val="00BA4C4A"/>
    <w:rsid w:val="00BA5453"/>
    <w:rsid w:val="00BA65F5"/>
    <w:rsid w:val="00BA7026"/>
    <w:rsid w:val="00BA718D"/>
    <w:rsid w:val="00BA7E13"/>
    <w:rsid w:val="00BB1932"/>
    <w:rsid w:val="00BB471C"/>
    <w:rsid w:val="00BB4F74"/>
    <w:rsid w:val="00BB5003"/>
    <w:rsid w:val="00BB60E7"/>
    <w:rsid w:val="00BC050E"/>
    <w:rsid w:val="00BC12EE"/>
    <w:rsid w:val="00BC1489"/>
    <w:rsid w:val="00BC203B"/>
    <w:rsid w:val="00BC33A9"/>
    <w:rsid w:val="00BD6DC6"/>
    <w:rsid w:val="00BE1BEC"/>
    <w:rsid w:val="00BE4A86"/>
    <w:rsid w:val="00BE4A91"/>
    <w:rsid w:val="00BE60A7"/>
    <w:rsid w:val="00BF28B3"/>
    <w:rsid w:val="00BF6FA8"/>
    <w:rsid w:val="00BF76B0"/>
    <w:rsid w:val="00C02712"/>
    <w:rsid w:val="00C07B2A"/>
    <w:rsid w:val="00C11F6E"/>
    <w:rsid w:val="00C13F63"/>
    <w:rsid w:val="00C15831"/>
    <w:rsid w:val="00C168B7"/>
    <w:rsid w:val="00C21595"/>
    <w:rsid w:val="00C22F13"/>
    <w:rsid w:val="00C22FCC"/>
    <w:rsid w:val="00C24264"/>
    <w:rsid w:val="00C2444F"/>
    <w:rsid w:val="00C30D22"/>
    <w:rsid w:val="00C31744"/>
    <w:rsid w:val="00C33666"/>
    <w:rsid w:val="00C364DD"/>
    <w:rsid w:val="00C37792"/>
    <w:rsid w:val="00C415BC"/>
    <w:rsid w:val="00C44E2D"/>
    <w:rsid w:val="00C46B60"/>
    <w:rsid w:val="00C474B2"/>
    <w:rsid w:val="00C563B6"/>
    <w:rsid w:val="00C624A2"/>
    <w:rsid w:val="00C65656"/>
    <w:rsid w:val="00C66A53"/>
    <w:rsid w:val="00C66FB7"/>
    <w:rsid w:val="00C76490"/>
    <w:rsid w:val="00C848C9"/>
    <w:rsid w:val="00C8655B"/>
    <w:rsid w:val="00C91CDE"/>
    <w:rsid w:val="00C91F22"/>
    <w:rsid w:val="00C92C81"/>
    <w:rsid w:val="00C943E9"/>
    <w:rsid w:val="00CA01B6"/>
    <w:rsid w:val="00CA2781"/>
    <w:rsid w:val="00CA398D"/>
    <w:rsid w:val="00CA45CB"/>
    <w:rsid w:val="00CA6808"/>
    <w:rsid w:val="00CA7567"/>
    <w:rsid w:val="00CB452C"/>
    <w:rsid w:val="00CB4A3D"/>
    <w:rsid w:val="00CB5C0F"/>
    <w:rsid w:val="00CB7FDA"/>
    <w:rsid w:val="00CC505F"/>
    <w:rsid w:val="00CC5715"/>
    <w:rsid w:val="00CD1726"/>
    <w:rsid w:val="00CD225D"/>
    <w:rsid w:val="00CD4175"/>
    <w:rsid w:val="00CD6C71"/>
    <w:rsid w:val="00CD78E5"/>
    <w:rsid w:val="00CE076F"/>
    <w:rsid w:val="00CE0E41"/>
    <w:rsid w:val="00CE2D7F"/>
    <w:rsid w:val="00CE32CD"/>
    <w:rsid w:val="00CE44DD"/>
    <w:rsid w:val="00CF2931"/>
    <w:rsid w:val="00CF3754"/>
    <w:rsid w:val="00CF3D31"/>
    <w:rsid w:val="00CF3FE8"/>
    <w:rsid w:val="00D0363A"/>
    <w:rsid w:val="00D065C5"/>
    <w:rsid w:val="00D0782A"/>
    <w:rsid w:val="00D1077A"/>
    <w:rsid w:val="00D1446B"/>
    <w:rsid w:val="00D230C6"/>
    <w:rsid w:val="00D2649C"/>
    <w:rsid w:val="00D273BE"/>
    <w:rsid w:val="00D3252E"/>
    <w:rsid w:val="00D32643"/>
    <w:rsid w:val="00D3367B"/>
    <w:rsid w:val="00D37D3B"/>
    <w:rsid w:val="00D609BA"/>
    <w:rsid w:val="00D61413"/>
    <w:rsid w:val="00D62541"/>
    <w:rsid w:val="00D64F3A"/>
    <w:rsid w:val="00D66247"/>
    <w:rsid w:val="00D66886"/>
    <w:rsid w:val="00D66F49"/>
    <w:rsid w:val="00D7284C"/>
    <w:rsid w:val="00D74280"/>
    <w:rsid w:val="00D765D5"/>
    <w:rsid w:val="00D77AEF"/>
    <w:rsid w:val="00D813D8"/>
    <w:rsid w:val="00D8175D"/>
    <w:rsid w:val="00D818CF"/>
    <w:rsid w:val="00D81A15"/>
    <w:rsid w:val="00D83624"/>
    <w:rsid w:val="00D83DD9"/>
    <w:rsid w:val="00D879C7"/>
    <w:rsid w:val="00D9071B"/>
    <w:rsid w:val="00D9317E"/>
    <w:rsid w:val="00D97A95"/>
    <w:rsid w:val="00DA0216"/>
    <w:rsid w:val="00DA24A3"/>
    <w:rsid w:val="00DB0400"/>
    <w:rsid w:val="00DB0B93"/>
    <w:rsid w:val="00DB0CCC"/>
    <w:rsid w:val="00DB227F"/>
    <w:rsid w:val="00DB2BAB"/>
    <w:rsid w:val="00DB49D5"/>
    <w:rsid w:val="00DB759D"/>
    <w:rsid w:val="00DC0B72"/>
    <w:rsid w:val="00DC578C"/>
    <w:rsid w:val="00DC6A1F"/>
    <w:rsid w:val="00DC6F92"/>
    <w:rsid w:val="00DD1747"/>
    <w:rsid w:val="00DD2133"/>
    <w:rsid w:val="00DD38F6"/>
    <w:rsid w:val="00DD4A11"/>
    <w:rsid w:val="00DD4FB9"/>
    <w:rsid w:val="00DD737B"/>
    <w:rsid w:val="00DE1033"/>
    <w:rsid w:val="00DE288F"/>
    <w:rsid w:val="00DE2BFF"/>
    <w:rsid w:val="00DE3226"/>
    <w:rsid w:val="00DE58F9"/>
    <w:rsid w:val="00DE680C"/>
    <w:rsid w:val="00DE7971"/>
    <w:rsid w:val="00DF1985"/>
    <w:rsid w:val="00DF5B31"/>
    <w:rsid w:val="00E02114"/>
    <w:rsid w:val="00E03783"/>
    <w:rsid w:val="00E06502"/>
    <w:rsid w:val="00E0716D"/>
    <w:rsid w:val="00E10E7C"/>
    <w:rsid w:val="00E15007"/>
    <w:rsid w:val="00E17769"/>
    <w:rsid w:val="00E20ABC"/>
    <w:rsid w:val="00E23505"/>
    <w:rsid w:val="00E24890"/>
    <w:rsid w:val="00E26737"/>
    <w:rsid w:val="00E30BDB"/>
    <w:rsid w:val="00E34C6A"/>
    <w:rsid w:val="00E36724"/>
    <w:rsid w:val="00E42612"/>
    <w:rsid w:val="00E42AF9"/>
    <w:rsid w:val="00E44E76"/>
    <w:rsid w:val="00E457A5"/>
    <w:rsid w:val="00E45EDE"/>
    <w:rsid w:val="00E516C7"/>
    <w:rsid w:val="00E52FD0"/>
    <w:rsid w:val="00E53668"/>
    <w:rsid w:val="00E562C9"/>
    <w:rsid w:val="00E57CE7"/>
    <w:rsid w:val="00E64D73"/>
    <w:rsid w:val="00E65B2B"/>
    <w:rsid w:val="00E84AD3"/>
    <w:rsid w:val="00E8555A"/>
    <w:rsid w:val="00E907D3"/>
    <w:rsid w:val="00E9117E"/>
    <w:rsid w:val="00E91C2B"/>
    <w:rsid w:val="00E9267B"/>
    <w:rsid w:val="00E9477F"/>
    <w:rsid w:val="00EA168E"/>
    <w:rsid w:val="00EA2585"/>
    <w:rsid w:val="00EA416E"/>
    <w:rsid w:val="00EA6533"/>
    <w:rsid w:val="00EA7196"/>
    <w:rsid w:val="00EB209E"/>
    <w:rsid w:val="00EB6899"/>
    <w:rsid w:val="00EC0FB9"/>
    <w:rsid w:val="00EC1329"/>
    <w:rsid w:val="00EC1698"/>
    <w:rsid w:val="00EC21B3"/>
    <w:rsid w:val="00EC26B2"/>
    <w:rsid w:val="00EC4BAC"/>
    <w:rsid w:val="00EC58D0"/>
    <w:rsid w:val="00EC6200"/>
    <w:rsid w:val="00ED29DF"/>
    <w:rsid w:val="00EE220D"/>
    <w:rsid w:val="00EE440D"/>
    <w:rsid w:val="00EE4955"/>
    <w:rsid w:val="00EE5143"/>
    <w:rsid w:val="00EE75C1"/>
    <w:rsid w:val="00EF4112"/>
    <w:rsid w:val="00EF7399"/>
    <w:rsid w:val="00F02127"/>
    <w:rsid w:val="00F03096"/>
    <w:rsid w:val="00F04171"/>
    <w:rsid w:val="00F04CFE"/>
    <w:rsid w:val="00F04E3D"/>
    <w:rsid w:val="00F10690"/>
    <w:rsid w:val="00F14AAD"/>
    <w:rsid w:val="00F15A03"/>
    <w:rsid w:val="00F1614E"/>
    <w:rsid w:val="00F1787C"/>
    <w:rsid w:val="00F23B12"/>
    <w:rsid w:val="00F3551B"/>
    <w:rsid w:val="00F43948"/>
    <w:rsid w:val="00F4432F"/>
    <w:rsid w:val="00F47A3D"/>
    <w:rsid w:val="00F47D02"/>
    <w:rsid w:val="00F518DB"/>
    <w:rsid w:val="00F53D6E"/>
    <w:rsid w:val="00F55898"/>
    <w:rsid w:val="00F55EB1"/>
    <w:rsid w:val="00F56076"/>
    <w:rsid w:val="00F620DD"/>
    <w:rsid w:val="00F6265D"/>
    <w:rsid w:val="00F646A2"/>
    <w:rsid w:val="00F65BF5"/>
    <w:rsid w:val="00F70302"/>
    <w:rsid w:val="00F72A20"/>
    <w:rsid w:val="00F72AAD"/>
    <w:rsid w:val="00F72FBB"/>
    <w:rsid w:val="00F73BC2"/>
    <w:rsid w:val="00F73F3B"/>
    <w:rsid w:val="00F74775"/>
    <w:rsid w:val="00F75143"/>
    <w:rsid w:val="00F807D7"/>
    <w:rsid w:val="00F8218B"/>
    <w:rsid w:val="00F8241E"/>
    <w:rsid w:val="00F83C2D"/>
    <w:rsid w:val="00F848FF"/>
    <w:rsid w:val="00F8662C"/>
    <w:rsid w:val="00F90AD7"/>
    <w:rsid w:val="00F92857"/>
    <w:rsid w:val="00F941F8"/>
    <w:rsid w:val="00F97718"/>
    <w:rsid w:val="00F97C4A"/>
    <w:rsid w:val="00FA1207"/>
    <w:rsid w:val="00FA6D96"/>
    <w:rsid w:val="00FA7E59"/>
    <w:rsid w:val="00FB438B"/>
    <w:rsid w:val="00FB5E2B"/>
    <w:rsid w:val="00FB671E"/>
    <w:rsid w:val="00FC070A"/>
    <w:rsid w:val="00FC3792"/>
    <w:rsid w:val="00FC6389"/>
    <w:rsid w:val="00FD2B70"/>
    <w:rsid w:val="00FD480A"/>
    <w:rsid w:val="00FD4E1C"/>
    <w:rsid w:val="00FD5A4F"/>
    <w:rsid w:val="00FE041C"/>
    <w:rsid w:val="00FE3166"/>
    <w:rsid w:val="00FE3EEF"/>
    <w:rsid w:val="00FE5EBF"/>
    <w:rsid w:val="00FE7AEA"/>
    <w:rsid w:val="00FF3180"/>
    <w:rsid w:val="00FF4C28"/>
    <w:rsid w:val="00FF569F"/>
    <w:rsid w:val="00FF7182"/>
    <w:rsid w:val="015D18DC"/>
    <w:rsid w:val="01852BD3"/>
    <w:rsid w:val="018A6C3C"/>
    <w:rsid w:val="01A8609A"/>
    <w:rsid w:val="02195A53"/>
    <w:rsid w:val="029D41FE"/>
    <w:rsid w:val="02A800C5"/>
    <w:rsid w:val="02C6499B"/>
    <w:rsid w:val="02C91CAA"/>
    <w:rsid w:val="031A1794"/>
    <w:rsid w:val="037D0CD2"/>
    <w:rsid w:val="038B3366"/>
    <w:rsid w:val="03981B5E"/>
    <w:rsid w:val="03996EAD"/>
    <w:rsid w:val="03F60BFA"/>
    <w:rsid w:val="04023CC8"/>
    <w:rsid w:val="042674F4"/>
    <w:rsid w:val="042D3C13"/>
    <w:rsid w:val="04722D72"/>
    <w:rsid w:val="047A0BBC"/>
    <w:rsid w:val="04C12ED8"/>
    <w:rsid w:val="04DC5749"/>
    <w:rsid w:val="04E26FED"/>
    <w:rsid w:val="04E41F94"/>
    <w:rsid w:val="04FD6633"/>
    <w:rsid w:val="052E2B3B"/>
    <w:rsid w:val="054416D2"/>
    <w:rsid w:val="05507F0F"/>
    <w:rsid w:val="05871A0A"/>
    <w:rsid w:val="05A42E7B"/>
    <w:rsid w:val="05A70EA9"/>
    <w:rsid w:val="05D55D36"/>
    <w:rsid w:val="060C2525"/>
    <w:rsid w:val="062756FD"/>
    <w:rsid w:val="065F7A31"/>
    <w:rsid w:val="067C53E7"/>
    <w:rsid w:val="06820F5E"/>
    <w:rsid w:val="06AE2ABA"/>
    <w:rsid w:val="06C75DF5"/>
    <w:rsid w:val="06DD02BB"/>
    <w:rsid w:val="06E71F51"/>
    <w:rsid w:val="06F965AD"/>
    <w:rsid w:val="07050666"/>
    <w:rsid w:val="071C4DB7"/>
    <w:rsid w:val="07362674"/>
    <w:rsid w:val="073B54B2"/>
    <w:rsid w:val="07537EF9"/>
    <w:rsid w:val="07815EE7"/>
    <w:rsid w:val="081748AE"/>
    <w:rsid w:val="08635851"/>
    <w:rsid w:val="08C2359B"/>
    <w:rsid w:val="09041814"/>
    <w:rsid w:val="092D7BDC"/>
    <w:rsid w:val="09332D2B"/>
    <w:rsid w:val="093E2D64"/>
    <w:rsid w:val="09472203"/>
    <w:rsid w:val="098B1DA7"/>
    <w:rsid w:val="09907951"/>
    <w:rsid w:val="099F43E4"/>
    <w:rsid w:val="09A31A61"/>
    <w:rsid w:val="09BA7A85"/>
    <w:rsid w:val="09DE1094"/>
    <w:rsid w:val="09E2475B"/>
    <w:rsid w:val="0A3B59B5"/>
    <w:rsid w:val="0A3F34B7"/>
    <w:rsid w:val="0A4B11BE"/>
    <w:rsid w:val="0A7B4003"/>
    <w:rsid w:val="0A8E5B8D"/>
    <w:rsid w:val="0AA240FA"/>
    <w:rsid w:val="0AAC0CBB"/>
    <w:rsid w:val="0AD84BD3"/>
    <w:rsid w:val="0AE941D3"/>
    <w:rsid w:val="0B1061C6"/>
    <w:rsid w:val="0B2B08D5"/>
    <w:rsid w:val="0BA35012"/>
    <w:rsid w:val="0BB825ED"/>
    <w:rsid w:val="0BC0647C"/>
    <w:rsid w:val="0BD7624B"/>
    <w:rsid w:val="0BF26817"/>
    <w:rsid w:val="0C22464A"/>
    <w:rsid w:val="0C2B72AE"/>
    <w:rsid w:val="0C623EAC"/>
    <w:rsid w:val="0C946488"/>
    <w:rsid w:val="0CAD24AF"/>
    <w:rsid w:val="0CB27F34"/>
    <w:rsid w:val="0D0D3F93"/>
    <w:rsid w:val="0D12389F"/>
    <w:rsid w:val="0D2820B7"/>
    <w:rsid w:val="0D662EE5"/>
    <w:rsid w:val="0D860EC5"/>
    <w:rsid w:val="0D9339BE"/>
    <w:rsid w:val="0D9E6A67"/>
    <w:rsid w:val="0D9F0DC4"/>
    <w:rsid w:val="0DC02AA1"/>
    <w:rsid w:val="0DDE695A"/>
    <w:rsid w:val="0DF73A5B"/>
    <w:rsid w:val="0E164CA8"/>
    <w:rsid w:val="0E231949"/>
    <w:rsid w:val="0E2D072E"/>
    <w:rsid w:val="0E3B295D"/>
    <w:rsid w:val="0E47249B"/>
    <w:rsid w:val="0E551882"/>
    <w:rsid w:val="0E7306EC"/>
    <w:rsid w:val="0EB254B2"/>
    <w:rsid w:val="0EFB3F5D"/>
    <w:rsid w:val="0F041CC7"/>
    <w:rsid w:val="0F042317"/>
    <w:rsid w:val="0F1209F8"/>
    <w:rsid w:val="0F4C19DA"/>
    <w:rsid w:val="0F4C7D05"/>
    <w:rsid w:val="0F4F31AF"/>
    <w:rsid w:val="0F5F17BD"/>
    <w:rsid w:val="0F90531D"/>
    <w:rsid w:val="0FAD64B5"/>
    <w:rsid w:val="0FB21FD4"/>
    <w:rsid w:val="0FBA632B"/>
    <w:rsid w:val="0FFF5930"/>
    <w:rsid w:val="10A265EF"/>
    <w:rsid w:val="10EC4A0F"/>
    <w:rsid w:val="11156FC6"/>
    <w:rsid w:val="11485B0D"/>
    <w:rsid w:val="114C7209"/>
    <w:rsid w:val="1154158B"/>
    <w:rsid w:val="117076B2"/>
    <w:rsid w:val="119E6579"/>
    <w:rsid w:val="11D435DD"/>
    <w:rsid w:val="11DA3C43"/>
    <w:rsid w:val="1220326C"/>
    <w:rsid w:val="12334F11"/>
    <w:rsid w:val="123A67B6"/>
    <w:rsid w:val="125670E6"/>
    <w:rsid w:val="125E1A9C"/>
    <w:rsid w:val="1276289F"/>
    <w:rsid w:val="1288522D"/>
    <w:rsid w:val="129D6A95"/>
    <w:rsid w:val="12AF4046"/>
    <w:rsid w:val="12CE506D"/>
    <w:rsid w:val="12F65490"/>
    <w:rsid w:val="12F73D2A"/>
    <w:rsid w:val="12F9698E"/>
    <w:rsid w:val="13112273"/>
    <w:rsid w:val="131C7C5D"/>
    <w:rsid w:val="1350409B"/>
    <w:rsid w:val="13511DF6"/>
    <w:rsid w:val="138B4634"/>
    <w:rsid w:val="138F1214"/>
    <w:rsid w:val="13BF412F"/>
    <w:rsid w:val="13D101C7"/>
    <w:rsid w:val="1400440E"/>
    <w:rsid w:val="142669A3"/>
    <w:rsid w:val="143805F9"/>
    <w:rsid w:val="144729D8"/>
    <w:rsid w:val="144D217E"/>
    <w:rsid w:val="148E78CB"/>
    <w:rsid w:val="149F4D92"/>
    <w:rsid w:val="14A13E6D"/>
    <w:rsid w:val="14AB614D"/>
    <w:rsid w:val="14B96C2B"/>
    <w:rsid w:val="15436E45"/>
    <w:rsid w:val="15507C7E"/>
    <w:rsid w:val="15664AEF"/>
    <w:rsid w:val="158E23E1"/>
    <w:rsid w:val="159D7EA6"/>
    <w:rsid w:val="159F1BF9"/>
    <w:rsid w:val="15B71B1D"/>
    <w:rsid w:val="15E63361"/>
    <w:rsid w:val="160B0227"/>
    <w:rsid w:val="16864176"/>
    <w:rsid w:val="16E04880"/>
    <w:rsid w:val="16F86032"/>
    <w:rsid w:val="17081A7A"/>
    <w:rsid w:val="17292C0C"/>
    <w:rsid w:val="176F50FE"/>
    <w:rsid w:val="17D10049"/>
    <w:rsid w:val="17DD0B49"/>
    <w:rsid w:val="17F1563C"/>
    <w:rsid w:val="17F23C73"/>
    <w:rsid w:val="1803037F"/>
    <w:rsid w:val="180F3B80"/>
    <w:rsid w:val="181B1411"/>
    <w:rsid w:val="181C1400"/>
    <w:rsid w:val="18223BBF"/>
    <w:rsid w:val="18406E44"/>
    <w:rsid w:val="185C1918"/>
    <w:rsid w:val="18694E3A"/>
    <w:rsid w:val="1880349D"/>
    <w:rsid w:val="18D435BC"/>
    <w:rsid w:val="18E261BC"/>
    <w:rsid w:val="18F8081B"/>
    <w:rsid w:val="19193365"/>
    <w:rsid w:val="19261639"/>
    <w:rsid w:val="195D5C0E"/>
    <w:rsid w:val="19B64CC2"/>
    <w:rsid w:val="19BA69A5"/>
    <w:rsid w:val="19DF6D3F"/>
    <w:rsid w:val="19E24459"/>
    <w:rsid w:val="1A305FF4"/>
    <w:rsid w:val="1A3D7EBE"/>
    <w:rsid w:val="1A416328"/>
    <w:rsid w:val="1A4353A0"/>
    <w:rsid w:val="1A557489"/>
    <w:rsid w:val="1AF45443"/>
    <w:rsid w:val="1B075A0C"/>
    <w:rsid w:val="1B67066F"/>
    <w:rsid w:val="1B7229E4"/>
    <w:rsid w:val="1B7A5EC7"/>
    <w:rsid w:val="1B8E5EC0"/>
    <w:rsid w:val="1CB33990"/>
    <w:rsid w:val="1CF6260F"/>
    <w:rsid w:val="1CF83AEA"/>
    <w:rsid w:val="1CF911FC"/>
    <w:rsid w:val="1D140F94"/>
    <w:rsid w:val="1D6914D5"/>
    <w:rsid w:val="1D7C7A22"/>
    <w:rsid w:val="1D7E09CF"/>
    <w:rsid w:val="1D9F1A69"/>
    <w:rsid w:val="1DE41480"/>
    <w:rsid w:val="1E2139B7"/>
    <w:rsid w:val="1E611358"/>
    <w:rsid w:val="1E7A14A8"/>
    <w:rsid w:val="1E7F32B0"/>
    <w:rsid w:val="1EBA058B"/>
    <w:rsid w:val="1EBB622E"/>
    <w:rsid w:val="1EE25F2E"/>
    <w:rsid w:val="1EEA13A6"/>
    <w:rsid w:val="1EFE64E9"/>
    <w:rsid w:val="1F6207D0"/>
    <w:rsid w:val="1FE1627D"/>
    <w:rsid w:val="1FEA603B"/>
    <w:rsid w:val="20133D98"/>
    <w:rsid w:val="20226856"/>
    <w:rsid w:val="20293E2F"/>
    <w:rsid w:val="20686E43"/>
    <w:rsid w:val="206E3E8E"/>
    <w:rsid w:val="207224C8"/>
    <w:rsid w:val="2076639A"/>
    <w:rsid w:val="2093114F"/>
    <w:rsid w:val="209B57AA"/>
    <w:rsid w:val="20A121FD"/>
    <w:rsid w:val="20C20004"/>
    <w:rsid w:val="20D83D6E"/>
    <w:rsid w:val="20DE5531"/>
    <w:rsid w:val="20E1180E"/>
    <w:rsid w:val="20EA6084"/>
    <w:rsid w:val="20F01139"/>
    <w:rsid w:val="20F1461D"/>
    <w:rsid w:val="212B522B"/>
    <w:rsid w:val="21736537"/>
    <w:rsid w:val="21977807"/>
    <w:rsid w:val="219A1531"/>
    <w:rsid w:val="219A6D4B"/>
    <w:rsid w:val="21C2735E"/>
    <w:rsid w:val="21E57FA3"/>
    <w:rsid w:val="21FB5A74"/>
    <w:rsid w:val="226827C0"/>
    <w:rsid w:val="227C6EFF"/>
    <w:rsid w:val="228A10DC"/>
    <w:rsid w:val="22942795"/>
    <w:rsid w:val="22A10D06"/>
    <w:rsid w:val="22B665A5"/>
    <w:rsid w:val="22C925E0"/>
    <w:rsid w:val="22E46F4A"/>
    <w:rsid w:val="22F20159"/>
    <w:rsid w:val="23005537"/>
    <w:rsid w:val="233C2C53"/>
    <w:rsid w:val="23486890"/>
    <w:rsid w:val="236F1F61"/>
    <w:rsid w:val="23AB4CDF"/>
    <w:rsid w:val="23C37A75"/>
    <w:rsid w:val="24220F3E"/>
    <w:rsid w:val="2423604B"/>
    <w:rsid w:val="243A3F7E"/>
    <w:rsid w:val="24436391"/>
    <w:rsid w:val="2450121E"/>
    <w:rsid w:val="2487622C"/>
    <w:rsid w:val="24973094"/>
    <w:rsid w:val="24AD6D9A"/>
    <w:rsid w:val="251418FC"/>
    <w:rsid w:val="25A845B3"/>
    <w:rsid w:val="25EB71B7"/>
    <w:rsid w:val="26154215"/>
    <w:rsid w:val="261A0BE6"/>
    <w:rsid w:val="263C7691"/>
    <w:rsid w:val="265E2776"/>
    <w:rsid w:val="26666FDC"/>
    <w:rsid w:val="26AB763C"/>
    <w:rsid w:val="26B267E7"/>
    <w:rsid w:val="26E12091"/>
    <w:rsid w:val="26F131DC"/>
    <w:rsid w:val="26F65310"/>
    <w:rsid w:val="27052D05"/>
    <w:rsid w:val="27082804"/>
    <w:rsid w:val="270832AE"/>
    <w:rsid w:val="27357F9F"/>
    <w:rsid w:val="27A4553F"/>
    <w:rsid w:val="27D35135"/>
    <w:rsid w:val="27EF1935"/>
    <w:rsid w:val="280A1B75"/>
    <w:rsid w:val="28273E1D"/>
    <w:rsid w:val="283962F8"/>
    <w:rsid w:val="287A36F4"/>
    <w:rsid w:val="288458E7"/>
    <w:rsid w:val="289E5740"/>
    <w:rsid w:val="28A33A20"/>
    <w:rsid w:val="28A47F17"/>
    <w:rsid w:val="290212C1"/>
    <w:rsid w:val="290D5ED8"/>
    <w:rsid w:val="29656DCE"/>
    <w:rsid w:val="298B4B23"/>
    <w:rsid w:val="29B71FDB"/>
    <w:rsid w:val="29CF18DD"/>
    <w:rsid w:val="29D65D23"/>
    <w:rsid w:val="29D875FE"/>
    <w:rsid w:val="2A0B100E"/>
    <w:rsid w:val="2A194E5D"/>
    <w:rsid w:val="2A21554B"/>
    <w:rsid w:val="2A594BC2"/>
    <w:rsid w:val="2A9F7561"/>
    <w:rsid w:val="2AA90FA0"/>
    <w:rsid w:val="2AB31CE2"/>
    <w:rsid w:val="2AB55266"/>
    <w:rsid w:val="2B487382"/>
    <w:rsid w:val="2B552F60"/>
    <w:rsid w:val="2B7841A6"/>
    <w:rsid w:val="2B7915CB"/>
    <w:rsid w:val="2BB367B9"/>
    <w:rsid w:val="2BBA33A9"/>
    <w:rsid w:val="2C13380B"/>
    <w:rsid w:val="2C184D47"/>
    <w:rsid w:val="2C796A89"/>
    <w:rsid w:val="2CBD3A96"/>
    <w:rsid w:val="2CC74339"/>
    <w:rsid w:val="2CCC23F7"/>
    <w:rsid w:val="2CCE1414"/>
    <w:rsid w:val="2CF93ABF"/>
    <w:rsid w:val="2D1E27A3"/>
    <w:rsid w:val="2D394FF5"/>
    <w:rsid w:val="2D766528"/>
    <w:rsid w:val="2E6A704D"/>
    <w:rsid w:val="2E8A6255"/>
    <w:rsid w:val="2F0B1048"/>
    <w:rsid w:val="2F141AAA"/>
    <w:rsid w:val="2FCA4353"/>
    <w:rsid w:val="2FE55D75"/>
    <w:rsid w:val="2FF23F99"/>
    <w:rsid w:val="30236367"/>
    <w:rsid w:val="30331BC6"/>
    <w:rsid w:val="303E7E03"/>
    <w:rsid w:val="304A182B"/>
    <w:rsid w:val="30700C52"/>
    <w:rsid w:val="30757C00"/>
    <w:rsid w:val="307D5D65"/>
    <w:rsid w:val="30B34CE3"/>
    <w:rsid w:val="30CB1C83"/>
    <w:rsid w:val="30ED2830"/>
    <w:rsid w:val="316B2857"/>
    <w:rsid w:val="31832D29"/>
    <w:rsid w:val="319D5339"/>
    <w:rsid w:val="319F2F47"/>
    <w:rsid w:val="31D20CDE"/>
    <w:rsid w:val="31F37E23"/>
    <w:rsid w:val="31FE689A"/>
    <w:rsid w:val="32223DC6"/>
    <w:rsid w:val="325A02A1"/>
    <w:rsid w:val="329032EF"/>
    <w:rsid w:val="329970EF"/>
    <w:rsid w:val="32B35AAA"/>
    <w:rsid w:val="33135210"/>
    <w:rsid w:val="3326373F"/>
    <w:rsid w:val="334459AC"/>
    <w:rsid w:val="33705A64"/>
    <w:rsid w:val="33A055AF"/>
    <w:rsid w:val="33A51E80"/>
    <w:rsid w:val="33A557F0"/>
    <w:rsid w:val="33EE589E"/>
    <w:rsid w:val="340329A9"/>
    <w:rsid w:val="342645AD"/>
    <w:rsid w:val="342B057B"/>
    <w:rsid w:val="34335C8F"/>
    <w:rsid w:val="34617CD8"/>
    <w:rsid w:val="34753860"/>
    <w:rsid w:val="34A61339"/>
    <w:rsid w:val="34CC3006"/>
    <w:rsid w:val="34F3793E"/>
    <w:rsid w:val="35574E9C"/>
    <w:rsid w:val="35712E34"/>
    <w:rsid w:val="35ED793B"/>
    <w:rsid w:val="35F84740"/>
    <w:rsid w:val="36383125"/>
    <w:rsid w:val="366C082D"/>
    <w:rsid w:val="368C388A"/>
    <w:rsid w:val="36C90DD1"/>
    <w:rsid w:val="374634AB"/>
    <w:rsid w:val="37704489"/>
    <w:rsid w:val="37710026"/>
    <w:rsid w:val="37925427"/>
    <w:rsid w:val="37A55DCC"/>
    <w:rsid w:val="37CA04FF"/>
    <w:rsid w:val="37D30771"/>
    <w:rsid w:val="37EC0BB8"/>
    <w:rsid w:val="38DD7694"/>
    <w:rsid w:val="39366B6E"/>
    <w:rsid w:val="394C68A5"/>
    <w:rsid w:val="395E479A"/>
    <w:rsid w:val="39675804"/>
    <w:rsid w:val="39A36C2D"/>
    <w:rsid w:val="39AA29B9"/>
    <w:rsid w:val="39E71AEC"/>
    <w:rsid w:val="39F60058"/>
    <w:rsid w:val="3A104089"/>
    <w:rsid w:val="3A8217DE"/>
    <w:rsid w:val="3A822B01"/>
    <w:rsid w:val="3AB8426E"/>
    <w:rsid w:val="3ACF765C"/>
    <w:rsid w:val="3AD278CD"/>
    <w:rsid w:val="3AFA4BE5"/>
    <w:rsid w:val="3B2A44B8"/>
    <w:rsid w:val="3B2B6476"/>
    <w:rsid w:val="3BBC038E"/>
    <w:rsid w:val="3BFE3F02"/>
    <w:rsid w:val="3C2972FD"/>
    <w:rsid w:val="3C5B4444"/>
    <w:rsid w:val="3C852047"/>
    <w:rsid w:val="3CA13116"/>
    <w:rsid w:val="3CA925AE"/>
    <w:rsid w:val="3CF877AB"/>
    <w:rsid w:val="3D306CB2"/>
    <w:rsid w:val="3D32729D"/>
    <w:rsid w:val="3D485E54"/>
    <w:rsid w:val="3D667959"/>
    <w:rsid w:val="3D8230F2"/>
    <w:rsid w:val="3D886E2C"/>
    <w:rsid w:val="3DAA5519"/>
    <w:rsid w:val="3DC413E8"/>
    <w:rsid w:val="3DCA34BB"/>
    <w:rsid w:val="3DD83D60"/>
    <w:rsid w:val="3E044CAE"/>
    <w:rsid w:val="3E12201C"/>
    <w:rsid w:val="3E427218"/>
    <w:rsid w:val="3EA72ABE"/>
    <w:rsid w:val="3EAD4174"/>
    <w:rsid w:val="3EAD7F9C"/>
    <w:rsid w:val="3EB32892"/>
    <w:rsid w:val="3EBC3336"/>
    <w:rsid w:val="3EDE79C6"/>
    <w:rsid w:val="3EF65530"/>
    <w:rsid w:val="3EF9D3F1"/>
    <w:rsid w:val="3F064AE9"/>
    <w:rsid w:val="3F3B0C43"/>
    <w:rsid w:val="3F4C62B0"/>
    <w:rsid w:val="3F7279F0"/>
    <w:rsid w:val="3F9717D1"/>
    <w:rsid w:val="3FB2485B"/>
    <w:rsid w:val="402A34B8"/>
    <w:rsid w:val="40360CD1"/>
    <w:rsid w:val="40361D66"/>
    <w:rsid w:val="406060C3"/>
    <w:rsid w:val="40613E30"/>
    <w:rsid w:val="40736573"/>
    <w:rsid w:val="407D7357"/>
    <w:rsid w:val="409B4A07"/>
    <w:rsid w:val="40BF6E39"/>
    <w:rsid w:val="40C25B7F"/>
    <w:rsid w:val="40F66678"/>
    <w:rsid w:val="410E1C56"/>
    <w:rsid w:val="4120577A"/>
    <w:rsid w:val="416C142E"/>
    <w:rsid w:val="41FD121E"/>
    <w:rsid w:val="421A7627"/>
    <w:rsid w:val="4233112B"/>
    <w:rsid w:val="42401E98"/>
    <w:rsid w:val="42872311"/>
    <w:rsid w:val="428B5762"/>
    <w:rsid w:val="42D47C2B"/>
    <w:rsid w:val="42DA32B5"/>
    <w:rsid w:val="433543AC"/>
    <w:rsid w:val="43420FE8"/>
    <w:rsid w:val="434513F0"/>
    <w:rsid w:val="43702851"/>
    <w:rsid w:val="43CA4F48"/>
    <w:rsid w:val="44036E4B"/>
    <w:rsid w:val="4424604A"/>
    <w:rsid w:val="442967DE"/>
    <w:rsid w:val="445014AB"/>
    <w:rsid w:val="44617F49"/>
    <w:rsid w:val="44CE660D"/>
    <w:rsid w:val="454F0B76"/>
    <w:rsid w:val="45795008"/>
    <w:rsid w:val="4579514B"/>
    <w:rsid w:val="457E2BBE"/>
    <w:rsid w:val="457F72E8"/>
    <w:rsid w:val="45A1746C"/>
    <w:rsid w:val="45C456EA"/>
    <w:rsid w:val="45DE083B"/>
    <w:rsid w:val="45E076C0"/>
    <w:rsid w:val="45F36067"/>
    <w:rsid w:val="460C0745"/>
    <w:rsid w:val="46123556"/>
    <w:rsid w:val="463122D8"/>
    <w:rsid w:val="4632053D"/>
    <w:rsid w:val="46577675"/>
    <w:rsid w:val="4662415A"/>
    <w:rsid w:val="4662498C"/>
    <w:rsid w:val="46A022D9"/>
    <w:rsid w:val="46A9554B"/>
    <w:rsid w:val="46B21457"/>
    <w:rsid w:val="46BE1A6C"/>
    <w:rsid w:val="46BE6647"/>
    <w:rsid w:val="46EE3897"/>
    <w:rsid w:val="471B3499"/>
    <w:rsid w:val="4730142A"/>
    <w:rsid w:val="476C4D46"/>
    <w:rsid w:val="478E4BD2"/>
    <w:rsid w:val="47B13E7A"/>
    <w:rsid w:val="47DD756D"/>
    <w:rsid w:val="48037A8A"/>
    <w:rsid w:val="48377D23"/>
    <w:rsid w:val="486634EE"/>
    <w:rsid w:val="48807890"/>
    <w:rsid w:val="48A64B98"/>
    <w:rsid w:val="48BC156D"/>
    <w:rsid w:val="48F765BE"/>
    <w:rsid w:val="490445F2"/>
    <w:rsid w:val="490935A0"/>
    <w:rsid w:val="49320F23"/>
    <w:rsid w:val="49DD73AE"/>
    <w:rsid w:val="49F95BD6"/>
    <w:rsid w:val="4AA73240"/>
    <w:rsid w:val="4AB72272"/>
    <w:rsid w:val="4AD703A4"/>
    <w:rsid w:val="4B305E1B"/>
    <w:rsid w:val="4BB92D8E"/>
    <w:rsid w:val="4BD07B58"/>
    <w:rsid w:val="4BE87BA5"/>
    <w:rsid w:val="4C3176AB"/>
    <w:rsid w:val="4C415DC1"/>
    <w:rsid w:val="4C6E278E"/>
    <w:rsid w:val="4CFF538B"/>
    <w:rsid w:val="4D4D7800"/>
    <w:rsid w:val="4D7251FF"/>
    <w:rsid w:val="4DE50C0B"/>
    <w:rsid w:val="4E11105D"/>
    <w:rsid w:val="4E16225A"/>
    <w:rsid w:val="4E253AB8"/>
    <w:rsid w:val="4E472C92"/>
    <w:rsid w:val="4E824D97"/>
    <w:rsid w:val="4E9D5C2D"/>
    <w:rsid w:val="4EBA57C1"/>
    <w:rsid w:val="4F047E0A"/>
    <w:rsid w:val="4F477F24"/>
    <w:rsid w:val="4FA91AAC"/>
    <w:rsid w:val="4FBD0FF5"/>
    <w:rsid w:val="4FC854D7"/>
    <w:rsid w:val="50142DE1"/>
    <w:rsid w:val="5015687B"/>
    <w:rsid w:val="501926CA"/>
    <w:rsid w:val="503109FF"/>
    <w:rsid w:val="505E3D68"/>
    <w:rsid w:val="50D13748"/>
    <w:rsid w:val="516A440A"/>
    <w:rsid w:val="51BA5A6F"/>
    <w:rsid w:val="51C42E16"/>
    <w:rsid w:val="52024ABF"/>
    <w:rsid w:val="525351F4"/>
    <w:rsid w:val="525A6FBC"/>
    <w:rsid w:val="526C0997"/>
    <w:rsid w:val="52855A65"/>
    <w:rsid w:val="53311AB3"/>
    <w:rsid w:val="53317F44"/>
    <w:rsid w:val="533D33D1"/>
    <w:rsid w:val="53511F1B"/>
    <w:rsid w:val="53670B33"/>
    <w:rsid w:val="537735FB"/>
    <w:rsid w:val="53775B6A"/>
    <w:rsid w:val="538F5737"/>
    <w:rsid w:val="53D43855"/>
    <w:rsid w:val="53D6214F"/>
    <w:rsid w:val="53EE1101"/>
    <w:rsid w:val="53FC4E8E"/>
    <w:rsid w:val="541717DC"/>
    <w:rsid w:val="54271D5C"/>
    <w:rsid w:val="54976AA9"/>
    <w:rsid w:val="549A3F89"/>
    <w:rsid w:val="54DE0134"/>
    <w:rsid w:val="553C46BA"/>
    <w:rsid w:val="55494082"/>
    <w:rsid w:val="557D5B60"/>
    <w:rsid w:val="55834A19"/>
    <w:rsid w:val="55F27046"/>
    <w:rsid w:val="55F526C6"/>
    <w:rsid w:val="56066DC9"/>
    <w:rsid w:val="564E1228"/>
    <w:rsid w:val="56A6131D"/>
    <w:rsid w:val="56A82B00"/>
    <w:rsid w:val="56BC5AD0"/>
    <w:rsid w:val="56D00C68"/>
    <w:rsid w:val="57022BD1"/>
    <w:rsid w:val="57212B27"/>
    <w:rsid w:val="572809C2"/>
    <w:rsid w:val="57480C4D"/>
    <w:rsid w:val="574C27F3"/>
    <w:rsid w:val="576F5440"/>
    <w:rsid w:val="57895A45"/>
    <w:rsid w:val="57C5313B"/>
    <w:rsid w:val="57D807D4"/>
    <w:rsid w:val="57EA7969"/>
    <w:rsid w:val="57F740F4"/>
    <w:rsid w:val="57FA3D86"/>
    <w:rsid w:val="58750691"/>
    <w:rsid w:val="58AB575D"/>
    <w:rsid w:val="58BC728D"/>
    <w:rsid w:val="58DD0763"/>
    <w:rsid w:val="59445F91"/>
    <w:rsid w:val="59815208"/>
    <w:rsid w:val="59F001A4"/>
    <w:rsid w:val="5A1E2DE7"/>
    <w:rsid w:val="5A20427A"/>
    <w:rsid w:val="5A395FB6"/>
    <w:rsid w:val="5A436A2D"/>
    <w:rsid w:val="5B0A066E"/>
    <w:rsid w:val="5B123FA7"/>
    <w:rsid w:val="5B5E18A4"/>
    <w:rsid w:val="5B613C0E"/>
    <w:rsid w:val="5B955E96"/>
    <w:rsid w:val="5B9B3675"/>
    <w:rsid w:val="5BA26571"/>
    <w:rsid w:val="5BCA6564"/>
    <w:rsid w:val="5BD66D67"/>
    <w:rsid w:val="5C107D40"/>
    <w:rsid w:val="5C1E3775"/>
    <w:rsid w:val="5C381264"/>
    <w:rsid w:val="5C672644"/>
    <w:rsid w:val="5C8132C7"/>
    <w:rsid w:val="5CA23A25"/>
    <w:rsid w:val="5CC26330"/>
    <w:rsid w:val="5CD67F41"/>
    <w:rsid w:val="5CDF760E"/>
    <w:rsid w:val="5D017C51"/>
    <w:rsid w:val="5D4165A3"/>
    <w:rsid w:val="5D463591"/>
    <w:rsid w:val="5D4F2A78"/>
    <w:rsid w:val="5D792AE4"/>
    <w:rsid w:val="5DC25C67"/>
    <w:rsid w:val="5DD97571"/>
    <w:rsid w:val="5E2F58D3"/>
    <w:rsid w:val="5E5A06FD"/>
    <w:rsid w:val="5E9342EC"/>
    <w:rsid w:val="5EA27CF7"/>
    <w:rsid w:val="5EBC3C1E"/>
    <w:rsid w:val="5F3815EE"/>
    <w:rsid w:val="5F5C32D6"/>
    <w:rsid w:val="5FA92D9F"/>
    <w:rsid w:val="5FAC2DE4"/>
    <w:rsid w:val="5FB10E83"/>
    <w:rsid w:val="600E788A"/>
    <w:rsid w:val="6011673F"/>
    <w:rsid w:val="60176E46"/>
    <w:rsid w:val="604130CF"/>
    <w:rsid w:val="60663C94"/>
    <w:rsid w:val="60794FD4"/>
    <w:rsid w:val="60814FEF"/>
    <w:rsid w:val="60AE4E89"/>
    <w:rsid w:val="60D32F5A"/>
    <w:rsid w:val="610E2B4C"/>
    <w:rsid w:val="619945D7"/>
    <w:rsid w:val="61C24BFD"/>
    <w:rsid w:val="61DE43D4"/>
    <w:rsid w:val="61E06967"/>
    <w:rsid w:val="61ED083B"/>
    <w:rsid w:val="624216A0"/>
    <w:rsid w:val="626343A0"/>
    <w:rsid w:val="626736F9"/>
    <w:rsid w:val="626B4082"/>
    <w:rsid w:val="626B6B00"/>
    <w:rsid w:val="628E1BE9"/>
    <w:rsid w:val="62D06FF9"/>
    <w:rsid w:val="62D765EB"/>
    <w:rsid w:val="636B22CC"/>
    <w:rsid w:val="636C198B"/>
    <w:rsid w:val="63B65AC7"/>
    <w:rsid w:val="63D7428B"/>
    <w:rsid w:val="640C4C0D"/>
    <w:rsid w:val="643B5584"/>
    <w:rsid w:val="645830D7"/>
    <w:rsid w:val="64675414"/>
    <w:rsid w:val="647258C3"/>
    <w:rsid w:val="64AA2E73"/>
    <w:rsid w:val="64B8434A"/>
    <w:rsid w:val="64C5008F"/>
    <w:rsid w:val="64E8446E"/>
    <w:rsid w:val="65376B47"/>
    <w:rsid w:val="654042F5"/>
    <w:rsid w:val="65F66C79"/>
    <w:rsid w:val="660447CA"/>
    <w:rsid w:val="665622BC"/>
    <w:rsid w:val="6660772E"/>
    <w:rsid w:val="66653739"/>
    <w:rsid w:val="666C4EE6"/>
    <w:rsid w:val="66792487"/>
    <w:rsid w:val="66FB0FDC"/>
    <w:rsid w:val="66FC5AFF"/>
    <w:rsid w:val="6709462E"/>
    <w:rsid w:val="6777196F"/>
    <w:rsid w:val="678A1ED0"/>
    <w:rsid w:val="67AB61F8"/>
    <w:rsid w:val="67BA7741"/>
    <w:rsid w:val="67E6170C"/>
    <w:rsid w:val="680D0CA5"/>
    <w:rsid w:val="688E5F84"/>
    <w:rsid w:val="68A45648"/>
    <w:rsid w:val="68A5668C"/>
    <w:rsid w:val="68D27297"/>
    <w:rsid w:val="6911241F"/>
    <w:rsid w:val="699C1F2D"/>
    <w:rsid w:val="69B67115"/>
    <w:rsid w:val="69B82DF4"/>
    <w:rsid w:val="69EF53B4"/>
    <w:rsid w:val="6A126DD2"/>
    <w:rsid w:val="6A420E56"/>
    <w:rsid w:val="6A924E32"/>
    <w:rsid w:val="6A94008C"/>
    <w:rsid w:val="6AC635A8"/>
    <w:rsid w:val="6AE60947"/>
    <w:rsid w:val="6AEF6EB8"/>
    <w:rsid w:val="6B0B374F"/>
    <w:rsid w:val="6B0E6D92"/>
    <w:rsid w:val="6B17074E"/>
    <w:rsid w:val="6B1F0CCB"/>
    <w:rsid w:val="6B6234E5"/>
    <w:rsid w:val="6BBD11F5"/>
    <w:rsid w:val="6BCE1834"/>
    <w:rsid w:val="6BD12800"/>
    <w:rsid w:val="6C022DB1"/>
    <w:rsid w:val="6C5E02FC"/>
    <w:rsid w:val="6C721812"/>
    <w:rsid w:val="6C8B0F52"/>
    <w:rsid w:val="6CDD0DD0"/>
    <w:rsid w:val="6CFA7DB1"/>
    <w:rsid w:val="6D0127E4"/>
    <w:rsid w:val="6D135E16"/>
    <w:rsid w:val="6D1C168A"/>
    <w:rsid w:val="6D347A31"/>
    <w:rsid w:val="6D3668DD"/>
    <w:rsid w:val="6D471CAB"/>
    <w:rsid w:val="6DAC0977"/>
    <w:rsid w:val="6DB941BD"/>
    <w:rsid w:val="6DC60F63"/>
    <w:rsid w:val="6E4C770B"/>
    <w:rsid w:val="6E5F1098"/>
    <w:rsid w:val="6E6F2793"/>
    <w:rsid w:val="6E703D8E"/>
    <w:rsid w:val="6E84323D"/>
    <w:rsid w:val="6E942A76"/>
    <w:rsid w:val="6EA41FA2"/>
    <w:rsid w:val="6EB44AD4"/>
    <w:rsid w:val="6EF2F120"/>
    <w:rsid w:val="6F313FE8"/>
    <w:rsid w:val="6F381CAC"/>
    <w:rsid w:val="6F6128C1"/>
    <w:rsid w:val="6F9C6902"/>
    <w:rsid w:val="6FA0729C"/>
    <w:rsid w:val="6FEF4FB0"/>
    <w:rsid w:val="70100CA2"/>
    <w:rsid w:val="70393572"/>
    <w:rsid w:val="70A24D48"/>
    <w:rsid w:val="70BA64EF"/>
    <w:rsid w:val="70C900DF"/>
    <w:rsid w:val="70F80524"/>
    <w:rsid w:val="710A2419"/>
    <w:rsid w:val="71326D32"/>
    <w:rsid w:val="714C2CD0"/>
    <w:rsid w:val="715A596A"/>
    <w:rsid w:val="717C247D"/>
    <w:rsid w:val="717F26E4"/>
    <w:rsid w:val="71816B8E"/>
    <w:rsid w:val="71832D29"/>
    <w:rsid w:val="71907818"/>
    <w:rsid w:val="71B252F9"/>
    <w:rsid w:val="71E95916"/>
    <w:rsid w:val="7203413E"/>
    <w:rsid w:val="7250588C"/>
    <w:rsid w:val="726F5278"/>
    <w:rsid w:val="727E786A"/>
    <w:rsid w:val="72887FD4"/>
    <w:rsid w:val="72BD0544"/>
    <w:rsid w:val="72C0472D"/>
    <w:rsid w:val="72D11D5C"/>
    <w:rsid w:val="72E85DAD"/>
    <w:rsid w:val="732303D9"/>
    <w:rsid w:val="73532CC9"/>
    <w:rsid w:val="73D73D11"/>
    <w:rsid w:val="744975DD"/>
    <w:rsid w:val="746920A5"/>
    <w:rsid w:val="74CB1EDB"/>
    <w:rsid w:val="74CE62CA"/>
    <w:rsid w:val="74DE73F5"/>
    <w:rsid w:val="75071D59"/>
    <w:rsid w:val="751E77AF"/>
    <w:rsid w:val="75D07F8B"/>
    <w:rsid w:val="75EE5669"/>
    <w:rsid w:val="76957051"/>
    <w:rsid w:val="76BD4232"/>
    <w:rsid w:val="76C10199"/>
    <w:rsid w:val="76C57BCB"/>
    <w:rsid w:val="76F927CD"/>
    <w:rsid w:val="773B2934"/>
    <w:rsid w:val="773E064E"/>
    <w:rsid w:val="77443D3A"/>
    <w:rsid w:val="774E1211"/>
    <w:rsid w:val="777B71D8"/>
    <w:rsid w:val="77A54D53"/>
    <w:rsid w:val="77D75F2B"/>
    <w:rsid w:val="77FC6767"/>
    <w:rsid w:val="781A0BEC"/>
    <w:rsid w:val="78202415"/>
    <w:rsid w:val="78213FC9"/>
    <w:rsid w:val="78701D9C"/>
    <w:rsid w:val="788F7F9B"/>
    <w:rsid w:val="78FA0671"/>
    <w:rsid w:val="78FF170C"/>
    <w:rsid w:val="793A634F"/>
    <w:rsid w:val="79616ECE"/>
    <w:rsid w:val="798635EB"/>
    <w:rsid w:val="79A5750A"/>
    <w:rsid w:val="7A0C1011"/>
    <w:rsid w:val="7A0E7A81"/>
    <w:rsid w:val="7A321CDB"/>
    <w:rsid w:val="7A567B6E"/>
    <w:rsid w:val="7A6E32C8"/>
    <w:rsid w:val="7AC900CF"/>
    <w:rsid w:val="7B052FBD"/>
    <w:rsid w:val="7B5A5A6C"/>
    <w:rsid w:val="7B5C250E"/>
    <w:rsid w:val="7B6D0F87"/>
    <w:rsid w:val="7B72691F"/>
    <w:rsid w:val="7B783FD8"/>
    <w:rsid w:val="7B9A3DB8"/>
    <w:rsid w:val="7BA113AB"/>
    <w:rsid w:val="7BD52290"/>
    <w:rsid w:val="7BD568A0"/>
    <w:rsid w:val="7BEF4EB5"/>
    <w:rsid w:val="7BF20E1E"/>
    <w:rsid w:val="7C5728ED"/>
    <w:rsid w:val="7C9408F4"/>
    <w:rsid w:val="7C9C0928"/>
    <w:rsid w:val="7CB83597"/>
    <w:rsid w:val="7CB90CC2"/>
    <w:rsid w:val="7CFB2CE9"/>
    <w:rsid w:val="7D0C34C4"/>
    <w:rsid w:val="7D212CA5"/>
    <w:rsid w:val="7D255EE2"/>
    <w:rsid w:val="7D293184"/>
    <w:rsid w:val="7D43645B"/>
    <w:rsid w:val="7D4B3EE6"/>
    <w:rsid w:val="7D6112EF"/>
    <w:rsid w:val="7D68620F"/>
    <w:rsid w:val="7D69777E"/>
    <w:rsid w:val="7D927DC0"/>
    <w:rsid w:val="7DB34706"/>
    <w:rsid w:val="7DD76CA0"/>
    <w:rsid w:val="7E1A0A9F"/>
    <w:rsid w:val="7E3C401A"/>
    <w:rsid w:val="7E641213"/>
    <w:rsid w:val="7EE33139"/>
    <w:rsid w:val="7EF34773"/>
    <w:rsid w:val="7F0D08DC"/>
    <w:rsid w:val="7F173D26"/>
    <w:rsid w:val="7F3A5791"/>
    <w:rsid w:val="7F5DC674"/>
    <w:rsid w:val="7F666017"/>
    <w:rsid w:val="7F6D5D85"/>
    <w:rsid w:val="7F714EE5"/>
    <w:rsid w:val="7F7F2734"/>
    <w:rsid w:val="7FA63F96"/>
    <w:rsid w:val="7FB9287C"/>
    <w:rsid w:val="7FCC47FD"/>
    <w:rsid w:val="7FD31973"/>
    <w:rsid w:val="7FE15B01"/>
    <w:rsid w:val="7FFA3A11"/>
    <w:rsid w:val="7FFB1B6E"/>
    <w:rsid w:val="C5DB1ABC"/>
    <w:rsid w:val="DDDB8AE3"/>
    <w:rsid w:val="FFB9659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1"/>
    <w:qFormat/>
    <w:uiPriority w:val="0"/>
    <w:pPr>
      <w:keepNext/>
      <w:keepLines/>
      <w:spacing w:before="340" w:after="330" w:line="576" w:lineRule="auto"/>
      <w:outlineLvl w:val="0"/>
    </w:pPr>
    <w:rPr>
      <w:b/>
      <w:bCs/>
      <w:kern w:val="44"/>
      <w:sz w:val="44"/>
      <w:szCs w:val="44"/>
    </w:rPr>
  </w:style>
  <w:style w:type="paragraph" w:styleId="5">
    <w:name w:val="heading 2"/>
    <w:basedOn w:val="1"/>
    <w:next w:val="1"/>
    <w:link w:val="76"/>
    <w:qFormat/>
    <w:uiPriority w:val="0"/>
    <w:pPr>
      <w:keepNext/>
      <w:keepLines/>
      <w:spacing w:before="260" w:after="260" w:line="415" w:lineRule="auto"/>
      <w:outlineLvl w:val="1"/>
    </w:pPr>
    <w:rPr>
      <w:rFonts w:ascii="Arial" w:hAnsi="Arial" w:eastAsia="黑体"/>
      <w:b/>
      <w:bCs/>
      <w:kern w:val="0"/>
      <w:sz w:val="32"/>
      <w:szCs w:val="32"/>
    </w:rPr>
  </w:style>
  <w:style w:type="paragraph" w:styleId="6">
    <w:name w:val="heading 3"/>
    <w:basedOn w:val="1"/>
    <w:next w:val="1"/>
    <w:link w:val="55"/>
    <w:qFormat/>
    <w:uiPriority w:val="0"/>
    <w:pPr>
      <w:keepNext/>
      <w:keepLines/>
      <w:spacing w:before="260" w:after="260" w:line="415" w:lineRule="auto"/>
      <w:outlineLvl w:val="2"/>
    </w:pPr>
    <w:rPr>
      <w:b/>
      <w:bCs/>
      <w:kern w:val="0"/>
      <w:sz w:val="32"/>
      <w:szCs w:val="32"/>
    </w:rPr>
  </w:style>
  <w:style w:type="paragraph" w:styleId="7">
    <w:name w:val="heading 4"/>
    <w:basedOn w:val="1"/>
    <w:next w:val="1"/>
    <w:link w:val="90"/>
    <w:qFormat/>
    <w:uiPriority w:val="0"/>
    <w:pPr>
      <w:keepNext/>
      <w:keepLines/>
      <w:spacing w:before="280" w:after="290" w:line="374" w:lineRule="auto"/>
      <w:outlineLvl w:val="3"/>
    </w:pPr>
    <w:rPr>
      <w:rFonts w:ascii="Arial" w:hAnsi="Arial" w:eastAsia="黑体"/>
      <w:b/>
      <w:bCs/>
      <w:kern w:val="0"/>
      <w:sz w:val="28"/>
      <w:szCs w:val="28"/>
    </w:rPr>
  </w:style>
  <w:style w:type="paragraph" w:styleId="8">
    <w:name w:val="heading 6"/>
    <w:basedOn w:val="1"/>
    <w:next w:val="1"/>
    <w:link w:val="57"/>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9">
    <w:name w:val="heading 7"/>
    <w:basedOn w:val="1"/>
    <w:next w:val="1"/>
    <w:link w:val="97"/>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10">
    <w:name w:val="heading 8"/>
    <w:basedOn w:val="1"/>
    <w:next w:val="1"/>
    <w:link w:val="79"/>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1">
    <w:name w:val="heading 9"/>
    <w:basedOn w:val="1"/>
    <w:next w:val="1"/>
    <w:link w:val="71"/>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4">
    <w:name w:val="Default Paragraph Font"/>
    <w:unhideWhenUsed/>
    <w:qFormat/>
    <w:uiPriority w:val="1"/>
  </w:style>
  <w:style w:type="table" w:default="1" w:styleId="42">
    <w:name w:val="Normal Table"/>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0"/>
    <w:pPr>
      <w:ind w:firstLine="420"/>
    </w:pPr>
  </w:style>
  <w:style w:type="paragraph" w:styleId="3">
    <w:name w:val="Body Text Indent"/>
    <w:basedOn w:val="1"/>
    <w:next w:val="1"/>
    <w:link w:val="73"/>
    <w:qFormat/>
    <w:uiPriority w:val="0"/>
    <w:pPr>
      <w:spacing w:after="120"/>
      <w:ind w:left="420" w:leftChars="200"/>
    </w:pPr>
    <w:rPr>
      <w:kern w:val="0"/>
      <w:sz w:val="20"/>
    </w:rPr>
  </w:style>
  <w:style w:type="paragraph" w:styleId="12">
    <w:name w:val="toc 7"/>
    <w:basedOn w:val="1"/>
    <w:next w:val="1"/>
    <w:qFormat/>
    <w:uiPriority w:val="39"/>
    <w:pPr>
      <w:ind w:left="1260"/>
      <w:jc w:val="left"/>
    </w:pPr>
    <w:rPr>
      <w:rFonts w:ascii="Calibri" w:hAnsi="Calibri"/>
      <w:sz w:val="18"/>
      <w:szCs w:val="18"/>
    </w:rPr>
  </w:style>
  <w:style w:type="paragraph" w:styleId="13">
    <w:name w:val="table of authorities"/>
    <w:basedOn w:val="1"/>
    <w:next w:val="1"/>
    <w:qFormat/>
    <w:uiPriority w:val="99"/>
    <w:pPr>
      <w:ind w:left="420" w:leftChars="200"/>
    </w:pPr>
  </w:style>
  <w:style w:type="paragraph" w:styleId="14">
    <w:name w:val="Normal Indent"/>
    <w:basedOn w:val="1"/>
    <w:link w:val="67"/>
    <w:qFormat/>
    <w:uiPriority w:val="0"/>
    <w:pPr>
      <w:ind w:firstLine="420" w:firstLineChars="200"/>
    </w:pPr>
  </w:style>
  <w:style w:type="paragraph" w:styleId="15">
    <w:name w:val="Document Map"/>
    <w:basedOn w:val="1"/>
    <w:link w:val="74"/>
    <w:qFormat/>
    <w:uiPriority w:val="0"/>
    <w:pPr>
      <w:shd w:val="clear" w:color="auto" w:fill="000080"/>
    </w:pPr>
    <w:rPr>
      <w:kern w:val="0"/>
      <w:sz w:val="20"/>
    </w:rPr>
  </w:style>
  <w:style w:type="paragraph" w:styleId="16">
    <w:name w:val="annotation text"/>
    <w:basedOn w:val="1"/>
    <w:link w:val="56"/>
    <w:unhideWhenUsed/>
    <w:qFormat/>
    <w:uiPriority w:val="99"/>
    <w:pPr>
      <w:jc w:val="left"/>
    </w:pPr>
    <w:rPr>
      <w:kern w:val="0"/>
      <w:sz w:val="20"/>
    </w:rPr>
  </w:style>
  <w:style w:type="paragraph" w:styleId="17">
    <w:name w:val="Body Text 3"/>
    <w:basedOn w:val="1"/>
    <w:link w:val="60"/>
    <w:qFormat/>
    <w:uiPriority w:val="0"/>
    <w:rPr>
      <w:rFonts w:ascii="宋体"/>
      <w:kern w:val="0"/>
      <w:sz w:val="24"/>
      <w:szCs w:val="20"/>
    </w:rPr>
  </w:style>
  <w:style w:type="paragraph" w:styleId="18">
    <w:name w:val="Body Text"/>
    <w:basedOn w:val="1"/>
    <w:next w:val="1"/>
    <w:link w:val="63"/>
    <w:qFormat/>
    <w:uiPriority w:val="0"/>
    <w:pPr>
      <w:spacing w:after="120"/>
    </w:pPr>
    <w:rPr>
      <w:kern w:val="0"/>
      <w:sz w:val="20"/>
    </w:r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toc 5"/>
    <w:basedOn w:val="1"/>
    <w:next w:val="1"/>
    <w:qFormat/>
    <w:uiPriority w:val="39"/>
    <w:pPr>
      <w:ind w:left="840"/>
      <w:jc w:val="left"/>
    </w:pPr>
    <w:rPr>
      <w:rFonts w:ascii="Calibri" w:hAnsi="Calibri"/>
      <w:sz w:val="18"/>
      <w:szCs w:val="18"/>
    </w:rPr>
  </w:style>
  <w:style w:type="paragraph" w:styleId="21">
    <w:name w:val="toc 3"/>
    <w:basedOn w:val="1"/>
    <w:next w:val="1"/>
    <w:qFormat/>
    <w:uiPriority w:val="39"/>
    <w:pPr>
      <w:ind w:left="420"/>
      <w:jc w:val="left"/>
    </w:pPr>
    <w:rPr>
      <w:rFonts w:ascii="Calibri" w:hAnsi="Calibri"/>
      <w:i/>
      <w:iCs/>
      <w:sz w:val="20"/>
      <w:szCs w:val="20"/>
    </w:rPr>
  </w:style>
  <w:style w:type="paragraph" w:styleId="22">
    <w:name w:val="Plain Text"/>
    <w:basedOn w:val="1"/>
    <w:link w:val="96"/>
    <w:qFormat/>
    <w:uiPriority w:val="99"/>
    <w:rPr>
      <w:rFonts w:ascii="Courier New" w:hAnsi="Courier New"/>
      <w:kern w:val="0"/>
      <w:sz w:val="20"/>
      <w:szCs w:val="20"/>
    </w:rPr>
  </w:style>
  <w:style w:type="paragraph" w:styleId="23">
    <w:name w:val="toc 8"/>
    <w:basedOn w:val="1"/>
    <w:next w:val="1"/>
    <w:qFormat/>
    <w:uiPriority w:val="39"/>
    <w:pPr>
      <w:ind w:left="1470"/>
      <w:jc w:val="left"/>
    </w:pPr>
    <w:rPr>
      <w:rFonts w:ascii="Calibri" w:hAnsi="Calibri"/>
      <w:sz w:val="18"/>
      <w:szCs w:val="18"/>
    </w:rPr>
  </w:style>
  <w:style w:type="paragraph" w:styleId="24">
    <w:name w:val="Date"/>
    <w:basedOn w:val="1"/>
    <w:next w:val="1"/>
    <w:link w:val="80"/>
    <w:qFormat/>
    <w:uiPriority w:val="0"/>
    <w:rPr>
      <w:kern w:val="0"/>
      <w:sz w:val="24"/>
      <w:szCs w:val="20"/>
    </w:rPr>
  </w:style>
  <w:style w:type="paragraph" w:styleId="25">
    <w:name w:val="Body Text Indent 2"/>
    <w:basedOn w:val="1"/>
    <w:qFormat/>
    <w:uiPriority w:val="0"/>
    <w:pPr>
      <w:spacing w:after="120" w:line="480" w:lineRule="auto"/>
      <w:ind w:left="420" w:leftChars="200"/>
    </w:pPr>
  </w:style>
  <w:style w:type="paragraph" w:styleId="26">
    <w:name w:val="Balloon Text"/>
    <w:basedOn w:val="1"/>
    <w:link w:val="78"/>
    <w:qFormat/>
    <w:uiPriority w:val="0"/>
    <w:rPr>
      <w:kern w:val="0"/>
      <w:sz w:val="18"/>
      <w:szCs w:val="18"/>
    </w:rPr>
  </w:style>
  <w:style w:type="paragraph" w:styleId="27">
    <w:name w:val="footer"/>
    <w:basedOn w:val="1"/>
    <w:link w:val="92"/>
    <w:qFormat/>
    <w:uiPriority w:val="99"/>
    <w:pPr>
      <w:tabs>
        <w:tab w:val="center" w:pos="4153"/>
        <w:tab w:val="right" w:pos="8306"/>
      </w:tabs>
      <w:snapToGrid w:val="0"/>
      <w:jc w:val="left"/>
    </w:pPr>
    <w:rPr>
      <w:kern w:val="0"/>
      <w:sz w:val="18"/>
      <w:szCs w:val="18"/>
    </w:rPr>
  </w:style>
  <w:style w:type="paragraph" w:styleId="28">
    <w:name w:val="header"/>
    <w:basedOn w:val="1"/>
    <w:link w:val="70"/>
    <w:qFormat/>
    <w:uiPriority w:val="0"/>
    <w:pPr>
      <w:pBdr>
        <w:bottom w:val="single" w:color="auto" w:sz="6" w:space="1"/>
      </w:pBdr>
      <w:tabs>
        <w:tab w:val="center" w:pos="4153"/>
        <w:tab w:val="right" w:pos="8306"/>
      </w:tabs>
      <w:snapToGrid w:val="0"/>
      <w:jc w:val="center"/>
    </w:pPr>
    <w:rPr>
      <w:kern w:val="0"/>
      <w:sz w:val="18"/>
      <w:szCs w:val="18"/>
    </w:rPr>
  </w:style>
  <w:style w:type="paragraph" w:styleId="29">
    <w:name w:val="toc 1"/>
    <w:basedOn w:val="1"/>
    <w:next w:val="1"/>
    <w:qFormat/>
    <w:uiPriority w:val="39"/>
    <w:pPr>
      <w:spacing w:before="120" w:after="120"/>
      <w:jc w:val="left"/>
    </w:pPr>
    <w:rPr>
      <w:rFonts w:ascii="Calibri" w:hAnsi="Calibri"/>
      <w:b/>
      <w:bCs/>
      <w:caps/>
      <w:sz w:val="20"/>
      <w:szCs w:val="20"/>
    </w:rPr>
  </w:style>
  <w:style w:type="paragraph" w:styleId="30">
    <w:name w:val="toc 4"/>
    <w:basedOn w:val="1"/>
    <w:next w:val="1"/>
    <w:qFormat/>
    <w:uiPriority w:val="39"/>
    <w:pPr>
      <w:ind w:left="630"/>
      <w:jc w:val="left"/>
    </w:pPr>
    <w:rPr>
      <w:rFonts w:ascii="Calibri" w:hAnsi="Calibri"/>
      <w:sz w:val="18"/>
      <w:szCs w:val="18"/>
    </w:rPr>
  </w:style>
  <w:style w:type="paragraph" w:styleId="31">
    <w:name w:val="footnote text"/>
    <w:basedOn w:val="1"/>
    <w:link w:val="64"/>
    <w:qFormat/>
    <w:uiPriority w:val="0"/>
    <w:rPr>
      <w:kern w:val="0"/>
      <w:sz w:val="20"/>
      <w:szCs w:val="20"/>
    </w:rPr>
  </w:style>
  <w:style w:type="paragraph" w:styleId="32">
    <w:name w:val="toc 6"/>
    <w:basedOn w:val="1"/>
    <w:next w:val="1"/>
    <w:qFormat/>
    <w:uiPriority w:val="39"/>
    <w:pPr>
      <w:ind w:left="1050"/>
      <w:jc w:val="left"/>
    </w:pPr>
    <w:rPr>
      <w:rFonts w:ascii="Calibri" w:hAnsi="Calibri"/>
      <w:sz w:val="18"/>
      <w:szCs w:val="18"/>
    </w:rPr>
  </w:style>
  <w:style w:type="paragraph" w:styleId="33">
    <w:name w:val="Body Text Indent 3"/>
    <w:basedOn w:val="1"/>
    <w:link w:val="84"/>
    <w:qFormat/>
    <w:uiPriority w:val="0"/>
    <w:pPr>
      <w:spacing w:after="120"/>
      <w:ind w:left="420" w:leftChars="200"/>
    </w:pPr>
    <w:rPr>
      <w:kern w:val="0"/>
      <w:sz w:val="16"/>
      <w:szCs w:val="16"/>
    </w:rPr>
  </w:style>
  <w:style w:type="paragraph" w:styleId="34">
    <w:name w:val="table of figures"/>
    <w:basedOn w:val="1"/>
    <w:next w:val="1"/>
    <w:qFormat/>
    <w:uiPriority w:val="0"/>
    <w:pPr>
      <w:ind w:leftChars="200" w:hanging="200" w:hangingChars="200"/>
    </w:pPr>
  </w:style>
  <w:style w:type="paragraph" w:styleId="35">
    <w:name w:val="toc 2"/>
    <w:basedOn w:val="1"/>
    <w:next w:val="1"/>
    <w:qFormat/>
    <w:uiPriority w:val="39"/>
    <w:pPr>
      <w:ind w:left="210"/>
      <w:jc w:val="left"/>
    </w:pPr>
    <w:rPr>
      <w:rFonts w:ascii="Calibri" w:hAnsi="Calibri"/>
      <w:smallCaps/>
      <w:sz w:val="20"/>
      <w:szCs w:val="20"/>
    </w:rPr>
  </w:style>
  <w:style w:type="paragraph" w:styleId="36">
    <w:name w:val="toc 9"/>
    <w:basedOn w:val="1"/>
    <w:next w:val="1"/>
    <w:qFormat/>
    <w:uiPriority w:val="39"/>
    <w:pPr>
      <w:ind w:left="1680"/>
      <w:jc w:val="left"/>
    </w:pPr>
    <w:rPr>
      <w:rFonts w:ascii="Calibri" w:hAnsi="Calibri"/>
      <w:sz w:val="18"/>
      <w:szCs w:val="18"/>
    </w:rPr>
  </w:style>
  <w:style w:type="paragraph" w:styleId="37">
    <w:name w:val="HTML Preformatted"/>
    <w:basedOn w:val="1"/>
    <w:link w:val="94"/>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9">
    <w:name w:val="index 1"/>
    <w:basedOn w:val="1"/>
    <w:next w:val="1"/>
    <w:semiHidden/>
    <w:qFormat/>
    <w:uiPriority w:val="0"/>
    <w:pPr>
      <w:spacing w:line="360" w:lineRule="auto"/>
      <w:jc w:val="center"/>
    </w:pPr>
    <w:rPr>
      <w:rFonts w:ascii="宋体" w:hAnsi="Arial" w:cs="Arial"/>
      <w:b/>
      <w:color w:val="000000"/>
      <w:sz w:val="24"/>
    </w:rPr>
  </w:style>
  <w:style w:type="paragraph" w:styleId="40">
    <w:name w:val="Title"/>
    <w:basedOn w:val="1"/>
    <w:link w:val="77"/>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1">
    <w:name w:val="annotation subject"/>
    <w:basedOn w:val="16"/>
    <w:next w:val="16"/>
    <w:link w:val="66"/>
    <w:qFormat/>
    <w:uiPriority w:val="0"/>
    <w:rPr>
      <w:b/>
      <w:bCs/>
    </w:rPr>
  </w:style>
  <w:style w:type="table" w:styleId="43">
    <w:name w:val="Table Grid"/>
    <w:basedOn w:val="42"/>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5">
    <w:name w:val="Strong"/>
    <w:qFormat/>
    <w:uiPriority w:val="0"/>
    <w:rPr>
      <w:b/>
      <w:bCs/>
    </w:rPr>
  </w:style>
  <w:style w:type="character" w:styleId="46">
    <w:name w:val="page number"/>
    <w:qFormat/>
    <w:uiPriority w:val="0"/>
  </w:style>
  <w:style w:type="character" w:styleId="47">
    <w:name w:val="FollowedHyperlink"/>
    <w:basedOn w:val="44"/>
    <w:qFormat/>
    <w:uiPriority w:val="0"/>
    <w:rPr>
      <w:rFonts w:hint="default" w:ascii="Arial" w:hAnsi="Arial" w:eastAsia="Arial" w:cs="Arial"/>
      <w:color w:val="333333"/>
      <w:sz w:val="21"/>
      <w:szCs w:val="21"/>
      <w:u w:val="none"/>
    </w:rPr>
  </w:style>
  <w:style w:type="character" w:styleId="48">
    <w:name w:val="Hyperlink"/>
    <w:basedOn w:val="44"/>
    <w:qFormat/>
    <w:uiPriority w:val="99"/>
    <w:rPr>
      <w:rFonts w:ascii="Arial" w:hAnsi="Arial" w:eastAsia="Arial" w:cs="Arial"/>
      <w:color w:val="333333"/>
      <w:sz w:val="21"/>
      <w:szCs w:val="21"/>
      <w:u w:val="none"/>
    </w:rPr>
  </w:style>
  <w:style w:type="character" w:styleId="49">
    <w:name w:val="annotation reference"/>
    <w:qFormat/>
    <w:uiPriority w:val="0"/>
    <w:rPr>
      <w:sz w:val="21"/>
      <w:szCs w:val="21"/>
    </w:rPr>
  </w:style>
  <w:style w:type="character" w:styleId="50">
    <w:name w:val="footnote reference"/>
    <w:qFormat/>
    <w:uiPriority w:val="0"/>
    <w:rPr>
      <w:vertAlign w:val="superscript"/>
    </w:rPr>
  </w:style>
  <w:style w:type="character" w:customStyle="1" w:styleId="51">
    <w:name w:val="apple-style-span"/>
    <w:qFormat/>
    <w:uiPriority w:val="0"/>
    <w:rPr>
      <w:rFonts w:ascii="Verdana" w:hAnsi="Verdana" w:eastAsia="宋体"/>
      <w:sz w:val="21"/>
      <w:lang w:val="en-US" w:eastAsia="en-US" w:bidi="ar-SA"/>
    </w:rPr>
  </w:style>
  <w:style w:type="character" w:customStyle="1" w:styleId="52">
    <w:name w:val="正文文本 3 Char1"/>
    <w:semiHidden/>
    <w:qFormat/>
    <w:uiPriority w:val="99"/>
    <w:rPr>
      <w:rFonts w:ascii="Times New Roman" w:hAnsi="Times New Roman" w:eastAsia="宋体" w:cs="Times New Roman"/>
      <w:sz w:val="16"/>
      <w:szCs w:val="16"/>
    </w:rPr>
  </w:style>
  <w:style w:type="character" w:customStyle="1" w:styleId="53">
    <w:name w:val="样式 宋体"/>
    <w:qFormat/>
    <w:uiPriority w:val="0"/>
    <w:rPr>
      <w:rFonts w:ascii="Times New Roman" w:hAnsi="Times New Roman" w:eastAsia="宋体"/>
      <w:sz w:val="21"/>
    </w:rPr>
  </w:style>
  <w:style w:type="character" w:customStyle="1" w:styleId="54">
    <w:name w:val="正文文本 (2) + 9.5 pt"/>
    <w:qFormat/>
    <w:uiPriority w:val="0"/>
    <w:rPr>
      <w:rFonts w:ascii="MingLiU" w:hAnsi="MingLiU" w:eastAsia="MingLiU" w:cs="MingLiU"/>
      <w:color w:val="000000"/>
      <w:spacing w:val="0"/>
      <w:w w:val="100"/>
      <w:position w:val="0"/>
      <w:sz w:val="19"/>
      <w:szCs w:val="19"/>
      <w:u w:val="none"/>
      <w:lang w:val="zh-TW" w:eastAsia="zh-TW" w:bidi="zh-TW"/>
    </w:rPr>
  </w:style>
  <w:style w:type="character" w:customStyle="1" w:styleId="55">
    <w:name w:val="标题 3 Char"/>
    <w:link w:val="6"/>
    <w:qFormat/>
    <w:uiPriority w:val="0"/>
    <w:rPr>
      <w:rFonts w:ascii="Times New Roman" w:hAnsi="Times New Roman" w:eastAsia="宋体" w:cs="Times New Roman"/>
      <w:b/>
      <w:bCs/>
      <w:sz w:val="32"/>
      <w:szCs w:val="32"/>
    </w:rPr>
  </w:style>
  <w:style w:type="character" w:customStyle="1" w:styleId="56">
    <w:name w:val="批注文字 Char1"/>
    <w:link w:val="16"/>
    <w:semiHidden/>
    <w:qFormat/>
    <w:uiPriority w:val="99"/>
    <w:rPr>
      <w:rFonts w:ascii="Times New Roman" w:hAnsi="Times New Roman" w:eastAsia="宋体" w:cs="Times New Roman"/>
      <w:szCs w:val="24"/>
    </w:rPr>
  </w:style>
  <w:style w:type="character" w:customStyle="1" w:styleId="57">
    <w:name w:val="标题 6 Char"/>
    <w:link w:val="8"/>
    <w:qFormat/>
    <w:uiPriority w:val="0"/>
    <w:rPr>
      <w:rFonts w:ascii="Arial" w:hAnsi="Arial" w:eastAsia="黑体" w:cs="Times New Roman"/>
      <w:b/>
      <w:bCs/>
      <w:kern w:val="0"/>
      <w:sz w:val="24"/>
      <w:szCs w:val="24"/>
    </w:rPr>
  </w:style>
  <w:style w:type="character" w:customStyle="1" w:styleId="58">
    <w:name w:val=" Char Char8"/>
    <w:qFormat/>
    <w:uiPriority w:val="0"/>
    <w:rPr>
      <w:rFonts w:ascii="Arial" w:hAnsi="Arial" w:eastAsia="黑体"/>
      <w:b/>
      <w:bCs/>
      <w:kern w:val="2"/>
      <w:sz w:val="32"/>
      <w:szCs w:val="32"/>
      <w:lang w:val="en-US" w:eastAsia="zh-CN" w:bidi="ar-SA"/>
    </w:rPr>
  </w:style>
  <w:style w:type="character" w:customStyle="1" w:styleId="59">
    <w:name w:val="脚注文本 Char1"/>
    <w:semiHidden/>
    <w:qFormat/>
    <w:uiPriority w:val="99"/>
    <w:rPr>
      <w:rFonts w:ascii="Times New Roman" w:hAnsi="Times New Roman" w:eastAsia="宋体" w:cs="Times New Roman"/>
      <w:sz w:val="18"/>
      <w:szCs w:val="18"/>
    </w:rPr>
  </w:style>
  <w:style w:type="character" w:customStyle="1" w:styleId="60">
    <w:name w:val="正文文本 3 Char"/>
    <w:link w:val="17"/>
    <w:qFormat/>
    <w:uiPriority w:val="0"/>
    <w:rPr>
      <w:rFonts w:ascii="宋体"/>
      <w:sz w:val="24"/>
    </w:rPr>
  </w:style>
  <w:style w:type="character" w:customStyle="1" w:styleId="61">
    <w:name w:val="页脚 Char1"/>
    <w:semiHidden/>
    <w:qFormat/>
    <w:uiPriority w:val="99"/>
    <w:rPr>
      <w:rFonts w:ascii="Times New Roman" w:hAnsi="Times New Roman" w:eastAsia="宋体" w:cs="Times New Roman"/>
      <w:sz w:val="18"/>
      <w:szCs w:val="18"/>
    </w:rPr>
  </w:style>
  <w:style w:type="character" w:customStyle="1" w:styleId="62">
    <w:name w:val="标题 Char1"/>
    <w:qFormat/>
    <w:uiPriority w:val="10"/>
    <w:rPr>
      <w:rFonts w:ascii="Calibri Light" w:hAnsi="Calibri Light" w:eastAsia="宋体" w:cs="Times New Roman"/>
      <w:b/>
      <w:bCs/>
      <w:sz w:val="32"/>
      <w:szCs w:val="32"/>
    </w:rPr>
  </w:style>
  <w:style w:type="character" w:customStyle="1" w:styleId="63">
    <w:name w:val="正文文本 Char"/>
    <w:link w:val="18"/>
    <w:qFormat/>
    <w:uiPriority w:val="0"/>
    <w:rPr>
      <w:rFonts w:eastAsia="宋体"/>
      <w:szCs w:val="24"/>
    </w:rPr>
  </w:style>
  <w:style w:type="character" w:customStyle="1" w:styleId="64">
    <w:name w:val="脚注文本 Char"/>
    <w:link w:val="31"/>
    <w:qFormat/>
    <w:uiPriority w:val="0"/>
    <w:rPr>
      <w:rFonts w:eastAsia="宋体"/>
    </w:rPr>
  </w:style>
  <w:style w:type="character" w:customStyle="1" w:styleId="65">
    <w:name w:val="纯文本 Char1"/>
    <w:semiHidden/>
    <w:qFormat/>
    <w:uiPriority w:val="99"/>
    <w:rPr>
      <w:rFonts w:ascii="宋体" w:hAnsi="Courier New" w:eastAsia="宋体" w:cs="Courier New"/>
      <w:szCs w:val="21"/>
    </w:rPr>
  </w:style>
  <w:style w:type="character" w:customStyle="1" w:styleId="66">
    <w:name w:val="批注主题 Char"/>
    <w:link w:val="41"/>
    <w:qFormat/>
    <w:uiPriority w:val="0"/>
    <w:rPr>
      <w:rFonts w:ascii="Times New Roman" w:hAnsi="Times New Roman" w:eastAsia="宋体" w:cs="Times New Roman"/>
      <w:b/>
      <w:bCs/>
      <w:szCs w:val="24"/>
    </w:rPr>
  </w:style>
  <w:style w:type="character" w:customStyle="1" w:styleId="67">
    <w:name w:val="正文缩进 Char"/>
    <w:link w:val="14"/>
    <w:qFormat/>
    <w:locked/>
    <w:uiPriority w:val="0"/>
    <w:rPr>
      <w:kern w:val="2"/>
      <w:sz w:val="21"/>
      <w:szCs w:val="24"/>
    </w:rPr>
  </w:style>
  <w:style w:type="character" w:customStyle="1" w:styleId="68">
    <w:name w:val="font11"/>
    <w:qFormat/>
    <w:uiPriority w:val="0"/>
    <w:rPr>
      <w:rFonts w:hint="default" w:ascii="Times New Roman" w:hAnsi="Times New Roman" w:cs="Times New Roman"/>
      <w:color w:val="000000"/>
      <w:sz w:val="22"/>
      <w:szCs w:val="22"/>
      <w:u w:val="none"/>
    </w:rPr>
  </w:style>
  <w:style w:type="character" w:customStyle="1" w:styleId="69">
    <w:name w:val="font01"/>
    <w:qFormat/>
    <w:uiPriority w:val="0"/>
    <w:rPr>
      <w:rFonts w:hint="eastAsia" w:ascii="宋体" w:hAnsi="宋体" w:eastAsia="宋体" w:cs="宋体"/>
      <w:color w:val="000000"/>
      <w:sz w:val="22"/>
      <w:szCs w:val="22"/>
      <w:u w:val="none"/>
    </w:rPr>
  </w:style>
  <w:style w:type="character" w:customStyle="1" w:styleId="70">
    <w:name w:val="页眉 Char"/>
    <w:link w:val="28"/>
    <w:qFormat/>
    <w:uiPriority w:val="0"/>
    <w:rPr>
      <w:rFonts w:ascii="Times New Roman" w:hAnsi="Times New Roman" w:eastAsia="宋体" w:cs="Times New Roman"/>
      <w:sz w:val="18"/>
      <w:szCs w:val="18"/>
    </w:rPr>
  </w:style>
  <w:style w:type="character" w:customStyle="1" w:styleId="71">
    <w:name w:val="标题 9 Char"/>
    <w:link w:val="11"/>
    <w:qFormat/>
    <w:uiPriority w:val="0"/>
    <w:rPr>
      <w:rFonts w:ascii="Arial" w:hAnsi="Arial" w:eastAsia="黑体" w:cs="Times New Roman"/>
      <w:kern w:val="0"/>
      <w:szCs w:val="21"/>
    </w:rPr>
  </w:style>
  <w:style w:type="character" w:customStyle="1" w:styleId="72">
    <w:name w:val="标题 2 Char1"/>
    <w:qFormat/>
    <w:uiPriority w:val="0"/>
    <w:rPr>
      <w:rFonts w:ascii="Arial" w:hAnsi="Arial" w:eastAsia="黑体" w:cs="Times New Roman"/>
      <w:b/>
      <w:bCs/>
      <w:sz w:val="32"/>
      <w:szCs w:val="32"/>
      <w:lang w:val="en-US" w:eastAsia="en-US" w:bidi="ar-SA"/>
    </w:rPr>
  </w:style>
  <w:style w:type="character" w:customStyle="1" w:styleId="73">
    <w:name w:val="正文文本缩进 Char"/>
    <w:link w:val="3"/>
    <w:qFormat/>
    <w:uiPriority w:val="0"/>
    <w:rPr>
      <w:szCs w:val="24"/>
    </w:rPr>
  </w:style>
  <w:style w:type="character" w:customStyle="1" w:styleId="74">
    <w:name w:val="文档结构图 Char"/>
    <w:link w:val="15"/>
    <w:qFormat/>
    <w:uiPriority w:val="0"/>
    <w:rPr>
      <w:rFonts w:ascii="Times New Roman" w:hAnsi="Times New Roman" w:eastAsia="宋体" w:cs="Times New Roman"/>
      <w:szCs w:val="24"/>
      <w:shd w:val="clear" w:color="auto" w:fill="000080"/>
    </w:rPr>
  </w:style>
  <w:style w:type="character" w:customStyle="1" w:styleId="75">
    <w:name w:val="font161"/>
    <w:qFormat/>
    <w:uiPriority w:val="0"/>
    <w:rPr>
      <w:b/>
      <w:bCs/>
      <w:sz w:val="32"/>
      <w:szCs w:val="32"/>
    </w:rPr>
  </w:style>
  <w:style w:type="character" w:customStyle="1" w:styleId="76">
    <w:name w:val="标题 2 Char"/>
    <w:link w:val="5"/>
    <w:qFormat/>
    <w:uiPriority w:val="0"/>
    <w:rPr>
      <w:rFonts w:ascii="Arial" w:hAnsi="Arial" w:eastAsia="黑体" w:cs="Times New Roman"/>
      <w:b/>
      <w:bCs/>
      <w:sz w:val="32"/>
      <w:szCs w:val="32"/>
    </w:rPr>
  </w:style>
  <w:style w:type="character" w:customStyle="1" w:styleId="77">
    <w:name w:val="标题 Char"/>
    <w:link w:val="40"/>
    <w:qFormat/>
    <w:uiPriority w:val="0"/>
    <w:rPr>
      <w:rFonts w:ascii="Arial" w:hAnsi="Arial"/>
      <w:b/>
      <w:sz w:val="32"/>
    </w:rPr>
  </w:style>
  <w:style w:type="character" w:customStyle="1" w:styleId="78">
    <w:name w:val="批注框文本 Char"/>
    <w:link w:val="26"/>
    <w:qFormat/>
    <w:uiPriority w:val="0"/>
    <w:rPr>
      <w:rFonts w:ascii="Times New Roman" w:hAnsi="Times New Roman" w:eastAsia="宋体" w:cs="Times New Roman"/>
      <w:sz w:val="18"/>
      <w:szCs w:val="18"/>
    </w:rPr>
  </w:style>
  <w:style w:type="character" w:customStyle="1" w:styleId="79">
    <w:name w:val="标题 8 Char"/>
    <w:link w:val="10"/>
    <w:qFormat/>
    <w:uiPriority w:val="0"/>
    <w:rPr>
      <w:rFonts w:ascii="Arial" w:hAnsi="Arial" w:eastAsia="黑体" w:cs="Times New Roman"/>
      <w:kern w:val="0"/>
      <w:sz w:val="24"/>
      <w:szCs w:val="24"/>
    </w:rPr>
  </w:style>
  <w:style w:type="character" w:customStyle="1" w:styleId="80">
    <w:name w:val="日期 Char"/>
    <w:link w:val="24"/>
    <w:qFormat/>
    <w:uiPriority w:val="0"/>
    <w:rPr>
      <w:rFonts w:ascii="Times New Roman" w:hAnsi="Times New Roman" w:eastAsia="宋体" w:cs="Times New Roman"/>
      <w:sz w:val="24"/>
      <w:szCs w:val="20"/>
    </w:rPr>
  </w:style>
  <w:style w:type="character" w:customStyle="1" w:styleId="81">
    <w:name w:val="标题 1 Char"/>
    <w:link w:val="4"/>
    <w:qFormat/>
    <w:uiPriority w:val="0"/>
    <w:rPr>
      <w:rFonts w:ascii="Times New Roman" w:hAnsi="Times New Roman" w:eastAsia="宋体" w:cs="Times New Roman"/>
      <w:b/>
      <w:bCs/>
      <w:kern w:val="44"/>
      <w:sz w:val="44"/>
      <w:szCs w:val="44"/>
    </w:rPr>
  </w:style>
  <w:style w:type="character" w:customStyle="1" w:styleId="82">
    <w:name w:val="招标节 Char"/>
    <w:link w:val="83"/>
    <w:qFormat/>
    <w:locked/>
    <w:uiPriority w:val="0"/>
    <w:rPr>
      <w:b/>
      <w:sz w:val="24"/>
      <w:szCs w:val="24"/>
    </w:rPr>
  </w:style>
  <w:style w:type="paragraph" w:customStyle="1" w:styleId="83">
    <w:name w:val="招标节"/>
    <w:basedOn w:val="1"/>
    <w:next w:val="1"/>
    <w:link w:val="82"/>
    <w:qFormat/>
    <w:uiPriority w:val="0"/>
    <w:pPr>
      <w:spacing w:beforeLines="50" w:afterLines="50"/>
      <w:outlineLvl w:val="1"/>
    </w:pPr>
    <w:rPr>
      <w:b/>
      <w:kern w:val="0"/>
      <w:sz w:val="24"/>
    </w:rPr>
  </w:style>
  <w:style w:type="character" w:customStyle="1" w:styleId="84">
    <w:name w:val="正文文本缩进 3 Char"/>
    <w:link w:val="33"/>
    <w:qFormat/>
    <w:uiPriority w:val="0"/>
    <w:rPr>
      <w:rFonts w:ascii="Times New Roman" w:hAnsi="Times New Roman" w:eastAsia="宋体" w:cs="Times New Roman"/>
      <w:sz w:val="16"/>
      <w:szCs w:val="16"/>
    </w:rPr>
  </w:style>
  <w:style w:type="character" w:customStyle="1" w:styleId="85">
    <w:name w:val="tpc_content1"/>
    <w:qFormat/>
    <w:uiPriority w:val="0"/>
    <w:rPr>
      <w:sz w:val="20"/>
      <w:szCs w:val="20"/>
    </w:rPr>
  </w:style>
  <w:style w:type="character" w:customStyle="1" w:styleId="86">
    <w:name w:val=" Char Char"/>
    <w:qFormat/>
    <w:uiPriority w:val="0"/>
    <w:rPr>
      <w:rFonts w:ascii="Arial" w:hAnsi="Arial" w:eastAsia="黑体"/>
      <w:b/>
      <w:bCs/>
      <w:kern w:val="2"/>
      <w:sz w:val="32"/>
      <w:szCs w:val="32"/>
      <w:lang w:val="en-US" w:eastAsia="zh-CN" w:bidi="ar-SA"/>
    </w:rPr>
  </w:style>
  <w:style w:type="character" w:customStyle="1" w:styleId="87">
    <w:name w:val="正文文本 Char1"/>
    <w:semiHidden/>
    <w:qFormat/>
    <w:uiPriority w:val="99"/>
    <w:rPr>
      <w:rFonts w:ascii="Times New Roman" w:hAnsi="Times New Roman" w:eastAsia="宋体" w:cs="Times New Roman"/>
      <w:szCs w:val="24"/>
    </w:rPr>
  </w:style>
  <w:style w:type="character" w:customStyle="1" w:styleId="88">
    <w:name w:val=" Char Char2"/>
    <w:qFormat/>
    <w:uiPriority w:val="0"/>
    <w:rPr>
      <w:rFonts w:eastAsia="宋体"/>
      <w:kern w:val="2"/>
      <w:sz w:val="21"/>
      <w:szCs w:val="24"/>
      <w:lang w:val="en-US" w:eastAsia="zh-CN" w:bidi="ar-SA"/>
    </w:rPr>
  </w:style>
  <w:style w:type="character" w:customStyle="1" w:styleId="89">
    <w:name w:val="apple-converted-space"/>
    <w:qFormat/>
    <w:uiPriority w:val="0"/>
  </w:style>
  <w:style w:type="character" w:customStyle="1" w:styleId="90">
    <w:name w:val="标题 4 Char"/>
    <w:link w:val="7"/>
    <w:qFormat/>
    <w:uiPriority w:val="0"/>
    <w:rPr>
      <w:rFonts w:ascii="Arial" w:hAnsi="Arial" w:eastAsia="黑体" w:cs="Times New Roman"/>
      <w:b/>
      <w:bCs/>
      <w:sz w:val="28"/>
      <w:szCs w:val="28"/>
    </w:rPr>
  </w:style>
  <w:style w:type="character" w:customStyle="1" w:styleId="91">
    <w:name w:val="正文文本缩进 Char1"/>
    <w:semiHidden/>
    <w:qFormat/>
    <w:uiPriority w:val="99"/>
    <w:rPr>
      <w:rFonts w:ascii="Times New Roman" w:hAnsi="Times New Roman" w:eastAsia="宋体" w:cs="Times New Roman"/>
      <w:szCs w:val="24"/>
    </w:rPr>
  </w:style>
  <w:style w:type="character" w:customStyle="1" w:styleId="92">
    <w:name w:val="页脚 Char"/>
    <w:link w:val="27"/>
    <w:qFormat/>
    <w:uiPriority w:val="99"/>
    <w:rPr>
      <w:sz w:val="18"/>
      <w:szCs w:val="18"/>
    </w:rPr>
  </w:style>
  <w:style w:type="character" w:customStyle="1" w:styleId="93">
    <w:name w:val=" Char Char7"/>
    <w:qFormat/>
    <w:uiPriority w:val="0"/>
    <w:rPr>
      <w:rFonts w:ascii="Arial" w:hAnsi="Arial" w:eastAsia="黑体"/>
      <w:b/>
      <w:bCs/>
      <w:kern w:val="2"/>
      <w:sz w:val="32"/>
      <w:szCs w:val="32"/>
      <w:lang w:val="en-US" w:eastAsia="zh-CN" w:bidi="ar-SA"/>
    </w:rPr>
  </w:style>
  <w:style w:type="character" w:customStyle="1" w:styleId="94">
    <w:name w:val="HTML 预设格式 Char"/>
    <w:link w:val="37"/>
    <w:qFormat/>
    <w:uiPriority w:val="0"/>
    <w:rPr>
      <w:rFonts w:ascii="微软雅黑" w:hAnsi="微软雅黑" w:eastAsia="微软雅黑" w:cs="Times New Roman"/>
      <w:kern w:val="0"/>
      <w:sz w:val="24"/>
      <w:szCs w:val="24"/>
    </w:rPr>
  </w:style>
  <w:style w:type="character" w:customStyle="1" w:styleId="95">
    <w:name w:val="批注文字 Char"/>
    <w:qFormat/>
    <w:uiPriority w:val="0"/>
    <w:rPr>
      <w:rFonts w:eastAsia="宋体"/>
      <w:kern w:val="2"/>
      <w:sz w:val="21"/>
      <w:szCs w:val="24"/>
      <w:lang w:val="en-US" w:eastAsia="zh-CN" w:bidi="ar-SA"/>
    </w:rPr>
  </w:style>
  <w:style w:type="character" w:customStyle="1" w:styleId="96">
    <w:name w:val="纯文本 Char"/>
    <w:link w:val="22"/>
    <w:qFormat/>
    <w:uiPriority w:val="99"/>
    <w:rPr>
      <w:rFonts w:ascii="Courier New" w:hAnsi="Courier New"/>
    </w:rPr>
  </w:style>
  <w:style w:type="character" w:customStyle="1" w:styleId="97">
    <w:name w:val="标题 7 Char"/>
    <w:link w:val="9"/>
    <w:qFormat/>
    <w:uiPriority w:val="0"/>
    <w:rPr>
      <w:rFonts w:ascii="Times New Roman" w:hAnsi="Times New Roman" w:eastAsia="宋体" w:cs="Times New Roman"/>
      <w:b/>
      <w:bCs/>
      <w:kern w:val="0"/>
      <w:sz w:val="24"/>
      <w:szCs w:val="24"/>
    </w:rPr>
  </w:style>
  <w:style w:type="paragraph" w:customStyle="1" w:styleId="98">
    <w:name w:val="样式4"/>
    <w:basedOn w:val="6"/>
    <w:qFormat/>
    <w:uiPriority w:val="0"/>
    <w:rPr>
      <w:rFonts w:eastAsia="Arial"/>
    </w:rPr>
  </w:style>
  <w:style w:type="paragraph" w:customStyle="1" w:styleId="99">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0">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1">
    <w:name w:val="font10"/>
    <w:basedOn w:val="1"/>
    <w:qFormat/>
    <w:uiPriority w:val="0"/>
    <w:pPr>
      <w:widowControl/>
      <w:spacing w:before="100" w:beforeAutospacing="1" w:after="100" w:afterAutospacing="1"/>
      <w:jc w:val="left"/>
    </w:pPr>
    <w:rPr>
      <w:kern w:val="0"/>
      <w:sz w:val="28"/>
      <w:szCs w:val="28"/>
    </w:rPr>
  </w:style>
  <w:style w:type="paragraph" w:customStyle="1" w:styleId="102">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3">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4">
    <w:name w:val="样式1"/>
    <w:basedOn w:val="6"/>
    <w:qFormat/>
    <w:uiPriority w:val="0"/>
    <w:rPr>
      <w:rFonts w:eastAsia="Arial"/>
    </w:rPr>
  </w:style>
  <w:style w:type="paragraph" w:customStyle="1" w:styleId="105">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6">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7">
    <w:name w:val=" Char"/>
    <w:basedOn w:val="1"/>
    <w:qFormat/>
    <w:uiPriority w:val="0"/>
    <w:pPr>
      <w:tabs>
        <w:tab w:val="left" w:pos="360"/>
      </w:tabs>
    </w:pPr>
    <w:rPr>
      <w:sz w:val="24"/>
    </w:rPr>
  </w:style>
  <w:style w:type="paragraph" w:customStyle="1" w:styleId="108">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9">
    <w:name w:val="表格"/>
    <w:basedOn w:val="1"/>
    <w:qFormat/>
    <w:uiPriority w:val="0"/>
    <w:pPr>
      <w:jc w:val="center"/>
      <w:textAlignment w:val="center"/>
    </w:pPr>
    <w:rPr>
      <w:rFonts w:ascii="华文细黑" w:hAnsi="华文细黑"/>
      <w:kern w:val="0"/>
      <w:szCs w:val="20"/>
    </w:rPr>
  </w:style>
  <w:style w:type="paragraph" w:customStyle="1" w:styleId="110">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1">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2">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3">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4">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5">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6">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8">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9">
    <w:name w:val="List Paragraph"/>
    <w:basedOn w:val="1"/>
    <w:qFormat/>
    <w:uiPriority w:val="34"/>
    <w:pPr>
      <w:ind w:firstLine="420" w:firstLineChars="200"/>
    </w:pPr>
    <w:rPr>
      <w:rFonts w:ascii="Calibri" w:hAnsi="Calibri"/>
      <w:szCs w:val="22"/>
    </w:rPr>
  </w:style>
  <w:style w:type="paragraph" w:customStyle="1" w:styleId="120">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121">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2">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3">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4">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125">
    <w:name w:val="1"/>
    <w:basedOn w:val="1"/>
    <w:next w:val="1"/>
    <w:qFormat/>
    <w:uiPriority w:val="0"/>
  </w:style>
  <w:style w:type="paragraph" w:customStyle="1" w:styleId="126">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7">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8">
    <w:name w:val="规范文本"/>
    <w:basedOn w:val="22"/>
    <w:qFormat/>
    <w:uiPriority w:val="0"/>
    <w:pPr>
      <w:adjustRightInd w:val="0"/>
      <w:snapToGrid w:val="0"/>
      <w:spacing w:line="360" w:lineRule="exact"/>
      <w:ind w:firstLine="420"/>
    </w:pPr>
    <w:rPr>
      <w:rFonts w:ascii="宋体"/>
      <w:snapToGrid w:val="0"/>
      <w:szCs w:val="21"/>
    </w:rPr>
  </w:style>
  <w:style w:type="paragraph" w:customStyle="1" w:styleId="129">
    <w:name w:val="样式 标题 2 + Times New Roman 四号 非加粗 行距: 单倍行距"/>
    <w:basedOn w:val="5"/>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30">
    <w:name w:val="节"/>
    <w:basedOn w:val="22"/>
    <w:qFormat/>
    <w:uiPriority w:val="0"/>
    <w:pPr>
      <w:adjustRightInd w:val="0"/>
      <w:snapToGrid w:val="0"/>
      <w:spacing w:before="600" w:after="600"/>
      <w:jc w:val="center"/>
      <w:outlineLvl w:val="2"/>
    </w:pPr>
    <w:rPr>
      <w:rFonts w:ascii="黑体" w:eastAsia="黑体"/>
      <w:snapToGrid w:val="0"/>
      <w:w w:val="90"/>
      <w:sz w:val="32"/>
    </w:rPr>
  </w:style>
  <w:style w:type="paragraph" w:customStyle="1" w:styleId="131">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2">
    <w:name w:val="样式3"/>
    <w:basedOn w:val="6"/>
    <w:qFormat/>
    <w:uiPriority w:val="0"/>
    <w:rPr>
      <w:rFonts w:eastAsia="Arial"/>
    </w:rPr>
  </w:style>
  <w:style w:type="paragraph" w:customStyle="1" w:styleId="133">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4">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5">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6">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7">
    <w:name w:val="正文文本 (15)"/>
    <w:basedOn w:val="1"/>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138">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9">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0">
    <w:name w:val="正文文本 (2)"/>
    <w:basedOn w:val="1"/>
    <w:qFormat/>
    <w:uiPriority w:val="0"/>
    <w:pPr>
      <w:shd w:val="clear" w:color="auto" w:fill="FFFFFF"/>
      <w:spacing w:before="300" w:line="439" w:lineRule="exact"/>
      <w:jc w:val="distribute"/>
    </w:pPr>
    <w:rPr>
      <w:rFonts w:ascii="MingLiU" w:hAnsi="MingLiU" w:eastAsia="MingLiU"/>
      <w:kern w:val="0"/>
      <w:sz w:val="22"/>
      <w:szCs w:val="22"/>
    </w:rPr>
  </w:style>
  <w:style w:type="paragraph" w:customStyle="1" w:styleId="141">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2">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3">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4">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5">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6">
    <w:name w:val="第二"/>
    <w:basedOn w:val="1"/>
    <w:qFormat/>
    <w:uiPriority w:val="0"/>
    <w:pPr>
      <w:adjustRightInd w:val="0"/>
      <w:snapToGrid w:val="0"/>
      <w:spacing w:line="360" w:lineRule="auto"/>
      <w:ind w:right="-108" w:rightChars="-45" w:firstLine="482"/>
    </w:pPr>
    <w:rPr>
      <w:b/>
    </w:rPr>
  </w:style>
  <w:style w:type="paragraph" w:customStyle="1" w:styleId="147">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14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9">
    <w:name w:val="xl27"/>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150">
    <w:name w:val="内容"/>
    <w:basedOn w:val="1"/>
    <w:qFormat/>
    <w:uiPriority w:val="0"/>
    <w:pPr>
      <w:spacing w:line="480" w:lineRule="exact"/>
      <w:ind w:firstLine="200" w:firstLineChars="200"/>
    </w:pPr>
  </w:style>
  <w:style w:type="paragraph" w:customStyle="1" w:styleId="151">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2">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3">
    <w:name w:val="列出段落1"/>
    <w:basedOn w:val="1"/>
    <w:qFormat/>
    <w:uiPriority w:val="99"/>
    <w:pPr>
      <w:ind w:firstLine="420" w:firstLineChars="200"/>
    </w:pPr>
  </w:style>
  <w:style w:type="paragraph" w:customStyle="1" w:styleId="154">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5">
    <w:name w:val="表格文字"/>
    <w:basedOn w:val="1"/>
    <w:qFormat/>
    <w:uiPriority w:val="0"/>
    <w:pPr>
      <w:adjustRightInd w:val="0"/>
      <w:spacing w:line="420" w:lineRule="atLeast"/>
      <w:jc w:val="left"/>
      <w:textAlignment w:val="baseline"/>
    </w:pPr>
    <w:rPr>
      <w:kern w:val="0"/>
      <w:szCs w:val="20"/>
    </w:rPr>
  </w:style>
  <w:style w:type="paragraph" w:customStyle="1" w:styleId="156">
    <w:name w:val="须知内容"/>
    <w:qFormat/>
    <w:uiPriority w:val="0"/>
    <w:pPr>
      <w:tabs>
        <w:tab w:val="left" w:pos="5140"/>
        <w:tab w:val="left" w:pos="8520"/>
      </w:tabs>
      <w:adjustRightInd w:val="0"/>
      <w:snapToGrid w:val="0"/>
      <w:spacing w:line="320" w:lineRule="atLeast"/>
    </w:pPr>
    <w:rPr>
      <w:rFonts w:ascii="仿宋_GB2312" w:hAnsi="宋体" w:eastAsia="仿宋_GB2312" w:cs="Times New Roman"/>
      <w:kern w:val="2"/>
      <w:sz w:val="21"/>
      <w:szCs w:val="21"/>
      <w:lang w:val="en-US" w:eastAsia="zh-CN" w:bidi="ar-SA"/>
    </w:rPr>
  </w:style>
  <w:style w:type="paragraph" w:customStyle="1" w:styleId="157">
    <w:name w:val="样式2"/>
    <w:basedOn w:val="6"/>
    <w:qFormat/>
    <w:uiPriority w:val="0"/>
  </w:style>
  <w:style w:type="character" w:customStyle="1" w:styleId="158">
    <w:name w:val="after"/>
    <w:basedOn w:val="44"/>
    <w:qFormat/>
    <w:uiPriority w:val="0"/>
    <w:rPr>
      <w:bdr w:val="dashed" w:color="auto" w:sz="48" w:space="0"/>
    </w:rPr>
  </w:style>
  <w:style w:type="character" w:customStyle="1" w:styleId="159">
    <w:name w:val="before"/>
    <w:basedOn w:val="44"/>
    <w:qFormat/>
    <w:uiPriority w:val="0"/>
    <w:rPr>
      <w:bdr w:val="single" w:color="auto" w:sz="48" w:space="0"/>
    </w:rPr>
  </w:style>
  <w:style w:type="character" w:customStyle="1" w:styleId="160">
    <w:name w:val="hover48"/>
    <w:basedOn w:val="44"/>
    <w:qFormat/>
    <w:uiPriority w:val="0"/>
    <w:rPr>
      <w:shd w:val="clear" w:fill="346AC3"/>
    </w:rPr>
  </w:style>
  <w:style w:type="character" w:customStyle="1" w:styleId="161">
    <w:name w:val="hover49"/>
    <w:basedOn w:val="44"/>
    <w:qFormat/>
    <w:uiPriority w:val="0"/>
  </w:style>
  <w:style w:type="character" w:customStyle="1" w:styleId="162">
    <w:name w:val="hover50"/>
    <w:basedOn w:val="44"/>
    <w:qFormat/>
    <w:uiPriority w:val="0"/>
    <w:rPr>
      <w:color w:val="4285F4"/>
      <w:u w:val="none"/>
    </w:rPr>
  </w:style>
  <w:style w:type="character" w:customStyle="1" w:styleId="163">
    <w:name w:val="hover51"/>
    <w:basedOn w:val="44"/>
    <w:qFormat/>
    <w:uiPriority w:val="0"/>
    <w:rPr>
      <w:color w:val="4285F4"/>
    </w:rPr>
  </w:style>
  <w:style w:type="character" w:customStyle="1" w:styleId="164">
    <w:name w:val="hover52"/>
    <w:basedOn w:val="44"/>
    <w:qFormat/>
    <w:uiPriority w:val="0"/>
    <w:rPr>
      <w:color w:val="1A85D7"/>
    </w:rPr>
  </w:style>
  <w:style w:type="character" w:customStyle="1" w:styleId="165">
    <w:name w:val="credit"/>
    <w:basedOn w:val="44"/>
    <w:qFormat/>
    <w:uiPriority w:val="0"/>
    <w:rPr>
      <w:sz w:val="18"/>
      <w:szCs w:val="18"/>
    </w:rPr>
  </w:style>
  <w:style w:type="character" w:customStyle="1" w:styleId="166">
    <w:name w:val="first-child"/>
    <w:basedOn w:val="44"/>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34</Pages>
  <Words>11270</Words>
  <Characters>11696</Characters>
  <Lines>397</Lines>
  <Paragraphs>112</Paragraphs>
  <TotalTime>4</TotalTime>
  <ScaleCrop>false</ScaleCrop>
  <LinksUpToDate>false</LinksUpToDate>
  <CharactersWithSpaces>12659</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2020-04-29T16:16:00Z</dcterms:created>
  <dc:creator>陈桂兰</dc:creator>
  <cp:lastModifiedBy>Kevin</cp:lastModifiedBy>
  <cp:lastPrinted>2022-06-07T02:51:00Z</cp:lastPrinted>
  <dcterms:modified xsi:type="dcterms:W3CDTF">2024-07-17T10:45:29Z</dcterms:modified>
  <dc:title>项目名称：2019年重庆市取消高速公路省界收费站项目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CA9229BF7F204DA08DD95BC61990121B</vt:lpwstr>
  </property>
</Properties>
</file>