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电子收费方向集成电路(IC)卡读写器技术标准编制服务采购</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7 </w:t>
      </w:r>
      <w:r>
        <w:rPr>
          <w:rFonts w:hint="eastAsia" w:ascii="宋体" w:hAnsi="宋体" w:cs="宋体"/>
          <w:b/>
          <w:color w:val="000000" w:themeColor="text1"/>
          <w:sz w:val="28"/>
          <w:szCs w:val="28"/>
          <w14:textFill>
            <w14:solidFill>
              <w14:schemeClr w14:val="tx1"/>
            </w14:solidFill>
          </w14:textFill>
        </w:rPr>
        <w:t>月</w:t>
      </w:r>
    </w:p>
    <w:p>
      <w:pPr>
        <w:pStyle w:val="10"/>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6996898"/>
      <w:bookmarkStart w:id="1" w:name="_Toc507428442"/>
      <w:bookmarkStart w:id="2" w:name="_Toc296602400"/>
      <w:bookmarkStart w:id="3" w:name="_Toc507319889"/>
      <w:bookmarkStart w:id="4" w:name="_Toc247085669"/>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1"/>
        <w:tabs>
          <w:tab w:val="right" w:leader="dot" w:pos="9628"/>
        </w:tabs>
        <w:ind w:left="0"/>
        <w:rPr>
          <w:b/>
          <w:bCs/>
          <w:caps/>
          <w:smallCaps w:val="0"/>
          <w:color w:val="000000" w:themeColor="text1"/>
          <w:highlight w:val="green"/>
          <w14:textFill>
            <w14:solidFill>
              <w14:schemeClr w14:val="tx1"/>
            </w14:solidFill>
          </w14:textFill>
        </w:rPr>
      </w:pPr>
    </w:p>
    <w:p>
      <w:pPr>
        <w:pStyle w:val="10"/>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246996900"/>
      <w:bookmarkStart w:id="6" w:name="_Toc247096243"/>
      <w:bookmarkStart w:id="7" w:name="_Toc507319890"/>
      <w:bookmarkStart w:id="8" w:name="_Toc179632527"/>
      <w:bookmarkStart w:id="9" w:name="_Toc144974479"/>
      <w:bookmarkStart w:id="10" w:name="_Toc2000404"/>
      <w:bookmarkStart w:id="11" w:name="_Toc247085671"/>
      <w:bookmarkStart w:id="12" w:name="_Toc152042287"/>
      <w:bookmarkStart w:id="13" w:name="_Toc152045511"/>
      <w:bookmarkStart w:id="14" w:name="_Toc246996157"/>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507319891"/>
      <w:bookmarkStart w:id="19" w:name="_Toc152042288"/>
      <w:bookmarkStart w:id="20" w:name="_Toc246996901"/>
      <w:bookmarkStart w:id="21" w:name="_Toc144974480"/>
      <w:bookmarkStart w:id="22" w:name="_Toc247085672"/>
      <w:bookmarkStart w:id="23" w:name="_Toc24874"/>
      <w:bookmarkStart w:id="24" w:name="_Toc246996158"/>
      <w:bookmarkStart w:id="25" w:name="_Toc11329213"/>
      <w:bookmarkStart w:id="26" w:name="_Toc6549"/>
      <w:bookmarkStart w:id="27" w:name="_Toc152045512"/>
      <w:bookmarkStart w:id="28" w:name="_Toc179632528"/>
      <w:bookmarkStart w:id="29" w:name="_Toc10076"/>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电子收费方向集成电路(IC)卡读写器技术标准编制服务采购</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52045513"/>
      <w:bookmarkStart w:id="31" w:name="_Toc507319892"/>
      <w:bookmarkStart w:id="32" w:name="_Toc179632529"/>
      <w:bookmarkStart w:id="33" w:name="_Toc144974481"/>
      <w:bookmarkStart w:id="34" w:name="_Toc246996902"/>
      <w:bookmarkStart w:id="35" w:name="_Toc247085673"/>
      <w:bookmarkStart w:id="36" w:name="_Toc246996159"/>
      <w:bookmarkStart w:id="37" w:name="_Toc18109"/>
      <w:bookmarkStart w:id="38" w:name="_Toc21343"/>
      <w:bookmarkStart w:id="39" w:name="_Toc11329214"/>
      <w:bookmarkStart w:id="40" w:name="_Toc152042289"/>
      <w:bookmarkStart w:id="41" w:name="_Toc10952"/>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cs="宋体"/>
          <w:color w:val="000000" w:themeColor="text1"/>
          <w:lang w:val="en-US"/>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lang w:val="en-US" w:eastAsia="zh-CN"/>
          <w14:textFill>
            <w14:solidFill>
              <w14:schemeClr w14:val="tx1"/>
            </w14:solidFill>
          </w14:textFill>
        </w:rPr>
        <w:t>重庆首讯科技股份有限公司。</w:t>
      </w:r>
    </w:p>
    <w:p>
      <w:pPr>
        <w:pStyle w:val="6"/>
        <w:adjustRightInd w:val="0"/>
        <w:spacing w:line="400" w:lineRule="exact"/>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w:t>
      </w:r>
      <w:r>
        <w:rPr>
          <w:rFonts w:hint="eastAsia" w:ascii="宋体" w:hAnsi="宋体" w:cs="宋体"/>
          <w:color w:val="000000" w:themeColor="text1"/>
          <w:szCs w:val="21"/>
          <w:lang w:val="en-US" w:eastAsia="zh-CN"/>
          <w14:textFill>
            <w14:solidFill>
              <w14:schemeClr w14:val="tx1"/>
            </w14:solidFill>
          </w14:textFill>
        </w:rPr>
        <w:t>本项目名称为</w:t>
      </w:r>
      <w:r>
        <w:rPr>
          <w:rFonts w:hint="eastAsia" w:ascii="宋体" w:hAnsi="宋体" w:cs="宋体"/>
          <w:color w:val="000000" w:themeColor="text1"/>
          <w:szCs w:val="21"/>
          <w:lang w:eastAsia="zh-CN"/>
          <w14:textFill>
            <w14:solidFill>
              <w14:schemeClr w14:val="tx1"/>
            </w14:solidFill>
          </w14:textFill>
        </w:rPr>
        <w:t>电子收费方向集成电路(IC)卡读写器技术标准编制服务采购项目</w:t>
      </w:r>
      <w:r>
        <w:rPr>
          <w:rFonts w:hint="eastAsia" w:ascii="宋体" w:hAnsi="宋体" w:cs="宋体"/>
          <w:color w:val="000000" w:themeColor="text1"/>
          <w:szCs w:val="21"/>
          <w14:textFill>
            <w14:solidFill>
              <w14:schemeClr w14:val="tx1"/>
            </w14:solidFill>
          </w14:textFill>
        </w:rPr>
        <w:t>。本次竞争性比选主要工作内容</w:t>
      </w:r>
      <w:r>
        <w:rPr>
          <w:rFonts w:hint="eastAsia" w:ascii="宋体" w:hAnsi="宋体" w:cs="宋体"/>
          <w:color w:val="000000" w:themeColor="text1"/>
          <w:szCs w:val="21"/>
          <w:lang w:val="en-US" w:eastAsia="zh-CN"/>
          <w14:textFill>
            <w14:solidFill>
              <w14:schemeClr w14:val="tx1"/>
            </w14:solidFill>
          </w14:textFill>
        </w:rPr>
        <w:t>包含</w:t>
      </w:r>
      <w:r>
        <w:rPr>
          <w:rFonts w:hint="eastAsia" w:ascii="宋体" w:hAnsi="宋体" w:cs="宋体"/>
          <w:color w:val="000000" w:themeColor="text1"/>
          <w:szCs w:val="21"/>
          <w:lang w:eastAsia="zh-CN"/>
          <w14:textFill>
            <w14:solidFill>
              <w14:schemeClr w14:val="tx1"/>
            </w14:solidFill>
          </w14:textFill>
        </w:rPr>
        <w:t>，在数据科学、人工智能、物联网技术3个核心技术领域的基础上，围绕运营收费领域、智慧化交通领域，同时为实现科改行动任务目标，依托“国产可信技术体系下的软硬件产品研发”项目研究成果，</w:t>
      </w:r>
      <w:r>
        <w:rPr>
          <w:rFonts w:hint="eastAsia" w:ascii="宋体" w:hAnsi="宋体" w:cs="宋体"/>
          <w:color w:val="000000" w:themeColor="text1"/>
          <w:szCs w:val="21"/>
          <w:lang w:val="en-US" w:eastAsia="zh-CN"/>
          <w14:textFill>
            <w14:solidFill>
              <w14:schemeClr w14:val="tx1"/>
            </w14:solidFill>
          </w14:textFill>
        </w:rPr>
        <w:t>完</w:t>
      </w:r>
      <w:r>
        <w:rPr>
          <w:rFonts w:hint="eastAsia" w:ascii="宋体" w:hAnsi="宋体" w:cs="宋体"/>
          <w:color w:val="000000" w:themeColor="text1"/>
          <w:szCs w:val="21"/>
          <w:lang w:eastAsia="zh-CN"/>
          <w14:textFill>
            <w14:solidFill>
              <w14:schemeClr w14:val="tx1"/>
            </w14:solidFill>
          </w14:textFill>
        </w:rPr>
        <w:t>成电子收费方向集成电路(IC)卡读写器技术标准1项。协助公司开展相关标准编制服务</w:t>
      </w:r>
      <w:r>
        <w:rPr>
          <w:rFonts w:hint="eastAsia" w:ascii="宋体" w:hAnsi="宋体" w:cs="宋体"/>
          <w:color w:val="000000" w:themeColor="text1"/>
          <w:szCs w:val="21"/>
          <w:lang w:val="en-US" w:eastAsia="zh-CN"/>
          <w14:textFill>
            <w14:solidFill>
              <w14:schemeClr w14:val="tx1"/>
            </w14:solidFill>
          </w14:textFill>
        </w:rPr>
        <w:t>等其他事项。</w:t>
      </w:r>
    </w:p>
    <w:p>
      <w:pPr>
        <w:spacing w:line="400" w:lineRule="exact"/>
        <w:ind w:firstLine="420" w:firstLineChars="2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2.3 实施路段：</w:t>
      </w:r>
      <w:r>
        <w:rPr>
          <w:rFonts w:hint="eastAsia" w:ascii="宋体" w:hAnsi="宋体" w:cs="宋体"/>
          <w:color w:val="000000" w:themeColor="text1"/>
          <w:kern w:val="2"/>
          <w:sz w:val="21"/>
          <w:szCs w:val="21"/>
          <w:lang w:val="en-US" w:eastAsia="zh-CN" w:bidi="ar-SA"/>
          <w14:textFill>
            <w14:solidFill>
              <w14:schemeClr w14:val="tx1"/>
            </w14:solidFill>
          </w14:textFill>
        </w:rPr>
        <w:t>无。</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2.4 采购预计金额：</w:t>
      </w:r>
      <w:r>
        <w:rPr>
          <w:rFonts w:hint="eastAsia" w:ascii="宋体" w:hAnsi="宋体" w:cs="宋体"/>
          <w:color w:val="000000" w:themeColor="text1"/>
          <w:kern w:val="2"/>
          <w:sz w:val="21"/>
          <w:szCs w:val="21"/>
          <w:lang w:val="en-US" w:eastAsia="zh-CN" w:bidi="ar-SA"/>
          <w14:textFill>
            <w14:solidFill>
              <w14:schemeClr w14:val="tx1"/>
            </w14:solidFill>
          </w14:textFill>
        </w:rPr>
        <w:t>10.50</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2.5比选范围：</w:t>
      </w:r>
      <w:r>
        <w:rPr>
          <w:rFonts w:hint="eastAsia" w:ascii="宋体" w:hAnsi="宋体" w:cs="宋体"/>
          <w:color w:val="000000" w:themeColor="text1"/>
          <w:szCs w:val="21"/>
          <w:lang w:val="en-US" w:eastAsia="zh-CN"/>
          <w14:textFill>
            <w14:solidFill>
              <w14:schemeClr w14:val="tx1"/>
            </w14:solidFill>
          </w14:textFill>
        </w:rPr>
        <w:t>完</w:t>
      </w:r>
      <w:r>
        <w:rPr>
          <w:rFonts w:hint="eastAsia" w:ascii="宋体" w:hAnsi="宋体" w:cs="宋体"/>
          <w:color w:val="000000" w:themeColor="text1"/>
          <w:szCs w:val="21"/>
          <w:lang w:eastAsia="zh-CN"/>
          <w14:textFill>
            <w14:solidFill>
              <w14:schemeClr w14:val="tx1"/>
            </w14:solidFill>
          </w14:textFill>
        </w:rPr>
        <w:t>成电子收费方向集成电路(IC)卡读写器技术标准1项。协助公司开展相关标准编制服务。</w:t>
      </w:r>
    </w:p>
    <w:p>
      <w:pPr>
        <w:spacing w:line="400" w:lineRule="exact"/>
        <w:ind w:firstLine="420" w:firstLineChars="200"/>
        <w:rPr>
          <w:rFonts w:hint="eastAsia" w:ascii="宋体" w:hAnsi="宋体" w:cs="宋体"/>
        </w:rPr>
      </w:pPr>
      <w:bookmarkStart w:id="43" w:name="_Toc152042290"/>
      <w:bookmarkStart w:id="44" w:name="_Toc11329215"/>
      <w:bookmarkStart w:id="45" w:name="_Toc246996160"/>
      <w:bookmarkStart w:id="46" w:name="_Toc30356"/>
      <w:bookmarkStart w:id="47" w:name="_Toc179632530"/>
      <w:bookmarkStart w:id="48" w:name="_Toc7065"/>
      <w:bookmarkStart w:id="49" w:name="_Toc10171"/>
      <w:bookmarkStart w:id="50" w:name="_Toc152045514"/>
      <w:bookmarkStart w:id="51" w:name="_Toc144974482"/>
      <w:bookmarkStart w:id="52" w:name="_Toc247085674"/>
      <w:bookmarkStart w:id="53" w:name="_Toc507319893"/>
      <w:bookmarkStart w:id="54" w:name="_Toc246996903"/>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 质保期：</w:t>
      </w:r>
      <w:r>
        <w:rPr>
          <w:rFonts w:hint="eastAsia" w:ascii="宋体" w:hAnsi="宋体" w:cs="宋体"/>
          <w:lang w:val="en-US" w:eastAsia="zh-CN"/>
        </w:rPr>
        <w:t>无</w:t>
      </w:r>
      <w:r>
        <w:rPr>
          <w:rFonts w:hint="eastAsia" w:ascii="宋体" w:hAnsi="宋体" w:cs="宋体"/>
        </w:rPr>
        <w:t>。</w:t>
      </w:r>
    </w:p>
    <w:p>
      <w:pPr>
        <w:spacing w:line="400" w:lineRule="exact"/>
        <w:ind w:firstLine="420" w:firstLineChars="200"/>
        <w:rPr>
          <w:rFonts w:hint="eastAsia" w:ascii="宋体" w:hAnsi="宋体" w:cs="宋体"/>
        </w:rPr>
      </w:pPr>
      <w:r>
        <w:rPr>
          <w:rFonts w:hint="eastAsia" w:ascii="宋体" w:hAnsi="宋体" w:cs="宋体"/>
          <w:highlight w:val="none"/>
          <w:lang w:val="en-US" w:eastAsia="zh-CN"/>
        </w:rPr>
        <w:t>2.7 工期要求：服务期限暂定3个月，具体按甲方统筹安排。</w:t>
      </w:r>
    </w:p>
    <w:p>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bookmarkStart w:id="55" w:name="_Toc152045515"/>
      <w:bookmarkStart w:id="56" w:name="_Toc179632531"/>
      <w:bookmarkStart w:id="57" w:name="_Toc144974483"/>
      <w:bookmarkStart w:id="58" w:name="_Toc247085675"/>
      <w:bookmarkStart w:id="59" w:name="_Toc246996904"/>
      <w:bookmarkStart w:id="60" w:name="_Toc152042291"/>
      <w:bookmarkStart w:id="61" w:name="_Toc246996161"/>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hint="eastAsia" w:ascii="宋体" w:hAnsi="宋体" w:eastAsia="宋体" w:cs="宋体"/>
          <w:sz w:val="24"/>
          <w:szCs w:val="24"/>
        </w:rPr>
      </w:pPr>
      <w:r>
        <w:rPr>
          <w:rFonts w:hint="eastAsia" w:ascii="宋体" w:hAnsi="宋体" w:cs="宋体"/>
          <w:color w:val="000000" w:themeColor="text1"/>
          <w:szCs w:val="21"/>
          <w:highlight w:val="none"/>
          <w:shd w:val="clear" w:color="auto" w:fill="FFFFFF"/>
          <w14:textFill>
            <w14:solidFill>
              <w14:schemeClr w14:val="tx1"/>
            </w14:solidFill>
          </w14:textFill>
        </w:rPr>
        <w:t>3.2 业绩要求：2021年1月1日至报价截止日期（以合同签订时间为准）至少完成一项合同金额不低于</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cs="宋体"/>
          <w:color w:val="000000" w:themeColor="text1"/>
          <w:szCs w:val="21"/>
          <w:highlight w:val="none"/>
          <w:shd w:val="clear" w:color="auto" w:fill="FFFFFF"/>
          <w14:textFill>
            <w14:solidFill>
              <w14:schemeClr w14:val="tx1"/>
            </w14:solidFill>
          </w14:textFill>
        </w:rPr>
        <w:t>万元的</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类似</w:t>
      </w:r>
      <w:r>
        <w:rPr>
          <w:rFonts w:ascii="宋体" w:hAnsi="宋体" w:eastAsia="宋体" w:cs="宋体"/>
          <w:sz w:val="24"/>
          <w:szCs w:val="24"/>
        </w:rPr>
        <w:t>技术咨询服务类业绩（提供合同扫描件、发票）</w:t>
      </w: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spacing w:line="400" w:lineRule="exact"/>
        <w:ind w:firstLine="420" w:firstLineChars="200"/>
        <w:rPr>
          <w:rFonts w:hint="default"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3.7</w:t>
      </w:r>
      <w:r>
        <w:rPr>
          <w:rFonts w:hint="eastAsia" w:ascii="宋体" w:hAnsi="宋体" w:eastAsia="宋体" w:cs="宋体"/>
          <w:color w:val="000000" w:themeColor="text1"/>
          <w:szCs w:val="21"/>
          <w:shd w:val="clear" w:color="auto" w:fill="FFFFFF"/>
          <w14:textFill>
            <w14:solidFill>
              <w14:schemeClr w14:val="tx1"/>
            </w14:solidFill>
          </w14:textFill>
        </w:rPr>
        <w:t>其他要求：提供首讯公司电子收费方向集成电路(IC)卡读写器技术标准编制服务竞争性比选现场踏勘回执。</w:t>
      </w:r>
    </w:p>
    <w:p>
      <w:pPr>
        <w:pStyle w:val="3"/>
        <w:spacing w:before="120" w:after="0" w:line="40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 评标办法</w:t>
      </w:r>
    </w:p>
    <w:p>
      <w:pPr>
        <w:pStyle w:val="7"/>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25619"/>
      <w:bookmarkStart w:id="63" w:name="_Toc12460"/>
      <w:bookmarkStart w:id="64" w:name="_Toc14361"/>
      <w:bookmarkStart w:id="65" w:name="_Toc507319894"/>
      <w:bookmarkStart w:id="66" w:name="_Toc11329216"/>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比选文件的获取</w:t>
      </w:r>
      <w:bookmarkEnd w:id="55"/>
      <w:bookmarkEnd w:id="56"/>
      <w:bookmarkEnd w:id="57"/>
      <w:bookmarkEnd w:id="58"/>
      <w:bookmarkEnd w:id="59"/>
      <w:bookmarkEnd w:id="60"/>
      <w:bookmarkEnd w:id="61"/>
      <w:bookmarkEnd w:id="62"/>
      <w:bookmarkEnd w:id="63"/>
      <w:bookmarkEnd w:id="64"/>
      <w:bookmarkEnd w:id="65"/>
      <w:bookmarkEnd w:id="66"/>
    </w:p>
    <w:p>
      <w:pPr>
        <w:pStyle w:val="3"/>
        <w:spacing w:before="120" w:after="0" w:line="400" w:lineRule="exact"/>
        <w:ind w:firstLine="420" w:firstLineChars="200"/>
        <w:rPr>
          <w:rFonts w:ascii="宋体" w:hAnsi="宋体" w:eastAsia="宋体" w:cs="宋体"/>
          <w:highlight w:val="none"/>
        </w:rPr>
      </w:pPr>
      <w:bookmarkStart w:id="67" w:name="_Toc11329217"/>
      <w:bookmarkStart w:id="68" w:name="_Toc179632532"/>
      <w:bookmarkStart w:id="69" w:name="_Toc152042292"/>
      <w:bookmarkStart w:id="70" w:name="_Toc247085676"/>
      <w:bookmarkStart w:id="71" w:name="_Toc507319895"/>
      <w:bookmarkStart w:id="72" w:name="_Toc144974484"/>
      <w:bookmarkStart w:id="73" w:name="_Toc246996905"/>
      <w:bookmarkStart w:id="74" w:name="_Toc246996162"/>
      <w:bookmarkStart w:id="75" w:name="_Toc152045516"/>
      <w:bookmarkStart w:id="76" w:name="_Toc16686"/>
      <w:bookmarkStart w:id="77" w:name="_Toc9131"/>
      <w:bookmarkStart w:id="78" w:name="_Toc31493"/>
      <w:bookmarkStart w:id="79" w:name="_Toc179632534"/>
      <w:bookmarkStart w:id="80" w:name="_Toc18402"/>
      <w:bookmarkStart w:id="81" w:name="_Toc247085678"/>
      <w:bookmarkStart w:id="82" w:name="_Toc152042293"/>
      <w:bookmarkStart w:id="83" w:name="_Toc144974485"/>
      <w:bookmarkStart w:id="84" w:name="_Toc246996907"/>
      <w:bookmarkStart w:id="85" w:name="_Toc246996164"/>
      <w:bookmarkStart w:id="86" w:name="_Toc152045517"/>
      <w:bookmarkStart w:id="87" w:name="_Toc11329219"/>
      <w:bookmarkStart w:id="88" w:name="_Toc21615"/>
      <w:bookmarkStart w:id="89" w:name="_Toc393"/>
      <w:bookmarkStart w:id="90" w:name="_Toc507319897"/>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凡愿意参加的潜在报价人，在</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2024</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年</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7</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月</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31</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日上午</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11:00</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前在重庆高速集团官网（http://www.cegc.com.cn）上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.1报价截止时间和开标时间：</w:t>
      </w:r>
      <w:r>
        <w:rPr>
          <w:rFonts w:hint="eastAsia" w:ascii="宋体" w:hAnsi="宋体"/>
          <w:szCs w:val="21"/>
          <w:u w:val="single"/>
        </w:rPr>
        <w:t>202</w:t>
      </w:r>
      <w:r>
        <w:rPr>
          <w:rFonts w:hint="eastAsia" w:ascii="宋体" w:hAnsi="宋体"/>
          <w:szCs w:val="21"/>
          <w:u w:val="single"/>
          <w:lang w:val="en-US" w:eastAsia="zh-CN"/>
        </w:rPr>
        <w:t>4</w:t>
      </w:r>
      <w:r>
        <w:rPr>
          <w:rFonts w:hint="eastAsia" w:ascii="宋体" w:hAnsi="宋体"/>
          <w:szCs w:val="21"/>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7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31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hint="default" w:ascii="宋体" w:hAnsi="宋体" w:cs="宋体"/>
          <w:szCs w:val="21"/>
        </w:rPr>
      </w:pPr>
      <w:r>
        <w:rPr>
          <w:rFonts w:hint="eastAsia" w:ascii="宋体" w:hAnsi="宋体" w:cs="宋体"/>
          <w:szCs w:val="21"/>
          <w:lang w:val="en-US" w:eastAsia="zh-CN"/>
        </w:rPr>
        <w:t>6.2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6.3递交地址：重庆市渝北区新南路52号东界龙湖三楼重庆首讯科技股份有限公司。</w:t>
      </w:r>
    </w:p>
    <w:p>
      <w:pPr>
        <w:tabs>
          <w:tab w:val="left" w:pos="360"/>
        </w:tabs>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6.4 逾期送达，或未送达指定地点，或未密封的竞争性比选响应文件，采购人不予受理。</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261" w:name="_GoBack"/>
      <w:bookmarkEnd w:id="261"/>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1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c>
          <w:tcPr>
            <w:tcW w:w="1415" w:type="dxa"/>
            <w:vAlign w:val="center"/>
          </w:tcPr>
          <w:p>
            <w:pPr>
              <w:pStyle w:val="1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李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lang w:val="en-US" w:eastAsia="zh-CN"/>
                <w14:textFill>
                  <w14:solidFill>
                    <w14:schemeClr w14:val="tx1"/>
                  </w14:solidFill>
                </w14:textFill>
              </w:rPr>
              <w:t>13251281994</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技术联系人：李</w:t>
            </w:r>
            <w:r>
              <w:rPr>
                <w:rFonts w:hint="eastAsia"/>
                <w:highlight w:val="none"/>
              </w:rPr>
              <w:t xml:space="preserve">老师      </w:t>
            </w:r>
            <w:r>
              <w:rPr>
                <w:highlight w:val="none"/>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18723050210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152042303"/>
      <w:bookmarkStart w:id="92" w:name="_Toc2000405"/>
      <w:bookmarkStart w:id="93" w:name="_Toc144974495"/>
      <w:bookmarkStart w:id="94" w:name="_Toc152045527"/>
      <w:bookmarkStart w:id="95" w:name="_Toc246996173"/>
      <w:bookmarkStart w:id="96" w:name="_Toc507319898"/>
      <w:bookmarkStart w:id="97" w:name="_Toc246996916"/>
      <w:bookmarkStart w:id="98" w:name="_Toc21719"/>
      <w:bookmarkStart w:id="99" w:name="_Toc179632544"/>
      <w:bookmarkStart w:id="100" w:name="_Toc247085687"/>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1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李工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13251281994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电子收费方向集成电路(IC)卡读写器技术标准编制服务采购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19"/>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19"/>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w:t>
            </w:r>
            <w:r>
              <w:rPr>
                <w:rFonts w:hint="eastAsia" w:ascii="宋体" w:hAnsi="宋体" w:cs="宋体"/>
                <w:b/>
                <w:color w:val="000000" w:themeColor="text1"/>
                <w:szCs w:val="21"/>
                <w:lang w:val="en-US" w:eastAsia="zh-CN"/>
                <w14:textFill>
                  <w14:solidFill>
                    <w14:schemeClr w14:val="tx1"/>
                  </w14:solidFill>
                </w14:textFill>
              </w:rPr>
              <w:t>105000.00元。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0"/>
                <w:numId w:val="0"/>
              </w:numPr>
              <w:spacing w:line="400" w:lineRule="exact"/>
              <w:ind w:firstLine="420" w:firstLineChars="200"/>
            </w:pPr>
            <w:r>
              <w:rPr>
                <w:rFonts w:hint="eastAsia"/>
                <w:lang w:eastAsia="zh-CN"/>
              </w:rPr>
              <w:t>（</w:t>
            </w:r>
            <w:r>
              <w:rPr>
                <w:rFonts w:hint="eastAsia"/>
                <w:lang w:val="en-US" w:eastAsia="zh-CN"/>
              </w:rPr>
              <w:t>1</w:t>
            </w:r>
            <w:r>
              <w:rPr>
                <w:rFonts w:hint="eastAsia"/>
                <w:lang w:eastAsia="zh-CN"/>
              </w:rPr>
              <w:t>）</w:t>
            </w:r>
            <w:r>
              <w:rPr>
                <w:rFonts w:hint="eastAsia"/>
              </w:rPr>
              <w:t>乙方完成合同约定的服务内容，提交标准文稿，经甲方确认</w:t>
            </w:r>
            <w:r>
              <w:rPr>
                <w:rFonts w:hint="eastAsia"/>
                <w:lang w:val="en-US" w:eastAsia="zh-CN"/>
              </w:rPr>
              <w:t>合格</w:t>
            </w:r>
            <w:r>
              <w:rPr>
                <w:rFonts w:hint="eastAsia"/>
              </w:rPr>
              <w:t>后，十五个工作日内向乙方支付合同金额的100%。。</w:t>
            </w:r>
          </w:p>
          <w:p>
            <w:pPr>
              <w:spacing w:line="400" w:lineRule="exact"/>
              <w:ind w:firstLine="420" w:firstLineChars="200"/>
              <w:rPr>
                <w:color w:val="000000" w:themeColor="text1"/>
                <w14:textFill>
                  <w14:solidFill>
                    <w14:schemeClr w14:val="tx1"/>
                  </w14:solidFill>
                </w14:textFill>
              </w:rPr>
            </w:pPr>
            <w:r>
              <w:rPr>
                <w:rFonts w:hint="eastAsia"/>
              </w:rPr>
              <w:t>注：乙方按合同约定的税率开具符合甲方要求的增值税发票。在合同履行期间，若国家税率政策发生变更调整的，合同的执行税率也随之进行相应的调整。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szCs w:val="21"/>
              </w:rPr>
              <w:t>违约责任</w:t>
            </w:r>
          </w:p>
        </w:tc>
        <w:tc>
          <w:tcPr>
            <w:tcW w:w="7104" w:type="dxa"/>
            <w:tcBorders>
              <w:bottom w:val="single" w:color="auto" w:sz="4" w:space="0"/>
            </w:tcBorders>
            <w:vAlign w:val="top"/>
          </w:tcPr>
          <w:p>
            <w:pPr>
              <w:spacing w:line="400" w:lineRule="exact"/>
              <w:ind w:firstLine="420" w:firstLineChars="200"/>
              <w:rPr>
                <w:rFonts w:hint="eastAsia" w:eastAsia="宋体"/>
              </w:rPr>
            </w:pPr>
            <w:r>
              <w:rPr>
                <w:rFonts w:hint="eastAsia" w:eastAsia="宋体"/>
              </w:rPr>
              <w:t>1</w:t>
            </w:r>
            <w:r>
              <w:rPr>
                <w:rFonts w:hint="eastAsia" w:eastAsia="宋体"/>
                <w:lang w:eastAsia="zh-CN"/>
              </w:rPr>
              <w:t>、</w:t>
            </w:r>
            <w:r>
              <w:rPr>
                <w:rFonts w:hint="eastAsia" w:eastAsia="宋体"/>
              </w:rPr>
              <w:t>因乙方原因未按本合同约定按时完成项目工作或提交相关技术成果的，应当承担违约责任；每逾期1天，甲方有权在进度款里按照合同总金额的万分之二扣除违约金，违约金原则上不超过合同总金额的2%，违约金不足以弥补甲方损失的，还应当赔偿甲方损失；乙方无正当理由逾期超过30天的，甲方有权单方解除合同，乙方应赔偿解除合同对甲方造成的所有损失。</w:t>
            </w:r>
          </w:p>
          <w:p>
            <w:pPr>
              <w:spacing w:line="400" w:lineRule="exact"/>
              <w:ind w:firstLine="420" w:firstLineChars="200"/>
              <w:rPr>
                <w:rFonts w:hint="eastAsia" w:eastAsia="宋体"/>
              </w:rPr>
            </w:pPr>
            <w:r>
              <w:rPr>
                <w:rFonts w:hint="eastAsia" w:eastAsia="宋体"/>
              </w:rPr>
              <w:t>2</w:t>
            </w:r>
            <w:r>
              <w:rPr>
                <w:rFonts w:hint="eastAsia" w:eastAsia="宋体"/>
                <w:lang w:eastAsia="zh-CN"/>
              </w:rPr>
              <w:t>、</w:t>
            </w:r>
            <w:r>
              <w:rPr>
                <w:rFonts w:hint="eastAsia" w:eastAsia="宋体"/>
              </w:rPr>
              <w:t>因甲方原因造成乙方工作重新返工的，乙方可按返工损失时间延长提交成果时间。</w:t>
            </w:r>
          </w:p>
          <w:p>
            <w:pPr>
              <w:spacing w:line="400" w:lineRule="exact"/>
              <w:ind w:firstLine="420" w:firstLineChars="200"/>
              <w:rPr>
                <w:rFonts w:hint="eastAsia" w:eastAsia="宋体"/>
              </w:rPr>
            </w:pPr>
            <w:r>
              <w:rPr>
                <w:rFonts w:hint="eastAsia" w:eastAsia="宋体"/>
              </w:rPr>
              <w:t>3</w:t>
            </w:r>
            <w:r>
              <w:rPr>
                <w:rFonts w:hint="eastAsia" w:eastAsia="宋体"/>
                <w:lang w:eastAsia="zh-CN"/>
              </w:rPr>
              <w:t>、</w:t>
            </w:r>
            <w:r>
              <w:rPr>
                <w:rFonts w:hint="eastAsia" w:eastAsia="宋体"/>
              </w:rPr>
              <w:t>乙方应保证，甲方在中华人民共和国使用该</w:t>
            </w:r>
            <w:r>
              <w:rPr>
                <w:rFonts w:hint="eastAsia"/>
                <w:lang w:val="en-US" w:eastAsia="zh-CN"/>
              </w:rPr>
              <w:t>技术标准</w:t>
            </w:r>
            <w:r>
              <w:rPr>
                <w:rFonts w:hint="eastAsia" w:eastAsia="宋体"/>
              </w:rPr>
              <w:t>或</w:t>
            </w:r>
            <w:r>
              <w:rPr>
                <w:rFonts w:hint="eastAsia"/>
                <w:lang w:val="en-US" w:eastAsia="zh-CN"/>
              </w:rPr>
              <w:t>技术标准的</w:t>
            </w:r>
            <w:r>
              <w:rPr>
                <w:rFonts w:hint="eastAsia" w:eastAsia="宋体"/>
              </w:rPr>
              <w:t>任何一部分时，免受第三方提出的侵犯其专利权、商标权、著作权或其它知识产权的起诉。如有发生，乙方应承担全部责任以及由此所发生的全部费用，包括但不限于甲方所支付的侵权损害赔偿费、律师费、诉讼费、仲裁费、办案差旅费等因应诉、沟通协调所发生的一切费用。</w:t>
            </w:r>
          </w:p>
          <w:p>
            <w:pPr>
              <w:spacing w:line="400" w:lineRule="exact"/>
              <w:ind w:firstLine="420" w:firstLineChars="200"/>
              <w:rPr>
                <w:rFonts w:hint="eastAsia" w:eastAsia="宋体"/>
              </w:rPr>
            </w:pPr>
            <w:r>
              <w:rPr>
                <w:rFonts w:hint="eastAsia" w:eastAsia="宋体"/>
              </w:rPr>
              <w:t>4</w:t>
            </w:r>
            <w:r>
              <w:rPr>
                <w:rFonts w:hint="eastAsia" w:eastAsia="宋体"/>
                <w:lang w:eastAsia="zh-CN"/>
              </w:rPr>
              <w:t>、</w:t>
            </w:r>
            <w:r>
              <w:rPr>
                <w:rFonts w:hint="eastAsia" w:eastAsia="宋体"/>
              </w:rPr>
              <w:t>由于不可抗拒力因素致使本合同无法执行时，双方免于承担责任。</w:t>
            </w:r>
          </w:p>
          <w:p>
            <w:pPr>
              <w:spacing w:line="400" w:lineRule="exact"/>
              <w:ind w:firstLine="420" w:firstLineChars="200"/>
              <w:rPr>
                <w:rFonts w:hint="eastAsia" w:eastAsia="宋体"/>
              </w:rPr>
            </w:pPr>
            <w:r>
              <w:rPr>
                <w:rFonts w:hint="eastAsia" w:eastAsia="宋体"/>
              </w:rPr>
              <w:t>5</w:t>
            </w:r>
            <w:r>
              <w:rPr>
                <w:rFonts w:hint="eastAsia" w:eastAsia="宋体"/>
                <w:lang w:eastAsia="zh-CN"/>
              </w:rPr>
              <w:t>、</w:t>
            </w:r>
            <w:r>
              <w:rPr>
                <w:rFonts w:hint="eastAsia" w:eastAsia="宋体"/>
              </w:rPr>
              <w:t>乙方在成果交付后，未按合同约定，根据甲方的要求，为甲方指定的人员提供技术指导和培训，或提供与使用该成果相关的技术服务的，甲方有权要求乙方按日支付合同总金额的万分之一的违约金。</w:t>
            </w:r>
          </w:p>
          <w:p>
            <w:pPr>
              <w:spacing w:line="400" w:lineRule="exact"/>
              <w:ind w:firstLine="420" w:firstLineChars="200"/>
              <w:rPr>
                <w:color w:val="000000" w:themeColor="text1"/>
                <w14:textFill>
                  <w14:solidFill>
                    <w14:schemeClr w14:val="tx1"/>
                  </w14:solidFill>
                </w14:textFill>
              </w:rPr>
            </w:pPr>
            <w:r>
              <w:rPr>
                <w:rFonts w:hint="eastAsia" w:eastAsia="宋体"/>
              </w:rPr>
              <w:t>6</w:t>
            </w:r>
            <w:r>
              <w:rPr>
                <w:rFonts w:hint="eastAsia" w:eastAsia="宋体"/>
                <w:lang w:eastAsia="zh-CN"/>
              </w:rPr>
              <w:t>、</w:t>
            </w:r>
            <w:r>
              <w:rPr>
                <w:rFonts w:hint="eastAsia" w:eastAsia="宋体"/>
              </w:rPr>
              <w:t>乙方在向甲方交付项目成果之前，自行将项目成果转让给第三人的，甲方有权解除合同，并要求乙方支付项目开发价款总金额的30%的违约金；并已支付费用应当全额退还。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b w:val="0"/>
                <w:bCs w:val="0"/>
                <w:color w:val="auto"/>
                <w:kern w:val="2"/>
                <w:sz w:val="21"/>
                <w:szCs w:val="21"/>
              </w:rPr>
              <w:t>元</w:t>
            </w:r>
            <w:r>
              <w:rPr>
                <w:rFonts w:hint="eastAsia" w:hAnsi="宋体"/>
                <w:color w:val="auto"/>
                <w:kern w:val="2"/>
                <w:sz w:val="21"/>
                <w:szCs w:val="21"/>
              </w:rPr>
              <w:t>，由报价人从公司基本账户将投标保证金汇至以下指定账户：</w:t>
            </w:r>
          </w:p>
          <w:p>
            <w:pPr>
              <w:pStyle w:val="19"/>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4</w:t>
            </w:r>
            <w:r>
              <w:rPr>
                <w:rFonts w:hAnsi="宋体"/>
                <w:color w:val="auto"/>
                <w:kern w:val="2"/>
                <w:sz w:val="21"/>
                <w:szCs w:val="21"/>
                <w:highlight w:val="none"/>
              </w:rPr>
              <w:t>年</w:t>
            </w:r>
            <w:r>
              <w:rPr>
                <w:rFonts w:hint="eastAsia" w:hAnsi="宋体"/>
                <w:color w:val="auto"/>
                <w:kern w:val="2"/>
                <w:sz w:val="21"/>
                <w:szCs w:val="21"/>
                <w:highlight w:val="none"/>
                <w:lang w:val="en-US" w:eastAsia="zh-CN"/>
              </w:rPr>
              <w:t>7</w:t>
            </w:r>
            <w:r>
              <w:rPr>
                <w:rFonts w:hAnsi="宋体"/>
                <w:color w:val="auto"/>
                <w:kern w:val="2"/>
                <w:sz w:val="21"/>
                <w:szCs w:val="21"/>
                <w:highlight w:val="none"/>
              </w:rPr>
              <w:t>月</w:t>
            </w:r>
            <w:r>
              <w:rPr>
                <w:rFonts w:hint="eastAsia" w:hAnsi="宋体"/>
                <w:color w:val="auto"/>
                <w:kern w:val="2"/>
                <w:sz w:val="21"/>
                <w:szCs w:val="21"/>
                <w:highlight w:val="none"/>
                <w:lang w:val="en-US" w:eastAsia="zh-CN"/>
              </w:rPr>
              <w:t>31</w:t>
            </w:r>
            <w:r>
              <w:rPr>
                <w:rFonts w:hAnsi="宋体"/>
                <w:color w:val="auto"/>
                <w:kern w:val="2"/>
                <w:sz w:val="21"/>
                <w:szCs w:val="21"/>
                <w:highlight w:val="none"/>
              </w:rPr>
              <w:t>日</w:t>
            </w:r>
            <w:r>
              <w:rPr>
                <w:rFonts w:hint="eastAsia" w:hAnsi="宋体"/>
                <w:color w:val="auto"/>
                <w:kern w:val="2"/>
                <w:sz w:val="21"/>
                <w:szCs w:val="21"/>
                <w:highlight w:val="none"/>
                <w:lang w:val="en-US" w:eastAsia="zh-CN"/>
              </w:rPr>
              <w:t>11</w:t>
            </w:r>
            <w:r>
              <w:rPr>
                <w:rFonts w:hAnsi="宋体"/>
                <w:color w:val="auto"/>
                <w:kern w:val="2"/>
                <w:sz w:val="21"/>
                <w:szCs w:val="21"/>
                <w:highlight w:val="none"/>
              </w:rPr>
              <w:t>时</w:t>
            </w:r>
            <w:r>
              <w:rPr>
                <w:rFonts w:hint="eastAsia" w:hAnsi="宋体"/>
                <w:color w:val="auto"/>
                <w:kern w:val="2"/>
                <w:sz w:val="21"/>
                <w:szCs w:val="21"/>
                <w:highlight w:val="none"/>
                <w:lang w:val="en-US" w:eastAsia="zh-CN"/>
              </w:rPr>
              <w:t>00</w:t>
            </w:r>
            <w:r>
              <w:rPr>
                <w:rFonts w:hAnsi="宋体"/>
                <w:color w:val="auto"/>
                <w:kern w:val="2"/>
                <w:sz w:val="21"/>
                <w:szCs w:val="21"/>
                <w:highlight w:val="none"/>
              </w:rPr>
              <w:t>分前；</w:t>
            </w:r>
          </w:p>
          <w:p>
            <w:pPr>
              <w:pStyle w:val="1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19"/>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19"/>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w:t>
            </w:r>
          </w:p>
          <w:p>
            <w:pPr>
              <w:pStyle w:val="1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9"/>
              <w:spacing w:line="400" w:lineRule="exact"/>
              <w:ind w:firstLine="422" w:firstLineChars="200"/>
              <w:rPr>
                <w:rFonts w:hint="eastAsia" w:hAnsi="宋体"/>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9"/>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19"/>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1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1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1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9"/>
              <w:spacing w:line="400" w:lineRule="exact"/>
              <w:jc w:val="center"/>
              <w:rPr>
                <w:rFonts w:hint="eastAsia"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25</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rPr>
              <w:t>评标结果将在重庆高速</w:t>
            </w:r>
            <w:r>
              <w:rPr>
                <w:rFonts w:hint="eastAsia"/>
                <w:lang w:val="en-US" w:eastAsia="zh-CN"/>
              </w:rPr>
              <w:t>集团官网</w:t>
            </w:r>
            <w:r>
              <w:rPr>
                <w:rFonts w:hint="eastAsia"/>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p>
        </w:tc>
        <w:tc>
          <w:tcPr>
            <w:tcW w:w="9210" w:type="dxa"/>
            <w:gridSpan w:val="2"/>
            <w:vAlign w:val="center"/>
          </w:tcPr>
          <w:p>
            <w:pPr>
              <w:pStyle w:val="19"/>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color w:val="000000" w:themeColor="text1"/>
          <w:sz w:val="28"/>
          <w:szCs w:val="28"/>
          <w14:textFill>
            <w14:solidFill>
              <w14:schemeClr w14:val="tx1"/>
            </w14:solidFill>
          </w14:textFill>
        </w:rPr>
      </w:pPr>
      <w:bookmarkStart w:id="103" w:name="_Toc11329222"/>
      <w:bookmarkStart w:id="104" w:name="_Toc17532"/>
      <w:bookmarkStart w:id="105" w:name="_Toc30198"/>
      <w:bookmarkStart w:id="106" w:name="_Toc11284"/>
      <w:r>
        <w:rPr>
          <w:rFonts w:hint="eastAsia" w:ascii="宋体" w:hAnsi="宋体" w:eastAsia="宋体" w:cs="宋体"/>
          <w:color w:val="000000" w:themeColor="text1"/>
          <w:sz w:val="28"/>
          <w:szCs w:val="28"/>
          <w14:textFill>
            <w14:solidFill>
              <w14:schemeClr w14:val="tx1"/>
            </w14:solidFill>
          </w14:textFill>
        </w:rPr>
        <w:t xml:space="preserve">附录1  </w:t>
      </w:r>
      <w:bookmarkEnd w:id="103"/>
      <w:bookmarkEnd w:id="104"/>
      <w:bookmarkEnd w:id="105"/>
      <w:bookmarkEnd w:id="106"/>
      <w:bookmarkStart w:id="107" w:name="_Toc25591"/>
      <w:bookmarkStart w:id="108" w:name="_Toc11329226"/>
      <w:bookmarkStart w:id="109" w:name="_Toc12773"/>
      <w:bookmarkStart w:id="110" w:name="_Toc27096"/>
      <w:r>
        <w:rPr>
          <w:rFonts w:hint="eastAsia" w:ascii="宋体" w:hAnsi="宋体" w:eastAsia="宋体" w:cs="宋体"/>
          <w:bCs w:val="0"/>
          <w:color w:val="000000" w:themeColor="text1"/>
          <w:sz w:val="28"/>
          <w:szCs w:val="28"/>
          <w14:textFill>
            <w14:solidFill>
              <w14:schemeClr w14:val="tx1"/>
            </w14:solidFill>
          </w14:textFill>
        </w:rPr>
        <w:t>资格审查文件</w:t>
      </w:r>
    </w:p>
    <w:bookmarkEnd w:id="107"/>
    <w:bookmarkEnd w:id="108"/>
    <w:bookmarkEnd w:id="109"/>
    <w:bookmarkEnd w:id="110"/>
    <w:p>
      <w:pPr>
        <w:jc w:val="center"/>
        <w:rPr>
          <w:rFonts w:hint="eastAsia" w:ascii="宋体" w:hAnsi="宋体" w:cs="宋体"/>
          <w:b/>
          <w:bCs/>
          <w:color w:val="000000" w:themeColor="text1"/>
          <w:sz w:val="28"/>
          <w:szCs w:val="28"/>
          <w14:textFill>
            <w14:solidFill>
              <w14:schemeClr w14:val="tx1"/>
            </w14:solidFill>
          </w14:textFill>
        </w:rPr>
      </w:pPr>
      <w:bookmarkStart w:id="111" w:name="_Toc8293"/>
      <w:bookmarkStart w:id="112" w:name="_Toc21487"/>
      <w:bookmarkStart w:id="113" w:name="_Toc27148"/>
      <w:bookmarkStart w:id="114" w:name="_Toc11329227"/>
      <w:bookmarkStart w:id="115" w:name="_Toc387234996"/>
      <w:bookmarkStart w:id="116" w:name="_Toc388534043"/>
      <w:r>
        <w:rPr>
          <w:rFonts w:hint="eastAsia" w:ascii="宋体" w:hAnsi="宋体" w:cs="宋体"/>
          <w:b/>
          <w:bCs/>
          <w:color w:val="000000" w:themeColor="text1"/>
          <w:sz w:val="28"/>
          <w:szCs w:val="28"/>
          <w14:textFill>
            <w14:solidFill>
              <w14:schemeClr w14:val="tx1"/>
            </w14:solidFill>
          </w14:textFill>
        </w:rPr>
        <w:t>（项目主要管理人员最低要求）</w:t>
      </w:r>
    </w:p>
    <w:p>
      <w:pPr>
        <w:jc w:val="center"/>
        <w:rPr>
          <w:rFonts w:hint="eastAsia" w:ascii="宋体" w:hAnsi="宋体" w:cs="宋体"/>
          <w:b/>
          <w:bCs/>
          <w:color w:val="000000" w:themeColor="text1"/>
          <w:sz w:val="28"/>
          <w:szCs w:val="28"/>
          <w14:textFill>
            <w14:solidFill>
              <w14:schemeClr w14:val="tx1"/>
            </w14:solidFill>
          </w14:textFill>
        </w:rPr>
      </w:pPr>
    </w:p>
    <w:p>
      <w:pPr>
        <w:pStyle w:val="6"/>
      </w:pPr>
    </w:p>
    <w:bookmarkEnd w:id="111"/>
    <w:bookmarkEnd w:id="112"/>
    <w:bookmarkEnd w:id="113"/>
    <w:bookmarkEnd w:id="114"/>
    <w:p>
      <w:pPr>
        <w:pStyle w:val="3"/>
        <w:ind w:firstLine="840" w:firstLineChars="4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注：报价人自行承诺，需附承诺书</w:t>
      </w:r>
      <w:r>
        <w:rPr>
          <w:rFonts w:hint="eastAsia" w:ascii="宋体" w:hAnsi="宋体" w:eastAsia="宋体" w:cs="宋体"/>
          <w:b w:val="0"/>
          <w:bCs/>
          <w:color w:val="000000" w:themeColor="text1"/>
          <w:sz w:val="21"/>
          <w:szCs w:val="21"/>
          <w14:textFill>
            <w14:solidFill>
              <w14:schemeClr w14:val="tx1"/>
            </w14:solidFill>
          </w14:textFill>
        </w:rPr>
        <w:t>并加盖单位鲜公章</w:t>
      </w:r>
      <w:r>
        <w:rPr>
          <w:rFonts w:hint="eastAsia" w:ascii="宋体" w:hAnsi="宋体" w:eastAsia="宋体" w:cs="宋体"/>
          <w:b w:val="0"/>
          <w:bCs/>
          <w:color w:val="000000" w:themeColor="text1"/>
          <w:sz w:val="21"/>
          <w:szCs w:val="21"/>
          <w:lang w:val="en-US" w:eastAsia="zh-CN"/>
          <w14:textFill>
            <w14:solidFill>
              <w14:schemeClr w14:val="tx1"/>
            </w14:solidFill>
          </w14:textFill>
        </w:rPr>
        <w:t>，无需提供相关证明资料。</w:t>
      </w:r>
    </w:p>
    <w:p>
      <w:pPr>
        <w:pStyle w:val="3"/>
        <w:ind w:firstLine="1124" w:firstLineChars="400"/>
        <w:jc w:val="both"/>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附录2 资格审查文件（项目其他人员最低要求）</w:t>
      </w:r>
    </w:p>
    <w:p>
      <w:pPr>
        <w:pStyle w:val="3"/>
        <w:jc w:val="center"/>
        <w:rPr>
          <w:rFonts w:ascii="微软雅黑" w:hAnsi="微软雅黑" w:eastAsia="微软雅黑" w:cs="微软雅黑"/>
          <w:i w:val="0"/>
          <w:iCs w:val="0"/>
          <w:caps w:val="0"/>
          <w:color w:val="000000"/>
          <w:spacing w:val="0"/>
          <w:sz w:val="20"/>
          <w:szCs w:val="20"/>
          <w:shd w:val="clear" w:fill="FCFCFC"/>
        </w:rPr>
      </w:pPr>
      <w:bookmarkStart w:id="117" w:name="_Toc17384"/>
      <w:bookmarkStart w:id="118" w:name="_Toc6096"/>
      <w:bookmarkStart w:id="119" w:name="_Toc4169"/>
      <w:r>
        <w:rPr>
          <w:rFonts w:ascii="微软雅黑" w:hAnsi="微软雅黑" w:eastAsia="微软雅黑" w:cs="微软雅黑"/>
          <w:i w:val="0"/>
          <w:iCs w:val="0"/>
          <w:caps w:val="0"/>
          <w:color w:val="000000"/>
          <w:spacing w:val="0"/>
          <w:sz w:val="20"/>
          <w:szCs w:val="20"/>
          <w:shd w:val="clear" w:fill="FCFCFC"/>
        </w:rPr>
        <w:t>满足项目开发需求。</w:t>
      </w:r>
    </w:p>
    <w:p>
      <w:pPr>
        <w:pStyle w:val="3"/>
        <w:rPr>
          <w:rFonts w:hAnsi="宋体"/>
          <w:b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附录3 资格审查文件（主要机械设备和试验检测设备最低要求）</w:t>
      </w:r>
      <w:bookmarkEnd w:id="117"/>
      <w:bookmarkEnd w:id="118"/>
      <w:bookmarkEnd w:id="119"/>
    </w:p>
    <w:bookmarkEnd w:id="115"/>
    <w:bookmarkEnd w:id="116"/>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bookmarkStart w:id="120" w:name="_Toc152042364"/>
      <w:bookmarkStart w:id="121" w:name="_Toc247085745"/>
      <w:bookmarkStart w:id="122" w:name="_Toc144974554"/>
      <w:bookmarkStart w:id="123" w:name="_Toc152045587"/>
      <w:bookmarkStart w:id="124" w:name="_Toc507319957"/>
      <w:bookmarkStart w:id="125" w:name="_Toc7682"/>
      <w:bookmarkStart w:id="126" w:name="_Toc2000406"/>
      <w:bookmarkStart w:id="127" w:name="_Toc246996973"/>
      <w:bookmarkStart w:id="128" w:name="_Toc179632605"/>
      <w:bookmarkStart w:id="129" w:name="_Toc246996230"/>
      <w:r>
        <w:rPr>
          <w:rFonts w:ascii="微软雅黑" w:hAnsi="微软雅黑" w:eastAsia="微软雅黑" w:cs="微软雅黑"/>
          <w:i w:val="0"/>
          <w:iCs w:val="0"/>
          <w:caps w:val="0"/>
          <w:color w:val="000000"/>
          <w:spacing w:val="0"/>
          <w:sz w:val="20"/>
          <w:szCs w:val="20"/>
          <w:shd w:val="clear" w:fill="FCFCFC"/>
        </w:rPr>
        <w:t>满足项目开发需求。</w:t>
      </w: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第三章 评标办法（经评审的最低投标价法）</w:t>
      </w:r>
      <w:bookmarkEnd w:id="120"/>
      <w:bookmarkEnd w:id="121"/>
      <w:bookmarkEnd w:id="122"/>
      <w:bookmarkEnd w:id="123"/>
      <w:bookmarkEnd w:id="124"/>
      <w:bookmarkEnd w:id="125"/>
      <w:bookmarkEnd w:id="126"/>
      <w:bookmarkEnd w:id="127"/>
      <w:bookmarkEnd w:id="128"/>
      <w:bookmarkEnd w:id="129"/>
    </w:p>
    <w:p>
      <w:pPr>
        <w:rPr>
          <w:color w:val="000000" w:themeColor="text1"/>
          <w14:textFill>
            <w14:solidFill>
              <w14:schemeClr w14:val="tx1"/>
            </w14:solidFill>
          </w14:textFill>
        </w:rPr>
      </w:pPr>
    </w:p>
    <w:tbl>
      <w:tblPr>
        <w:tblStyle w:val="1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1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0" w:name="_Toc13787"/>
      <w:r>
        <w:rPr>
          <w:rStyle w:val="21"/>
          <w:rFonts w:hint="eastAsia"/>
          <w:b/>
          <w:bCs/>
          <w:color w:val="000000" w:themeColor="text1"/>
          <w14:textFill>
            <w14:solidFill>
              <w14:schemeClr w14:val="tx1"/>
            </w14:solidFill>
          </w14:textFill>
        </w:rPr>
        <w:t>第四章 报价说明</w:t>
      </w:r>
      <w:bookmarkEnd w:id="130"/>
    </w:p>
    <w:p>
      <w:pPr>
        <w:pStyle w:val="2"/>
        <w:spacing w:before="0" w:after="0" w:line="360" w:lineRule="auto"/>
        <w:jc w:val="center"/>
        <w:rPr>
          <w:rFonts w:hint="eastAsia" w:ascii="宋体" w:hAnsi="宋体" w:cs="宋体"/>
          <w:color w:val="000000" w:themeColor="text1"/>
          <w14:textFill>
            <w14:solidFill>
              <w14:schemeClr w14:val="tx1"/>
            </w14:solidFill>
          </w14:textFill>
        </w:rPr>
      </w:pPr>
      <w:bookmarkStart w:id="131" w:name="_Toc514858705"/>
      <w:bookmarkStart w:id="132" w:name="_Toc247085855"/>
      <w:bookmarkStart w:id="133" w:name="_Toc2000409"/>
      <w:bookmarkStart w:id="134" w:name="_Toc179632789"/>
      <w:bookmarkStart w:id="135" w:name="_Toc24503"/>
      <w:bookmarkStart w:id="136" w:name="_Toc144974834"/>
      <w:bookmarkStart w:id="137" w:name="_Toc246996340"/>
      <w:bookmarkStart w:id="138" w:name="_Toc152042554"/>
      <w:bookmarkStart w:id="139" w:name="_Toc246997083"/>
      <w:bookmarkStart w:id="140" w:name="_Toc152045772"/>
      <w:bookmarkStart w:id="141" w:name="_Toc152045786"/>
      <w:bookmarkStart w:id="142" w:name="_Toc179632806"/>
      <w:bookmarkStart w:id="143" w:name="_Toc144974855"/>
      <w:bookmarkStart w:id="144" w:name="_Toc246997097"/>
      <w:bookmarkStart w:id="145" w:name="_Toc246996354"/>
      <w:bookmarkStart w:id="146" w:name="_Toc247085872"/>
      <w:bookmarkStart w:id="147" w:name="_Toc152042575"/>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第五章  工程量清单</w:t>
      </w:r>
      <w:bookmarkEnd w:id="131"/>
      <w:bookmarkEnd w:id="132"/>
      <w:bookmarkEnd w:id="133"/>
      <w:bookmarkEnd w:id="134"/>
      <w:bookmarkEnd w:id="135"/>
      <w:bookmarkEnd w:id="136"/>
      <w:bookmarkEnd w:id="137"/>
      <w:bookmarkEnd w:id="138"/>
      <w:bookmarkEnd w:id="139"/>
      <w:bookmarkEnd w:id="140"/>
    </w:p>
    <w:p>
      <w:pPr>
        <w:ind w:firstLine="420"/>
        <w:jc w:val="left"/>
        <w:rPr>
          <w:rFonts w:ascii="宋体" w:hAnsi="宋体" w:cs="宋体"/>
          <w:b/>
          <w:color w:val="000000" w:themeColor="text1"/>
          <w14:textFill>
            <w14:solidFill>
              <w14:schemeClr w14:val="tx1"/>
            </w14:solidFill>
          </w14:textFill>
        </w:rPr>
      </w:pPr>
      <w:bookmarkStart w:id="148" w:name="_Toc179632800"/>
      <w:bookmarkStart w:id="149" w:name="_Toc144974851"/>
      <w:bookmarkStart w:id="150" w:name="_Toc246996350"/>
      <w:bookmarkStart w:id="151" w:name="_Toc247096438"/>
      <w:bookmarkStart w:id="152" w:name="_Toc152042571"/>
      <w:bookmarkStart w:id="153" w:name="_Toc246997093"/>
      <w:bookmarkStart w:id="154" w:name="_Toc247085866"/>
      <w:bookmarkStart w:id="155" w:name="_Toc152045782"/>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56" w:name="_Toc2000410"/>
      <w:bookmarkStart w:id="157" w:name="_Toc513633963"/>
      <w:bookmarkStart w:id="158" w:name="_Toc503951042"/>
      <w:bookmarkStart w:id="159" w:name="_Toc514858706"/>
      <w:bookmarkStart w:id="160" w:name="_Toc12440"/>
      <w:bookmarkStart w:id="161" w:name="_Toc447827048"/>
      <w:r>
        <w:rPr>
          <w:rFonts w:hint="eastAsia" w:ascii="宋体" w:hAnsi="宋体" w:cs="宋体"/>
          <w:color w:val="000000" w:themeColor="text1"/>
          <w14:textFill>
            <w14:solidFill>
              <w14:schemeClr w14:val="tx1"/>
            </w14:solidFill>
          </w14:textFill>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详见附件。</w:t>
      </w:r>
      <w:r>
        <w:rPr>
          <w:rFonts w:hint="eastAsia" w:ascii="宋体" w:hAnsi="宋体" w:cs="宋体"/>
          <w:color w:val="000000" w:themeColor="text1"/>
          <w14:textFill>
            <w14:solidFill>
              <w14:schemeClr w14:val="tx1"/>
            </w14:solidFill>
          </w14:textFill>
        </w:rPr>
        <w:br w:type="page"/>
      </w:r>
      <w:bookmarkStart w:id="162" w:name="_Toc152042574"/>
      <w:bookmarkStart w:id="163" w:name="_Toc152045785"/>
      <w:bookmarkStart w:id="164" w:name="_Toc144974854"/>
    </w:p>
    <w:p>
      <w:pPr>
        <w:pStyle w:val="2"/>
        <w:spacing w:before="0" w:after="0" w:line="360" w:lineRule="auto"/>
        <w:jc w:val="center"/>
        <w:rPr>
          <w:rFonts w:ascii="宋体" w:hAnsi="宋体" w:cs="宋体"/>
          <w:color w:val="000000" w:themeColor="text1"/>
          <w14:textFill>
            <w14:solidFill>
              <w14:schemeClr w14:val="tx1"/>
            </w14:solidFill>
          </w14:textFill>
        </w:rPr>
      </w:pPr>
      <w:bookmarkStart w:id="165" w:name="_Toc10887"/>
      <w:bookmarkStart w:id="166" w:name="_Toc246997096"/>
      <w:bookmarkStart w:id="167" w:name="_Toc447827049"/>
      <w:bookmarkStart w:id="168" w:name="_Toc179632804"/>
      <w:bookmarkStart w:id="169" w:name="_Toc247085870"/>
      <w:bookmarkStart w:id="170" w:name="_Toc514858707"/>
      <w:bookmarkStart w:id="171" w:name="_Toc2000411"/>
      <w:bookmarkStart w:id="172" w:name="_Toc503951043"/>
      <w:bookmarkStart w:id="173" w:name="_Toc513633964"/>
      <w:bookmarkStart w:id="174" w:name="_Toc246996353"/>
      <w:r>
        <w:rPr>
          <w:rFonts w:hint="eastAsia" w:ascii="宋体" w:hAnsi="宋体" w:cs="宋体"/>
          <w:color w:val="000000" w:themeColor="text1"/>
          <w14:textFill>
            <w14:solidFill>
              <w14:schemeClr w14:val="tx1"/>
            </w14:solidFill>
          </w14:textFill>
        </w:rPr>
        <w:t>第七章  技术标准和工作要求</w:t>
      </w:r>
      <w:bookmarkEnd w:id="162"/>
      <w:bookmarkEnd w:id="163"/>
      <w:bookmarkEnd w:id="164"/>
      <w:bookmarkEnd w:id="165"/>
      <w:bookmarkEnd w:id="166"/>
      <w:bookmarkEnd w:id="167"/>
      <w:bookmarkEnd w:id="168"/>
      <w:bookmarkEnd w:id="169"/>
      <w:bookmarkEnd w:id="170"/>
      <w:bookmarkEnd w:id="171"/>
      <w:bookmarkEnd w:id="172"/>
      <w:bookmarkEnd w:id="173"/>
      <w:bookmarkEnd w:id="174"/>
    </w:p>
    <w:bookmarkEnd w:id="141"/>
    <w:bookmarkEnd w:id="142"/>
    <w:bookmarkEnd w:id="143"/>
    <w:bookmarkEnd w:id="144"/>
    <w:bookmarkEnd w:id="145"/>
    <w:bookmarkEnd w:id="146"/>
    <w:bookmarkEnd w:id="147"/>
    <w:p>
      <w:pPr>
        <w:pStyle w:val="2"/>
        <w:spacing w:before="0" w:after="0" w:line="360" w:lineRule="auto"/>
        <w:jc w:val="center"/>
        <w:rPr>
          <w:rFonts w:hint="eastAsia" w:ascii="宋体" w:hAnsi="宋体" w:cs="宋体"/>
          <w:color w:val="000000" w:themeColor="text1"/>
          <w14:textFill>
            <w14:solidFill>
              <w14:schemeClr w14:val="tx1"/>
            </w14:solidFill>
          </w14:textFill>
        </w:rPr>
      </w:pPr>
      <w:bookmarkStart w:id="175" w:name="_Toc514858708"/>
      <w:bookmarkStart w:id="176" w:name="_Toc514430114"/>
      <w:bookmarkStart w:id="177" w:name="_Toc12089"/>
      <w:bookmarkStart w:id="178" w:name="_Toc2000412"/>
      <w:bookmarkStart w:id="179" w:name="_Toc247085873"/>
      <w:bookmarkStart w:id="180" w:name="_Toc144974856"/>
      <w:bookmarkStart w:id="181" w:name="_Toc179632807"/>
      <w:bookmarkStart w:id="182" w:name="_Toc246997098"/>
      <w:bookmarkStart w:id="183" w:name="_Toc152045787"/>
      <w:bookmarkStart w:id="184" w:name="_Toc507320039"/>
      <w:bookmarkStart w:id="185" w:name="_Toc152042576"/>
      <w:bookmarkStart w:id="186" w:name="_Toc246996355"/>
      <w:r>
        <w:rPr>
          <w:rFonts w:hint="eastAsia" w:ascii="宋体" w:hAnsi="宋体" w:cs="宋体"/>
          <w:b/>
          <w:color w:val="000000" w:themeColor="text1"/>
          <w:kern w:val="0"/>
          <w:sz w:val="24"/>
          <w:lang w:val="en-US" w:eastAsia="zh-CN"/>
          <w14:textFill>
            <w14:solidFill>
              <w14:schemeClr w14:val="tx1"/>
            </w14:solidFill>
          </w14:textFill>
        </w:rPr>
        <w:t>详见附件。</w:t>
      </w: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rPr>
      </w:pPr>
    </w:p>
    <w:p>
      <w:pPr>
        <w:rPr>
          <w:rFonts w:hint="eastAsia"/>
        </w:rPr>
      </w:pPr>
    </w:p>
    <w:p>
      <w:pPr>
        <w:pStyle w:val="7"/>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75"/>
      <w:bookmarkEnd w:id="176"/>
      <w:bookmarkEnd w:id="177"/>
      <w:bookmarkEnd w:id="178"/>
      <w:r>
        <w:rPr>
          <w:rFonts w:hint="eastAsia" w:ascii="宋体" w:hAnsi="宋体" w:cs="宋体"/>
          <w:color w:val="000000" w:themeColor="text1"/>
          <w14:textFill>
            <w14:solidFill>
              <w14:schemeClr w14:val="tx1"/>
            </w14:solidFill>
          </w14:textFill>
        </w:rPr>
        <w:t>合同范本</w:t>
      </w:r>
    </w:p>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详情见附件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7"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88" w:name="_Toc24853"/>
      <w:bookmarkStart w:id="189" w:name="_Toc2000413"/>
      <w:bookmarkStart w:id="190" w:name="_Toc514858709"/>
      <w:r>
        <w:rPr>
          <w:rFonts w:hint="eastAsia" w:ascii="宋体" w:hAnsi="宋体" w:cs="宋体"/>
          <w:color w:val="000000" w:themeColor="text1"/>
          <w14:textFill>
            <w14:solidFill>
              <w14:schemeClr w14:val="tx1"/>
            </w14:solidFill>
          </w14:textFill>
        </w:rPr>
        <w:t>第九章  竞争性比选响应文件格式</w:t>
      </w:r>
      <w:bookmarkEnd w:id="187"/>
      <w:bookmarkEnd w:id="188"/>
      <w:bookmarkEnd w:id="189"/>
      <w:bookmarkEnd w:id="19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1" w:name="_Toc513633967"/>
      <w:bookmarkStart w:id="192" w:name="_Toc513646738"/>
      <w:bookmarkStart w:id="193" w:name="_Toc514858710"/>
      <w:bookmarkStart w:id="194" w:name="_Toc503951046"/>
      <w:bookmarkStart w:id="195" w:name="_Toc503971829"/>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1"/>
      <w:bookmarkEnd w:id="192"/>
      <w:bookmarkEnd w:id="193"/>
      <w:bookmarkEnd w:id="194"/>
      <w:bookmarkEnd w:id="195"/>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196" w:name="_Toc28780"/>
      <w:bookmarkStart w:id="197" w:name="_Toc11329273"/>
      <w:bookmarkStart w:id="198" w:name="_Toc1368"/>
      <w:bookmarkStart w:id="199" w:name="_Toc5459"/>
      <w:r>
        <w:rPr>
          <w:rFonts w:hint="eastAsia" w:ascii="宋体" w:hAnsi="宋体" w:eastAsia="宋体" w:cs="宋体"/>
          <w:color w:val="000000" w:themeColor="text1"/>
          <w14:textFill>
            <w14:solidFill>
              <w14:schemeClr w14:val="tx1"/>
            </w14:solidFill>
          </w14:textFill>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1"/>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1"/>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7"/>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6"/>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0" w:name="_Toc8870"/>
      <w:bookmarkStart w:id="201" w:name="_Toc11329274"/>
      <w:bookmarkStart w:id="202" w:name="_Toc29547"/>
      <w:bookmarkStart w:id="203" w:name="_Toc25874"/>
      <w:bookmarkStart w:id="204" w:name="_Toc15863"/>
      <w:bookmarkStart w:id="205" w:name="_Toc513633969"/>
      <w:bookmarkStart w:id="206" w:name="_Toc503951048"/>
      <w:bookmarkStart w:id="207" w:name="_Toc447827053"/>
      <w:r>
        <w:rPr>
          <w:rFonts w:hint="eastAsia" w:ascii="宋体" w:hAnsi="宋体" w:eastAsia="宋体" w:cs="宋体"/>
          <w:color w:val="000000" w:themeColor="text1"/>
          <w:sz w:val="28"/>
          <w14:textFill>
            <w14:solidFill>
              <w14:schemeClr w14:val="tx1"/>
            </w14:solidFill>
          </w14:textFill>
        </w:rPr>
        <w:t>一、</w:t>
      </w:r>
      <w:bookmarkEnd w:id="200"/>
      <w:bookmarkEnd w:id="201"/>
      <w:r>
        <w:rPr>
          <w:rFonts w:hint="eastAsia" w:ascii="宋体" w:hAnsi="宋体" w:eastAsia="宋体" w:cs="宋体"/>
          <w:color w:val="000000" w:themeColor="text1"/>
          <w:sz w:val="28"/>
          <w14:textFill>
            <w14:solidFill>
              <w14:schemeClr w14:val="tx1"/>
            </w14:solidFill>
          </w14:textFill>
        </w:rPr>
        <w:t>竞争比选响应声明书</w:t>
      </w:r>
      <w:bookmarkEnd w:id="202"/>
      <w:bookmarkEnd w:id="203"/>
      <w:bookmarkEnd w:id="204"/>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电子收费方向集成电路(IC)卡读写器技术标准编制服务采购</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元（大写金额：      ）</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7"/>
        <w:rPr>
          <w:rFonts w:hint="default" w:eastAsia="宋体"/>
          <w:lang w:val="en-US" w:eastAsia="zh-CN"/>
        </w:rPr>
      </w:pPr>
    </w:p>
    <w:p>
      <w:pPr>
        <w:rPr>
          <w:rFonts w:hint="default"/>
          <w:lang w:val="en-US" w:eastAsia="zh-CN"/>
        </w:rPr>
      </w:pPr>
    </w:p>
    <w:p>
      <w:pPr>
        <w:pStyle w:val="3"/>
        <w:jc w:val="center"/>
        <w:rPr>
          <w:rFonts w:ascii="宋体" w:hAnsi="宋体" w:eastAsia="宋体" w:cs="宋体"/>
          <w:color w:val="000000" w:themeColor="text1"/>
          <w:sz w:val="28"/>
          <w:szCs w:val="28"/>
          <w14:textFill>
            <w14:solidFill>
              <w14:schemeClr w14:val="tx1"/>
            </w14:solidFill>
          </w14:textFill>
        </w:rPr>
      </w:pPr>
      <w:bookmarkStart w:id="208" w:name="_Toc27815"/>
      <w:bookmarkStart w:id="209"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8"/>
    </w:p>
    <w:p>
      <w:pPr>
        <w:pStyle w:val="3"/>
        <w:jc w:val="center"/>
        <w:rPr>
          <w:rFonts w:ascii="宋体" w:hAnsi="宋体" w:eastAsia="宋体" w:cs="宋体"/>
          <w:color w:val="000000" w:themeColor="text1"/>
          <w:sz w:val="24"/>
          <w:szCs w:val="24"/>
          <w14:textFill>
            <w14:solidFill>
              <w14:schemeClr w14:val="tx1"/>
            </w14:solidFill>
          </w14:textFill>
        </w:rPr>
      </w:pPr>
      <w:bookmarkStart w:id="210"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09"/>
      <w:bookmarkEnd w:id="210"/>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1" w:name="_Toc352691662"/>
      <w:bookmarkStart w:id="212" w:name="_Toc369531698"/>
      <w:bookmarkStart w:id="213" w:name="_Toc27897"/>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1"/>
      <w:bookmarkEnd w:id="212"/>
      <w:bookmarkEnd w:id="213"/>
      <w:r>
        <w:rPr>
          <w:rFonts w:ascii="宋体" w:hAnsi="宋体"/>
          <w:color w:val="000000" w:themeColor="text1"/>
          <w14:textFill>
            <w14:solidFill>
              <w14:schemeClr w14:val="tx1"/>
            </w14:solidFill>
          </w14:textFill>
        </w:rPr>
        <w:t>龄</w:t>
      </w:r>
      <w:bookmarkStart w:id="214" w:name="_Toc384308377"/>
      <w:bookmarkStart w:id="215" w:name="_Toc15573"/>
      <w:bookmarkStart w:id="216" w:name="_Toc300835211"/>
      <w:bookmarkStart w:id="217" w:name="_Toc361508754"/>
      <w:bookmarkStart w:id="218" w:name="_Toc152045789"/>
      <w:bookmarkStart w:id="219" w:name="_Toc352691663"/>
      <w:bookmarkStart w:id="220" w:name="_Toc152042578"/>
      <w:bookmarkStart w:id="221" w:name="_Toc144974858"/>
      <w:bookmarkStart w:id="222" w:name="_Toc247527829"/>
      <w:bookmarkStart w:id="223" w:name="_Toc369531699"/>
      <w:bookmarkStart w:id="224" w:name="_Toc247514248"/>
      <w:r>
        <w:rPr>
          <w:rFonts w:ascii="宋体" w:hAnsi="宋体"/>
          <w:color w:val="000000" w:themeColor="text1"/>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25" w:name="_Toc491883233"/>
      <w:bookmarkStart w:id="226" w:name="_Toc58"/>
      <w:r>
        <w:rPr>
          <w:rFonts w:hint="eastAsia" w:ascii="宋体" w:hAnsi="宋体" w:eastAsia="宋体" w:cs="宋体"/>
          <w:color w:val="000000" w:themeColor="text1"/>
          <w:sz w:val="24"/>
          <w:szCs w:val="24"/>
          <w14:textFill>
            <w14:solidFill>
              <w14:schemeClr w14:val="tx1"/>
            </w14:solidFill>
          </w14:textFill>
        </w:rPr>
        <w:t>（二）</w:t>
      </w:r>
      <w:bookmarkEnd w:id="225"/>
      <w:r>
        <w:rPr>
          <w:rFonts w:hint="eastAsia" w:ascii="宋体" w:hAnsi="宋体" w:eastAsia="宋体" w:cs="宋体"/>
          <w:color w:val="000000" w:themeColor="text1"/>
          <w:sz w:val="24"/>
          <w:szCs w:val="24"/>
          <w14:textFill>
            <w14:solidFill>
              <w14:schemeClr w14:val="tx1"/>
            </w14:solidFill>
          </w14:textFill>
        </w:rPr>
        <w:t>法定代表人授权委托书</w:t>
      </w:r>
      <w:bookmarkEnd w:id="226"/>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7" w:name="_Toc11329275"/>
      <w:r>
        <w:rPr>
          <w:rFonts w:hint="eastAsia" w:ascii="宋体" w:hAnsi="宋体" w:cs="宋体"/>
          <w:b/>
          <w:bCs/>
          <w:color w:val="000000" w:themeColor="text1"/>
          <w:kern w:val="0"/>
          <w:sz w:val="28"/>
          <w:szCs w:val="32"/>
          <w14:textFill>
            <w14:solidFill>
              <w14:schemeClr w14:val="tx1"/>
            </w14:solidFill>
          </w14:textFill>
        </w:rPr>
        <w:t>三、</w:t>
      </w:r>
      <w:bookmarkEnd w:id="205"/>
      <w:bookmarkEnd w:id="206"/>
      <w:bookmarkEnd w:id="207"/>
      <w:bookmarkEnd w:id="227"/>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3"/>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eastAsia="zh-CN"/>
          <w14:textFill>
            <w14:solidFill>
              <w14:schemeClr w14:val="tx1"/>
            </w14:solidFill>
          </w14:textFill>
        </w:rPr>
        <w:t>电子收费方向集成电路(IC)卡读写器技术标准编制服务采购</w:t>
      </w:r>
      <w:r>
        <w:rPr>
          <w:rFonts w:hint="eastAsia" w:ascii="宋体" w:hAnsi="宋体"/>
          <w:color w:val="000000" w:themeColor="text1"/>
          <w:sz w:val="24"/>
          <w:lang w:val="en-US"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 xml:space="preserve">竞争比选响应报价如下： </w:t>
      </w:r>
    </w:p>
    <w:p>
      <w:pPr>
        <w:spacing w:line="400" w:lineRule="exact"/>
        <w:rPr>
          <w:rFonts w:ascii="宋体" w:hAnsi="宋体" w:cs="宋体"/>
          <w:color w:val="000000" w:themeColor="text1"/>
          <w:kern w:val="0"/>
          <w:szCs w:val="2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28" w:name="_Toc11329278"/>
      <w:bookmarkStart w:id="229" w:name="_Toc503951050"/>
      <w:bookmarkStart w:id="230" w:name="_Toc513633971"/>
      <w:bookmarkStart w:id="231" w:name="_Toc152045803"/>
      <w:bookmarkStart w:id="232" w:name="_Toc447827058"/>
      <w:bookmarkStart w:id="233" w:name="_Toc247085887"/>
      <w:bookmarkStart w:id="234" w:name="_Toc144974871"/>
      <w:bookmarkStart w:id="235" w:name="_Toc152042592"/>
      <w:bookmarkStart w:id="236" w:name="_Toc246996369"/>
      <w:bookmarkStart w:id="237" w:name="_Toc246997112"/>
      <w:bookmarkStart w:id="238" w:name="_Toc179632823"/>
      <w:r>
        <w:rPr>
          <w:rFonts w:hint="eastAsia" w:ascii="宋体" w:hAnsi="宋体" w:eastAsia="宋体" w:cs="宋体"/>
          <w:color w:val="000000" w:themeColor="text1"/>
          <w:sz w:val="28"/>
          <w14:textFill>
            <w14:solidFill>
              <w14:schemeClr w14:val="tx1"/>
            </w14:solidFill>
          </w14:textFill>
        </w:rPr>
        <w:br w:type="page"/>
      </w:r>
      <w:bookmarkStart w:id="239" w:name="_Toc11961"/>
      <w:bookmarkStart w:id="240" w:name="_Toc12910"/>
      <w:bookmarkStart w:id="241" w:name="_Toc18757"/>
      <w:r>
        <w:rPr>
          <w:rFonts w:hint="eastAsia" w:ascii="宋体" w:hAnsi="宋体" w:eastAsia="宋体" w:cs="宋体"/>
          <w:color w:val="000000" w:themeColor="text1"/>
          <w:sz w:val="28"/>
          <w14:textFill>
            <w14:solidFill>
              <w14:schemeClr w14:val="tx1"/>
            </w14:solidFill>
          </w14:textFill>
        </w:rPr>
        <w:t>四、资格审查资料</w:t>
      </w:r>
      <w:bookmarkEnd w:id="228"/>
      <w:bookmarkEnd w:id="229"/>
      <w:bookmarkEnd w:id="230"/>
      <w:bookmarkEnd w:id="239"/>
      <w:bookmarkEnd w:id="240"/>
      <w:bookmarkEnd w:id="241"/>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2" w:name="_Toc22003"/>
      <w:bookmarkStart w:id="243" w:name="_Toc32456"/>
      <w:bookmarkStart w:id="244" w:name="_Toc17915"/>
      <w:r>
        <w:rPr>
          <w:rFonts w:hint="eastAsia" w:ascii="宋体" w:hAnsi="宋体" w:eastAsia="宋体" w:cs="宋体"/>
          <w:color w:val="000000" w:themeColor="text1"/>
          <w:sz w:val="28"/>
          <w14:textFill>
            <w14:solidFill>
              <w14:schemeClr w14:val="tx1"/>
            </w14:solidFill>
          </w14:textFill>
        </w:rPr>
        <w:t>（营业执照、资质证书、项目人员资料等）</w:t>
      </w:r>
      <w:bookmarkEnd w:id="242"/>
      <w:bookmarkEnd w:id="243"/>
      <w:bookmarkEnd w:id="244"/>
    </w:p>
    <w:bookmarkEnd w:id="231"/>
    <w:bookmarkEnd w:id="232"/>
    <w:bookmarkEnd w:id="233"/>
    <w:bookmarkEnd w:id="234"/>
    <w:bookmarkEnd w:id="235"/>
    <w:bookmarkEnd w:id="236"/>
    <w:bookmarkEnd w:id="237"/>
    <w:bookmarkEnd w:id="238"/>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5" w:name="_Toc513633973"/>
      <w:bookmarkStart w:id="246" w:name="_Toc447827068"/>
      <w:bookmarkStart w:id="247" w:name="_Toc503951055"/>
      <w:bookmarkStart w:id="248" w:name="_Toc29559"/>
      <w:bookmarkStart w:id="249" w:name="_Toc11243"/>
      <w:bookmarkStart w:id="250" w:name="_Toc11672"/>
      <w:bookmarkStart w:id="251" w:name="_Toc11329281"/>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3"/>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0" w:firstLineChars="200"/>
        <w:rPr>
          <w:rFonts w:hint="eastAsia"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业绩要求：2021年1月1日至报价截止日期（以合同签订时间为准）至少完成一项合同金额不低于</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cs="宋体"/>
          <w:color w:val="000000" w:themeColor="text1"/>
          <w:szCs w:val="21"/>
          <w:highlight w:val="none"/>
          <w:shd w:val="clear" w:color="auto" w:fill="FFFFFF"/>
          <w14:textFill>
            <w14:solidFill>
              <w14:schemeClr w14:val="tx1"/>
            </w14:solidFill>
          </w14:textFill>
        </w:rPr>
        <w:t>万元的</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类似</w:t>
      </w:r>
      <w:r>
        <w:rPr>
          <w:rFonts w:hint="eastAsia" w:ascii="宋体" w:hAnsi="宋体" w:cs="宋体"/>
          <w:color w:val="000000" w:themeColor="text1"/>
          <w:szCs w:val="21"/>
          <w:highlight w:val="none"/>
          <w:shd w:val="clear" w:color="auto" w:fill="FFFFFF"/>
          <w14:textFill>
            <w14:solidFill>
              <w14:schemeClr w14:val="tx1"/>
            </w14:solidFill>
          </w14:textFill>
        </w:rPr>
        <w:t>技术咨询服务类业绩（提供合同扫描件、发票）。</w:t>
      </w:r>
    </w:p>
    <w:p>
      <w:pPr>
        <w:pStyle w:val="7"/>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3"/>
        <w:spacing w:before="0" w:after="0"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jc w:val="center"/>
        <w:rPr>
          <w:rFonts w:hint="eastAsia" w:eastAsia="宋体"/>
          <w:color w:val="000000" w:themeColor="text1"/>
          <w:lang w:val="en-US" w:eastAsia="zh-CN"/>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4</w:t>
      </w:r>
      <w:r>
        <w:rPr>
          <w:rFonts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人员要求</w:t>
      </w:r>
    </w:p>
    <w:p>
      <w:pPr>
        <w:pStyle w:val="3"/>
        <w:spacing w:before="0" w:after="0" w:line="360" w:lineRule="auto"/>
        <w:jc w:val="both"/>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5"/>
      <w:bookmarkEnd w:id="246"/>
      <w:bookmarkEnd w:id="247"/>
      <w:r>
        <w:rPr>
          <w:rFonts w:hint="eastAsia" w:ascii="宋体" w:hAnsi="宋体" w:eastAsia="宋体" w:cs="宋体"/>
          <w:color w:val="000000" w:themeColor="text1"/>
          <w:sz w:val="28"/>
          <w14:textFill>
            <w14:solidFill>
              <w14:schemeClr w14:val="tx1"/>
            </w14:solidFill>
          </w14:textFill>
        </w:rPr>
        <w:t>报价人须知前附表规定的材料</w:t>
      </w:r>
      <w:bookmarkEnd w:id="248"/>
      <w:bookmarkEnd w:id="249"/>
      <w:bookmarkEnd w:id="250"/>
      <w:bookmarkEnd w:id="251"/>
    </w:p>
    <w:p>
      <w:pPr>
        <w:pStyle w:val="4"/>
        <w:jc w:val="center"/>
        <w:rPr>
          <w:rFonts w:ascii="宋体" w:hAnsi="宋体" w:cs="宋体"/>
          <w:color w:val="000000" w:themeColor="text1"/>
          <w:sz w:val="28"/>
          <w14:textFill>
            <w14:solidFill>
              <w14:schemeClr w14:val="tx1"/>
            </w14:solidFill>
          </w14:textFill>
        </w:rPr>
      </w:pPr>
      <w:bookmarkStart w:id="252" w:name="bookmark81"/>
      <w:bookmarkStart w:id="253" w:name="_Toc503951058"/>
      <w:bookmarkStart w:id="254" w:name="_Toc513633974"/>
      <w:r>
        <w:rPr>
          <w:rFonts w:hint="eastAsia" w:ascii="宋体" w:hAnsi="宋体" w:cs="宋体"/>
          <w:color w:val="000000" w:themeColor="text1"/>
          <w:sz w:val="28"/>
          <w14:textFill>
            <w14:solidFill>
              <w14:schemeClr w14:val="tx1"/>
            </w14:solidFill>
          </w14:textFill>
        </w:rPr>
        <w:t>（一）</w:t>
      </w:r>
      <w:bookmarkEnd w:id="252"/>
      <w:bookmarkStart w:id="255" w:name="_Toc504639215"/>
      <w:bookmarkStart w:id="256" w:name="_Toc507681488"/>
      <w:bookmarkStart w:id="257" w:name="_Toc507681700"/>
      <w:r>
        <w:rPr>
          <w:rFonts w:hint="eastAsia" w:ascii="宋体" w:hAnsi="宋体" w:cs="宋体"/>
          <w:color w:val="000000" w:themeColor="text1"/>
          <w:sz w:val="28"/>
          <w14:textFill>
            <w14:solidFill>
              <w14:schemeClr w14:val="tx1"/>
            </w14:solidFill>
          </w14:textFill>
        </w:rPr>
        <w:t>报价人自行承诺部分</w:t>
      </w:r>
      <w:bookmarkEnd w:id="255"/>
      <w:bookmarkEnd w:id="256"/>
      <w:bookmarkEnd w:id="257"/>
    </w:p>
    <w:p>
      <w:pPr>
        <w:pStyle w:val="12"/>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宋体"/>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满足本项目一切开发周期、产品质量及服务等相关要求，响应比选函的一切内容，同时申明将按照业主要求组建项目团队。若我司中标本项目且无法满足业主相关需求，我司愿承</w:t>
      </w:r>
      <w:r>
        <w:rPr>
          <w:rFonts w:hint="eastAsia" w:ascii="宋体" w:hAnsi="宋体" w:eastAsia="宋体" w:cs="宋体"/>
          <w:color w:val="000000"/>
          <w:kern w:val="2"/>
          <w:sz w:val="24"/>
          <w:szCs w:val="24"/>
          <w:u w:val="none"/>
          <w:lang w:val="en-US" w:eastAsia="zh-CN" w:bidi="ar"/>
        </w:rPr>
        <w:t>担由此给采购人造成的一切损失。</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3、在合同约定的期限内完成合同规定的全部义务。</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4、我司在开发人员</w:t>
      </w:r>
      <w:r>
        <w:rPr>
          <w:rFonts w:hint="eastAsia" w:ascii="宋体" w:hAnsi="宋体" w:cs="宋体"/>
          <w:color w:val="000000"/>
          <w:kern w:val="2"/>
          <w:sz w:val="24"/>
          <w:szCs w:val="24"/>
          <w:u w:val="none"/>
          <w:lang w:val="en-US" w:eastAsia="zh-CN" w:bidi="ar"/>
        </w:rPr>
        <w:t xml:space="preserve"> </w:t>
      </w:r>
      <w:r>
        <w:rPr>
          <w:rFonts w:hint="eastAsia" w:ascii="宋体" w:hAnsi="宋体" w:eastAsia="宋体" w:cs="宋体"/>
          <w:color w:val="000000"/>
          <w:kern w:val="2"/>
          <w:sz w:val="24"/>
          <w:szCs w:val="24"/>
          <w:highlight w:val="none"/>
          <w:u w:val="none"/>
          <w:lang w:val="en-US" w:eastAsia="zh-CN" w:bidi="ar"/>
        </w:rPr>
        <w:t>人</w:t>
      </w:r>
      <w:r>
        <w:rPr>
          <w:rFonts w:hint="eastAsia" w:ascii="宋体" w:hAnsi="宋体" w:eastAsia="宋体" w:cs="宋体"/>
          <w:color w:val="000000"/>
          <w:kern w:val="2"/>
          <w:sz w:val="24"/>
          <w:szCs w:val="24"/>
          <w:u w:val="none"/>
          <w:lang w:val="en-US" w:eastAsia="zh-CN" w:bidi="ar"/>
        </w:rPr>
        <w:t>，实施人员</w:t>
      </w:r>
      <w:r>
        <w:rPr>
          <w:rFonts w:hint="eastAsia" w:ascii="宋体" w:hAnsi="宋体" w:cs="宋体"/>
          <w:color w:val="000000"/>
          <w:kern w:val="2"/>
          <w:sz w:val="24"/>
          <w:szCs w:val="24"/>
          <w:u w:val="none"/>
          <w:lang w:val="en-US" w:eastAsia="zh-CN" w:bidi="ar"/>
        </w:rPr>
        <w:t xml:space="preserve"> </w:t>
      </w:r>
      <w:r>
        <w:rPr>
          <w:rFonts w:hint="eastAsia" w:ascii="宋体" w:hAnsi="宋体" w:eastAsia="宋体" w:cs="宋体"/>
          <w:color w:val="000000"/>
          <w:kern w:val="2"/>
          <w:sz w:val="24"/>
          <w:szCs w:val="24"/>
          <w:u w:val="none"/>
          <w:lang w:val="en-US" w:eastAsia="zh-CN" w:bidi="ar"/>
        </w:rPr>
        <w:t>名。</w:t>
      </w:r>
    </w:p>
    <w:p>
      <w:pPr>
        <w:pStyle w:val="6"/>
        <w:rPr>
          <w:rFonts w:hint="eastAsia"/>
        </w:rPr>
      </w:pPr>
    </w:p>
    <w:p>
      <w:pPr>
        <w:pStyle w:val="12"/>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12"/>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58" w:name="_Toc508110857"/>
      <w:bookmarkStart w:id="259" w:name="_Toc4375"/>
      <w:bookmarkStart w:id="260" w:name="_Toc452107137"/>
      <w:r>
        <w:rPr>
          <w:rFonts w:hint="eastAsia"/>
          <w:color w:val="000000" w:themeColor="text1"/>
          <w:sz w:val="28"/>
          <w:szCs w:val="28"/>
          <w14:textFill>
            <w14:solidFill>
              <w14:schemeClr w14:val="tx1"/>
            </w14:solidFill>
          </w14:textFill>
        </w:rPr>
        <w:t>（一）报价人基本信息表</w:t>
      </w:r>
      <w:bookmarkEnd w:id="258"/>
      <w:bookmarkEnd w:id="259"/>
      <w:bookmarkEnd w:id="260"/>
    </w:p>
    <w:p>
      <w:pPr>
        <w:pStyle w:val="8"/>
        <w:rPr>
          <w:color w:val="000000" w:themeColor="text1"/>
          <w14:textFill>
            <w14:solidFill>
              <w14:schemeClr w14:val="tx1"/>
            </w14:solidFill>
          </w14:textFill>
        </w:rPr>
      </w:pPr>
    </w:p>
    <w:tbl>
      <w:tblPr>
        <w:tblStyle w:val="1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numPr>
          <w:ilvl w:val="0"/>
          <w:numId w:val="0"/>
        </w:numPr>
        <w:jc w:val="center"/>
        <w:rPr>
          <w:rFonts w:hint="eastAsia" w:ascii="宋体" w:hAnsi="宋体" w:cs="宋体"/>
          <w:color w:val="000000" w:themeColor="text1"/>
          <w:sz w:val="28"/>
          <w14:textFill>
            <w14:solidFill>
              <w14:schemeClr w14:val="tx1"/>
            </w14:solidFill>
          </w14:textFill>
        </w:rPr>
      </w:pP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二</w:t>
      </w: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其他材料</w:t>
      </w:r>
    </w:p>
    <w:bookmarkEnd w:id="253"/>
    <w:bookmarkEnd w:id="254"/>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79</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35</w: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520" w:h="235" w:hRule="exact" w:wrap="around" w:vAnchor="text" w:hAnchor="page" w:x="6073" w:y="-2"/>
      <w:rPr>
        <w:rStyle w:val="17"/>
      </w:rPr>
    </w:pPr>
    <w:r>
      <w:fldChar w:fldCharType="begin"/>
    </w:r>
    <w:r>
      <w:rPr>
        <w:rStyle w:val="17"/>
      </w:rPr>
      <w:instrText xml:space="preserve">PAGE  </w:instrText>
    </w:r>
    <w:r>
      <w:fldChar w:fldCharType="separate"/>
    </w:r>
    <w:r>
      <w:rPr>
        <w:rStyle w:val="17"/>
      </w:rPr>
      <w:t>78</w:t>
    </w:r>
    <w:r>
      <w:fldChar w:fldCharType="end"/>
    </w:r>
  </w:p>
  <w:p>
    <w:pPr>
      <w:pStyle w:val="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fldChar w:fldCharType="begin"/>
                          </w:r>
                          <w:r>
                            <w:rPr>
                              <w:rStyle w:val="17"/>
                            </w:rPr>
                            <w:instrText xml:space="preserve">PAGE  </w:instrText>
                          </w:r>
                          <w:r>
                            <w:fldChar w:fldCharType="separate"/>
                          </w:r>
                          <w:r>
                            <w:rPr>
                              <w:rStyle w:val="1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8"/>
                      <w:rPr>
                        <w:rStyle w:val="17"/>
                      </w:rPr>
                    </w:pPr>
                    <w:r>
                      <w:fldChar w:fldCharType="begin"/>
                    </w:r>
                    <w:r>
                      <w:rPr>
                        <w:rStyle w:val="17"/>
                      </w:rPr>
                      <w:instrText xml:space="preserve">PAGE  </w:instrText>
                    </w:r>
                    <w:r>
                      <w:fldChar w:fldCharType="separate"/>
                    </w:r>
                    <w:r>
                      <w:rPr>
                        <w:rStyle w:val="1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1CE1D"/>
    <w:multiLevelType w:val="singleLevel"/>
    <w:tmpl w:val="3871C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ODFlNmE4ZThiM2NhMjQ3NjYwNDc3ZjA5NzlkNzkifQ=="/>
  </w:docVars>
  <w:rsids>
    <w:rsidRoot w:val="40562453"/>
    <w:rsid w:val="0083481C"/>
    <w:rsid w:val="016234D2"/>
    <w:rsid w:val="01CD2B81"/>
    <w:rsid w:val="01DB319C"/>
    <w:rsid w:val="02054F52"/>
    <w:rsid w:val="03107D15"/>
    <w:rsid w:val="032329BA"/>
    <w:rsid w:val="034A70C0"/>
    <w:rsid w:val="037A1943"/>
    <w:rsid w:val="05506B2F"/>
    <w:rsid w:val="05BD626F"/>
    <w:rsid w:val="061841B3"/>
    <w:rsid w:val="06CF19BA"/>
    <w:rsid w:val="08595C21"/>
    <w:rsid w:val="086107BE"/>
    <w:rsid w:val="096C0084"/>
    <w:rsid w:val="097C1F9D"/>
    <w:rsid w:val="0A693330"/>
    <w:rsid w:val="0AEF0200"/>
    <w:rsid w:val="0B1A4809"/>
    <w:rsid w:val="0BC47C2C"/>
    <w:rsid w:val="0C132AFC"/>
    <w:rsid w:val="0CA152BE"/>
    <w:rsid w:val="0CA2226B"/>
    <w:rsid w:val="0D0B5B12"/>
    <w:rsid w:val="0D4E1C87"/>
    <w:rsid w:val="0E393859"/>
    <w:rsid w:val="0EA57CDD"/>
    <w:rsid w:val="0F5D461F"/>
    <w:rsid w:val="0FCB5AE4"/>
    <w:rsid w:val="101F0E02"/>
    <w:rsid w:val="10285E8F"/>
    <w:rsid w:val="10293910"/>
    <w:rsid w:val="11FA160D"/>
    <w:rsid w:val="125C66E7"/>
    <w:rsid w:val="12931664"/>
    <w:rsid w:val="1303728B"/>
    <w:rsid w:val="13223B44"/>
    <w:rsid w:val="13B80669"/>
    <w:rsid w:val="1433393F"/>
    <w:rsid w:val="14C72DBA"/>
    <w:rsid w:val="1696521E"/>
    <w:rsid w:val="173F073C"/>
    <w:rsid w:val="17AC5EFC"/>
    <w:rsid w:val="1824217E"/>
    <w:rsid w:val="18EB1E70"/>
    <w:rsid w:val="18F97167"/>
    <w:rsid w:val="194B0F90"/>
    <w:rsid w:val="19861967"/>
    <w:rsid w:val="1AFD0644"/>
    <w:rsid w:val="1B6B37DB"/>
    <w:rsid w:val="1BE36D3B"/>
    <w:rsid w:val="1CAB4C1C"/>
    <w:rsid w:val="1E3626DA"/>
    <w:rsid w:val="1E8F0832"/>
    <w:rsid w:val="1F0614F2"/>
    <w:rsid w:val="1F217DA1"/>
    <w:rsid w:val="1FBF03F0"/>
    <w:rsid w:val="215D76CB"/>
    <w:rsid w:val="217D50CB"/>
    <w:rsid w:val="22551E62"/>
    <w:rsid w:val="228E32C0"/>
    <w:rsid w:val="22E2037C"/>
    <w:rsid w:val="23092C0A"/>
    <w:rsid w:val="235B7191"/>
    <w:rsid w:val="23805560"/>
    <w:rsid w:val="243B2F6E"/>
    <w:rsid w:val="2477083A"/>
    <w:rsid w:val="25657932"/>
    <w:rsid w:val="25EF3271"/>
    <w:rsid w:val="26D63897"/>
    <w:rsid w:val="282E0D01"/>
    <w:rsid w:val="287732F1"/>
    <w:rsid w:val="28810F26"/>
    <w:rsid w:val="28C6717E"/>
    <w:rsid w:val="29565F0F"/>
    <w:rsid w:val="299C149B"/>
    <w:rsid w:val="29CA0CFF"/>
    <w:rsid w:val="29D02628"/>
    <w:rsid w:val="2ABA24CE"/>
    <w:rsid w:val="2B9454DA"/>
    <w:rsid w:val="2BA8559F"/>
    <w:rsid w:val="2BAF763B"/>
    <w:rsid w:val="2EE4649E"/>
    <w:rsid w:val="2F3E2D0F"/>
    <w:rsid w:val="3106021B"/>
    <w:rsid w:val="311F12DD"/>
    <w:rsid w:val="31BC474D"/>
    <w:rsid w:val="31E247E4"/>
    <w:rsid w:val="32587506"/>
    <w:rsid w:val="32963D0B"/>
    <w:rsid w:val="337C4AE6"/>
    <w:rsid w:val="33B9096A"/>
    <w:rsid w:val="33FB61D0"/>
    <w:rsid w:val="34191C89"/>
    <w:rsid w:val="34225223"/>
    <w:rsid w:val="343E5272"/>
    <w:rsid w:val="36A4475E"/>
    <w:rsid w:val="36C801AF"/>
    <w:rsid w:val="36CA5847"/>
    <w:rsid w:val="36FB00F6"/>
    <w:rsid w:val="375F35B5"/>
    <w:rsid w:val="376F4251"/>
    <w:rsid w:val="381A520E"/>
    <w:rsid w:val="38D47048"/>
    <w:rsid w:val="38EB5754"/>
    <w:rsid w:val="39277C8A"/>
    <w:rsid w:val="3A415021"/>
    <w:rsid w:val="3A6442DC"/>
    <w:rsid w:val="3A8801D3"/>
    <w:rsid w:val="3AA15501"/>
    <w:rsid w:val="3ADF3C25"/>
    <w:rsid w:val="3C065E33"/>
    <w:rsid w:val="3C181465"/>
    <w:rsid w:val="3C443027"/>
    <w:rsid w:val="3CA36D89"/>
    <w:rsid w:val="3D086489"/>
    <w:rsid w:val="3D962E9A"/>
    <w:rsid w:val="3DBD6105"/>
    <w:rsid w:val="3DFA4EFA"/>
    <w:rsid w:val="3E5351F4"/>
    <w:rsid w:val="3EA261B5"/>
    <w:rsid w:val="3EA477D4"/>
    <w:rsid w:val="3EB82ED9"/>
    <w:rsid w:val="3EFE4C27"/>
    <w:rsid w:val="3F3654E4"/>
    <w:rsid w:val="3F45735D"/>
    <w:rsid w:val="3F640884"/>
    <w:rsid w:val="3F8769CB"/>
    <w:rsid w:val="3F9B6A67"/>
    <w:rsid w:val="3FBD5D22"/>
    <w:rsid w:val="3FED6E84"/>
    <w:rsid w:val="40510981"/>
    <w:rsid w:val="40562453"/>
    <w:rsid w:val="40606BAD"/>
    <w:rsid w:val="41317ABC"/>
    <w:rsid w:val="41446E23"/>
    <w:rsid w:val="4153517C"/>
    <w:rsid w:val="41632342"/>
    <w:rsid w:val="41C841CE"/>
    <w:rsid w:val="421309EA"/>
    <w:rsid w:val="427D40B5"/>
    <w:rsid w:val="431D401F"/>
    <w:rsid w:val="43503E67"/>
    <w:rsid w:val="440F4D37"/>
    <w:rsid w:val="44786965"/>
    <w:rsid w:val="45310312"/>
    <w:rsid w:val="456B35F3"/>
    <w:rsid w:val="459D40D3"/>
    <w:rsid w:val="47F00216"/>
    <w:rsid w:val="47FF2A2E"/>
    <w:rsid w:val="48123D9C"/>
    <w:rsid w:val="48624490"/>
    <w:rsid w:val="48B84099"/>
    <w:rsid w:val="498034A5"/>
    <w:rsid w:val="499917D4"/>
    <w:rsid w:val="49995F51"/>
    <w:rsid w:val="4ADF47D6"/>
    <w:rsid w:val="4AF1239F"/>
    <w:rsid w:val="4B717EB6"/>
    <w:rsid w:val="4C60645B"/>
    <w:rsid w:val="4CC90409"/>
    <w:rsid w:val="4D2C5ABB"/>
    <w:rsid w:val="4DA81EB0"/>
    <w:rsid w:val="4DE51C47"/>
    <w:rsid w:val="4E7B19BA"/>
    <w:rsid w:val="4E803ED7"/>
    <w:rsid w:val="4EC82A2E"/>
    <w:rsid w:val="4F9E1ABE"/>
    <w:rsid w:val="4FAE3D60"/>
    <w:rsid w:val="50064A19"/>
    <w:rsid w:val="50712488"/>
    <w:rsid w:val="51244DF0"/>
    <w:rsid w:val="51646B6C"/>
    <w:rsid w:val="51927109"/>
    <w:rsid w:val="51AE63EB"/>
    <w:rsid w:val="522D01E0"/>
    <w:rsid w:val="52676B10"/>
    <w:rsid w:val="52BE7ACF"/>
    <w:rsid w:val="535E3DD5"/>
    <w:rsid w:val="538D10A1"/>
    <w:rsid w:val="53A15B43"/>
    <w:rsid w:val="55261643"/>
    <w:rsid w:val="55B26AC6"/>
    <w:rsid w:val="56532B2E"/>
    <w:rsid w:val="57381EA7"/>
    <w:rsid w:val="582E57DE"/>
    <w:rsid w:val="58B06210"/>
    <w:rsid w:val="598C3505"/>
    <w:rsid w:val="59C21551"/>
    <w:rsid w:val="5A02233A"/>
    <w:rsid w:val="5A5F205C"/>
    <w:rsid w:val="5A951B44"/>
    <w:rsid w:val="5ABB1768"/>
    <w:rsid w:val="5B1D0508"/>
    <w:rsid w:val="5B696055"/>
    <w:rsid w:val="5BDC1DAB"/>
    <w:rsid w:val="5BDC60F5"/>
    <w:rsid w:val="5CB47325"/>
    <w:rsid w:val="5D693538"/>
    <w:rsid w:val="5DA402F0"/>
    <w:rsid w:val="5FF27AE1"/>
    <w:rsid w:val="613735AE"/>
    <w:rsid w:val="61542052"/>
    <w:rsid w:val="61903D20"/>
    <w:rsid w:val="61A86734"/>
    <w:rsid w:val="6245633B"/>
    <w:rsid w:val="627D665A"/>
    <w:rsid w:val="62FD557A"/>
    <w:rsid w:val="63485E56"/>
    <w:rsid w:val="643B19AE"/>
    <w:rsid w:val="64DE74FF"/>
    <w:rsid w:val="65285B05"/>
    <w:rsid w:val="65817895"/>
    <w:rsid w:val="66091FA1"/>
    <w:rsid w:val="66AF7EAA"/>
    <w:rsid w:val="675D7EEB"/>
    <w:rsid w:val="6764746E"/>
    <w:rsid w:val="67B0620F"/>
    <w:rsid w:val="696F420B"/>
    <w:rsid w:val="6A4674D0"/>
    <w:rsid w:val="6A4D41E9"/>
    <w:rsid w:val="6A9F0CDD"/>
    <w:rsid w:val="6AF66C20"/>
    <w:rsid w:val="6C482ED0"/>
    <w:rsid w:val="6E382763"/>
    <w:rsid w:val="6E671430"/>
    <w:rsid w:val="6E6A7525"/>
    <w:rsid w:val="6E9F4E0D"/>
    <w:rsid w:val="6F0F2B42"/>
    <w:rsid w:val="6F846384"/>
    <w:rsid w:val="6FB2689C"/>
    <w:rsid w:val="6FBE7937"/>
    <w:rsid w:val="6FDF16F6"/>
    <w:rsid w:val="707929C1"/>
    <w:rsid w:val="72411700"/>
    <w:rsid w:val="73042AC3"/>
    <w:rsid w:val="730C0A49"/>
    <w:rsid w:val="737352F5"/>
    <w:rsid w:val="73AA6208"/>
    <w:rsid w:val="73CB47CA"/>
    <w:rsid w:val="747131CA"/>
    <w:rsid w:val="74C257D4"/>
    <w:rsid w:val="74F84E9A"/>
    <w:rsid w:val="751C3136"/>
    <w:rsid w:val="752913AF"/>
    <w:rsid w:val="76770A05"/>
    <w:rsid w:val="77E116BC"/>
    <w:rsid w:val="78024255"/>
    <w:rsid w:val="78323D49"/>
    <w:rsid w:val="78A25EF7"/>
    <w:rsid w:val="78A44C7D"/>
    <w:rsid w:val="78B00A90"/>
    <w:rsid w:val="78BC253A"/>
    <w:rsid w:val="79A24936"/>
    <w:rsid w:val="79CB24E1"/>
    <w:rsid w:val="79E06C03"/>
    <w:rsid w:val="79F4531C"/>
    <w:rsid w:val="7A1C14E2"/>
    <w:rsid w:val="7A5A025C"/>
    <w:rsid w:val="7B016CDB"/>
    <w:rsid w:val="7BDFC3E5"/>
    <w:rsid w:val="7CF20F04"/>
    <w:rsid w:val="7E0E08E8"/>
    <w:rsid w:val="7F253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rPr>
      <w:kern w:val="0"/>
      <w:sz w:val="20"/>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toc 2"/>
    <w:basedOn w:val="1"/>
    <w:next w:val="1"/>
    <w:qFormat/>
    <w:uiPriority w:val="39"/>
    <w:pPr>
      <w:ind w:left="210"/>
      <w:jc w:val="left"/>
    </w:pPr>
    <w:rPr>
      <w:rFonts w:ascii="Calibri" w:hAnsi="Calibri"/>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table" w:styleId="15">
    <w:name w:val="Table Grid"/>
    <w:basedOn w:val="1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font10"/>
    <w:basedOn w:val="1"/>
    <w:qFormat/>
    <w:uiPriority w:val="0"/>
    <w:pPr>
      <w:widowControl/>
      <w:spacing w:before="100" w:beforeAutospacing="1" w:after="100" w:afterAutospacing="1"/>
      <w:jc w:val="left"/>
    </w:pPr>
    <w:rPr>
      <w:kern w:val="0"/>
      <w:sz w:val="28"/>
      <w:szCs w:val="2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2 字符"/>
    <w:link w:val="3"/>
    <w:qFormat/>
    <w:uiPriority w:val="0"/>
    <w:rPr>
      <w:rFonts w:ascii="Arial" w:hAnsi="Arial" w:eastAsia="黑体"/>
      <w:b/>
      <w:bCs/>
      <w:kern w:val="0"/>
      <w:sz w:val="32"/>
      <w:szCs w:val="32"/>
    </w:rPr>
  </w:style>
  <w:style w:type="character" w:customStyle="1" w:styleId="21">
    <w:name w:val="标题 1 字符"/>
    <w:link w:val="2"/>
    <w:qFormat/>
    <w:uiPriority w:val="0"/>
    <w:rPr>
      <w:b/>
      <w:bCs/>
      <w:kern w:val="44"/>
      <w:sz w:val="44"/>
      <w:szCs w:val="44"/>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7309</Words>
  <Characters>7663</Characters>
  <Lines>0</Lines>
  <Paragraphs>0</Paragraphs>
  <TotalTime>51</TotalTime>
  <ScaleCrop>false</ScaleCrop>
  <LinksUpToDate>false</LinksUpToDate>
  <CharactersWithSpaces>8577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2023-06-05T09:31:00Z</dcterms:created>
  <dc:creator>Kevin</dc:creator>
  <cp:lastModifiedBy>天涯</cp:lastModifiedBy>
  <dcterms:modified xsi:type="dcterms:W3CDTF">2024-07-26T05:42:28Z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2636094286F94010B9AF3F9F40F8C939</vt:lpwstr>
  </property>
</Properties>
</file>