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ascii="宋体" w:hAnsi="宋体" w:cs="宋体"/>
          <w:b/>
          <w:color w:val="000000" w:themeColor="text1"/>
          <w:sz w:val="32"/>
          <w:szCs w:val="32"/>
          <w:highlight w:val="yellow"/>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项目名称：首讯公司2024年安环智能监管设备及服务采购</w:t>
      </w:r>
    </w:p>
    <w:p>
      <w:pPr>
        <w:pStyle w:val="18"/>
        <w:ind w:left="0" w:leftChars="0" w:firstLine="0"/>
        <w:rPr>
          <w:rFonts w:ascii="宋体" w:hAnsi="宋体" w:cs="宋体"/>
          <w:b/>
          <w:color w:val="000000" w:themeColor="text1"/>
          <w:sz w:val="32"/>
          <w:szCs w:val="32"/>
          <w:highlight w:val="yellow"/>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ascii="宋体" w:hAnsi="宋体" w:cs="宋体"/>
          <w:b/>
          <w:color w:val="000000" w:themeColor="text1"/>
          <w:sz w:val="28"/>
          <w:szCs w:val="28"/>
          <w:u w:val="single"/>
          <w14:textFill>
            <w14:solidFill>
              <w14:schemeClr w14:val="tx1"/>
            </w14:solidFill>
          </w14:textFill>
        </w:rPr>
        <w:t>4</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7 </w:t>
      </w:r>
      <w:r>
        <w:rPr>
          <w:rFonts w:hint="eastAsia" w:ascii="宋体" w:hAnsi="宋体" w:cs="宋体"/>
          <w:b/>
          <w:color w:val="000000" w:themeColor="text1"/>
          <w:sz w:val="28"/>
          <w:szCs w:val="28"/>
          <w14:textFill>
            <w14:solidFill>
              <w14:schemeClr w14:val="tx1"/>
            </w14:solidFill>
          </w14:textFill>
        </w:rPr>
        <w:t>月</w:t>
      </w:r>
    </w:p>
    <w:p>
      <w:pPr>
        <w:pStyle w:val="2"/>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246996898"/>
      <w:bookmarkStart w:id="1" w:name="_Toc296602400"/>
      <w:bookmarkStart w:id="2" w:name="_Toc507319889"/>
      <w:bookmarkStart w:id="3" w:name="_Toc247085669"/>
      <w:bookmarkStart w:id="4" w:name="_Toc507428442"/>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14"/>
        <w:tabs>
          <w:tab w:val="right" w:leader="dot" w:pos="9628"/>
        </w:tabs>
        <w:ind w:left="0"/>
        <w:rPr>
          <w:b/>
          <w:bCs/>
          <w:caps/>
          <w:smallCaps w:val="0"/>
          <w:color w:val="000000" w:themeColor="text1"/>
          <w:highlight w:val="green"/>
          <w14:textFill>
            <w14:solidFill>
              <w14:schemeClr w14:val="tx1"/>
            </w14:solidFill>
          </w14:textFill>
        </w:rPr>
      </w:pPr>
    </w:p>
    <w:p>
      <w:pPr>
        <w:pStyle w:val="2"/>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fldChar w:fldCharType="begin"/>
      </w:r>
      <w:r>
        <w:instrText xml:space="preserve"> HYPERLINK \l "_Toc10533" </w:instrText>
      </w:r>
      <w: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2"/>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"_Toc21719" </w:instrText>
      </w:r>
      <w: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2"/>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"_Toc7682" </w:instrText>
      </w:r>
      <w:r>
        <w:fldChar w:fldCharType="separate"/>
      </w:r>
      <w:r>
        <w:rPr>
          <w:rFonts w:hint="eastAsia" w:ascii="宋体" w:hAnsi="宋体" w:cs="宋体"/>
          <w:color w:val="000000" w:themeColor="text1"/>
          <w14:textFill>
            <w14:solidFill>
              <w14:schemeClr w14:val="tx1"/>
            </w14:solidFill>
          </w14:textFill>
        </w:rPr>
        <w:t>第三章 评标办法（综合评估法）</w:t>
      </w:r>
      <w:r>
        <w:rPr>
          <w:rFonts w:hint="eastAsia" w:ascii="宋体" w:hAnsi="宋体" w:cs="宋体"/>
          <w:color w:val="000000" w:themeColor="text1"/>
          <w14:textFill>
            <w14:solidFill>
              <w14:schemeClr w14:val="tx1"/>
            </w14:solidFill>
          </w14:textFill>
        </w:rPr>
        <w:fldChar w:fldCharType="end"/>
      </w:r>
    </w:p>
    <w:p>
      <w:pPr>
        <w:pStyle w:val="2"/>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"_Toc13787" </w:instrText>
      </w:r>
      <w: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2"/>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"_Toc24503" </w:instrText>
      </w:r>
      <w: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2"/>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"_Toc12440" </w:instrText>
      </w:r>
      <w: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2"/>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"_Toc10887" </w:instrText>
      </w:r>
      <w: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2"/>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"_Toc12089" </w:instrText>
      </w:r>
      <w: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2"/>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"_Toc24853" </w:instrText>
      </w:r>
      <w: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3"/>
        <w:spacing w:before="0" w:after="0" w:line="360" w:lineRule="auto"/>
        <w:jc w:val="center"/>
        <w:rPr>
          <w:rFonts w:ascii="宋体" w:hAnsi="宋体" w:cs="宋体"/>
          <w:color w:val="000000" w:themeColor="text1"/>
          <w14:textFill>
            <w14:solidFill>
              <w14:schemeClr w14:val="tx1"/>
            </w14:solidFill>
          </w14:textFill>
        </w:rPr>
      </w:pPr>
      <w:bookmarkStart w:id="5" w:name="_Toc152045511"/>
      <w:bookmarkStart w:id="6" w:name="_Toc152042287"/>
      <w:bookmarkStart w:id="7" w:name="_Toc247085671"/>
      <w:bookmarkStart w:id="8" w:name="_Toc246996900"/>
      <w:bookmarkStart w:id="9" w:name="_Toc179632527"/>
      <w:bookmarkStart w:id="10" w:name="_Toc246996157"/>
      <w:bookmarkStart w:id="11" w:name="_Toc144974479"/>
      <w:bookmarkStart w:id="12" w:name="_Toc507319890"/>
      <w:bookmarkStart w:id="13" w:name="_Toc247096243"/>
      <w:bookmarkStart w:id="14" w:name="_Toc2000404"/>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2"/>
      <w:bookmarkStart w:id="17" w:name="OLE_LINK3"/>
    </w:p>
    <w:p>
      <w:pPr>
        <w:pStyle w:val="4"/>
        <w:spacing w:before="0" w:after="0" w:line="360" w:lineRule="auto"/>
        <w:rPr>
          <w:rFonts w:ascii="宋体" w:hAnsi="宋体" w:eastAsia="宋体" w:cs="宋体"/>
          <w:color w:val="000000" w:themeColor="text1"/>
          <w14:textFill>
            <w14:solidFill>
              <w14:schemeClr w14:val="tx1"/>
            </w14:solidFill>
          </w14:textFill>
        </w:rPr>
      </w:pPr>
      <w:bookmarkStart w:id="18" w:name="_Toc152042288"/>
      <w:bookmarkStart w:id="19" w:name="_Toc507319891"/>
      <w:bookmarkStart w:id="20" w:name="_Toc246996901"/>
      <w:bookmarkStart w:id="21" w:name="_Toc144974480"/>
      <w:bookmarkStart w:id="22" w:name="_Toc11329213"/>
      <w:bookmarkStart w:id="23" w:name="_Toc152045512"/>
      <w:bookmarkStart w:id="24" w:name="_Toc10076"/>
      <w:bookmarkStart w:id="25" w:name="_Toc6549"/>
      <w:bookmarkStart w:id="26" w:name="_Toc179632528"/>
      <w:bookmarkStart w:id="27" w:name="_Toc246996158"/>
      <w:bookmarkStart w:id="28" w:name="_Toc247085672"/>
      <w:bookmarkStart w:id="29" w:name="_Toc24874"/>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首讯公司2024年安环智能监管设备及服务采购</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4"/>
        <w:spacing w:before="120" w:after="0" w:line="360" w:lineRule="auto"/>
        <w:rPr>
          <w:rFonts w:ascii="宋体" w:hAnsi="宋体" w:eastAsia="宋体" w:cs="宋体"/>
          <w:color w:val="000000" w:themeColor="text1"/>
          <w14:textFill>
            <w14:solidFill>
              <w14:schemeClr w14:val="tx1"/>
            </w14:solidFill>
          </w14:textFill>
        </w:rPr>
      </w:pPr>
      <w:bookmarkStart w:id="30" w:name="_Toc11329214"/>
      <w:bookmarkStart w:id="31" w:name="_Toc152045513"/>
      <w:bookmarkStart w:id="32" w:name="_Toc18109"/>
      <w:bookmarkStart w:id="33" w:name="_Toc247085673"/>
      <w:bookmarkStart w:id="34" w:name="_Toc10952"/>
      <w:bookmarkStart w:id="35" w:name="_Toc507319892"/>
      <w:bookmarkStart w:id="36" w:name="_Toc144974481"/>
      <w:bookmarkStart w:id="37" w:name="_Toc21343"/>
      <w:bookmarkStart w:id="38" w:name="_Toc179632529"/>
      <w:bookmarkStart w:id="39" w:name="_Toc246996159"/>
      <w:bookmarkStart w:id="40" w:name="_Toc246996902"/>
      <w:bookmarkStart w:id="41" w:name="_Toc152042289"/>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color w:val="000000" w:themeColor="text1"/>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14:textFill>
            <w14:solidFill>
              <w14:schemeClr w14:val="tx1"/>
            </w14:solidFill>
          </w14:textFill>
        </w:rPr>
        <w:t>重庆首讯科技股份有限公司。</w:t>
      </w:r>
    </w:p>
    <w:p>
      <w:pPr>
        <w:pStyle w:val="8"/>
        <w:adjustRightIn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w:t>
      </w:r>
      <w:r>
        <w:rPr>
          <w:rFonts w:hint="eastAsia" w:ascii="宋体" w:hAnsi="宋体" w:cs="宋体"/>
          <w:szCs w:val="21"/>
          <w:u w:val="none"/>
        </w:rPr>
        <w:t>本项目需基于在公路施工现场携带的4G/5G摄像机监控数据，通过后台分析方式对工地内的人员进行实时监测和管理，保障工地安全。传统的工地安全管理方法往往依赖于人工巡检和监控，存在效率低下、易遗漏等问题。因此，本次需采购一套基于深度学习的公路施工场景下的工地安全识别系统。该系统需支持实时检测并识别工地内的人员是否佩戴安全帽和反光衣，发现异常违规穿戴实时预警，从而提高工地安全管理的效率和准确性</w:t>
      </w:r>
      <w:r>
        <w:rPr>
          <w:rFonts w:hint="eastAsia" w:ascii="宋体" w:hAnsi="宋体" w:cs="宋体"/>
          <w:snapToGrid w:val="0"/>
          <w:kern w:val="0"/>
          <w:szCs w:val="21"/>
          <w:u w:val="none"/>
        </w:rPr>
        <w:t>。</w:t>
      </w:r>
    </w:p>
    <w:p>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 预计采购金额：</w:t>
      </w:r>
      <w:r>
        <w:rPr>
          <w:rFonts w:hint="eastAsia" w:ascii="宋体" w:hAnsi="宋体" w:cs="宋体"/>
        </w:rPr>
        <w:t>15</w:t>
      </w:r>
      <w:r>
        <w:rPr>
          <w:rFonts w:hint="eastAsia" w:ascii="宋体" w:hAnsi="宋体" w:cs="宋体"/>
          <w:color w:val="000000" w:themeColor="text1"/>
          <w14:textFill>
            <w14:solidFill>
              <w14:schemeClr w14:val="tx1"/>
            </w14:solidFill>
          </w14:textFill>
        </w:rPr>
        <w:t>万元。</w:t>
      </w:r>
    </w:p>
    <w:p>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 采购内容：</w:t>
      </w:r>
      <w:r>
        <w:rPr>
          <w:rFonts w:hint="eastAsia" w:ascii="宋体" w:hAnsi="宋体" w:cs="宋体"/>
          <w:u w:val="none"/>
        </w:rPr>
        <w:t>本项目包括软硬件产</w:t>
      </w:r>
      <w:r>
        <w:rPr>
          <w:rFonts w:hint="eastAsia" w:ascii="宋体" w:hAnsi="宋体" w:cs="宋体"/>
          <w:highlight w:val="none"/>
          <w:u w:val="none"/>
        </w:rPr>
        <w:t>品，硬件部分为：1套视频边缘计算网关，支持与现有海康视频监控平台对接，接入已管理的移动布控球点位视频。软件部分为：</w:t>
      </w:r>
      <w:r>
        <w:rPr>
          <w:rFonts w:hint="eastAsia" w:ascii="宋体" w:hAnsi="宋体" w:cs="宋体"/>
          <w:color w:val="000000" w:themeColor="text1"/>
          <w:highlight w:val="none"/>
          <w14:textFill>
            <w14:solidFill>
              <w14:schemeClr w14:val="tx1"/>
            </w14:solidFill>
          </w14:textFill>
        </w:rPr>
        <w:t>协助我司完成平台接口定制开发，</w:t>
      </w:r>
      <w:r>
        <w:rPr>
          <w:rFonts w:hint="eastAsia" w:ascii="宋体" w:hAnsi="宋体" w:cs="宋体"/>
          <w:highlight w:val="none"/>
          <w:u w:val="none"/>
        </w:rPr>
        <w:t>基于</w:t>
      </w:r>
      <w:r>
        <w:rPr>
          <w:rFonts w:hint="eastAsia" w:ascii="宋体" w:hAnsi="宋体" w:cs="宋体"/>
          <w:u w:val="none"/>
        </w:rPr>
        <w:t>移动布控球视频码流进行是否佩戴安全帽和反光衣的算法识别。考虑移动点位随着施工计划变动，因此，本项目要求对分析的点位可支持取流与分析任务的启动与控制控制，以避免计算资源和网络资源的浪费。同时，需支持算法分析结果根据上级平台的协议要求，推送至安环平台</w:t>
      </w:r>
      <w:r>
        <w:rPr>
          <w:rFonts w:hint="eastAsia" w:ascii="宋体" w:hAnsi="宋体" w:cs="宋体"/>
          <w:color w:val="000000" w:themeColor="text1"/>
          <w14:textFill>
            <w14:solidFill>
              <w14:schemeClr w14:val="tx1"/>
            </w14:solidFill>
          </w14:textFill>
        </w:rPr>
        <w:t>等服务工作,详见工程量清单。</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 工期要求：预计2024年10月底完成全部合同内容</w:t>
      </w:r>
      <w:r>
        <w:rPr>
          <w:rFonts w:hint="eastAsia" w:ascii="宋体" w:hAnsi="宋体" w:cs="宋体"/>
        </w:rPr>
        <w:t>。</w:t>
      </w:r>
    </w:p>
    <w:p>
      <w:pPr>
        <w:pStyle w:val="4"/>
        <w:spacing w:before="120" w:after="0" w:line="360" w:lineRule="auto"/>
        <w:rPr>
          <w:rFonts w:ascii="宋体" w:hAnsi="宋体" w:eastAsia="宋体" w:cs="宋体"/>
          <w:color w:val="000000" w:themeColor="text1"/>
          <w14:textFill>
            <w14:solidFill>
              <w14:schemeClr w14:val="tx1"/>
            </w14:solidFill>
          </w14:textFill>
        </w:rPr>
      </w:pPr>
      <w:bookmarkStart w:id="43" w:name="_Toc144974482"/>
      <w:bookmarkStart w:id="44" w:name="_Toc247085674"/>
      <w:bookmarkStart w:id="45" w:name="_Toc11329215"/>
      <w:bookmarkStart w:id="46" w:name="_Toc246996903"/>
      <w:bookmarkStart w:id="47" w:name="_Toc7065"/>
      <w:bookmarkStart w:id="48" w:name="_Toc30356"/>
      <w:bookmarkStart w:id="49" w:name="_Toc152042290"/>
      <w:bookmarkStart w:id="50" w:name="_Toc179632530"/>
      <w:bookmarkStart w:id="51" w:name="_Toc10171"/>
      <w:bookmarkStart w:id="52" w:name="_Toc246996160"/>
      <w:bookmarkStart w:id="53" w:name="_Toc152045514"/>
      <w:bookmarkStart w:id="54" w:name="_Toc507319893"/>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179632531"/>
      <w:bookmarkStart w:id="56" w:name="_Toc246996161"/>
      <w:bookmarkStart w:id="57" w:name="_Toc246996904"/>
      <w:bookmarkStart w:id="58" w:name="_Toc144974483"/>
      <w:bookmarkStart w:id="59" w:name="_Toc247085675"/>
      <w:bookmarkStart w:id="60" w:name="_Toc152042291"/>
      <w:bookmarkStart w:id="61" w:name="_Toc152045515"/>
      <w:r>
        <w:rPr>
          <w:rFonts w:hint="eastAsia" w:ascii="宋体" w:hAnsi="宋体" w:cs="宋体"/>
          <w:color w:val="000000" w:themeColor="text1"/>
          <w:szCs w:val="21"/>
          <w:shd w:val="clear" w:color="auto" w:fill="FFFFFF"/>
          <w14:textFill>
            <w14:solidFill>
              <w14:schemeClr w14:val="tx1"/>
            </w14:solidFill>
          </w14:textFill>
        </w:rPr>
        <w:t>3.1 资质要求：</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（1）报价人具有独立法人资格，具有有效的营业执照；</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（2）报价人具备有效的ISO9001质量管理体系认证证书；</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3.2 业绩要求：2021年1月1日至报价截止日期（以合同签订时间为准）承担过一项合同金额不低于10万元交通行业交通领域相关的软件服务或开发运维项目业绩。</w:t>
      </w:r>
    </w:p>
    <w:p>
      <w:pPr>
        <w:wordWrap w:val="0"/>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3.3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3.4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3.5</w:t>
      </w:r>
      <w:r>
        <w:rPr>
          <w:rFonts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3.6 单位负责人为同一人或者存在控股、管理关系的不同单位，不得同时参加本项目报价，否则均按无效报价处理。</w:t>
      </w:r>
    </w:p>
    <w:p>
      <w:pPr>
        <w:pStyle w:val="4"/>
        <w:spacing w:before="120" w:after="0"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评标办法</w:t>
      </w:r>
    </w:p>
    <w:p>
      <w:pPr>
        <w:pStyle w:val="9"/>
        <w:ind w:firstLine="420" w:firstLineChars="200"/>
        <w:rPr>
          <w:rFonts w:ascii="宋体" w:hAnsi="宋体"/>
          <w:kern w:val="2"/>
          <w:sz w:val="21"/>
          <w:szCs w:val="21"/>
        </w:rPr>
      </w:pPr>
      <w:r>
        <w:rPr>
          <w:rFonts w:hint="eastAsia" w:ascii="宋体" w:hAnsi="宋体"/>
          <w:kern w:val="2"/>
          <w:sz w:val="21"/>
          <w:szCs w:val="21"/>
        </w:rPr>
        <w:t>本项目采用综合评估法。</w:t>
      </w:r>
    </w:p>
    <w:p>
      <w:pPr>
        <w:pStyle w:val="4"/>
        <w:spacing w:before="120" w:after="0" w:line="400" w:lineRule="exact"/>
        <w:rPr>
          <w:rFonts w:ascii="宋体" w:hAnsi="宋体" w:eastAsia="宋体" w:cs="宋体"/>
          <w:color w:val="000000" w:themeColor="text1"/>
          <w14:textFill>
            <w14:solidFill>
              <w14:schemeClr w14:val="tx1"/>
            </w14:solidFill>
          </w14:textFill>
        </w:rPr>
      </w:pPr>
      <w:bookmarkStart w:id="62" w:name="_Toc507319894"/>
      <w:bookmarkStart w:id="63" w:name="_Toc12460"/>
      <w:bookmarkStart w:id="64" w:name="_Toc14361"/>
      <w:bookmarkStart w:id="65" w:name="_Toc11329216"/>
      <w:bookmarkStart w:id="66" w:name="_Toc25619"/>
      <w:r>
        <w:rPr>
          <w:rFonts w:hint="eastAsia" w:ascii="宋体" w:hAnsi="宋体" w:eastAsia="宋体" w:cs="宋体"/>
          <w:color w:val="000000" w:themeColor="text1"/>
          <w14:textFill>
            <w14:solidFill>
              <w14:schemeClr w14:val="tx1"/>
            </w14:solidFill>
          </w14:textFill>
        </w:rPr>
        <w:t>5. 比选文件的获取</w:t>
      </w:r>
      <w:bookmarkEnd w:id="55"/>
      <w:bookmarkEnd w:id="56"/>
      <w:bookmarkEnd w:id="57"/>
      <w:bookmarkEnd w:id="58"/>
      <w:bookmarkEnd w:id="59"/>
      <w:bookmarkEnd w:id="60"/>
      <w:bookmarkEnd w:id="61"/>
      <w:bookmarkEnd w:id="62"/>
      <w:bookmarkEnd w:id="63"/>
      <w:bookmarkEnd w:id="64"/>
      <w:bookmarkEnd w:id="65"/>
      <w:bookmarkEnd w:id="66"/>
    </w:p>
    <w:p>
      <w:pPr>
        <w:wordWrap w:val="0"/>
        <w:spacing w:line="360" w:lineRule="auto"/>
        <w:ind w:firstLine="420" w:firstLineChars="200"/>
        <w:rPr>
          <w:rFonts w:ascii="宋体" w:hAnsi="宋体"/>
          <w:szCs w:val="21"/>
        </w:rPr>
      </w:pPr>
      <w:bookmarkStart w:id="67" w:name="_Toc246996162"/>
      <w:bookmarkStart w:id="68" w:name="_Toc179632532"/>
      <w:bookmarkStart w:id="69" w:name="_Toc11329217"/>
      <w:bookmarkStart w:id="70" w:name="_Toc144974484"/>
      <w:bookmarkStart w:id="71" w:name="_Toc507319895"/>
      <w:bookmarkStart w:id="72" w:name="_Toc247085676"/>
      <w:bookmarkStart w:id="73" w:name="_Toc152045516"/>
      <w:bookmarkStart w:id="74" w:name="_Toc152042292"/>
      <w:bookmarkStart w:id="75" w:name="_Toc246996905"/>
      <w:bookmarkStart w:id="76" w:name="_Toc31493"/>
      <w:bookmarkStart w:id="77" w:name="_Toc16686"/>
      <w:bookmarkStart w:id="78" w:name="_Toc9131"/>
      <w:bookmarkStart w:id="79" w:name="_Toc11329219"/>
      <w:bookmarkStart w:id="80" w:name="_Toc18402"/>
      <w:bookmarkStart w:id="81" w:name="_Toc152042293"/>
      <w:bookmarkStart w:id="82" w:name="_Toc246996164"/>
      <w:bookmarkStart w:id="83" w:name="_Toc21615"/>
      <w:bookmarkStart w:id="84" w:name="_Toc179632534"/>
      <w:bookmarkStart w:id="85" w:name="_Toc246996907"/>
      <w:bookmarkStart w:id="86" w:name="_Toc144974485"/>
      <w:bookmarkStart w:id="87" w:name="_Toc393"/>
      <w:bookmarkStart w:id="88" w:name="_Toc152045517"/>
      <w:bookmarkStart w:id="89" w:name="_Toc247085678"/>
      <w:bookmarkStart w:id="90" w:name="_Toc507319897"/>
      <w:r>
        <w:rPr>
          <w:rFonts w:hint="eastAsia" w:ascii="宋体" w:hAnsi="宋体" w:cs="宋体"/>
        </w:rPr>
        <w:t>凡愿意参加的潜在报价人，在2024年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5</w:t>
      </w:r>
      <w:r>
        <w:rPr>
          <w:rFonts w:hint="eastAsia" w:ascii="宋体" w:hAnsi="宋体" w:cs="宋体"/>
        </w:rPr>
        <w:t>日</w:t>
      </w:r>
      <w:r>
        <w:rPr>
          <w:rFonts w:hint="eastAsia" w:ascii="宋体" w:hAnsi="宋体"/>
          <w:szCs w:val="21"/>
        </w:rPr>
        <w:t>上午1</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0</w:t>
      </w:r>
      <w:r>
        <w:rPr>
          <w:rFonts w:hint="eastAsia" w:ascii="宋体" w:hAnsi="宋体"/>
          <w:szCs w:val="21"/>
        </w:rPr>
        <w:t>0</w:t>
      </w:r>
      <w:r>
        <w:rPr>
          <w:rFonts w:hint="eastAsia" w:ascii="宋体" w:hAnsi="宋体" w:cs="宋体"/>
        </w:rPr>
        <w:t>前在重庆高速集团官网（https://www.cegc.com.cn/html/col1810480.html）上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r>
        <w:rPr>
          <w:rFonts w:hint="eastAsia" w:ascii="宋体" w:hAnsi="宋体" w:eastAsia="宋体" w:cs="宋体"/>
        </w:rPr>
        <w:t>6.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rPr>
      </w:pPr>
      <w:r>
        <w:rPr>
          <w:rFonts w:hint="eastAsia" w:ascii="宋体" w:hAnsi="宋体" w:cs="宋体"/>
          <w:szCs w:val="21"/>
        </w:rPr>
        <w:t>6.1报价截止时间和开标时间：</w:t>
      </w:r>
      <w:r>
        <w:rPr>
          <w:rFonts w:hint="eastAsia" w:ascii="宋体" w:hAnsi="宋体" w:cs="宋体"/>
        </w:rPr>
        <w:t>2024年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5</w:t>
      </w:r>
      <w:r>
        <w:rPr>
          <w:rFonts w:hint="eastAsia" w:ascii="宋体" w:hAnsi="宋体" w:cs="宋体"/>
        </w:rPr>
        <w:t>日</w:t>
      </w:r>
      <w:r>
        <w:rPr>
          <w:rFonts w:hint="eastAsia" w:ascii="宋体" w:hAnsi="宋体"/>
          <w:szCs w:val="21"/>
        </w:rPr>
        <w:t>上午</w:t>
      </w:r>
      <w:r>
        <w:rPr>
          <w:rFonts w:hint="eastAsia" w:ascii="宋体" w:hAnsi="宋体" w:cs="宋体"/>
          <w:szCs w:val="21"/>
          <w:lang w:val="en-US" w:eastAsia="zh-CN"/>
        </w:rPr>
        <w:t>11</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2</w:t>
      </w:r>
      <w:r>
        <w:rPr>
          <w:rFonts w:ascii="宋体" w:hAnsi="宋体" w:cs="宋体"/>
          <w:szCs w:val="21"/>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.3 递交地址：重庆市渝北区新南路52号东界龙湖</w:t>
      </w:r>
      <w:r>
        <w:rPr>
          <w:rFonts w:hint="eastAsia" w:ascii="宋体" w:hAnsi="宋体" w:cs="宋体"/>
          <w:szCs w:val="21"/>
        </w:rPr>
        <w:t>一</w:t>
      </w:r>
      <w:r>
        <w:rPr>
          <w:rFonts w:ascii="宋体" w:hAnsi="宋体" w:cs="宋体"/>
          <w:szCs w:val="21"/>
        </w:rPr>
        <w:t>楼。</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.4 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6.5 采购人不组织项目现场踏勘，不召开报价预备会。</w:t>
      </w:r>
    </w:p>
    <w:p>
      <w:pPr>
        <w:pStyle w:val="4"/>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联系方式</w:t>
      </w:r>
      <w:bookmarkEnd w:id="79"/>
      <w:bookmarkEnd w:id="80"/>
      <w:bookmarkEnd w:id="81"/>
      <w:bookmarkEnd w:id="82"/>
      <w:bookmarkEnd w:id="83"/>
      <w:bookmarkEnd w:id="84"/>
      <w:bookmarkEnd w:id="85"/>
      <w:bookmarkEnd w:id="86"/>
      <w:bookmarkEnd w:id="87"/>
      <w:bookmarkEnd w:id="88"/>
      <w:bookmarkEnd w:id="89"/>
      <w:bookmarkEnd w:id="90"/>
    </w:p>
    <w:tbl>
      <w:tblPr>
        <w:tblStyle w:val="19"/>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23"/>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kern w:val="2"/>
                <w:sz w:val="21"/>
                <w:szCs w:val="21"/>
              </w:rPr>
              <w:t>采购人：重庆首讯科技股份有限公司</w:t>
            </w:r>
          </w:p>
        </w:tc>
        <w:tc>
          <w:tcPr>
            <w:tcW w:w="1415" w:type="dxa"/>
            <w:vAlign w:val="center"/>
          </w:tcPr>
          <w:p>
            <w:pPr>
              <w:pStyle w:val="23"/>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szCs w:val="21"/>
              </w:rPr>
              <w:t>地址：重庆市渝北区新南路52号东界龙湖三楼</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szCs w:val="21"/>
              </w:rPr>
              <w:t>商务联系人：刘老师  电 话：18623655450</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技术联系人：赖老师  电 话：15310912053</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bookmarkEnd w:id="16"/>
    <w:bookmarkEnd w:id="17"/>
    <w:p>
      <w:pPr>
        <w:pStyle w:val="3"/>
        <w:spacing w:before="0" w:after="0" w:line="360" w:lineRule="auto"/>
        <w:jc w:val="center"/>
        <w:rPr>
          <w:rFonts w:ascii="宋体" w:hAnsi="宋体" w:cs="宋体"/>
          <w:color w:val="000000" w:themeColor="text1"/>
          <w14:textFill>
            <w14:solidFill>
              <w14:schemeClr w14:val="tx1"/>
            </w14:solidFill>
          </w14:textFill>
        </w:rPr>
      </w:pPr>
      <w:bookmarkStart w:id="91" w:name="_Toc507319898"/>
      <w:bookmarkStart w:id="92" w:name="_Toc246996916"/>
      <w:bookmarkStart w:id="93" w:name="_Toc152042303"/>
      <w:bookmarkStart w:id="94" w:name="_Toc144974495"/>
      <w:bookmarkStart w:id="95" w:name="_Toc179632544"/>
      <w:bookmarkStart w:id="96" w:name="_Toc246996173"/>
      <w:bookmarkStart w:id="97" w:name="_Toc247085687"/>
      <w:bookmarkStart w:id="98" w:name="_Toc152045527"/>
      <w:bookmarkStart w:id="99" w:name="_Toc2000405"/>
      <w:bookmarkStart w:id="100" w:name="_Toc21719"/>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pPr>
        <w:rPr>
          <w:color w:val="000000" w:themeColor="text1"/>
          <w14:textFill>
            <w14:solidFill>
              <w14:schemeClr w14:val="tx1"/>
            </w14:solidFill>
          </w14:textFill>
        </w:rPr>
      </w:pPr>
    </w:p>
    <w:tbl>
      <w:tblPr>
        <w:tblStyle w:val="19"/>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rPr>
              <w:t>重庆市渝北区新南路52号东界龙湖三楼</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szCs w:val="21"/>
              </w:rPr>
              <w:t>刘老师</w:t>
            </w:r>
          </w:p>
          <w:p>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szCs w:val="21"/>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首讯公司2024年安环智能监管设备及服务采购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24"/>
              <w:adjustRightInd/>
              <w:spacing w:line="400" w:lineRule="exact"/>
              <w:ind w:firstLine="422" w:firstLineChars="200"/>
              <w:jc w:val="both"/>
              <w:rPr>
                <w:rFonts w:hAnsi="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24"/>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b/>
                <w:bCs/>
                <w:szCs w:val="21"/>
              </w:rPr>
              <w:t>首讯公司2024年安环智能监管设备及服务采购项目最高限价：</w:t>
            </w:r>
            <w:r>
              <w:rPr>
                <w:rFonts w:hint="eastAsia" w:ascii="宋体" w:hAnsi="宋体"/>
                <w:b/>
                <w:bCs/>
                <w:szCs w:val="21"/>
                <w:u w:val="single"/>
              </w:rPr>
              <w:t>174000</w:t>
            </w:r>
            <w:r>
              <w:rPr>
                <w:rFonts w:hint="eastAsia" w:ascii="宋体" w:hAnsi="宋体"/>
                <w:b/>
                <w:bCs/>
                <w:szCs w:val="21"/>
                <w:u w:val="single"/>
                <w:lang w:val="en-US" w:eastAsia="zh-CN"/>
              </w:rPr>
              <w:t>.00元</w:t>
            </w:r>
            <w:r>
              <w:rPr>
                <w:rFonts w:hint="eastAsia" w:ascii="宋体" w:hAnsi="宋体"/>
                <w:b/>
                <w:bCs/>
                <w:szCs w:val="21"/>
                <w:u w:val="single"/>
              </w:rPr>
              <w:t>。</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b/>
                <w:bCs/>
                <w:szCs w:val="21"/>
              </w:rPr>
              <w:t>报价人报价不得超过采购人发布的最高限价，否则</w:t>
            </w:r>
            <w:r>
              <w:rPr>
                <w:rFonts w:hint="eastAsia" w:ascii="宋体" w:hAnsi="宋体" w:cs="宋体"/>
                <w:b/>
                <w:szCs w:val="21"/>
              </w:rPr>
              <w:t>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numPr>
                <w:ilvl w:val="-1"/>
                <w:numId w:val="0"/>
              </w:numPr>
              <w:spacing w:line="400" w:lineRule="exact"/>
              <w:ind w:firstLine="420" w:firstLineChars="200"/>
              <w:rPr>
                <w:rFonts w:hint="eastAsia" w:eastAsia="宋体"/>
                <w:color w:val="000000" w:themeColor="text1"/>
                <w:lang w:eastAsia="zh-CN"/>
                <w14:textFill>
                  <w14:solidFill>
                    <w14:schemeClr w14:val="tx1"/>
                  </w14:solidFill>
                </w14:textFill>
              </w:rPr>
            </w:pPr>
            <w:bookmarkStart w:id="103" w:name="_Hlk132637631"/>
            <w:r>
              <w:rPr>
                <w:rFonts w:hint="eastAsia"/>
                <w:color w:val="000000" w:themeColor="text1"/>
                <w14:textFill>
                  <w14:solidFill>
                    <w14:schemeClr w14:val="tx1"/>
                  </w14:solidFill>
                </w14:textFill>
              </w:rPr>
              <w:t>（1）合同签订后，</w:t>
            </w:r>
            <w:r>
              <w:rPr>
                <w:rFonts w:hint="eastAsia"/>
                <w:color w:val="000000" w:themeColor="text1"/>
                <w:lang w:val="en-US" w:eastAsia="zh-CN"/>
                <w14:textFill>
                  <w14:solidFill>
                    <w14:schemeClr w14:val="tx1"/>
                  </w14:solidFill>
                </w14:textFill>
              </w:rPr>
              <w:t>乙方向甲方提供</w:t>
            </w:r>
            <w:r>
              <w:rPr>
                <w:rFonts w:hint="eastAsia"/>
                <w:color w:val="000000" w:themeColor="text1"/>
                <w14:textFill>
                  <w14:solidFill>
                    <w14:schemeClr w14:val="tx1"/>
                  </w14:solidFill>
                </w14:textFill>
              </w:rPr>
              <w:t>技术资料和实施方案</w:t>
            </w:r>
            <w:r>
              <w:rPr>
                <w:rFonts w:hint="eastAsia"/>
                <w:color w:val="000000" w:themeColor="text1"/>
                <w:lang w:val="en-US" w:eastAsia="zh-CN"/>
                <w14:textFill>
                  <w14:solidFill>
                    <w14:schemeClr w14:val="tx1"/>
                  </w14:solidFill>
                </w14:textFill>
              </w:rPr>
              <w:t>且经</w:t>
            </w:r>
            <w:r>
              <w:rPr>
                <w:rFonts w:hint="eastAsia"/>
                <w:color w:val="000000" w:themeColor="text1"/>
                <w14:textFill>
                  <w14:solidFill>
                    <w14:schemeClr w14:val="tx1"/>
                  </w14:solidFill>
                </w14:textFill>
              </w:rPr>
              <w:t>甲方确认后</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甲方向乙方支付至合同金额的5</w:t>
            </w:r>
            <w:r>
              <w:rPr>
                <w:rFonts w:hint="eastAsia"/>
                <w:color w:val="000000" w:themeColor="text1"/>
                <w14:textFill>
                  <w14:solidFill>
                    <w14:schemeClr w14:val="tx1"/>
                  </w14:solidFill>
                </w14:textFill>
              </w:rPr>
              <w:t>0%</w:t>
            </w:r>
            <w:r>
              <w:rPr>
                <w:rFonts w:hint="eastAsia"/>
                <w:color w:val="000000" w:themeColor="text1"/>
                <w:lang w:eastAsia="zh-CN"/>
                <w14:textFill>
                  <w14:solidFill>
                    <w14:schemeClr w14:val="tx1"/>
                  </w14:solidFill>
                </w14:textFill>
              </w:rPr>
              <w:t>；</w:t>
            </w:r>
          </w:p>
          <w:p>
            <w:pPr>
              <w:numPr>
                <w:ilvl w:val="-1"/>
                <w:numId w:val="0"/>
              </w:numPr>
              <w:spacing w:line="400" w:lineRule="exact"/>
              <w:ind w:firstLine="420" w:firstLineChars="20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乙方完成全部合同内容且经</w:t>
            </w:r>
            <w:r>
              <w:rPr>
                <w:rFonts w:hint="eastAsia"/>
                <w:color w:val="000000" w:themeColor="text1"/>
                <w14:textFill>
                  <w14:solidFill>
                    <w14:schemeClr w14:val="tx1"/>
                  </w14:solidFill>
                </w14:textFill>
              </w:rPr>
              <w:t>甲方</w:t>
            </w:r>
            <w:r>
              <w:rPr>
                <w:rFonts w:hint="eastAsia"/>
                <w:color w:val="000000" w:themeColor="text1"/>
                <w:lang w:val="en-US" w:eastAsia="zh-CN"/>
                <w14:textFill>
                  <w14:solidFill>
                    <w14:schemeClr w14:val="tx1"/>
                  </w14:solidFill>
                </w14:textFill>
              </w:rPr>
              <w:t>验收后</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甲方向乙方支付至合同金额的95</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p>
          <w:p>
            <w:pPr>
              <w:spacing w:line="400" w:lineRule="exact"/>
              <w:ind w:firstLine="420" w:firstLineChars="200"/>
              <w:rPr>
                <w:rFonts w:hint="default"/>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）剩余</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%作为质量保证金，缺陷责任期（质保期）届满后，由乙方主动提出书面申请，经甲方业务部门确认后，30日内全额支付（质量保证金不计任何利息）。</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）乙方应于甲方每次付款（预付款除外）前提供等额增值税专用发票给甲方。</w:t>
            </w:r>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报价人须知</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报价人应认真阅读竞争性比选函相关技术及服务要求后报价。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24"/>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24"/>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一、投标保证金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报价人是否提供投标保证金：</w:t>
            </w:r>
            <w:r>
              <w:rPr>
                <w:rFonts w:hint="eastAsia" w:ascii="宋体" w:hAnsi="宋体" w:cs="宋体"/>
                <w:b/>
                <w:bCs/>
                <w:color w:val="000000"/>
                <w:kern w:val="0"/>
                <w:szCs w:val="21"/>
                <w:u w:val="single"/>
                <w:lang w:bidi="ar"/>
              </w:rPr>
              <w:t>是</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1、报价人须缴纳投标保证金</w:t>
            </w:r>
            <w:r>
              <w:rPr>
                <w:rFonts w:hint="eastAsia" w:ascii="宋体" w:hAnsi="宋体" w:cs="宋体"/>
                <w:color w:val="000000"/>
                <w:kern w:val="0"/>
                <w:szCs w:val="21"/>
                <w:u w:val="single"/>
                <w:lang w:bidi="ar"/>
              </w:rPr>
              <w:t xml:space="preserve">1000.00 </w:t>
            </w:r>
            <w:r>
              <w:rPr>
                <w:rFonts w:hint="eastAsia" w:ascii="宋体" w:hAnsi="宋体" w:cs="宋体"/>
                <w:color w:val="000000"/>
                <w:kern w:val="0"/>
                <w:szCs w:val="21"/>
                <w:lang w:bidi="ar"/>
              </w:rPr>
              <w:t>元，由报价人从公司基本账户将投标保证金汇至以下指定账户：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保证金到账截止时间：2024年</w:t>
            </w: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日上午1</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时</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0分前；</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若竞争性比选响应文件内无投标保证金缴纳凭证，采购人有权作废标处理，若投标保证金存在虚假不实情况，采购人有权作废标处理。</w:t>
            </w:r>
          </w:p>
          <w:p>
            <w:pPr>
              <w:spacing w:line="360" w:lineRule="auto"/>
              <w:ind w:firstLine="420" w:firstLineChars="200"/>
              <w:rPr>
                <w:rFonts w:ascii="宋体" w:hAnsi="宋体" w:cs="宋体"/>
                <w:color w:val="000000"/>
                <w:kern w:val="0"/>
                <w:szCs w:val="21"/>
                <w:lang w:bidi="ar"/>
              </w:rPr>
            </w:pPr>
            <w:r>
              <w:rPr>
                <w:rFonts w:hint="eastAsia" w:hAnsi="宋体"/>
                <w:szCs w:val="21"/>
              </w:rPr>
              <w:t>若缴纳现金的，</w:t>
            </w:r>
            <w:r>
              <w:rPr>
                <w:rFonts w:hint="eastAsia" w:ascii="宋体" w:hAnsi="宋体" w:cs="宋体"/>
                <w:color w:val="000000"/>
                <w:szCs w:val="21"/>
              </w:rPr>
              <w:t>则需</w:t>
            </w:r>
            <w:r>
              <w:rPr>
                <w:rFonts w:hint="eastAsia" w:ascii="宋体" w:hAnsi="宋体" w:cs="宋体"/>
                <w:szCs w:val="21"/>
              </w:rPr>
              <w:t>备注，转款备注：</w:t>
            </w:r>
            <w:r>
              <w:rPr>
                <w:rFonts w:hint="eastAsia"/>
                <w:szCs w:val="21"/>
              </w:rPr>
              <w:t>首讯公司2024年安环智能监管设备及服务采购</w:t>
            </w:r>
            <w:r>
              <w:rPr>
                <w:rFonts w:hint="eastAsia" w:ascii="宋体" w:hAnsi="宋体" w:cs="宋体"/>
                <w:szCs w:val="21"/>
              </w:rPr>
              <w:t>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2、投标保证金退还方式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为便于及时退还，报价人在递交响应文件的同时，递交本项目保证金银行回单和公司的开户许可证复印件。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未中标报价人的投标保证金，于该项目结果公示期结束后15个工作日内无息退还至报价人基本账户。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中标人的投标保证金，自合同签订后15个工作日内无息退还至中标人基本账户。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3、有下列情形之一的，投标保证金将不予退还：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（1）报价人在投标有效期内撤销投标文件；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（2）中标人在收到中标通知书后，无正当理由不与采购人订立合同，在签订合同时向采购人提出附加条件，或者不按照招标文件要求提交履约保证金；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（4）报价人被发现本次投标存在串通投标、弄虚造假、行贿等违法行为的；</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（5）发生报价人须知前附表规定的其他可以不予退还投标保证金的情形。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二、履约保证金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报价人是否提供履约保证金：</w:t>
            </w:r>
            <w:r>
              <w:rPr>
                <w:rFonts w:hint="eastAsia" w:ascii="宋体" w:hAnsi="宋体" w:cs="宋体"/>
                <w:b/>
                <w:bCs/>
                <w:color w:val="000000"/>
                <w:kern w:val="0"/>
                <w:szCs w:val="21"/>
                <w:u w:val="single"/>
                <w:lang w:bidi="ar"/>
              </w:rPr>
              <w:t>是</w:t>
            </w:r>
          </w:p>
          <w:p>
            <w:pPr>
              <w:pStyle w:val="24"/>
              <w:spacing w:line="360" w:lineRule="auto"/>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24"/>
              <w:spacing w:line="360" w:lineRule="auto"/>
              <w:ind w:firstLine="420" w:firstLineChars="200"/>
              <w:rPr>
                <w:rFonts w:hAnsi="宋体"/>
                <w:color w:val="auto"/>
                <w:kern w:val="2"/>
                <w:sz w:val="21"/>
                <w:szCs w:val="21"/>
              </w:rPr>
            </w:pPr>
            <w:r>
              <w:rPr>
                <w:rFonts w:hint="eastAsia" w:hAnsi="宋体"/>
                <w:color w:val="auto"/>
                <w:kern w:val="2"/>
                <w:sz w:val="21"/>
                <w:szCs w:val="21"/>
              </w:rPr>
              <w:t>2、履约保证金的金额：合同金额的10%。</w:t>
            </w:r>
          </w:p>
          <w:p>
            <w:pPr>
              <w:pStyle w:val="24"/>
              <w:spacing w:line="360" w:lineRule="auto"/>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3、履约保证金有效期：自双方签订的合同文件生效之日起，至合同约定的工程验收完成止。</w:t>
            </w:r>
          </w:p>
          <w:p>
            <w:pPr>
              <w:pStyle w:val="24"/>
              <w:spacing w:line="360" w:lineRule="auto"/>
              <w:ind w:firstLine="420" w:firstLineChars="200"/>
              <w:rPr>
                <w:rFonts w:hAnsi="宋体"/>
                <w:color w:val="auto"/>
                <w:kern w:val="2"/>
                <w:sz w:val="21"/>
                <w:szCs w:val="21"/>
              </w:rPr>
            </w:pPr>
            <w:r>
              <w:rPr>
                <w:rFonts w:hint="eastAsia" w:hAnsi="宋体"/>
                <w:color w:val="auto"/>
                <w:kern w:val="2"/>
                <w:sz w:val="21"/>
                <w:szCs w:val="21"/>
              </w:rPr>
              <w:t>4、履约保证金缴纳方式：现金或保函</w:t>
            </w:r>
          </w:p>
          <w:p>
            <w:pPr>
              <w:pStyle w:val="15"/>
              <w:spacing w:before="0" w:beforeAutospacing="0" w:after="0" w:afterAutospacing="0" w:line="360" w:lineRule="auto"/>
              <w:ind w:firstLine="420"/>
              <w:rPr>
                <w:kern w:val="2"/>
                <w:sz w:val="21"/>
                <w:szCs w:val="21"/>
              </w:rPr>
            </w:pPr>
            <w:r>
              <w:rPr>
                <w:rFonts w:hint="eastAsia"/>
                <w:kern w:val="2"/>
                <w:sz w:val="21"/>
                <w:szCs w:val="21"/>
              </w:rPr>
              <w:t>5、履约保证金的提交：在甲方发出中标通知书后5个工作日内，中标人向采购人提供履约保证金</w:t>
            </w:r>
            <w:r>
              <w:rPr>
                <w:kern w:val="2"/>
                <w:sz w:val="21"/>
                <w:szCs w:val="21"/>
              </w:rPr>
              <w:t>缴纳凭证</w:t>
            </w:r>
            <w:r>
              <w:rPr>
                <w:rFonts w:hint="eastAsia"/>
                <w:kern w:val="2"/>
                <w:sz w:val="21"/>
                <w:szCs w:val="21"/>
              </w:rPr>
              <w:t>。若缴纳现金的，</w:t>
            </w:r>
            <w:r>
              <w:rPr>
                <w:rFonts w:hint="eastAsia"/>
                <w:color w:val="000000"/>
                <w:sz w:val="21"/>
                <w:szCs w:val="21"/>
              </w:rPr>
              <w:t>则需</w:t>
            </w:r>
            <w:r>
              <w:rPr>
                <w:rFonts w:hint="eastAsia"/>
                <w:sz w:val="21"/>
                <w:szCs w:val="21"/>
              </w:rPr>
              <w:t>备注，转款备注：首讯公司2024年安环智能监管设备及服务采购履约保证金</w:t>
            </w:r>
          </w:p>
          <w:p>
            <w:pPr>
              <w:spacing w:line="360" w:lineRule="auto"/>
              <w:ind w:firstLine="420" w:firstLineChars="200"/>
              <w:rPr>
                <w:rFonts w:hAnsi="宋体"/>
                <w:szCs w:val="21"/>
              </w:rPr>
            </w:pPr>
            <w:r>
              <w:rPr>
                <w:rFonts w:hint="eastAsia" w:hAnsi="宋体"/>
                <w:szCs w:val="21"/>
              </w:rPr>
              <w:t>6、若提供保函的：</w:t>
            </w:r>
            <w:r>
              <w:rPr>
                <w:rFonts w:hint="eastAsia" w:ascii="宋体" w:hAnsi="宋体" w:cs="宋体"/>
                <w:kern w:val="0"/>
                <w:szCs w:val="21"/>
              </w:rPr>
              <w:t>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spacing w:line="360" w:lineRule="auto"/>
              <w:ind w:firstLine="420" w:firstLineChars="200"/>
              <w:rPr>
                <w:rFonts w:ascii="宋体" w:hAnsi="宋体" w:cs="宋体"/>
                <w:color w:val="000000"/>
                <w:kern w:val="0"/>
                <w:szCs w:val="21"/>
                <w:lang w:bidi="ar"/>
              </w:rPr>
            </w:pPr>
            <w:r>
              <w:rPr>
                <w:rFonts w:hint="eastAsia" w:hAnsi="宋体"/>
                <w:szCs w:val="21"/>
              </w:rPr>
              <w:t>7、</w:t>
            </w:r>
            <w:r>
              <w:rPr>
                <w:rFonts w:ascii="宋体" w:hAnsi="宋体" w:cs="宋体"/>
                <w:szCs w:val="21"/>
              </w:rPr>
              <w:t>履约保证金退还：缴纳现金保函的，在完成合同约定的全部工作内容后28天后无息退还剩余部分。</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三、低价保证金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1．低价风险担保：中标价低于最高限价的85%时提供，如不按时足额提供，视为中标人放弃中标，采购人有权不退还其投标保证金。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2．中标人提供低价风险担保的形式、金额及期限：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（2）低价风险担保的金额：（最高限价×85%-中标价）×3，且最高不超过最高限价的85%。</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（3）低价风险担保送达采购人的时间：从采购人中标通知书送达拟中标人之日起 20 个工作日内。</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（5）低价风险担保的期限：自低价风险担保生效之日起至合同设备验收证书或验收款支付函签署之日止。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（5）低价风险担保的扣减：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②因乙方违约被解除合同的，低价风险担保将全额扣除；</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③因乙方原因导致的其他情形。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备注：当中标人或拟中标人未按时提交低价风险担保，且属于可以延长低价风险担保提交期限的特殊情形时，经采购人同意，可适当延长低价风险担保的提交期限。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投标总报价低于最高限价85%的，报价人应在编制投标文件时，在投标函部分中递交低价风险担保提交承诺书。格式自拟。</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spacing w:line="360" w:lineRule="auto"/>
              <w:ind w:firstLine="420" w:firstLineChars="200"/>
              <w:rPr>
                <w:rFonts w:hAnsi="宋体"/>
                <w:szCs w:val="21"/>
              </w:rPr>
            </w:pPr>
            <w:r>
              <w:rPr>
                <w:rFonts w:hint="eastAsia" w:hAnsi="宋体"/>
                <w:szCs w:val="21"/>
              </w:rPr>
              <w:t>四、采购人指定的开户银行及账号如下：</w:t>
            </w:r>
          </w:p>
          <w:p>
            <w:pPr>
              <w:pStyle w:val="24"/>
              <w:spacing w:line="360" w:lineRule="auto"/>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24"/>
              <w:spacing w:line="360" w:lineRule="auto"/>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24"/>
              <w:spacing w:line="360" w:lineRule="auto"/>
              <w:ind w:firstLine="420" w:firstLineChars="200"/>
              <w:rPr>
                <w:rFonts w:hAnsi="宋体"/>
                <w:color w:val="auto"/>
                <w:kern w:val="2"/>
                <w:sz w:val="21"/>
                <w:szCs w:val="21"/>
              </w:rPr>
            </w:pPr>
            <w:r>
              <w:rPr>
                <w:rFonts w:hint="eastAsia" w:hAnsi="宋体"/>
                <w:color w:val="auto"/>
                <w:kern w:val="2"/>
                <w:sz w:val="21"/>
                <w:szCs w:val="21"/>
              </w:rPr>
              <w:t>帐    号：3460 1010 0100 4791 14</w:t>
            </w:r>
          </w:p>
          <w:p>
            <w:pPr>
              <w:pStyle w:val="24"/>
              <w:spacing w:line="400" w:lineRule="exact"/>
              <w:ind w:firstLine="422" w:firstLineChars="200"/>
              <w:rPr>
                <w:rFonts w:hAnsi="宋体"/>
                <w:color w:val="auto"/>
                <w:kern w:val="2"/>
                <w:sz w:val="21"/>
                <w:szCs w:val="21"/>
              </w:rPr>
            </w:pPr>
            <w:r>
              <w:rPr>
                <w:rFonts w:hint="eastAsia" w:hAnsi="宋体"/>
                <w:b/>
                <w:bCs/>
                <w:color w:val="auto"/>
                <w:sz w:val="21"/>
                <w:szCs w:val="18"/>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24"/>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pPr>
              <w:pStyle w:val="24"/>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24"/>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24"/>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pPr>
              <w:pStyle w:val="24"/>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24"/>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24"/>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pPr>
              <w:pStyle w:val="24"/>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24"/>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监督部门：重庆首讯科技股份有限公司合规监管部</w:t>
            </w:r>
          </w:p>
          <w:p>
            <w:pPr>
              <w:pStyle w:val="24"/>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址：重庆市渝北区新南路52号东界龙湖三楼</w:t>
            </w:r>
          </w:p>
          <w:p>
            <w:pPr>
              <w:pStyle w:val="24"/>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24"/>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25</w:t>
            </w:r>
          </w:p>
        </w:tc>
        <w:tc>
          <w:tcPr>
            <w:tcW w:w="2106" w:type="dxa"/>
            <w:vAlign w:val="center"/>
          </w:tcPr>
          <w:p>
            <w:pPr>
              <w:pStyle w:val="24"/>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竞争性比选响应文件的组成</w:t>
            </w:r>
          </w:p>
        </w:tc>
        <w:tc>
          <w:tcPr>
            <w:tcW w:w="7104" w:type="dxa"/>
            <w:vAlign w:val="center"/>
          </w:tcPr>
          <w:p>
            <w:pPr>
              <w:pStyle w:val="24"/>
              <w:numPr>
                <w:ilvl w:val="255"/>
                <w:numId w:val="0"/>
              </w:numPr>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24"/>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auto"/>
                <w:kern w:val="2"/>
                <w:sz w:val="21"/>
                <w:szCs w:val="21"/>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14:textFill>
                  <w14:solidFill>
                    <w14:schemeClr w14:val="tx1"/>
                  </w14:solidFill>
                </w14:textFill>
              </w:rPr>
              <w:t>。</w:t>
            </w:r>
            <w:r>
              <w:rPr>
                <w:rFonts w:hint="eastAsia" w:hAnsi="宋体"/>
                <w:color w:val="auto"/>
                <w:kern w:val="2"/>
                <w:sz w:val="21"/>
                <w:szCs w:val="21"/>
              </w:rPr>
              <w:t>当电子文件与纸质版竞争性比选响应文件不一致时，以纸质版竞争性比选响应文件为准，当正本与副本不一致时，以正本为准。</w:t>
            </w:r>
          </w:p>
          <w:p>
            <w:pPr>
              <w:pStyle w:val="24"/>
              <w:spacing w:line="400" w:lineRule="exact"/>
              <w:ind w:firstLine="420" w:firstLineChars="200"/>
              <w:rPr>
                <w:rFonts w:hAnsi="宋体"/>
                <w:color w:val="auto"/>
                <w:kern w:val="2"/>
                <w:sz w:val="21"/>
                <w:szCs w:val="21"/>
              </w:rPr>
            </w:pPr>
            <w:r>
              <w:rPr>
                <w:rFonts w:hint="eastAsia" w:hAnsi="宋体"/>
                <w:color w:val="auto"/>
                <w:kern w:val="2"/>
                <w:sz w:val="21"/>
                <w:szCs w:val="21"/>
              </w:rPr>
              <w:t>3.竞争性比选响应声明书、报价函、资格要求材料、报价人认为需要提供的其他相关文件（注：以</w:t>
            </w:r>
            <w:r>
              <w:rPr>
                <w:rFonts w:hint="eastAsia" w:hAnsi="宋体"/>
                <w:b/>
                <w:bCs/>
                <w:color w:val="auto"/>
                <w:kern w:val="2"/>
                <w:sz w:val="21"/>
                <w:szCs w:val="21"/>
              </w:rPr>
              <w:t>上所有文件均须逐页加盖报价人的公章</w:t>
            </w:r>
            <w:r>
              <w:rPr>
                <w:rFonts w:hint="eastAsia" w:hAnsi="宋体"/>
                <w:color w:val="auto"/>
                <w:kern w:val="2"/>
                <w:sz w:val="21"/>
                <w:szCs w:val="21"/>
              </w:rPr>
              <w:t>）。</w:t>
            </w:r>
          </w:p>
          <w:p>
            <w:pPr>
              <w:pStyle w:val="24"/>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24"/>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24"/>
              <w:spacing w:line="400" w:lineRule="exact"/>
              <w:ind w:firstLine="420" w:firstLineChars="200"/>
              <w:rPr>
                <w:rFonts w:hAnsi="宋体"/>
                <w:color w:val="auto"/>
                <w:kern w:val="2"/>
                <w:sz w:val="21"/>
                <w:szCs w:val="21"/>
              </w:rPr>
            </w:pPr>
            <w:r>
              <w:rPr>
                <w:rFonts w:hint="eastAsia" w:hAnsi="宋体"/>
                <w:color w:val="auto"/>
                <w:kern w:val="2"/>
                <w:sz w:val="21"/>
                <w:szCs w:val="21"/>
              </w:rPr>
              <w:t>首讯公司2024年安环智能监管设备及服务采购竞争性比选响应文件（加盖报价人的公章）</w:t>
            </w:r>
          </w:p>
          <w:p>
            <w:pPr>
              <w:pStyle w:val="24"/>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 xml:space="preserve">2024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8</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5</w:t>
            </w:r>
            <w:r>
              <w:rPr>
                <w:rFonts w:hAnsi="宋体"/>
                <w:sz w:val="21"/>
                <w:szCs w:val="18"/>
                <w:u w:val="single"/>
              </w:rPr>
              <w:t xml:space="preserve"> </w:t>
            </w:r>
            <w:r>
              <w:rPr>
                <w:rFonts w:hint="eastAsia" w:hAnsi="宋体"/>
                <w:sz w:val="21"/>
                <w:szCs w:val="18"/>
              </w:rPr>
              <w:t>日上</w:t>
            </w:r>
            <w:r>
              <w:rPr>
                <w:rFonts w:hint="eastAsia" w:hAnsi="宋体"/>
                <w:color w:val="auto"/>
                <w:kern w:val="2"/>
                <w:sz w:val="21"/>
                <w:szCs w:val="21"/>
              </w:rPr>
              <w:t>午1</w:t>
            </w:r>
            <w:r>
              <w:rPr>
                <w:rFonts w:hint="eastAsia" w:hAnsi="宋体"/>
                <w:color w:val="auto"/>
                <w:kern w:val="2"/>
                <w:sz w:val="21"/>
                <w:szCs w:val="21"/>
                <w:lang w:val="en-US" w:eastAsia="zh-CN"/>
              </w:rPr>
              <w:t>1</w:t>
            </w:r>
            <w:r>
              <w:rPr>
                <w:rFonts w:hint="eastAsia" w:hAnsi="宋体"/>
                <w:color w:val="auto"/>
                <w:kern w:val="2"/>
                <w:sz w:val="21"/>
                <w:szCs w:val="21"/>
              </w:rPr>
              <w:t>：</w:t>
            </w:r>
            <w:r>
              <w:rPr>
                <w:rFonts w:hint="eastAsia" w:hAnsi="宋体"/>
                <w:color w:val="auto"/>
                <w:kern w:val="2"/>
                <w:sz w:val="21"/>
                <w:szCs w:val="21"/>
                <w:lang w:val="en-US" w:eastAsia="zh-CN"/>
              </w:rPr>
              <w:t>0</w:t>
            </w:r>
            <w:r>
              <w:rPr>
                <w:rFonts w:hint="eastAsia" w:hAnsi="宋体"/>
                <w:color w:val="auto"/>
                <w:kern w:val="2"/>
                <w:sz w:val="21"/>
                <w:szCs w:val="21"/>
              </w:rPr>
              <w:t>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24"/>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26</w:t>
            </w:r>
          </w:p>
        </w:tc>
        <w:tc>
          <w:tcPr>
            <w:tcW w:w="2106" w:type="dxa"/>
            <w:vAlign w:val="center"/>
          </w:tcPr>
          <w:p>
            <w:pPr>
              <w:spacing w:line="400" w:lineRule="exact"/>
              <w:jc w:val="center"/>
              <w:rPr>
                <w:rFonts w:hAnsi="宋体"/>
                <w:color w:val="000000" w:themeColor="text1"/>
                <w:szCs w:val="21"/>
                <w14:textFill>
                  <w14:solidFill>
                    <w14:schemeClr w14:val="tx1"/>
                  </w14:solidFill>
                </w14:textFill>
              </w:rPr>
            </w:pPr>
            <w:r>
              <w:rPr>
                <w:rFonts w:hint="eastAsia"/>
              </w:rPr>
              <w:t>中标候选人公示</w:t>
            </w:r>
          </w:p>
        </w:tc>
        <w:tc>
          <w:tcPr>
            <w:tcW w:w="7104" w:type="dxa"/>
            <w:vAlign w:val="center"/>
          </w:tcPr>
          <w:p>
            <w:pPr>
              <w:spacing w:line="400" w:lineRule="exact"/>
              <w:ind w:firstLine="420" w:firstLineChars="200"/>
              <w:rPr>
                <w:rFonts w:hAnsi="宋体"/>
                <w:color w:val="000000" w:themeColor="text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4"/>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w:t>
            </w:r>
          </w:p>
        </w:tc>
        <w:tc>
          <w:tcPr>
            <w:tcW w:w="9210" w:type="dxa"/>
            <w:gridSpan w:val="2"/>
            <w:vAlign w:val="center"/>
          </w:tcPr>
          <w:p>
            <w:pPr>
              <w:pStyle w:val="24"/>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4"/>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27.1</w:t>
            </w:r>
          </w:p>
        </w:tc>
        <w:tc>
          <w:tcPr>
            <w:tcW w:w="9210" w:type="dxa"/>
            <w:gridSpan w:val="2"/>
            <w:vAlign w:val="center"/>
          </w:tcPr>
          <w:p>
            <w:pPr>
              <w:pStyle w:val="24"/>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4"/>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27.2</w:t>
            </w:r>
          </w:p>
        </w:tc>
        <w:tc>
          <w:tcPr>
            <w:tcW w:w="9210" w:type="dxa"/>
            <w:gridSpan w:val="2"/>
            <w:vAlign w:val="center"/>
          </w:tcPr>
          <w:p>
            <w:pPr>
              <w:pStyle w:val="24"/>
              <w:numPr>
                <w:ilvl w:val="255"/>
                <w:numId w:val="0"/>
              </w:numPr>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1、需提供投标保证金银行回执。</w:t>
            </w:r>
          </w:p>
        </w:tc>
      </w:tr>
      <w:bookmarkEnd w:id="101"/>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104" w:name="_Toc28820"/>
      <w:bookmarkStart w:id="105" w:name="_Toc32070"/>
      <w:bookmarkStart w:id="106" w:name="_Toc11284"/>
      <w:bookmarkStart w:id="107" w:name="_Toc30198"/>
      <w:bookmarkStart w:id="108" w:name="_Toc17532"/>
      <w:bookmarkStart w:id="109" w:name="_Toc11329222"/>
      <w:r>
        <w:rPr>
          <w:rFonts w:hint="eastAsia" w:ascii="宋体" w:hAnsi="宋体" w:eastAsia="宋体" w:cs="宋体"/>
          <w:sz w:val="28"/>
          <w:szCs w:val="28"/>
        </w:rPr>
        <w:t xml:space="preserve">附录1  </w:t>
      </w:r>
      <w:r>
        <w:rPr>
          <w:rFonts w:hint="eastAsia" w:ascii="宋体" w:hAnsi="宋体" w:eastAsia="宋体" w:cs="宋体"/>
          <w:bCs w:val="0"/>
          <w:sz w:val="28"/>
          <w:szCs w:val="28"/>
        </w:rPr>
        <w:t>资格审查文件（项目主要管理人员最低要求）</w:t>
      </w:r>
      <w:bookmarkEnd w:id="104"/>
    </w:p>
    <w:p>
      <w:pPr>
        <w:spacing w:line="400" w:lineRule="exact"/>
        <w:jc w:val="center"/>
      </w:pPr>
      <w:r>
        <w:rPr>
          <w:rFonts w:hint="eastAsia" w:ascii="宋体" w:hAnsi="宋体" w:cs="宋体"/>
          <w:b/>
          <w:szCs w:val="21"/>
        </w:rPr>
        <w:t>主要管理人员最低要求</w:t>
      </w:r>
    </w:p>
    <w:tbl>
      <w:tblPr>
        <w:tblStyle w:val="19"/>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92"/>
        <w:gridCol w:w="1100"/>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序号</w:t>
            </w:r>
          </w:p>
        </w:tc>
        <w:tc>
          <w:tcPr>
            <w:tcW w:w="159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人  员</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数量</w:t>
            </w:r>
          </w:p>
        </w:tc>
        <w:tc>
          <w:tcPr>
            <w:tcW w:w="537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159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项目经理</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537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具有PMP项目管理资质证书</w:t>
            </w:r>
          </w:p>
        </w:tc>
      </w:tr>
    </w:tbl>
    <w:p>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bidi="ar"/>
        </w:rPr>
        <w:t xml:space="preserve"> 注：</w:t>
      </w:r>
      <w:r>
        <w:rPr>
          <w:rFonts w:hint="eastAsia" w:hAnsi="宋体"/>
          <w:szCs w:val="21"/>
        </w:rPr>
        <w:t>需提供项目主要管理人员名单（表格形式），以上人员相关资质证件、身份证复印件及由社保局出具的报价人为以上人员缴纳2024年</w:t>
      </w:r>
      <w:r>
        <w:rPr>
          <w:rFonts w:hint="eastAsia" w:hAnsi="宋体"/>
          <w:szCs w:val="21"/>
          <w:lang w:val="en-US" w:eastAsia="zh-CN"/>
        </w:rPr>
        <w:t>4</w:t>
      </w:r>
      <w:r>
        <w:rPr>
          <w:rFonts w:hint="eastAsia" w:hAnsi="宋体"/>
          <w:szCs w:val="21"/>
        </w:rPr>
        <w:t>月至2024年</w:t>
      </w:r>
      <w:r>
        <w:rPr>
          <w:rFonts w:hint="eastAsia" w:hAnsi="宋体"/>
          <w:szCs w:val="21"/>
          <w:lang w:val="en-US" w:eastAsia="zh-CN"/>
        </w:rPr>
        <w:t>6</w:t>
      </w:r>
      <w:r>
        <w:rPr>
          <w:rFonts w:hint="eastAsia" w:hAnsi="宋体"/>
          <w:szCs w:val="21"/>
        </w:rPr>
        <w:t>月连续三个月的养老保险证明（带有社保部门公章或社保部门的有效电子印章），并加盖单位鲜公章。</w:t>
      </w:r>
    </w:p>
    <w:p>
      <w:pPr>
        <w:pStyle w:val="2"/>
      </w:pPr>
    </w:p>
    <w:p>
      <w:pPr>
        <w:pStyle w:val="4"/>
        <w:jc w:val="center"/>
        <w:rPr>
          <w:rFonts w:ascii="宋体" w:hAnsi="宋体" w:eastAsia="宋体" w:cs="宋体"/>
          <w:bCs w:val="0"/>
          <w:sz w:val="28"/>
          <w:szCs w:val="28"/>
        </w:rPr>
      </w:pPr>
      <w:bookmarkStart w:id="110" w:name="_Toc12685"/>
      <w:bookmarkStart w:id="111" w:name="_Toc22513"/>
      <w:r>
        <w:rPr>
          <w:rFonts w:hint="eastAsia" w:ascii="宋体" w:hAnsi="宋体" w:eastAsia="宋体" w:cs="宋体"/>
          <w:bCs w:val="0"/>
          <w:sz w:val="28"/>
          <w:szCs w:val="28"/>
        </w:rPr>
        <w:t>附录2 资格审查文件（项目其他人员最低要求）</w:t>
      </w:r>
      <w:bookmarkEnd w:id="110"/>
      <w:bookmarkEnd w:id="111"/>
    </w:p>
    <w:tbl>
      <w:tblPr>
        <w:tblStyle w:val="19"/>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774" w:type="dxa"/>
            <w:vAlign w:val="center"/>
          </w:tcPr>
          <w:p>
            <w:pPr>
              <w:spacing w:line="400" w:lineRule="exact"/>
              <w:jc w:val="center"/>
              <w:rPr>
                <w:rFonts w:ascii="宋体" w:hAnsi="宋体" w:cs="宋体"/>
                <w:szCs w:val="21"/>
              </w:rPr>
            </w:pPr>
            <w:bookmarkStart w:id="112" w:name="_Toc507319900"/>
            <w:bookmarkStart w:id="113" w:name="_Toc23696"/>
            <w:bookmarkStart w:id="114" w:name="_Toc413241584"/>
            <w:r>
              <w:rPr>
                <w:rFonts w:hint="eastAsia" w:ascii="宋体" w:hAnsi="宋体" w:cs="宋体"/>
                <w:szCs w:val="21"/>
              </w:rPr>
              <w:t>项目其他人员最低要求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4" w:type="dxa"/>
          </w:tcPr>
          <w:p>
            <w:pPr>
              <w:ind w:firstLine="420" w:firstLineChars="200"/>
            </w:pPr>
            <w:r>
              <w:rPr>
                <w:rFonts w:hint="eastAsia"/>
              </w:rPr>
              <w:t>根据项目实际进度情况及时增加人员。</w:t>
            </w:r>
          </w:p>
        </w:tc>
      </w:tr>
    </w:tbl>
    <w:p>
      <w:pPr>
        <w:pStyle w:val="24"/>
        <w:adjustRightInd/>
        <w:spacing w:line="360" w:lineRule="auto"/>
        <w:jc w:val="both"/>
        <w:rPr>
          <w:rFonts w:hAnsi="宋体"/>
          <w:color w:val="FF0000"/>
          <w:sz w:val="21"/>
          <w:szCs w:val="21"/>
        </w:rPr>
      </w:pPr>
      <w:r>
        <w:rPr>
          <w:rFonts w:hint="eastAsia" w:hAnsi="宋体"/>
          <w:bCs/>
          <w:sz w:val="22"/>
          <w:szCs w:val="20"/>
        </w:rPr>
        <w:t>注：以上人员</w:t>
      </w:r>
      <w:r>
        <w:rPr>
          <w:rFonts w:hint="eastAsia" w:hAnsi="宋体"/>
          <w:sz w:val="22"/>
          <w:szCs w:val="22"/>
        </w:rPr>
        <w:t>由报价人</w:t>
      </w:r>
      <w:r>
        <w:rPr>
          <w:rFonts w:hint="eastAsia" w:hAnsi="宋体"/>
          <w:b/>
          <w:sz w:val="22"/>
          <w:szCs w:val="22"/>
        </w:rPr>
        <w:t>自行承诺</w:t>
      </w:r>
      <w:r>
        <w:rPr>
          <w:rFonts w:hint="eastAsia" w:hAnsi="宋体"/>
          <w:sz w:val="22"/>
          <w:szCs w:val="22"/>
        </w:rPr>
        <w:t>，</w:t>
      </w:r>
      <w:r>
        <w:rPr>
          <w:rFonts w:hint="eastAsia" w:hAnsi="宋体"/>
          <w:sz w:val="22"/>
          <w:szCs w:val="20"/>
        </w:rPr>
        <w:t>无需提供有关证明资料，并加盖单位鲜公章</w:t>
      </w:r>
      <w:r>
        <w:rPr>
          <w:rFonts w:hint="eastAsia" w:hAnsi="宋体"/>
          <w:color w:val="auto"/>
          <w:sz w:val="20"/>
          <w:szCs w:val="20"/>
        </w:rPr>
        <w:t>。</w:t>
      </w:r>
    </w:p>
    <w:bookmarkEnd w:id="112"/>
    <w:bookmarkEnd w:id="113"/>
    <w:bookmarkEnd w:id="114"/>
    <w:p>
      <w:pPr>
        <w:pStyle w:val="4"/>
        <w:rPr>
          <w:rStyle w:val="25"/>
          <w:rFonts w:ascii="宋体" w:hAnsi="宋体" w:eastAsia="宋体" w:cs="宋体"/>
          <w:b w:val="0"/>
          <w:bCs w:val="0"/>
          <w:sz w:val="28"/>
          <w:szCs w:val="28"/>
        </w:rPr>
      </w:pPr>
    </w:p>
    <w:p>
      <w:pPr>
        <w:pStyle w:val="4"/>
        <w:rPr>
          <w:rFonts w:hAnsi="宋体"/>
          <w:b w:val="0"/>
          <w:sz w:val="28"/>
          <w:szCs w:val="28"/>
        </w:rPr>
      </w:pPr>
      <w:bookmarkStart w:id="115" w:name="_Toc23610"/>
      <w:bookmarkStart w:id="116" w:name="_Toc12175"/>
      <w:r>
        <w:rPr>
          <w:rFonts w:hint="eastAsia" w:ascii="宋体" w:hAnsi="宋体" w:eastAsia="宋体" w:cs="宋体"/>
          <w:bCs w:val="0"/>
          <w:sz w:val="28"/>
          <w:szCs w:val="28"/>
        </w:rPr>
        <w:t>附录3 资格审查文件（主要机械设备和试验检测设备最低要求）</w:t>
      </w:r>
      <w:bookmarkEnd w:id="115"/>
      <w:bookmarkEnd w:id="116"/>
    </w:p>
    <w:tbl>
      <w:tblPr>
        <w:tblStyle w:val="19"/>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714"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714" w:type="dxa"/>
          </w:tcPr>
          <w:p>
            <w:pPr>
              <w:ind w:firstLine="420" w:firstLineChars="200"/>
            </w:pPr>
            <w:r>
              <w:rPr>
                <w:rFonts w:hint="eastAsia"/>
              </w:rPr>
              <w:t>无</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hAnsi="宋体"/>
          <w:szCs w:val="21"/>
        </w:rPr>
        <w:t>，提供承诺资料并加盖单位公章</w:t>
      </w:r>
      <w:r>
        <w:rPr>
          <w:rFonts w:hint="eastAsia" w:ascii="宋体" w:hAnsi="宋体" w:cs="宋体"/>
          <w:kern w:val="0"/>
          <w:szCs w:val="21"/>
        </w:rPr>
        <w:t>。</w:t>
      </w:r>
    </w:p>
    <w:p>
      <w:pPr>
        <w:spacing w:line="440" w:lineRule="exact"/>
        <w:jc w:val="center"/>
        <w:rPr>
          <w:rFonts w:ascii="宋体" w:hAnsi="宋体" w:cs="宋体"/>
          <w:color w:val="000000" w:themeColor="text1"/>
          <w:szCs w:val="21"/>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szCs w:val="21"/>
        </w:rPr>
        <w:t>以上（附录1-附录3中的资格审查）的要求均为强制性条件，其中任何一条不满足要求，则按否决报价处理。</w:t>
      </w:r>
      <w:bookmarkEnd w:id="105"/>
      <w:bookmarkEnd w:id="106"/>
      <w:bookmarkEnd w:id="107"/>
      <w:bookmarkEnd w:id="108"/>
      <w:bookmarkEnd w:id="109"/>
    </w:p>
    <w:p>
      <w:pPr>
        <w:pStyle w:val="3"/>
        <w:spacing w:before="0" w:after="0" w:line="360" w:lineRule="auto"/>
        <w:jc w:val="center"/>
        <w:rPr>
          <w:rFonts w:ascii="宋体" w:hAnsi="宋体" w:cs="宋体"/>
          <w:color w:val="000000" w:themeColor="text1"/>
          <w14:textFill>
            <w14:solidFill>
              <w14:schemeClr w14:val="tx1"/>
            </w14:solidFill>
          </w14:textFill>
        </w:rPr>
      </w:pPr>
      <w:bookmarkStart w:id="117" w:name="_Toc246996230"/>
      <w:bookmarkStart w:id="118" w:name="_Toc144974554"/>
      <w:bookmarkStart w:id="119" w:name="_Toc507319957"/>
      <w:bookmarkStart w:id="120" w:name="_Toc179632605"/>
      <w:bookmarkStart w:id="121" w:name="_Toc2000406"/>
      <w:bookmarkStart w:id="122" w:name="_Toc247085745"/>
      <w:bookmarkStart w:id="123" w:name="_Toc152045587"/>
      <w:bookmarkStart w:id="124" w:name="_Toc152042364"/>
      <w:bookmarkStart w:id="125" w:name="_Toc246996973"/>
      <w:bookmarkStart w:id="126" w:name="_Toc7682"/>
      <w:r>
        <w:rPr>
          <w:rFonts w:hint="eastAsia" w:ascii="宋体" w:hAnsi="宋体" w:cs="宋体"/>
          <w:color w:val="000000" w:themeColor="text1"/>
          <w14:textFill>
            <w14:solidFill>
              <w14:schemeClr w14:val="tx1"/>
            </w14:solidFill>
          </w14:textFill>
        </w:rPr>
        <w:t xml:space="preserve">第三章 </w:t>
      </w:r>
      <w:r>
        <w:rPr>
          <w:rFonts w:hint="eastAsia" w:ascii="宋体" w:hAnsi="宋体" w:cs="宋体"/>
        </w:rPr>
        <w:t>评标办法（综合评估法）</w:t>
      </w:r>
      <w:bookmarkEnd w:id="117"/>
      <w:bookmarkEnd w:id="118"/>
      <w:bookmarkEnd w:id="119"/>
      <w:bookmarkEnd w:id="120"/>
      <w:bookmarkEnd w:id="121"/>
      <w:bookmarkEnd w:id="122"/>
      <w:bookmarkEnd w:id="123"/>
      <w:bookmarkEnd w:id="124"/>
      <w:bookmarkEnd w:id="125"/>
      <w:bookmarkEnd w:id="126"/>
    </w:p>
    <w:p>
      <w:pPr>
        <w:rPr>
          <w:b/>
          <w:bCs/>
        </w:rPr>
      </w:pPr>
      <w:r>
        <w:rPr>
          <w:rFonts w:hint="eastAsia"/>
          <w:b/>
          <w:bCs/>
        </w:rPr>
        <w:t>评标办法前附表</w:t>
      </w:r>
    </w:p>
    <w:tbl>
      <w:tblPr>
        <w:tblStyle w:val="19"/>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2"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2"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2"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8"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8" w:type="dxa"/>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pPr>
              <w:snapToGrid w:val="0"/>
              <w:spacing w:line="400" w:lineRule="exact"/>
              <w:ind w:firstLine="420" w:firstLineChars="200"/>
              <w:jc w:val="center"/>
              <w:rPr>
                <w:rFonts w:ascii="宋体" w:hAnsi="宋体" w:cs="宋体"/>
                <w:kern w:val="0"/>
                <w:szCs w:val="21"/>
              </w:rPr>
            </w:pPr>
            <w:r>
              <w:rPr>
                <w:rFonts w:hint="eastAsia" w:ascii="宋体" w:hAnsi="宋体" w:cs="宋体"/>
                <w:kern w:val="0"/>
                <w:szCs w:val="21"/>
              </w:rPr>
              <w:t>1.报价</w:t>
            </w:r>
            <w:r>
              <w:rPr>
                <w:rFonts w:hint="eastAsia" w:ascii="宋体" w:hAnsi="宋体" w:cs="宋体"/>
                <w:kern w:val="0"/>
                <w:szCs w:val="21"/>
                <w:u w:val="single"/>
              </w:rPr>
              <w:t>70</w:t>
            </w:r>
            <w:r>
              <w:rPr>
                <w:rFonts w:hint="eastAsia" w:ascii="宋体" w:hAnsi="宋体" w:cs="宋体"/>
                <w:kern w:val="0"/>
                <w:szCs w:val="21"/>
              </w:rPr>
              <w:t>分；</w:t>
            </w:r>
          </w:p>
          <w:p>
            <w:pPr>
              <w:snapToGrid w:val="0"/>
              <w:spacing w:line="400" w:lineRule="exact"/>
              <w:ind w:firstLine="420" w:firstLineChars="200"/>
              <w:jc w:val="center"/>
              <w:rPr>
                <w:rFonts w:ascii="宋体" w:hAnsi="宋体" w:cs="宋体"/>
                <w:kern w:val="0"/>
                <w:szCs w:val="21"/>
              </w:rPr>
            </w:pPr>
            <w:r>
              <w:rPr>
                <w:rFonts w:hint="eastAsia" w:ascii="宋体" w:hAnsi="宋体" w:cs="宋体"/>
                <w:kern w:val="0"/>
                <w:szCs w:val="21"/>
              </w:rPr>
              <w:t>2.商务部分10分；</w:t>
            </w:r>
          </w:p>
          <w:p>
            <w:pPr>
              <w:spacing w:line="320" w:lineRule="exact"/>
              <w:jc w:val="center"/>
              <w:rPr>
                <w:rFonts w:asciiTheme="minorEastAsia" w:hAnsiTheme="minorEastAsia" w:eastAsiaTheme="minorEastAsia" w:cstheme="minorEastAsia"/>
                <w:szCs w:val="21"/>
              </w:rPr>
            </w:pPr>
            <w:r>
              <w:rPr>
                <w:rFonts w:ascii="宋体" w:hAnsi="宋体" w:cs="宋体"/>
                <w:kern w:val="0"/>
                <w:szCs w:val="21"/>
              </w:rPr>
              <w:t xml:space="preserve">    </w:t>
            </w:r>
            <w:r>
              <w:rPr>
                <w:rFonts w:hint="eastAsia" w:ascii="宋体" w:hAnsi="宋体" w:cs="宋体"/>
                <w:kern w:val="0"/>
                <w:szCs w:val="21"/>
              </w:rPr>
              <w:t>3.技术部分</w:t>
            </w:r>
            <w:r>
              <w:rPr>
                <w:rFonts w:ascii="宋体" w:hAnsi="宋体" w:cs="宋体"/>
                <w:kern w:val="0"/>
                <w:szCs w:val="21"/>
              </w:rPr>
              <w:t>2</w:t>
            </w:r>
            <w:r>
              <w:rPr>
                <w:rFonts w:hint="eastAsia" w:ascii="宋体" w:hAnsi="宋体" w:cs="宋体"/>
                <w:kern w:val="0"/>
                <w:szCs w:val="21"/>
                <w:u w:val="single"/>
              </w:rPr>
              <w:t>0</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投标报价（70分）</w:t>
            </w:r>
          </w:p>
        </w:tc>
        <w:tc>
          <w:tcPr>
            <w:tcW w:w="2022" w:type="dxa"/>
            <w:vAlign w:val="center"/>
          </w:tcPr>
          <w:p>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评标基准价计算方法</w:t>
            </w:r>
          </w:p>
        </w:tc>
        <w:tc>
          <w:tcPr>
            <w:tcW w:w="5928" w:type="dxa"/>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由评标委员会计算评标基准价：</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（1）评标价的确定：评标价＝投标函文字报价</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（2）评标基准价的确定：</w:t>
            </w:r>
          </w:p>
          <w:p>
            <w:pPr>
              <w:snapToGrid w:val="0"/>
              <w:spacing w:line="400" w:lineRule="exact"/>
              <w:ind w:firstLine="420" w:firstLineChars="200"/>
              <w:rPr>
                <w:rFonts w:ascii="宋体" w:hAnsi="宋体" w:cs="宋体"/>
                <w:szCs w:val="21"/>
              </w:rPr>
            </w:pPr>
            <w:r>
              <w:rPr>
                <w:rFonts w:hint="eastAsia" w:ascii="宋体" w:hAnsi="宋体" w:cs="宋体"/>
                <w:kern w:val="0"/>
                <w:szCs w:val="21"/>
              </w:rPr>
              <w:t>在通过初步评审后且不高于最高限价和不低于最高限价85%的投标报价中去掉六分之一（不能整除的按小数前整数取整，不足六家报价则不去掉）的最低价和相同家数的最高价后的算术平均值为评标基准价。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评标价的偏差率计算公式</w:t>
            </w:r>
          </w:p>
        </w:tc>
        <w:tc>
          <w:tcPr>
            <w:tcW w:w="5928" w:type="dxa"/>
            <w:vAlign w:val="center"/>
          </w:tcPr>
          <w:p>
            <w:pPr>
              <w:spacing w:line="320" w:lineRule="exact"/>
              <w:jc w:val="left"/>
              <w:rPr>
                <w:rFonts w:ascii="宋体" w:hAnsi="宋体" w:cs="宋体"/>
                <w:szCs w:val="21"/>
              </w:rPr>
            </w:pPr>
            <w:r>
              <w:rPr>
                <w:rFonts w:hint="eastAsia" w:ascii="宋体" w:hAnsi="宋体" w:cs="宋体"/>
                <w:b/>
                <w:bCs/>
                <w:szCs w:val="21"/>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928" w:type="dxa"/>
          </w:tcPr>
          <w:p>
            <w:pPr>
              <w:pStyle w:val="17"/>
              <w:spacing w:after="0" w:line="320" w:lineRule="exact"/>
              <w:ind w:firstLineChars="200"/>
              <w:rPr>
                <w:rFonts w:ascii="宋体" w:hAnsi="宋体" w:eastAsia="宋体" w:cs="宋体"/>
                <w:sz w:val="21"/>
                <w:szCs w:val="21"/>
              </w:rPr>
            </w:pPr>
            <w:r>
              <w:rPr>
                <w:rFonts w:hint="eastAsia" w:ascii="宋体" w:hAnsi="宋体" w:eastAsia="宋体" w:cs="宋体"/>
                <w:sz w:val="21"/>
                <w:szCs w:val="21"/>
              </w:rPr>
              <w:t>所有有效投标报价分别与评标基准价相比较，等于基准价得70分，每增加1%扣0.5分；每减少1%扣0.2分，</w:t>
            </w:r>
            <w:r>
              <w:rPr>
                <w:rFonts w:ascii="宋体" w:hAnsi="宋体" w:eastAsia="宋体" w:cs="宋体"/>
                <w:sz w:val="21"/>
                <w:szCs w:val="21"/>
              </w:rPr>
              <w:t>最多扣10分</w:t>
            </w:r>
            <w:r>
              <w:rPr>
                <w:rFonts w:hint="eastAsia" w:ascii="宋体" w:hAnsi="宋体" w:eastAsia="宋体" w:cs="宋体"/>
                <w:sz w:val="21"/>
                <w:szCs w:val="21"/>
              </w:rPr>
              <w:t>。按插入法计算得分。</w:t>
            </w:r>
          </w:p>
          <w:p>
            <w:pPr>
              <w:spacing w:line="400" w:lineRule="exact"/>
              <w:ind w:firstLine="420" w:firstLineChars="200"/>
              <w:rPr>
                <w:rFonts w:ascii="宋体" w:hAnsi="宋体" w:cs="宋体"/>
                <w:szCs w:val="21"/>
              </w:rPr>
            </w:pPr>
            <w:r>
              <w:rPr>
                <w:rFonts w:hint="eastAsia" w:ascii="宋体" w:hAnsi="宋体" w:cs="宋体"/>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宋体" w:hAnsi="宋体" w:cs="宋体"/>
                <w:szCs w:val="21"/>
              </w:rPr>
              <w:t>评分标准</w:t>
            </w:r>
            <w:r>
              <w:rPr>
                <w:rFonts w:hint="eastAsia" w:asciiTheme="minorEastAsia" w:hAnsiTheme="minorEastAsia" w:eastAsiaTheme="minorEastAsia" w:cstheme="minorEastAsia"/>
                <w:szCs w:val="21"/>
              </w:rPr>
              <w:t>（10分）</w:t>
            </w:r>
          </w:p>
        </w:tc>
        <w:tc>
          <w:tcPr>
            <w:tcW w:w="2022" w:type="dxa"/>
            <w:vAlign w:val="center"/>
          </w:tcPr>
          <w:p>
            <w:pPr>
              <w:snapToGrid w:val="0"/>
              <w:spacing w:line="400" w:lineRule="exact"/>
              <w:jc w:val="center"/>
              <w:rPr>
                <w:rFonts w:ascii="宋体" w:hAnsi="宋体" w:cs="宋体"/>
                <w:szCs w:val="21"/>
              </w:rPr>
            </w:pPr>
          </w:p>
          <w:p>
            <w:pPr>
              <w:pStyle w:val="9"/>
              <w:jc w:val="center"/>
              <w:rPr>
                <w:rFonts w:ascii="宋体" w:hAnsi="宋体" w:cs="宋体"/>
                <w:sz w:val="21"/>
                <w:szCs w:val="21"/>
              </w:rPr>
            </w:pPr>
          </w:p>
          <w:p>
            <w:pPr>
              <w:snapToGrid w:val="0"/>
              <w:spacing w:line="400" w:lineRule="exact"/>
              <w:jc w:val="center"/>
              <w:rPr>
                <w:rFonts w:ascii="宋体" w:hAnsi="宋体" w:cs="宋体"/>
                <w:szCs w:val="21"/>
              </w:rPr>
            </w:pPr>
            <w:r>
              <w:rPr>
                <w:rFonts w:hint="eastAsia" w:ascii="宋体" w:hAnsi="宋体" w:cs="宋体"/>
                <w:szCs w:val="21"/>
              </w:rPr>
              <w:t>业绩要求（8分）</w:t>
            </w:r>
          </w:p>
          <w:p>
            <w:pPr>
              <w:snapToGrid w:val="0"/>
              <w:spacing w:line="400" w:lineRule="exact"/>
              <w:jc w:val="center"/>
              <w:rPr>
                <w:rFonts w:asciiTheme="minorEastAsia" w:hAnsiTheme="minorEastAsia" w:eastAsiaTheme="minorEastAsia" w:cstheme="minorEastAsia"/>
                <w:szCs w:val="21"/>
              </w:rPr>
            </w:pPr>
          </w:p>
        </w:tc>
        <w:tc>
          <w:tcPr>
            <w:tcW w:w="5928" w:type="dxa"/>
            <w:vAlign w:val="center"/>
          </w:tcPr>
          <w:p>
            <w:pPr>
              <w:widowControl/>
              <w:numPr>
                <w:ilvl w:val="255"/>
                <w:numId w:val="0"/>
              </w:numPr>
              <w:adjustRightInd w:val="0"/>
              <w:spacing w:line="320" w:lineRule="exact"/>
              <w:ind w:firstLine="440"/>
              <w:textAlignment w:val="baseline"/>
              <w:rPr>
                <w:rFonts w:ascii="宋体" w:hAnsi="宋体" w:cs="宋体"/>
                <w:kern w:val="0"/>
                <w:szCs w:val="21"/>
                <w:lang w:bidi="ar"/>
              </w:rPr>
            </w:pPr>
            <w:r>
              <w:rPr>
                <w:rFonts w:hint="eastAsia" w:ascii="宋体" w:hAnsi="宋体" w:cs="宋体"/>
                <w:kern w:val="0"/>
                <w:szCs w:val="21"/>
                <w:lang w:bidi="ar"/>
              </w:rPr>
              <w:t>1.满足资格条件的业绩要求得4分；</w:t>
            </w:r>
          </w:p>
          <w:p>
            <w:pPr>
              <w:widowControl/>
              <w:numPr>
                <w:ilvl w:val="255"/>
                <w:numId w:val="0"/>
              </w:numPr>
              <w:adjustRightInd w:val="0"/>
              <w:spacing w:line="320" w:lineRule="exact"/>
              <w:ind w:firstLine="440"/>
              <w:textAlignment w:val="baseline"/>
              <w:rPr>
                <w:rFonts w:ascii="宋体" w:hAnsi="宋体" w:cs="宋体"/>
                <w:kern w:val="0"/>
                <w:szCs w:val="21"/>
              </w:rPr>
            </w:pPr>
            <w:r>
              <w:rPr>
                <w:rFonts w:hint="eastAsia" w:ascii="宋体" w:hAnsi="宋体" w:cs="宋体"/>
                <w:kern w:val="0"/>
                <w:szCs w:val="21"/>
              </w:rPr>
              <w:t>2.在满足资格要求基础上,2021年1月1日至报价截止日期（以合同签订时间为准）每增加一项合同金额不低于10万元交通行业交通领域相关的软件服务或开发运维项目业绩，得2分，此项满分为4分。</w:t>
            </w:r>
          </w:p>
          <w:p>
            <w:pPr>
              <w:widowControl/>
              <w:adjustRightInd w:val="0"/>
              <w:spacing w:line="320" w:lineRule="exact"/>
              <w:ind w:firstLine="440"/>
              <w:textAlignment w:val="baseline"/>
              <w:rPr>
                <w:rFonts w:ascii="宋体" w:hAnsi="宋体" w:cs="宋体"/>
                <w:szCs w:val="21"/>
              </w:rPr>
            </w:pPr>
            <w:r>
              <w:rPr>
                <w:rFonts w:hint="eastAsia" w:ascii="宋体" w:hAnsi="宋体" w:cs="宋体"/>
                <w:color w:val="000000"/>
                <w:szCs w:val="21"/>
              </w:rPr>
              <w:t>注：</w:t>
            </w:r>
            <w:r>
              <w:rPr>
                <w:rFonts w:hint="eastAsia" w:ascii="宋体" w:hAnsi="宋体" w:cs="宋体"/>
                <w:kern w:val="0"/>
                <w:szCs w:val="21"/>
              </w:rPr>
              <w:t>1.合同复印件（合同需清晰反映上述业绩要求的主要内容，包括但不限于合同金额及工作内容），合同原件备查。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napToGrid w:val="0"/>
              <w:spacing w:line="400" w:lineRule="exact"/>
              <w:jc w:val="center"/>
              <w:rPr>
                <w:rFonts w:asciiTheme="minorEastAsia" w:hAnsiTheme="minorEastAsia" w:eastAsiaTheme="minorEastAsia" w:cstheme="minorEastAsia"/>
                <w:szCs w:val="21"/>
              </w:rPr>
            </w:pPr>
            <w:r>
              <w:rPr>
                <w:rFonts w:hint="eastAsia" w:ascii="宋体" w:hAnsi="宋体" w:cs="宋体"/>
                <w:szCs w:val="21"/>
              </w:rPr>
              <w:t>企业实力（2分）</w:t>
            </w:r>
          </w:p>
        </w:tc>
        <w:tc>
          <w:tcPr>
            <w:tcW w:w="5928" w:type="dxa"/>
            <w:vAlign w:val="center"/>
          </w:tcPr>
          <w:p>
            <w:pPr>
              <w:widowControl/>
              <w:adjustRightInd w:val="0"/>
              <w:spacing w:line="320" w:lineRule="exact"/>
              <w:ind w:firstLine="440"/>
              <w:textAlignment w:val="baseline"/>
              <w:rPr>
                <w:rFonts w:ascii="宋体" w:hAnsi="宋体" w:cs="宋体"/>
                <w:kern w:val="0"/>
                <w:szCs w:val="21"/>
              </w:rPr>
            </w:pPr>
            <w:r>
              <w:rPr>
                <w:rFonts w:hint="eastAsia" w:ascii="宋体" w:hAnsi="宋体" w:cs="宋体"/>
                <w:kern w:val="0"/>
                <w:szCs w:val="21"/>
              </w:rPr>
              <w:t>1.</w:t>
            </w:r>
            <w:r>
              <w:rPr>
                <w:rFonts w:hint="eastAsia" w:eastAsiaTheme="minorEastAsia"/>
                <w:kern w:val="0"/>
                <w:szCs w:val="21"/>
              </w:rPr>
              <w:t>具备高新技术企业资质认定</w:t>
            </w:r>
            <w:r>
              <w:rPr>
                <w:rFonts w:eastAsiaTheme="minorEastAsia"/>
                <w:kern w:val="0"/>
                <w:szCs w:val="21"/>
              </w:rPr>
              <w:t>得</w:t>
            </w:r>
            <w:r>
              <w:rPr>
                <w:rFonts w:hint="eastAsia" w:eastAsiaTheme="minorEastAsia"/>
                <w:kern w:val="0"/>
                <w:szCs w:val="21"/>
              </w:rPr>
              <w:t>2</w:t>
            </w:r>
            <w:r>
              <w:rPr>
                <w:rFonts w:eastAsiaTheme="minorEastAsia"/>
                <w:kern w:val="0"/>
                <w:szCs w:val="21"/>
              </w:rPr>
              <w:t>分</w:t>
            </w:r>
            <w:r>
              <w:rPr>
                <w:rFonts w:hint="eastAsia" w:ascii="宋体" w:hAnsi="宋体" w:cs="宋体"/>
                <w:kern w:val="0"/>
                <w:szCs w:val="21"/>
              </w:rPr>
              <w:t>。</w:t>
            </w:r>
          </w:p>
          <w:p>
            <w:pPr>
              <w:ind w:firstLine="420" w:firstLineChars="200"/>
              <w:jc w:val="left"/>
              <w:rPr>
                <w:rFonts w:ascii="宋体" w:hAnsi="宋体" w:cs="宋体"/>
                <w:szCs w:val="21"/>
              </w:rPr>
            </w:pPr>
            <w:r>
              <w:rPr>
                <w:rFonts w:hint="eastAsia" w:ascii="宋体" w:hAnsi="宋体" w:cs="宋体"/>
                <w:kern w:val="0"/>
                <w:szCs w:val="21"/>
              </w:rPr>
              <w:t>注：提供证书复印件。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宋体" w:hAnsi="宋体" w:cs="宋体"/>
                <w:szCs w:val="21"/>
              </w:rPr>
              <w:t>评分标准</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0分）</w:t>
            </w:r>
          </w:p>
        </w:tc>
        <w:tc>
          <w:tcPr>
            <w:tcW w:w="2022" w:type="dxa"/>
            <w:vAlign w:val="center"/>
          </w:tcPr>
          <w:p>
            <w:pPr>
              <w:adjustRightInd w:val="0"/>
              <w:snapToGrid w:val="0"/>
              <w:spacing w:line="400" w:lineRule="exact"/>
              <w:jc w:val="center"/>
              <w:rPr>
                <w:rFonts w:eastAsiaTheme="minorEastAsia"/>
                <w:szCs w:val="21"/>
              </w:rPr>
            </w:pPr>
            <w:r>
              <w:rPr>
                <w:rFonts w:eastAsiaTheme="minorEastAsia"/>
                <w:szCs w:val="21"/>
              </w:rPr>
              <w:t>产品技术指标</w:t>
            </w:r>
          </w:p>
          <w:p>
            <w:pPr>
              <w:adjustRightInd w:val="0"/>
              <w:snapToGrid w:val="0"/>
              <w:spacing w:line="400" w:lineRule="exact"/>
              <w:jc w:val="center"/>
              <w:rPr>
                <w:rFonts w:asciiTheme="minorEastAsia" w:hAnsiTheme="minorEastAsia" w:eastAsiaTheme="minorEastAsia" w:cstheme="minorEastAsia"/>
                <w:szCs w:val="21"/>
              </w:rPr>
            </w:pPr>
            <w:r>
              <w:rPr>
                <w:rFonts w:eastAsiaTheme="minorEastAsia"/>
                <w:szCs w:val="21"/>
              </w:rPr>
              <w:t>（</w:t>
            </w:r>
            <w:r>
              <w:rPr>
                <w:rFonts w:hint="eastAsia" w:eastAsiaTheme="minorEastAsia"/>
                <w:szCs w:val="21"/>
              </w:rPr>
              <w:t>10</w:t>
            </w:r>
            <w:r>
              <w:rPr>
                <w:rFonts w:eastAsiaTheme="minorEastAsia"/>
                <w:szCs w:val="21"/>
              </w:rPr>
              <w:t>分）</w:t>
            </w:r>
          </w:p>
        </w:tc>
        <w:tc>
          <w:tcPr>
            <w:tcW w:w="5928" w:type="dxa"/>
            <w:vAlign w:val="center"/>
          </w:tcPr>
          <w:p>
            <w:pPr>
              <w:pStyle w:val="27"/>
              <w:adjustRightInd w:val="0"/>
              <w:snapToGrid w:val="0"/>
              <w:spacing w:line="400" w:lineRule="exact"/>
              <w:textAlignment w:val="baseline"/>
              <w:rPr>
                <w:rFonts w:eastAsiaTheme="minorEastAsia"/>
                <w:szCs w:val="21"/>
              </w:rPr>
            </w:pPr>
            <w:r>
              <w:rPr>
                <w:rFonts w:eastAsiaTheme="minorEastAsia"/>
                <w:szCs w:val="21"/>
              </w:rPr>
              <w:t>每满足一条高标准性技术参数要求（第</w:t>
            </w:r>
            <w:r>
              <w:rPr>
                <w:rFonts w:hint="eastAsia" w:eastAsiaTheme="minorEastAsia"/>
                <w:szCs w:val="21"/>
                <w:lang w:val="en-US" w:eastAsia="zh-CN"/>
              </w:rPr>
              <w:t>七</w:t>
            </w:r>
            <w:bookmarkStart w:id="270" w:name="_GoBack"/>
            <w:bookmarkEnd w:id="270"/>
            <w:r>
              <w:rPr>
                <w:rFonts w:eastAsiaTheme="minorEastAsia"/>
                <w:szCs w:val="21"/>
              </w:rPr>
              <w:t>章“技术标准和要求”</w:t>
            </w:r>
            <w:r>
              <w:rPr>
                <w:rFonts w:hint="eastAsia" w:eastAsiaTheme="minorEastAsia"/>
                <w:szCs w:val="21"/>
              </w:rPr>
              <w:t>▲</w:t>
            </w:r>
            <w:r>
              <w:rPr>
                <w:rFonts w:eastAsiaTheme="minorEastAsia"/>
                <w:szCs w:val="21"/>
              </w:rPr>
              <w:t>号标注的部分）</w:t>
            </w:r>
            <w:r>
              <w:rPr>
                <w:rFonts w:hint="eastAsia" w:eastAsiaTheme="minorEastAsia"/>
                <w:szCs w:val="21"/>
              </w:rPr>
              <w:t>得1</w:t>
            </w:r>
            <w:r>
              <w:rPr>
                <w:rFonts w:eastAsiaTheme="minorEastAsia"/>
                <w:szCs w:val="21"/>
              </w:rPr>
              <w:t>分，满分</w:t>
            </w:r>
            <w:r>
              <w:rPr>
                <w:rFonts w:hint="eastAsia" w:eastAsiaTheme="minorEastAsia"/>
                <w:szCs w:val="21"/>
              </w:rPr>
              <w:t>10</w:t>
            </w:r>
            <w:r>
              <w:rPr>
                <w:rFonts w:eastAsiaTheme="minorEastAsia"/>
                <w:szCs w:val="21"/>
              </w:rPr>
              <w:t>分。</w:t>
            </w:r>
          </w:p>
          <w:p>
            <w:pPr>
              <w:pStyle w:val="27"/>
              <w:adjustRightInd w:val="0"/>
              <w:snapToGrid w:val="0"/>
              <w:spacing w:line="400" w:lineRule="exact"/>
              <w:textAlignment w:val="baseline"/>
              <w:rPr>
                <w:rFonts w:ascii="宋体" w:hAnsi="宋体" w:cs="宋体"/>
                <w:szCs w:val="21"/>
              </w:rPr>
            </w:pPr>
            <w:r>
              <w:rPr>
                <w:rFonts w:eastAsiaTheme="minorEastAsia"/>
                <w:szCs w:val="21"/>
              </w:rPr>
              <w:t>注：</w:t>
            </w:r>
            <w:r>
              <w:rPr>
                <w:rFonts w:hint="eastAsia" w:eastAsiaTheme="minorEastAsia"/>
                <w:szCs w:val="21"/>
              </w:rPr>
              <w:t>报价人</w:t>
            </w:r>
            <w:r>
              <w:rPr>
                <w:rFonts w:eastAsiaTheme="minorEastAsia"/>
                <w:szCs w:val="21"/>
              </w:rPr>
              <w:t>自行据实填写技术条款差异表并加盖</w:t>
            </w:r>
            <w:r>
              <w:rPr>
                <w:rFonts w:hint="eastAsia" w:eastAsiaTheme="minorEastAsia"/>
                <w:szCs w:val="21"/>
              </w:rPr>
              <w:t>报价人单位公章</w:t>
            </w:r>
            <w:r>
              <w:rPr>
                <w:rFonts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adjustRightInd w:val="0"/>
              <w:snapToGrid w:val="0"/>
              <w:spacing w:line="400" w:lineRule="exact"/>
              <w:jc w:val="center"/>
              <w:rPr>
                <w:rFonts w:ascii="宋体" w:hAnsi="宋体" w:cs="宋体"/>
              </w:rPr>
            </w:pPr>
            <w:r>
              <w:rPr>
                <w:rFonts w:eastAsiaTheme="minorEastAsia"/>
                <w:szCs w:val="21"/>
              </w:rPr>
              <w:t>实施方案（</w:t>
            </w:r>
            <w:r>
              <w:rPr>
                <w:rFonts w:hint="eastAsia" w:eastAsiaTheme="minorEastAsia"/>
                <w:szCs w:val="21"/>
              </w:rPr>
              <w:t>10</w:t>
            </w:r>
            <w:r>
              <w:rPr>
                <w:rFonts w:eastAsiaTheme="minorEastAsia"/>
                <w:szCs w:val="21"/>
              </w:rPr>
              <w:t>分）</w:t>
            </w:r>
          </w:p>
        </w:tc>
        <w:tc>
          <w:tcPr>
            <w:tcW w:w="5928" w:type="dxa"/>
          </w:tcPr>
          <w:p>
            <w:pPr>
              <w:pStyle w:val="31"/>
              <w:adjustRightInd w:val="0"/>
              <w:snapToGrid w:val="0"/>
              <w:ind w:firstLine="420"/>
              <w:textAlignment w:val="baseline"/>
              <w:rPr>
                <w:rFonts w:eastAsiaTheme="minorEastAsia"/>
                <w:szCs w:val="21"/>
              </w:rPr>
            </w:pPr>
            <w:r>
              <w:rPr>
                <w:rFonts w:hint="eastAsia" w:eastAsiaTheme="minorEastAsia"/>
                <w:szCs w:val="21"/>
              </w:rPr>
              <w:t>1.</w:t>
            </w:r>
            <w:r>
              <w:rPr>
                <w:rFonts w:eastAsiaTheme="minorEastAsia"/>
                <w:szCs w:val="21"/>
              </w:rPr>
              <w:t>技术服务方案（</w:t>
            </w:r>
            <w:r>
              <w:rPr>
                <w:rFonts w:hint="eastAsia" w:eastAsiaTheme="minorEastAsia"/>
                <w:szCs w:val="21"/>
              </w:rPr>
              <w:t>5</w:t>
            </w:r>
            <w:r>
              <w:rPr>
                <w:rFonts w:eastAsiaTheme="minorEastAsia"/>
                <w:szCs w:val="21"/>
              </w:rPr>
              <w:t>分）</w:t>
            </w:r>
          </w:p>
          <w:p>
            <w:pPr>
              <w:pStyle w:val="31"/>
              <w:adjustRightInd w:val="0"/>
              <w:snapToGrid w:val="0"/>
              <w:ind w:firstLine="0" w:firstLineChars="0"/>
              <w:textAlignment w:val="baseline"/>
              <w:rPr>
                <w:rFonts w:eastAsiaTheme="minorEastAsia"/>
                <w:szCs w:val="21"/>
              </w:rPr>
            </w:pPr>
            <w:r>
              <w:rPr>
                <w:rFonts w:eastAsiaTheme="minorEastAsia"/>
                <w:szCs w:val="21"/>
              </w:rPr>
              <w:t xml:space="preserve">    </w:t>
            </w:r>
            <w:r>
              <w:rPr>
                <w:rFonts w:hint="eastAsia" w:eastAsiaTheme="minorEastAsia"/>
                <w:szCs w:val="21"/>
              </w:rPr>
              <w:t>报价人</w:t>
            </w:r>
            <w:r>
              <w:rPr>
                <w:rFonts w:eastAsiaTheme="minorEastAsia"/>
                <w:szCs w:val="21"/>
              </w:rPr>
              <w:t>提供的技术支持与服务方案具备先进性、可实施性高、技术服务内容完整</w:t>
            </w:r>
            <w:r>
              <w:rPr>
                <w:rFonts w:hint="eastAsia" w:eastAsiaTheme="minorEastAsia"/>
                <w:szCs w:val="21"/>
              </w:rPr>
              <w:t>，</w:t>
            </w:r>
            <w:r>
              <w:rPr>
                <w:rFonts w:eastAsiaTheme="minorEastAsia"/>
                <w:szCs w:val="21"/>
              </w:rPr>
              <w:t>得</w:t>
            </w:r>
            <w:r>
              <w:rPr>
                <w:rFonts w:hint="eastAsia" w:eastAsiaTheme="minorEastAsia"/>
                <w:szCs w:val="21"/>
              </w:rPr>
              <w:t>5-4</w:t>
            </w:r>
            <w:r>
              <w:rPr>
                <w:rFonts w:eastAsiaTheme="minorEastAsia"/>
                <w:szCs w:val="21"/>
              </w:rPr>
              <w:t>分；技术支持与服务方案合理、可实施性较高、技术服务内容完整</w:t>
            </w:r>
            <w:r>
              <w:rPr>
                <w:rFonts w:hint="eastAsia" w:eastAsiaTheme="minorEastAsia"/>
                <w:szCs w:val="21"/>
              </w:rPr>
              <w:t>，</w:t>
            </w:r>
            <w:r>
              <w:rPr>
                <w:rFonts w:eastAsiaTheme="minorEastAsia"/>
                <w:szCs w:val="21"/>
              </w:rPr>
              <w:t>得</w:t>
            </w:r>
            <w:r>
              <w:rPr>
                <w:rFonts w:hint="eastAsia" w:eastAsiaTheme="minorEastAsia"/>
                <w:szCs w:val="21"/>
              </w:rPr>
              <w:t>4-3</w:t>
            </w:r>
            <w:r>
              <w:rPr>
                <w:rFonts w:eastAsiaTheme="minorEastAsia"/>
                <w:szCs w:val="21"/>
              </w:rPr>
              <w:t>分；技术支持与服务方案方案先进性不够、可实施性不高、技术服务内容不完整</w:t>
            </w:r>
            <w:r>
              <w:rPr>
                <w:rFonts w:hint="eastAsia" w:eastAsiaTheme="minorEastAsia"/>
                <w:szCs w:val="21"/>
              </w:rPr>
              <w:t>，</w:t>
            </w:r>
            <w:r>
              <w:rPr>
                <w:rFonts w:eastAsiaTheme="minorEastAsia"/>
                <w:szCs w:val="21"/>
              </w:rPr>
              <w:t>得</w:t>
            </w:r>
            <w:r>
              <w:rPr>
                <w:rFonts w:hint="eastAsia" w:eastAsiaTheme="minorEastAsia"/>
                <w:szCs w:val="21"/>
              </w:rPr>
              <w:t>3-0</w:t>
            </w:r>
            <w:r>
              <w:rPr>
                <w:rFonts w:eastAsiaTheme="minorEastAsia"/>
                <w:szCs w:val="21"/>
              </w:rPr>
              <w:t>分。</w:t>
            </w:r>
          </w:p>
          <w:p>
            <w:pPr>
              <w:pStyle w:val="31"/>
              <w:adjustRightInd w:val="0"/>
              <w:snapToGrid w:val="0"/>
              <w:ind w:left="420" w:leftChars="200" w:firstLine="0" w:firstLineChars="0"/>
              <w:textAlignment w:val="baseline"/>
              <w:rPr>
                <w:rFonts w:eastAsiaTheme="minorEastAsia"/>
                <w:szCs w:val="21"/>
              </w:rPr>
            </w:pPr>
            <w:r>
              <w:rPr>
                <w:rFonts w:hint="eastAsia" w:eastAsiaTheme="minorEastAsia"/>
                <w:szCs w:val="21"/>
              </w:rPr>
              <w:t>2</w:t>
            </w:r>
            <w:r>
              <w:rPr>
                <w:rFonts w:eastAsiaTheme="minorEastAsia"/>
                <w:szCs w:val="21"/>
              </w:rPr>
              <w:t>.售后服务（</w:t>
            </w:r>
            <w:r>
              <w:rPr>
                <w:rFonts w:hint="eastAsia" w:eastAsiaTheme="minorEastAsia"/>
                <w:szCs w:val="21"/>
              </w:rPr>
              <w:t>5</w:t>
            </w:r>
            <w:r>
              <w:rPr>
                <w:rFonts w:eastAsiaTheme="minorEastAsia"/>
                <w:szCs w:val="21"/>
              </w:rPr>
              <w:t>分）</w:t>
            </w:r>
          </w:p>
          <w:p>
            <w:pPr>
              <w:pStyle w:val="31"/>
              <w:adjustRightInd w:val="0"/>
              <w:snapToGrid w:val="0"/>
              <w:ind w:firstLine="420"/>
              <w:textAlignment w:val="baseline"/>
              <w:rPr>
                <w:rFonts w:eastAsiaTheme="minorEastAsia"/>
                <w:szCs w:val="21"/>
              </w:rPr>
            </w:pPr>
            <w:r>
              <w:rPr>
                <w:rFonts w:hint="eastAsia" w:eastAsiaTheme="minorEastAsia"/>
                <w:szCs w:val="21"/>
              </w:rPr>
              <w:t>报价人</w:t>
            </w:r>
            <w:r>
              <w:rPr>
                <w:rFonts w:eastAsiaTheme="minorEastAsia"/>
                <w:szCs w:val="21"/>
              </w:rPr>
              <w:t>提供高效、全面及系统的售后服务方案</w:t>
            </w:r>
            <w:r>
              <w:rPr>
                <w:rFonts w:hint="eastAsia" w:eastAsiaTheme="minorEastAsia"/>
                <w:szCs w:val="21"/>
              </w:rPr>
              <w:t>，</w:t>
            </w:r>
            <w:r>
              <w:rPr>
                <w:rFonts w:eastAsiaTheme="minorEastAsia"/>
                <w:szCs w:val="21"/>
              </w:rPr>
              <w:t>得</w:t>
            </w:r>
            <w:r>
              <w:rPr>
                <w:rFonts w:hint="eastAsia" w:eastAsiaTheme="minorEastAsia"/>
                <w:szCs w:val="21"/>
              </w:rPr>
              <w:t>5-4</w:t>
            </w:r>
            <w:r>
              <w:rPr>
                <w:rFonts w:eastAsiaTheme="minorEastAsia"/>
                <w:szCs w:val="21"/>
              </w:rPr>
              <w:t>分，提供较高效、较全面及较系统的售后服务方案</w:t>
            </w:r>
            <w:r>
              <w:rPr>
                <w:rFonts w:hint="eastAsia" w:eastAsiaTheme="minorEastAsia"/>
                <w:szCs w:val="21"/>
              </w:rPr>
              <w:t>，</w:t>
            </w:r>
            <w:r>
              <w:rPr>
                <w:rFonts w:eastAsiaTheme="minorEastAsia"/>
                <w:szCs w:val="21"/>
              </w:rPr>
              <w:t>得</w:t>
            </w:r>
            <w:r>
              <w:rPr>
                <w:rFonts w:hint="eastAsia" w:eastAsiaTheme="minorEastAsia"/>
                <w:szCs w:val="21"/>
              </w:rPr>
              <w:t>4-3</w:t>
            </w:r>
            <w:r>
              <w:rPr>
                <w:rFonts w:eastAsiaTheme="minorEastAsia"/>
                <w:szCs w:val="21"/>
              </w:rPr>
              <w:t>分，提供不高效、不全面、不系统的售后服务方案</w:t>
            </w:r>
            <w:r>
              <w:rPr>
                <w:rFonts w:hint="eastAsia" w:eastAsiaTheme="minorEastAsia"/>
                <w:szCs w:val="21"/>
              </w:rPr>
              <w:t>，</w:t>
            </w:r>
            <w:r>
              <w:rPr>
                <w:rFonts w:eastAsiaTheme="minorEastAsia"/>
                <w:szCs w:val="21"/>
              </w:rPr>
              <w:t>得</w:t>
            </w:r>
            <w:r>
              <w:rPr>
                <w:rFonts w:hint="eastAsia" w:eastAsiaTheme="minorEastAsia"/>
                <w:szCs w:val="21"/>
              </w:rPr>
              <w:t>3-0</w:t>
            </w:r>
            <w:r>
              <w:rPr>
                <w:rFonts w:eastAsiaTheme="minorEastAsia"/>
                <w:szCs w:val="21"/>
              </w:rPr>
              <w:t>分。</w:t>
            </w:r>
          </w:p>
          <w:p>
            <w:pPr>
              <w:pStyle w:val="31"/>
              <w:adjustRightInd w:val="0"/>
              <w:snapToGrid w:val="0"/>
              <w:ind w:firstLine="420"/>
              <w:textAlignment w:val="baseline"/>
              <w:rPr>
                <w:rFonts w:ascii="宋体" w:hAnsi="宋体" w:cs="宋体"/>
                <w:b/>
                <w:bCs/>
              </w:rPr>
            </w:pPr>
            <w:r>
              <w:rPr>
                <w:rFonts w:eastAsiaTheme="minorEastAsia"/>
                <w:szCs w:val="21"/>
              </w:rPr>
              <w:t>注：提供详细技术方案并加盖</w:t>
            </w:r>
            <w:r>
              <w:rPr>
                <w:rFonts w:hint="eastAsia" w:eastAsiaTheme="minorEastAsia"/>
                <w:szCs w:val="21"/>
              </w:rPr>
              <w:t>报价人单位公章</w:t>
            </w:r>
            <w:r>
              <w:rPr>
                <w:rFonts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928" w:type="dxa"/>
            <w:vAlign w:val="center"/>
          </w:tcPr>
          <w:p>
            <w:pPr>
              <w:pStyle w:val="28"/>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pPr>
              <w:pStyle w:val="28"/>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pPr>
              <w:pStyle w:val="28"/>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pPr>
              <w:pStyle w:val="28"/>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pPr>
              <w:pStyle w:val="28"/>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报价人不足三个的，评标委员会应当否决所有投标。但是有效报价人的经济、技术等指标仍然具有市场竞争力，能够满足采购文件要求的，评标委员会可以继续评标并确定中标候选人。 </w:t>
            </w:r>
          </w:p>
          <w:p>
            <w:pPr>
              <w:pStyle w:val="28"/>
              <w:spacing w:before="47" w:line="320" w:lineRule="exact"/>
              <w:ind w:left="119" w:firstLine="420"/>
              <w:rPr>
                <w:rFonts w:ascii="宋体" w:hAnsi="宋体" w:cs="宋体"/>
                <w:szCs w:val="21"/>
              </w:rPr>
            </w:pPr>
            <w:r>
              <w:rPr>
                <w:rFonts w:hint="eastAsia" w:ascii="宋体" w:hAnsi="宋体" w:cs="宋体"/>
                <w:szCs w:val="21"/>
              </w:rPr>
              <w:t xml:space="preserve">6.对技术部分、商务部分、投标总报价得分进行汇总，确定得分由高至低前2名报价人为中标候选人。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报价人得分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报价人得分=投标报价得分+商务部分得分+技术部分得分</w:t>
            </w:r>
          </w:p>
        </w:tc>
      </w:tr>
    </w:tbl>
    <w:p>
      <w:pPr>
        <w:pStyle w:val="7"/>
        <w:spacing w:line="418" w:lineRule="exact"/>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pPr>
        <w:pStyle w:val="9"/>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低顺序推荐中标候选人，若出现报价人投标报价相同的，以评标办法前附表约定的原则确定排序。 </w:t>
      </w:r>
    </w:p>
    <w:p>
      <w:pPr>
        <w:pStyle w:val="7"/>
        <w:spacing w:before="56"/>
        <w:rPr>
          <w:rFonts w:ascii="宋体" w:hAnsi="宋体" w:eastAsia="宋体" w:cs="宋体"/>
          <w:kern w:val="2"/>
          <w:sz w:val="21"/>
          <w:szCs w:val="21"/>
        </w:rPr>
      </w:pPr>
      <w:bookmarkStart w:id="127" w:name="2._评审标准"/>
      <w:bookmarkEnd w:id="127"/>
      <w:r>
        <w:rPr>
          <w:rFonts w:hint="eastAsia" w:ascii="宋体" w:hAnsi="宋体" w:eastAsia="宋体" w:cs="宋体"/>
          <w:kern w:val="2"/>
          <w:sz w:val="21"/>
          <w:szCs w:val="21"/>
        </w:rPr>
        <w:t xml:space="preserve">2. 评审标准 </w:t>
      </w:r>
    </w:p>
    <w:p>
      <w:pPr>
        <w:spacing w:before="156"/>
        <w:ind w:left="106"/>
        <w:rPr>
          <w:rFonts w:ascii="宋体" w:hAnsi="宋体" w:cs="宋体"/>
          <w:szCs w:val="21"/>
        </w:rPr>
      </w:pPr>
      <w:bookmarkStart w:id="128" w:name="2.1_初步评审标准"/>
      <w:bookmarkEnd w:id="128"/>
      <w:r>
        <w:rPr>
          <w:rFonts w:hint="eastAsia" w:ascii="宋体" w:hAnsi="宋体" w:cs="宋体"/>
          <w:szCs w:val="21"/>
        </w:rPr>
        <w:t xml:space="preserve">2.1 初步评审标准 </w:t>
      </w:r>
    </w:p>
    <w:p>
      <w:pPr>
        <w:pStyle w:val="9"/>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pPr>
        <w:pStyle w:val="9"/>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pPr>
        <w:pStyle w:val="9"/>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pPr>
        <w:rPr>
          <w:rFonts w:ascii="宋体" w:hAnsi="宋体" w:cs="宋体"/>
          <w:caps/>
          <w:szCs w:val="21"/>
        </w:rPr>
      </w:pPr>
    </w:p>
    <w:p>
      <w:pPr>
        <w:ind w:left="106"/>
        <w:rPr>
          <w:rFonts w:ascii="宋体" w:hAnsi="宋体" w:cs="宋体"/>
          <w:caps/>
          <w:szCs w:val="21"/>
        </w:rPr>
      </w:pPr>
      <w:bookmarkStart w:id="129" w:name="2.2_分值构成与评分标准"/>
      <w:bookmarkEnd w:id="129"/>
      <w:r>
        <w:rPr>
          <w:rFonts w:hint="eastAsia" w:ascii="宋体" w:hAnsi="宋体" w:cs="宋体"/>
          <w:caps/>
          <w:szCs w:val="21"/>
        </w:rPr>
        <w:t xml:space="preserve">2.2 分值构成与评分标准 </w:t>
      </w:r>
    </w:p>
    <w:p>
      <w:pPr>
        <w:pStyle w:val="9"/>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pPr>
        <w:pStyle w:val="9"/>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pPr>
        <w:pStyle w:val="9"/>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pPr>
        <w:pStyle w:val="9"/>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pPr>
        <w:pStyle w:val="9"/>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 </w:t>
      </w:r>
    </w:p>
    <w:p>
      <w:pPr>
        <w:pStyle w:val="9"/>
        <w:spacing w:before="19"/>
        <w:ind w:left="647"/>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pPr>
        <w:pStyle w:val="9"/>
        <w:spacing w:before="130" w:line="360" w:lineRule="auto"/>
        <w:ind w:left="647" w:right="2891"/>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pPr>
        <w:pStyle w:val="9"/>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pPr>
        <w:pStyle w:val="9"/>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pPr>
        <w:pStyle w:val="7"/>
        <w:spacing w:before="54"/>
        <w:rPr>
          <w:rFonts w:ascii="宋体" w:hAnsi="宋体" w:eastAsia="宋体" w:cs="宋体"/>
          <w:caps/>
          <w:kern w:val="2"/>
          <w:sz w:val="21"/>
          <w:szCs w:val="21"/>
        </w:rPr>
      </w:pPr>
      <w:bookmarkStart w:id="130" w:name="3._评标程序"/>
      <w:bookmarkEnd w:id="130"/>
      <w:r>
        <w:rPr>
          <w:rFonts w:hint="eastAsia" w:ascii="宋体" w:hAnsi="宋体" w:eastAsia="宋体" w:cs="宋体"/>
          <w:caps/>
          <w:kern w:val="2"/>
          <w:sz w:val="21"/>
          <w:szCs w:val="21"/>
        </w:rPr>
        <w:t xml:space="preserve">3. 评标程序 </w:t>
      </w:r>
    </w:p>
    <w:p>
      <w:pPr>
        <w:spacing w:before="157"/>
        <w:ind w:left="106"/>
        <w:rPr>
          <w:rFonts w:ascii="宋体" w:hAnsi="宋体" w:cs="宋体"/>
          <w:caps/>
          <w:szCs w:val="21"/>
        </w:rPr>
      </w:pPr>
      <w:bookmarkStart w:id="131" w:name="3.1_初步评审"/>
      <w:bookmarkEnd w:id="131"/>
      <w:r>
        <w:rPr>
          <w:rFonts w:hint="eastAsia" w:ascii="宋体" w:hAnsi="宋体" w:cs="宋体"/>
          <w:caps/>
          <w:szCs w:val="21"/>
        </w:rPr>
        <w:t xml:space="preserve">3.1 初步评审 </w:t>
      </w:r>
    </w:p>
    <w:p>
      <w:pPr>
        <w:pStyle w:val="9"/>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pPr>
        <w:pStyle w:val="9"/>
        <w:spacing w:before="32"/>
        <w:ind w:left="526"/>
        <w:rPr>
          <w:rFonts w:ascii="宋体" w:hAnsi="宋体" w:cs="宋体"/>
          <w:caps/>
          <w:kern w:val="2"/>
          <w:sz w:val="21"/>
          <w:szCs w:val="21"/>
        </w:rPr>
      </w:pPr>
      <w:r>
        <w:rPr>
          <w:rFonts w:hint="eastAsia" w:ascii="宋体" w:hAnsi="宋体" w:cs="宋体"/>
          <w:caps/>
          <w:kern w:val="2"/>
          <w:sz w:val="21"/>
          <w:szCs w:val="21"/>
        </w:rPr>
        <w:t xml:space="preserve">3.1.2 报价人有以下情形之一的，其投标作否决投标处理： </w:t>
      </w:r>
    </w:p>
    <w:p>
      <w:pPr>
        <w:pStyle w:val="9"/>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（1）第二章“报价人须知”第1.4.3项规定的任何一种情形的；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pPr>
        <w:pStyle w:val="9"/>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投标报价有算术错误的，评标委员会按以下原则对投标报价进行修正，修正的价格经报价人 书面确认后具有约束力，修正原则如下： </w:t>
      </w:r>
    </w:p>
    <w:p>
      <w:pPr>
        <w:pStyle w:val="9"/>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pPr>
        <w:pStyle w:val="9"/>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pPr>
        <w:spacing w:before="169"/>
        <w:ind w:left="106"/>
        <w:rPr>
          <w:rFonts w:ascii="宋体" w:hAnsi="宋体" w:cs="宋体"/>
          <w:caps/>
          <w:szCs w:val="21"/>
        </w:rPr>
      </w:pPr>
      <w:bookmarkStart w:id="132" w:name="3.2_详细评审"/>
      <w:bookmarkEnd w:id="132"/>
      <w:r>
        <w:rPr>
          <w:rFonts w:hint="eastAsia" w:ascii="宋体" w:hAnsi="宋体" w:cs="宋体"/>
          <w:caps/>
          <w:szCs w:val="21"/>
        </w:rPr>
        <w:t xml:space="preserve">3.2 详细评审 </w:t>
      </w:r>
    </w:p>
    <w:p>
      <w:pPr>
        <w:pStyle w:val="9"/>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pPr>
        <w:pStyle w:val="9"/>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（1）按本章第3.3目规定的评审因素和分值对技术部分计算出得分A（所有评委打分中去掉一个最高和一个最低分，余下评委打分取算术平均值为该报价人技术部分得分。） </w:t>
      </w:r>
    </w:p>
    <w:p>
      <w:pPr>
        <w:pStyle w:val="9"/>
        <w:spacing w:before="19"/>
        <w:ind w:left="526"/>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3.2.3  报价人得分=A+B+C。 </w:t>
      </w:r>
    </w:p>
    <w:p>
      <w:pPr>
        <w:spacing w:before="1"/>
        <w:rPr>
          <w:rFonts w:ascii="宋体" w:hAnsi="宋体" w:cs="宋体"/>
          <w:caps/>
          <w:szCs w:val="21"/>
        </w:rPr>
      </w:pPr>
    </w:p>
    <w:p>
      <w:pPr>
        <w:ind w:left="106"/>
        <w:rPr>
          <w:rFonts w:ascii="宋体" w:hAnsi="宋体" w:cs="宋体"/>
          <w:caps/>
          <w:szCs w:val="21"/>
        </w:rPr>
      </w:pPr>
      <w:bookmarkStart w:id="133" w:name="3.3_投标文件的澄清和补正"/>
      <w:bookmarkEnd w:id="133"/>
      <w:r>
        <w:rPr>
          <w:rFonts w:hint="eastAsia" w:ascii="宋体" w:hAnsi="宋体" w:cs="宋体"/>
          <w:caps/>
          <w:szCs w:val="21"/>
        </w:rPr>
        <w:t xml:space="preserve">3.3 投标文件的澄清和补正 </w:t>
      </w:r>
    </w:p>
    <w:p>
      <w:pPr>
        <w:pStyle w:val="9"/>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在评标过程中，评标委员会可以书面形式要求报价人对所提交投标文件中不明确的内容进行 书面澄清或说明，或者对细微偏差进行补正。评标委员会不接受报价人主动提出的澄清、说明或补正。 </w:t>
      </w:r>
    </w:p>
    <w:p>
      <w:pPr>
        <w:pStyle w:val="9"/>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澄清、说明和补正不得改变投标文件的实质性内容（算术性错误修正的除外）。报价人的书 面澄清、说明和补正属于投标文件的组成部分。 </w:t>
      </w:r>
    </w:p>
    <w:p>
      <w:pPr>
        <w:pStyle w:val="9"/>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评标委员会对报价人提交的澄清、说明或补正有疑问的，可以要求报价人进一步澄清、说明或补正，直至满足评标委员会的要求。 </w:t>
      </w:r>
    </w:p>
    <w:p>
      <w:pPr>
        <w:spacing w:before="68"/>
        <w:ind w:left="106"/>
        <w:rPr>
          <w:rFonts w:ascii="宋体" w:hAnsi="宋体" w:cs="宋体"/>
          <w:caps/>
          <w:szCs w:val="21"/>
        </w:rPr>
      </w:pPr>
      <w:bookmarkStart w:id="134" w:name="3.4_评标结果"/>
      <w:bookmarkEnd w:id="134"/>
      <w:r>
        <w:rPr>
          <w:rFonts w:hint="eastAsia" w:ascii="宋体" w:hAnsi="宋体" w:cs="宋体"/>
          <w:caps/>
          <w:szCs w:val="21"/>
        </w:rPr>
        <w:t xml:space="preserve">3.4 评标结果 </w:t>
      </w:r>
    </w:p>
    <w:p>
      <w:pPr>
        <w:pStyle w:val="9"/>
        <w:spacing w:before="76" w:line="355" w:lineRule="auto"/>
        <w:ind w:firstLine="420"/>
        <w:rPr>
          <w:rFonts w:ascii="宋体" w:hAnsi="宋体" w:cs="宋体"/>
          <w:caps/>
          <w:kern w:val="2"/>
          <w:sz w:val="21"/>
          <w:szCs w:val="21"/>
        </w:rPr>
      </w:pPr>
      <w:r>
        <w:rPr>
          <w:rFonts w:hint="eastAsia" w:ascii="宋体" w:hAnsi="宋体" w:cs="宋体"/>
          <w:caps/>
          <w:kern w:val="2"/>
          <w:sz w:val="21"/>
          <w:szCs w:val="21"/>
        </w:rPr>
        <w:t xml:space="preserve">3.4.1 除第二章“报价人须知”前附表授权直接确定中标人外，评标委员会按照得分由高到低的顺 序推荐中标候选人。 </w:t>
      </w:r>
    </w:p>
    <w:p>
      <w:pPr>
        <w:rPr>
          <w:color w:val="000000" w:themeColor="text1"/>
          <w14:textFill>
            <w14:solidFill>
              <w14:schemeClr w14:val="tx1"/>
            </w14:solidFill>
          </w14:textFill>
        </w:rPr>
      </w:pPr>
      <w:r>
        <w:rPr>
          <w:rFonts w:hint="eastAsia" w:ascii="宋体" w:hAnsi="宋体" w:cs="宋体"/>
          <w:szCs w:val="21"/>
        </w:rPr>
        <w:t>3.4.2 评标委员会完成评标后，应当向采购人提交书面评标报告。</w:t>
      </w:r>
    </w:p>
    <w:p>
      <w:pPr>
        <w:rPr>
          <w:rFonts w:ascii="宋体" w:hAnsi="宋体" w:cs="宋体"/>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5" w:name="_Toc13787"/>
      <w:r>
        <w:rPr>
          <w:rStyle w:val="26"/>
          <w:rFonts w:hint="eastAsia"/>
          <w:b/>
          <w:bCs/>
          <w:color w:val="000000" w:themeColor="text1"/>
          <w14:textFill>
            <w14:solidFill>
              <w14:schemeClr w14:val="tx1"/>
            </w14:solidFill>
          </w14:textFill>
        </w:rPr>
        <w:t>第四章 报价说明</w:t>
      </w:r>
      <w:bookmarkEnd w:id="135"/>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1、工程量清单应与本项目竞争性比选文件、技术标准和要求等文件结合起来查阅与理解。</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其他项目清单费用、规费、税金（税率为6%）等完成本项目的一切费用（即人员工资、差旅费、交通费、车辆通行费、车辆台班费、综合费等），以及竞争性比选文件中明示或暗示的的所有责任、义务和一般风险。</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3、报价人应结合现场实际和现在的市场情况、自身技术及管理水平、经营状况、机械设备及制定的方案的要求自行报价，该报价不低于报价人完成该项目的成本。</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10、报价中的单价和合价全部以人民币（元）表示。</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14、报价人应严格按照工程量清单进行报价，不得随意修改采购人发布的工程量清单数量、公式及相关内容。</w:t>
      </w:r>
    </w:p>
    <w:p>
      <w:pPr>
        <w:pStyle w:val="2"/>
        <w:spacing w:line="440" w:lineRule="exact"/>
        <w:ind w:firstLine="420" w:firstLineChars="200"/>
        <w:rPr>
          <w:rFonts w:ascii="Times New Roman" w:hAnsi="Times New Roman"/>
          <w:b w:val="0"/>
          <w:bCs w:val="0"/>
          <w:caps w:val="0"/>
          <w:color w:val="000000" w:themeColor="text1"/>
          <w:sz w:val="21"/>
          <w:szCs w:val="24"/>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36" w:name="_Toc144974834"/>
      <w:bookmarkStart w:id="137" w:name="_Toc24503"/>
      <w:bookmarkStart w:id="138" w:name="_Toc152042554"/>
      <w:bookmarkStart w:id="139" w:name="_Toc246996340"/>
      <w:bookmarkStart w:id="140" w:name="_Toc2000409"/>
      <w:bookmarkStart w:id="141" w:name="_Toc514858705"/>
      <w:bookmarkStart w:id="142" w:name="_Toc179632789"/>
      <w:bookmarkStart w:id="143" w:name="_Toc152045772"/>
      <w:bookmarkStart w:id="144" w:name="_Toc247085855"/>
      <w:bookmarkStart w:id="145" w:name="_Toc246997083"/>
      <w:bookmarkStart w:id="146" w:name="_Toc179632806"/>
      <w:bookmarkStart w:id="147" w:name="_Toc247085872"/>
      <w:bookmarkStart w:id="148" w:name="_Toc144974855"/>
      <w:bookmarkStart w:id="149" w:name="_Toc152045786"/>
      <w:bookmarkStart w:id="150" w:name="_Toc246997097"/>
      <w:bookmarkStart w:id="151" w:name="_Toc246996354"/>
      <w:bookmarkStart w:id="152" w:name="_Toc152042575"/>
      <w:r>
        <w:rPr>
          <w:rFonts w:hint="eastAsia" w:ascii="宋体" w:hAnsi="宋体" w:cs="宋体"/>
          <w:color w:val="000000" w:themeColor="text1"/>
          <w14:textFill>
            <w14:solidFill>
              <w14:schemeClr w14:val="tx1"/>
            </w14:solidFill>
          </w14:textFill>
        </w:rPr>
        <w:t>第五章  工程量清单</w:t>
      </w:r>
      <w:bookmarkEnd w:id="136"/>
      <w:bookmarkEnd w:id="137"/>
      <w:bookmarkEnd w:id="138"/>
      <w:bookmarkEnd w:id="139"/>
      <w:bookmarkEnd w:id="140"/>
      <w:bookmarkEnd w:id="141"/>
      <w:bookmarkEnd w:id="142"/>
      <w:bookmarkEnd w:id="143"/>
      <w:bookmarkEnd w:id="144"/>
      <w:bookmarkEnd w:id="145"/>
    </w:p>
    <w:p>
      <w:pPr>
        <w:ind w:firstLine="420"/>
        <w:jc w:val="left"/>
        <w:rPr>
          <w:rFonts w:ascii="宋体" w:hAnsi="宋体" w:cs="宋体"/>
          <w:b/>
          <w:color w:val="000000" w:themeColor="text1"/>
          <w14:textFill>
            <w14:solidFill>
              <w14:schemeClr w14:val="tx1"/>
            </w14:solidFill>
          </w14:textFill>
        </w:rPr>
      </w:pPr>
      <w:bookmarkStart w:id="153" w:name="_Toc179632800"/>
      <w:bookmarkStart w:id="154" w:name="_Toc152042571"/>
      <w:bookmarkStart w:id="155" w:name="_Toc247085866"/>
      <w:bookmarkStart w:id="156" w:name="_Toc247096438"/>
      <w:bookmarkStart w:id="157" w:name="_Toc144974851"/>
      <w:bookmarkStart w:id="158" w:name="_Toc246997093"/>
      <w:bookmarkStart w:id="159" w:name="_Toc246996350"/>
      <w:bookmarkStart w:id="160" w:name="_Toc152045782"/>
    </w:p>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jc w:val="center"/>
        <w:rPr>
          <w:rFonts w:ascii="宋体" w:hAnsi="宋体" w:cs="宋体"/>
          <w:b/>
          <w:color w:val="000000" w:themeColor="text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footerReference r:id="rId10"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61" w:name="_Toc2000410"/>
      <w:bookmarkStart w:id="162" w:name="_Toc447827048"/>
      <w:bookmarkStart w:id="163" w:name="_Toc514858706"/>
      <w:bookmarkStart w:id="164" w:name="_Toc12440"/>
      <w:bookmarkStart w:id="165" w:name="_Toc513633963"/>
      <w:bookmarkStart w:id="166" w:name="_Toc503951042"/>
      <w:r>
        <w:rPr>
          <w:rFonts w:hint="eastAsia" w:ascii="宋体" w:hAnsi="宋体" w:cs="宋体"/>
          <w:color w:val="000000" w:themeColor="text1"/>
          <w14:textFill>
            <w14:solidFill>
              <w14:schemeClr w14:val="tx1"/>
            </w14:solidFill>
          </w14:textFill>
        </w:rPr>
        <w:t>第六章  图  纸</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jc w:val="center"/>
        <w:rPr>
          <w:rFonts w:ascii="宋体" w:hAnsi="宋体" w:cs="宋体"/>
          <w:b/>
          <w:color w:val="000000" w:themeColor="text1"/>
          <w14:textFill>
            <w14:solidFill>
              <w14:schemeClr w14:val="tx1"/>
            </w14:solidFill>
          </w14:textFill>
        </w:rPr>
      </w:pPr>
      <w:r>
        <w:rPr>
          <w:rFonts w:hint="eastAsia" w:ascii="宋体" w:hAnsi="宋体" w:cs="宋体"/>
          <w:b/>
          <w:kern w:val="0"/>
          <w:sz w:val="24"/>
        </w:rPr>
        <w:t>详见竞争性比选文件附件。</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7" w:name="_Toc144974854"/>
      <w:bookmarkStart w:id="168" w:name="_Toc152042574"/>
      <w:bookmarkStart w:id="169" w:name="_Toc152045785"/>
    </w:p>
    <w:p>
      <w:pPr>
        <w:pStyle w:val="3"/>
        <w:numPr>
          <w:ilvl w:val="0"/>
          <w:numId w:val="1"/>
        </w:numPr>
        <w:spacing w:before="0" w:after="0" w:line="360" w:lineRule="auto"/>
        <w:jc w:val="center"/>
        <w:rPr>
          <w:rFonts w:ascii="宋体" w:hAnsi="宋体" w:cs="宋体"/>
          <w:color w:val="000000" w:themeColor="text1"/>
          <w14:textFill>
            <w14:solidFill>
              <w14:schemeClr w14:val="tx1"/>
            </w14:solidFill>
          </w14:textFill>
        </w:rPr>
      </w:pPr>
      <w:bookmarkStart w:id="170" w:name="_Toc2000411"/>
      <w:bookmarkStart w:id="171" w:name="_Toc10887"/>
      <w:bookmarkStart w:id="172" w:name="_Toc514858707"/>
      <w:bookmarkStart w:id="173" w:name="_Toc179632804"/>
      <w:bookmarkStart w:id="174" w:name="_Toc247085870"/>
      <w:bookmarkStart w:id="175" w:name="_Toc503951043"/>
      <w:bookmarkStart w:id="176" w:name="_Toc513633964"/>
      <w:bookmarkStart w:id="177" w:name="_Toc246997096"/>
      <w:bookmarkStart w:id="178" w:name="_Toc246996353"/>
      <w:bookmarkStart w:id="179" w:name="_Toc447827049"/>
      <w:r>
        <w:rPr>
          <w:rFonts w:hint="eastAsia" w:ascii="宋体" w:hAnsi="宋体" w:cs="宋体"/>
          <w:color w:val="000000" w:themeColor="text1"/>
          <w14:textFill>
            <w14:solidFill>
              <w14:schemeClr w14:val="tx1"/>
            </w14:solidFill>
          </w14:textFill>
        </w:rPr>
        <w:t xml:space="preserve"> 技术标准和工作要求</w:t>
      </w:r>
      <w:bookmarkEnd w:id="167"/>
      <w:bookmarkEnd w:id="168"/>
      <w:bookmarkEnd w:id="169"/>
      <w:bookmarkEnd w:id="170"/>
      <w:bookmarkEnd w:id="171"/>
      <w:bookmarkEnd w:id="172"/>
      <w:bookmarkEnd w:id="173"/>
      <w:bookmarkEnd w:id="174"/>
      <w:bookmarkEnd w:id="175"/>
      <w:bookmarkEnd w:id="176"/>
      <w:bookmarkEnd w:id="177"/>
      <w:bookmarkEnd w:id="178"/>
      <w:bookmarkEnd w:id="179"/>
    </w:p>
    <w:p/>
    <w:bookmarkEnd w:id="146"/>
    <w:bookmarkEnd w:id="147"/>
    <w:bookmarkEnd w:id="148"/>
    <w:bookmarkEnd w:id="149"/>
    <w:bookmarkEnd w:id="150"/>
    <w:bookmarkEnd w:id="151"/>
    <w:bookmarkEnd w:id="152"/>
    <w:p>
      <w:pPr>
        <w:pStyle w:val="2"/>
        <w:spacing w:line="380" w:lineRule="exact"/>
        <w:ind w:firstLine="420" w:firstLineChars="200"/>
        <w:rPr>
          <w:rFonts w:ascii="宋体" w:hAnsi="宋体" w:cs="宋体"/>
          <w:b w:val="0"/>
          <w:bCs w:val="0"/>
          <w:sz w:val="21"/>
          <w:szCs w:val="21"/>
        </w:rPr>
      </w:pPr>
      <w:bookmarkStart w:id="180" w:name="_Toc12089"/>
      <w:bookmarkStart w:id="181" w:name="_Toc514858708"/>
      <w:bookmarkStart w:id="182" w:name="_Toc514430114"/>
      <w:bookmarkStart w:id="183" w:name="_Toc2000412"/>
      <w:bookmarkStart w:id="184" w:name="_Toc246997098"/>
      <w:bookmarkStart w:id="185" w:name="_Toc246996355"/>
      <w:bookmarkStart w:id="186" w:name="_Toc144974856"/>
      <w:bookmarkStart w:id="187" w:name="_Toc507320039"/>
      <w:bookmarkStart w:id="188" w:name="_Toc179632807"/>
      <w:bookmarkStart w:id="189" w:name="_Toc152045787"/>
      <w:bookmarkStart w:id="190" w:name="_Toc247085873"/>
      <w:bookmarkStart w:id="191" w:name="_Toc152042576"/>
      <w:r>
        <w:rPr>
          <w:rFonts w:hint="eastAsia" w:ascii="宋体" w:hAnsi="宋体" w:cs="宋体"/>
          <w:b w:val="0"/>
          <w:bCs w:val="0"/>
          <w:sz w:val="21"/>
          <w:szCs w:val="21"/>
        </w:rPr>
        <w:t>本项目需提供软硬件产品及定制开发接口，支持与现有海康视频监控平台对接，接入已管理的移动布控球点位视频。基于移动布控球视频码流进行是否佩戴安全帽和反光衣的算法识别，姜识别结果推送至指定平台。</w:t>
      </w:r>
    </w:p>
    <w:p>
      <w:pPr>
        <w:pStyle w:val="4"/>
        <w:widowControl/>
        <w:spacing w:before="0" w:after="0" w:line="300" w:lineRule="exact"/>
        <w:rPr>
          <w:rFonts w:ascii="宋体" w:hAnsi="宋体"/>
          <w:sz w:val="21"/>
          <w:szCs w:val="21"/>
        </w:rPr>
      </w:pPr>
      <w:r>
        <w:rPr>
          <w:rFonts w:hint="eastAsia" w:ascii="宋体" w:hAnsi="宋体"/>
          <w:sz w:val="21"/>
          <w:szCs w:val="21"/>
        </w:rPr>
        <w:t>6.1 需求描述</w:t>
      </w:r>
      <w:r>
        <w:rPr>
          <w:rFonts w:hint="eastAsia" w:ascii="宋体" w:hAnsi="宋体" w:cs="宋体"/>
          <w:b w:val="0"/>
          <w:bCs w:val="0"/>
          <w:sz w:val="21"/>
          <w:szCs w:val="21"/>
        </w:rPr>
        <w:t>。</w:t>
      </w:r>
    </w:p>
    <w:p>
      <w:pPr>
        <w:pStyle w:val="4"/>
        <w:widowControl/>
        <w:spacing w:before="0" w:after="0" w:line="300" w:lineRule="exact"/>
        <w:rPr>
          <w:rFonts w:ascii="宋体" w:hAnsi="宋体"/>
          <w:sz w:val="21"/>
          <w:szCs w:val="21"/>
        </w:rPr>
      </w:pPr>
      <w:r>
        <w:rPr>
          <w:rFonts w:hint="eastAsia" w:ascii="宋体" w:hAnsi="宋体"/>
          <w:sz w:val="21"/>
          <w:szCs w:val="21"/>
        </w:rPr>
        <w:t>6.2软件功能性开发服务要求</w:t>
      </w:r>
    </w:p>
    <w:p>
      <w:pPr>
        <w:pStyle w:val="5"/>
        <w:widowControl/>
        <w:spacing w:before="0" w:after="0" w:line="300" w:lineRule="exact"/>
        <w:rPr>
          <w:rFonts w:ascii="宋体" w:hAnsi="宋体"/>
          <w:kern w:val="2"/>
          <w:sz w:val="21"/>
          <w:szCs w:val="21"/>
        </w:rPr>
      </w:pPr>
      <w:r>
        <w:rPr>
          <w:rFonts w:hint="eastAsia" w:ascii="宋体" w:hAnsi="宋体"/>
          <w:kern w:val="2"/>
          <w:sz w:val="21"/>
          <w:szCs w:val="21"/>
        </w:rPr>
        <w:t>6.2.1 国标级联资源目录对接要求</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国标GB28181《安全防范视频监控联网系统信息传输、交换、控制技术要求》2016年是基于SIP协议的视频联网框架标准。在项目中，GB28181主要用于后端平台间的对接。</w:t>
      </w:r>
    </w:p>
    <w:p>
      <w:pPr>
        <w:pStyle w:val="2"/>
        <w:spacing w:line="380" w:lineRule="exact"/>
        <w:ind w:firstLine="402" w:firstLineChars="200"/>
        <w:rPr>
          <w:rFonts w:ascii="宋体" w:hAnsi="宋体" w:cs="宋体"/>
          <w:b w:val="0"/>
          <w:bCs w:val="0"/>
          <w:sz w:val="21"/>
          <w:szCs w:val="21"/>
        </w:rPr>
      </w:pPr>
      <w:r>
        <w:rPr>
          <w:rFonts w:hint="eastAsia" w:eastAsiaTheme="minorEastAsia"/>
          <w:szCs w:val="21"/>
        </w:rPr>
        <w:t>▲</w:t>
      </w:r>
      <w:r>
        <w:rPr>
          <w:rFonts w:hint="eastAsia" w:ascii="宋体" w:hAnsi="宋体" w:cs="宋体"/>
          <w:b w:val="0"/>
          <w:bCs w:val="0"/>
          <w:sz w:val="21"/>
          <w:szCs w:val="21"/>
        </w:rPr>
        <w:t>本项目中现有已建下级平台的视频监控平台符合国标GB/T 28181要求的，可按照国标GB/T 28181进行上下级域的方式进行互联对接，可通过国标方式同步资源目录至本项目设备，提供视频资源的联网共享。</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第三方平台级联到本项目平台，即第三方平台作为下级，本项目平台为上级，可以调取下级平台的实时视频流，查看级联设备信息。</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支持第三方平台以国标设备的形式添加至国标空间。</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支持下级平台以虚拟组织树的形式上报至智能视联网平台，支持展示下级平台授予的操作权限功能（如云台PTZ、视频播放等）。</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支持下级接入平台的国标空间配置和设备配置（沿用正常的空间和设备配置）。</w:t>
      </w:r>
    </w:p>
    <w:p>
      <w:pPr>
        <w:pStyle w:val="2"/>
        <w:spacing w:line="380" w:lineRule="exact"/>
        <w:ind w:firstLine="402" w:firstLineChars="200"/>
        <w:rPr>
          <w:rFonts w:ascii="宋体" w:hAnsi="宋体" w:cs="宋体"/>
          <w:b w:val="0"/>
          <w:bCs w:val="0"/>
          <w:sz w:val="21"/>
          <w:szCs w:val="21"/>
        </w:rPr>
      </w:pPr>
      <w:r>
        <w:rPr>
          <w:rFonts w:hint="eastAsia" w:eastAsiaTheme="minorEastAsia"/>
          <w:szCs w:val="21"/>
        </w:rPr>
        <w:t>▲</w:t>
      </w:r>
      <w:r>
        <w:rPr>
          <w:rFonts w:hint="eastAsia" w:ascii="宋体" w:hAnsi="宋体" w:cs="宋体"/>
          <w:b w:val="0"/>
          <w:bCs w:val="0"/>
          <w:sz w:val="21"/>
          <w:szCs w:val="21"/>
        </w:rPr>
        <w:t>本项目要求设备支持视频最大接入路数≥512路，本次授权接入实时视频路数≥150路；</w:t>
      </w:r>
    </w:p>
    <w:p>
      <w:pPr>
        <w:pStyle w:val="5"/>
        <w:widowControl/>
        <w:spacing w:before="0" w:after="0" w:line="300" w:lineRule="exact"/>
        <w:rPr>
          <w:rFonts w:ascii="宋体" w:hAnsi="宋体"/>
          <w:kern w:val="2"/>
          <w:sz w:val="21"/>
          <w:szCs w:val="21"/>
        </w:rPr>
      </w:pPr>
      <w:r>
        <w:rPr>
          <w:rFonts w:hint="eastAsia" w:ascii="宋体" w:hAnsi="宋体"/>
          <w:kern w:val="2"/>
          <w:sz w:val="21"/>
          <w:szCs w:val="21"/>
        </w:rPr>
        <w:t>6.2.2 安全监管算法分析识别要求</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ab/>
      </w:r>
      <w:r>
        <w:rPr>
          <w:rFonts w:hint="eastAsia" w:ascii="宋体" w:hAnsi="宋体" w:cs="宋体"/>
          <w:b w:val="0"/>
          <w:bCs w:val="0"/>
          <w:sz w:val="21"/>
          <w:szCs w:val="21"/>
        </w:rPr>
        <w:t>基于下级平台接入的资源目录，获取实时码流，安全帽检测算法基于安全帽数据训练，实现自动检测现场作业人员的安全帽佩戴情况，实时预警，减少安全事故的发生。</w:t>
      </w:r>
    </w:p>
    <w:p>
      <w:pPr>
        <w:pStyle w:val="2"/>
        <w:spacing w:line="380" w:lineRule="exact"/>
        <w:ind w:firstLine="422" w:firstLineChars="2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rPr>
        <w:tab/>
      </w:r>
      <w:r>
        <w:rPr>
          <w:rFonts w:hint="eastAsia" w:ascii="宋体" w:hAnsi="宋体" w:cs="宋体"/>
          <w:sz w:val="21"/>
          <w:szCs w:val="21"/>
        </w:rPr>
        <w:t>未佩戴安全帽识别算法要求</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未佩戴安全帽识别算法需采用AI人工智能深度学习技术，基于计算机智能视频物体识别算法，且通过规模化的安全帽数据识别训练，赋予监控系统智能识别能力，从而准确判断识别场景内的作业人员是否佩戴安全帽，若检测到人员未佩戴安全帽，将实时抓拍并报警。</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支持识别红、蓝、黄、白等多种颜色及款式的安全帽，并未局限一种款式或一种颜色。</w:t>
      </w:r>
    </w:p>
    <w:p>
      <w:pPr>
        <w:pStyle w:val="2"/>
        <w:spacing w:line="380" w:lineRule="exact"/>
        <w:ind w:firstLine="402" w:firstLineChars="200"/>
        <w:rPr>
          <w:rFonts w:ascii="宋体" w:hAnsi="宋体" w:cs="宋体"/>
          <w:b w:val="0"/>
          <w:bCs w:val="0"/>
          <w:sz w:val="21"/>
          <w:szCs w:val="21"/>
        </w:rPr>
      </w:pPr>
      <w:r>
        <w:rPr>
          <w:rFonts w:hint="eastAsia" w:eastAsiaTheme="minorEastAsia"/>
          <w:szCs w:val="21"/>
        </w:rPr>
        <w:t>▲</w:t>
      </w:r>
      <w:r>
        <w:rPr>
          <w:rFonts w:hint="eastAsia" w:ascii="宋体" w:hAnsi="宋体" w:cs="宋体"/>
          <w:b w:val="0"/>
          <w:bCs w:val="0"/>
          <w:sz w:val="21"/>
          <w:szCs w:val="21"/>
        </w:rPr>
        <w:t>未佩戴安全帽检测算法分析准确率（60*120像素人体成像条件下）要求不低于85%；</w:t>
      </w:r>
    </w:p>
    <w:p>
      <w:pPr>
        <w:pStyle w:val="2"/>
        <w:spacing w:line="380" w:lineRule="exact"/>
        <w:ind w:firstLine="422"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rPr>
        <w:tab/>
      </w:r>
      <w:r>
        <w:rPr>
          <w:rFonts w:hint="eastAsia" w:ascii="宋体" w:hAnsi="宋体" w:cs="宋体"/>
          <w:sz w:val="21"/>
          <w:szCs w:val="21"/>
        </w:rPr>
        <w:t>未穿反光衣识别算法要求</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未穿反光衣识别算法反光衣服数据训练，配合现场摄像头，自动监控如工地矿井、公路环卫、路政交警等特殊环境下人员是否穿着反光衣，有效防范因未着反光衣造成的意外伤害事故，高效率监督监管。</w:t>
      </w:r>
    </w:p>
    <w:p>
      <w:pPr>
        <w:pStyle w:val="2"/>
        <w:spacing w:line="380" w:lineRule="exact"/>
        <w:ind w:firstLine="402" w:firstLineChars="200"/>
        <w:rPr>
          <w:rFonts w:ascii="宋体" w:hAnsi="宋体" w:cs="宋体"/>
          <w:b w:val="0"/>
          <w:bCs w:val="0"/>
          <w:sz w:val="21"/>
          <w:szCs w:val="21"/>
        </w:rPr>
      </w:pPr>
      <w:r>
        <w:rPr>
          <w:rFonts w:hint="eastAsia" w:eastAsiaTheme="minorEastAsia"/>
          <w:szCs w:val="21"/>
        </w:rPr>
        <w:t>▲</w:t>
      </w:r>
      <w:r>
        <w:rPr>
          <w:rFonts w:hint="eastAsia" w:ascii="宋体" w:hAnsi="宋体" w:cs="宋体"/>
          <w:b w:val="0"/>
          <w:bCs w:val="0"/>
          <w:sz w:val="21"/>
          <w:szCs w:val="21"/>
        </w:rPr>
        <w:t>未穿反光背心检测算法分析准确率（60*120像素人体成像条件下）要求不低于85%；</w:t>
      </w:r>
    </w:p>
    <w:p>
      <w:pPr>
        <w:pStyle w:val="2"/>
        <w:spacing w:line="380" w:lineRule="exact"/>
        <w:ind w:firstLine="422" w:firstLineChars="20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rPr>
        <w:tab/>
      </w:r>
      <w:r>
        <w:rPr>
          <w:rFonts w:hint="eastAsia" w:ascii="宋体" w:hAnsi="宋体" w:cs="宋体"/>
          <w:sz w:val="21"/>
          <w:szCs w:val="21"/>
        </w:rPr>
        <w:t>算法其他要求</w:t>
      </w:r>
    </w:p>
    <w:p>
      <w:pPr>
        <w:pStyle w:val="2"/>
        <w:spacing w:line="380" w:lineRule="exact"/>
        <w:ind w:firstLine="402" w:firstLineChars="200"/>
        <w:rPr>
          <w:rFonts w:ascii="宋体" w:hAnsi="宋体" w:cs="宋体"/>
          <w:b w:val="0"/>
          <w:bCs w:val="0"/>
          <w:sz w:val="21"/>
          <w:szCs w:val="21"/>
        </w:rPr>
      </w:pPr>
      <w:r>
        <w:rPr>
          <w:rFonts w:hint="eastAsia" w:eastAsiaTheme="minorEastAsia"/>
          <w:szCs w:val="21"/>
        </w:rPr>
        <w:t>▲</w:t>
      </w:r>
      <w:r>
        <w:rPr>
          <w:rFonts w:hint="eastAsia" w:ascii="宋体" w:hAnsi="宋体" w:cs="宋体"/>
          <w:b w:val="0"/>
          <w:bCs w:val="0"/>
          <w:sz w:val="21"/>
          <w:szCs w:val="21"/>
        </w:rPr>
        <w:t>两类算法分析任务可根据设备计算性能固定数量，但需支持分析任务通道的动态切换，即根据接入通道动态切换分析的通道号；</w:t>
      </w:r>
    </w:p>
    <w:p>
      <w:pPr>
        <w:pStyle w:val="2"/>
        <w:spacing w:line="380" w:lineRule="exact"/>
        <w:ind w:firstLine="402" w:firstLineChars="200"/>
        <w:rPr>
          <w:rFonts w:ascii="宋体" w:hAnsi="宋体" w:cs="宋体"/>
          <w:b w:val="0"/>
          <w:bCs w:val="0"/>
          <w:sz w:val="21"/>
          <w:szCs w:val="21"/>
        </w:rPr>
      </w:pPr>
      <w:r>
        <w:rPr>
          <w:rFonts w:hint="eastAsia" w:eastAsiaTheme="minorEastAsia"/>
          <w:szCs w:val="21"/>
        </w:rPr>
        <w:t>▲</w:t>
      </w:r>
      <w:r>
        <w:rPr>
          <w:rFonts w:hint="eastAsia" w:ascii="宋体" w:hAnsi="宋体" w:cs="宋体"/>
          <w:b w:val="0"/>
          <w:bCs w:val="0"/>
          <w:sz w:val="21"/>
          <w:szCs w:val="21"/>
        </w:rPr>
        <w:t>要求并发分析算法授权数量≥32路；</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基于移动布控球采用的网络环境稳定性可能导致的码流出现丢帧、丢包等码流质量问题，预处理阶段需支持对该类异常的处置，避免产生误报。</w:t>
      </w:r>
    </w:p>
    <w:p>
      <w:pPr>
        <w:pStyle w:val="5"/>
        <w:widowControl/>
        <w:spacing w:before="0" w:after="0" w:line="300" w:lineRule="exact"/>
        <w:rPr>
          <w:rFonts w:ascii="宋体" w:hAnsi="宋体"/>
          <w:kern w:val="2"/>
          <w:sz w:val="21"/>
          <w:szCs w:val="21"/>
        </w:rPr>
      </w:pPr>
      <w:r>
        <w:rPr>
          <w:rFonts w:hint="eastAsia" w:ascii="宋体" w:hAnsi="宋体"/>
          <w:kern w:val="2"/>
          <w:sz w:val="21"/>
          <w:szCs w:val="21"/>
        </w:rPr>
        <w:t>6.2.3 分析任务通道配置接口对接要求</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该接口用于分析任务的通道配置切换。为节约端侧网络通信资源与中心侧的计算资源，本项目要求，可对算法分析任务通道进行动态配置，即根据国标ID对已接入资源目录中的通道进行任务配置，通道配置后向分析引擎添加通道的流信息，视频流为H.264/H.265，分辨率720P/1080P。</w:t>
      </w:r>
    </w:p>
    <w:p>
      <w:pPr>
        <w:pStyle w:val="2"/>
        <w:spacing w:line="380" w:lineRule="exact"/>
        <w:ind w:firstLine="402" w:firstLineChars="200"/>
        <w:rPr>
          <w:rFonts w:ascii="宋体" w:hAnsi="宋体" w:cs="宋体"/>
          <w:b w:val="0"/>
          <w:bCs w:val="0"/>
          <w:sz w:val="21"/>
          <w:szCs w:val="21"/>
        </w:rPr>
      </w:pPr>
      <w:r>
        <w:rPr>
          <w:rFonts w:hint="eastAsia" w:eastAsiaTheme="minorEastAsia"/>
          <w:szCs w:val="21"/>
        </w:rPr>
        <w:t>▲</w:t>
      </w:r>
      <w:r>
        <w:rPr>
          <w:rFonts w:hint="eastAsia" w:ascii="宋体" w:hAnsi="宋体" w:cs="宋体"/>
          <w:b w:val="0"/>
          <w:bCs w:val="0"/>
          <w:sz w:val="21"/>
          <w:szCs w:val="21"/>
        </w:rPr>
        <w:t>需包含如下信息：</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相机编号：用来标识摄像头，要求为下级平台的国标通道编号；</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AI算法类型：将配置的视频通道添加指定的AI算法；</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分析任务通道：当前流信息在分析任务中的通道号；</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视频分析状态：返回任务分析状态；</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其他字段可根据数据类型拓展。</w:t>
      </w:r>
    </w:p>
    <w:p>
      <w:pPr>
        <w:pStyle w:val="5"/>
        <w:widowControl/>
        <w:spacing w:before="0" w:after="0" w:line="300" w:lineRule="exact"/>
        <w:rPr>
          <w:rFonts w:ascii="宋体" w:hAnsi="宋体"/>
          <w:kern w:val="2"/>
          <w:sz w:val="21"/>
          <w:szCs w:val="21"/>
        </w:rPr>
      </w:pPr>
      <w:r>
        <w:rPr>
          <w:rFonts w:hint="eastAsia" w:ascii="宋体" w:hAnsi="宋体"/>
          <w:kern w:val="2"/>
          <w:sz w:val="21"/>
          <w:szCs w:val="21"/>
        </w:rPr>
        <w:t>6.2.4分析任务参数配置接口对接要求</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该接口用于分析任务的参数配置，本项目中AI算法类型为未佩戴安全帽和未穿反光衣，可设定分析的区域范围对任务进行配置区域，默认布控参数为全画面检测及两类AI算法。</w:t>
      </w:r>
    </w:p>
    <w:p>
      <w:pPr>
        <w:pStyle w:val="5"/>
        <w:widowControl/>
        <w:spacing w:before="0" w:after="0" w:line="300" w:lineRule="exact"/>
        <w:rPr>
          <w:rFonts w:ascii="宋体" w:hAnsi="宋体"/>
          <w:kern w:val="2"/>
          <w:sz w:val="21"/>
          <w:szCs w:val="21"/>
        </w:rPr>
      </w:pPr>
      <w:r>
        <w:rPr>
          <w:rFonts w:hint="eastAsia" w:ascii="宋体" w:hAnsi="宋体"/>
          <w:kern w:val="2"/>
          <w:sz w:val="21"/>
          <w:szCs w:val="21"/>
        </w:rPr>
        <w:t>6.2.5分析任务启停控制接口对接要求</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该接口用于启动或停止分析任务。</w:t>
      </w:r>
    </w:p>
    <w:p>
      <w:pPr>
        <w:pStyle w:val="2"/>
        <w:spacing w:line="380" w:lineRule="exact"/>
        <w:ind w:firstLine="402" w:firstLineChars="200"/>
        <w:rPr>
          <w:rFonts w:ascii="宋体" w:hAnsi="宋体" w:cs="宋体"/>
          <w:b w:val="0"/>
          <w:bCs w:val="0"/>
          <w:sz w:val="21"/>
          <w:szCs w:val="21"/>
        </w:rPr>
      </w:pPr>
      <w:r>
        <w:rPr>
          <w:rFonts w:hint="eastAsia" w:eastAsiaTheme="minorEastAsia"/>
          <w:szCs w:val="21"/>
        </w:rPr>
        <w:t>▲</w:t>
      </w:r>
      <w:r>
        <w:rPr>
          <w:rFonts w:hint="eastAsia" w:ascii="宋体" w:hAnsi="宋体" w:cs="宋体"/>
          <w:b w:val="0"/>
          <w:bCs w:val="0"/>
          <w:sz w:val="21"/>
          <w:szCs w:val="21"/>
        </w:rPr>
        <w:t>需包含如下信息：</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相机编号：用来标识摄像头，要求为下级平台的国标通道编号；</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AI算法类型：将配置的视频通道添加指定的AI算法；</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视频分析状态：返回任务分析状态；；</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其他字段可根据数据类型拓展。</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以上接口均采用HTTP协议，需支持身份认证的安全管理要求。</w:t>
      </w:r>
    </w:p>
    <w:p>
      <w:pPr>
        <w:pStyle w:val="5"/>
        <w:widowControl/>
        <w:spacing w:before="0" w:after="0" w:line="300" w:lineRule="exact"/>
        <w:rPr>
          <w:rFonts w:ascii="宋体" w:hAnsi="宋体"/>
          <w:kern w:val="2"/>
          <w:sz w:val="21"/>
          <w:szCs w:val="21"/>
        </w:rPr>
      </w:pPr>
      <w:r>
        <w:rPr>
          <w:rFonts w:hint="eastAsia" w:ascii="宋体" w:hAnsi="宋体"/>
          <w:kern w:val="2"/>
          <w:sz w:val="21"/>
          <w:szCs w:val="21"/>
        </w:rPr>
        <w:t>6.2.6 端侧北向对接接口开发服务</w:t>
      </w:r>
    </w:p>
    <w:p>
      <w:pPr>
        <w:pStyle w:val="2"/>
        <w:spacing w:line="380" w:lineRule="exact"/>
        <w:ind w:firstLine="402" w:firstLineChars="200"/>
        <w:rPr>
          <w:rFonts w:ascii="宋体" w:hAnsi="宋体" w:cs="宋体"/>
          <w:b w:val="0"/>
          <w:bCs w:val="0"/>
          <w:sz w:val="21"/>
          <w:szCs w:val="21"/>
        </w:rPr>
      </w:pPr>
      <w:r>
        <w:rPr>
          <w:rFonts w:hint="eastAsia" w:eastAsiaTheme="minorEastAsia"/>
          <w:szCs w:val="21"/>
        </w:rPr>
        <w:t>▲</w:t>
      </w:r>
      <w:r>
        <w:rPr>
          <w:rFonts w:hint="eastAsia" w:ascii="宋体" w:hAnsi="宋体" w:cs="宋体"/>
          <w:b w:val="0"/>
          <w:bCs w:val="0"/>
          <w:sz w:val="21"/>
          <w:szCs w:val="21"/>
        </w:rPr>
        <w:t>北向接口是本项目系统中输出告警、运行信息至中心云平台，完成业务闭环的重要环节。通过平台端定义的协议将算法检测结果上报至首讯安环平台。</w:t>
      </w:r>
    </w:p>
    <w:p/>
    <w:p>
      <w:pPr>
        <w:pStyle w:val="4"/>
        <w:widowControl/>
        <w:spacing w:before="0" w:after="0" w:line="300" w:lineRule="exact"/>
        <w:rPr>
          <w:rFonts w:ascii="宋体" w:hAnsi="宋体"/>
          <w:sz w:val="21"/>
          <w:szCs w:val="21"/>
        </w:rPr>
      </w:pPr>
      <w:r>
        <w:rPr>
          <w:rFonts w:hint="eastAsia" w:ascii="宋体" w:hAnsi="宋体"/>
          <w:sz w:val="21"/>
          <w:szCs w:val="21"/>
        </w:rPr>
        <w:t>6.3硬件设备及其他非功能性要求</w:t>
      </w:r>
    </w:p>
    <w:p>
      <w:pPr>
        <w:pStyle w:val="5"/>
        <w:widowControl/>
        <w:spacing w:before="0" w:after="0" w:line="300" w:lineRule="exact"/>
        <w:rPr>
          <w:rFonts w:ascii="宋体" w:hAnsi="宋体"/>
          <w:kern w:val="2"/>
          <w:sz w:val="21"/>
          <w:szCs w:val="21"/>
        </w:rPr>
      </w:pPr>
      <w:r>
        <w:rPr>
          <w:rFonts w:hint="eastAsia" w:ascii="宋体" w:hAnsi="宋体"/>
          <w:kern w:val="2"/>
          <w:sz w:val="21"/>
          <w:szCs w:val="21"/>
        </w:rPr>
        <w:t>6.3.1硬件设备要求</w:t>
      </w:r>
    </w:p>
    <w:tbl>
      <w:tblPr>
        <w:tblStyle w:val="19"/>
        <w:tblW w:w="8918"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0"/>
        <w:gridCol w:w="686"/>
        <w:gridCol w:w="6638"/>
        <w:gridCol w:w="590"/>
        <w:gridCol w:w="67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330" w:type="dxa"/>
            <w:tcBorders>
              <w:top w:val="single" w:color="auto" w:sz="12" w:space="0"/>
              <w:bottom w:val="single" w:color="auto" w:sz="6" w:space="0"/>
            </w:tcBorders>
            <w:shd w:val="clear" w:color="auto" w:fill="auto"/>
            <w:vAlign w:val="center"/>
          </w:tcPr>
          <w:p>
            <w:pPr>
              <w:pStyle w:val="11"/>
              <w:jc w:val="center"/>
              <w:rPr>
                <w:rFonts w:ascii="仿宋" w:hAnsi="仿宋" w:eastAsia="仿宋" w:cs="仿宋"/>
                <w:b/>
                <w:color w:val="000000"/>
                <w:szCs w:val="21"/>
              </w:rPr>
            </w:pPr>
            <w:r>
              <w:rPr>
                <w:rFonts w:hint="eastAsia" w:ascii="仿宋" w:hAnsi="仿宋" w:eastAsia="仿宋" w:cs="仿宋"/>
                <w:b/>
                <w:color w:val="000000"/>
                <w:szCs w:val="21"/>
              </w:rPr>
              <w:t>序号</w:t>
            </w:r>
          </w:p>
        </w:tc>
        <w:tc>
          <w:tcPr>
            <w:tcW w:w="686" w:type="dxa"/>
            <w:tcBorders>
              <w:top w:val="single" w:color="auto" w:sz="12" w:space="0"/>
              <w:bottom w:val="single" w:color="auto" w:sz="6" w:space="0"/>
            </w:tcBorders>
            <w:shd w:val="clear" w:color="auto" w:fill="auto"/>
            <w:vAlign w:val="center"/>
          </w:tcPr>
          <w:p>
            <w:pPr>
              <w:pStyle w:val="11"/>
              <w:jc w:val="center"/>
              <w:rPr>
                <w:rFonts w:ascii="仿宋" w:hAnsi="仿宋" w:eastAsia="仿宋" w:cs="仿宋"/>
                <w:b/>
                <w:color w:val="000000"/>
                <w:szCs w:val="21"/>
              </w:rPr>
            </w:pPr>
            <w:r>
              <w:rPr>
                <w:rFonts w:hint="eastAsia" w:ascii="仿宋" w:hAnsi="仿宋" w:eastAsia="仿宋" w:cs="仿宋"/>
                <w:b/>
                <w:color w:val="000000"/>
                <w:szCs w:val="21"/>
              </w:rPr>
              <w:t>品名</w:t>
            </w:r>
          </w:p>
        </w:tc>
        <w:tc>
          <w:tcPr>
            <w:tcW w:w="6638" w:type="dxa"/>
            <w:tcBorders>
              <w:top w:val="single" w:color="auto" w:sz="12" w:space="0"/>
              <w:bottom w:val="single" w:color="auto" w:sz="6" w:space="0"/>
            </w:tcBorders>
            <w:shd w:val="clear" w:color="auto" w:fill="auto"/>
            <w:vAlign w:val="center"/>
          </w:tcPr>
          <w:p>
            <w:pPr>
              <w:pStyle w:val="11"/>
              <w:jc w:val="center"/>
              <w:rPr>
                <w:rFonts w:ascii="仿宋" w:hAnsi="仿宋" w:eastAsia="仿宋" w:cs="仿宋"/>
                <w:b/>
                <w:color w:val="000000"/>
                <w:szCs w:val="21"/>
              </w:rPr>
            </w:pPr>
            <w:r>
              <w:rPr>
                <w:rFonts w:hint="eastAsia" w:ascii="仿宋" w:hAnsi="仿宋" w:eastAsia="仿宋" w:cs="仿宋"/>
                <w:b/>
                <w:color w:val="000000"/>
                <w:szCs w:val="21"/>
              </w:rPr>
              <w:t>技术规格及配置</w:t>
            </w:r>
          </w:p>
        </w:tc>
        <w:tc>
          <w:tcPr>
            <w:tcW w:w="590" w:type="dxa"/>
            <w:tcBorders>
              <w:top w:val="single" w:color="auto" w:sz="12" w:space="0"/>
              <w:bottom w:val="single" w:color="auto" w:sz="6" w:space="0"/>
            </w:tcBorders>
            <w:shd w:val="clear" w:color="auto" w:fill="auto"/>
            <w:vAlign w:val="center"/>
          </w:tcPr>
          <w:p>
            <w:pPr>
              <w:pStyle w:val="11"/>
              <w:jc w:val="center"/>
              <w:rPr>
                <w:rFonts w:ascii="仿宋" w:hAnsi="仿宋" w:eastAsia="仿宋" w:cs="仿宋"/>
                <w:b/>
                <w:color w:val="000000"/>
                <w:szCs w:val="21"/>
              </w:rPr>
            </w:pPr>
            <w:r>
              <w:rPr>
                <w:rFonts w:hint="eastAsia" w:ascii="仿宋" w:hAnsi="仿宋" w:eastAsia="仿宋" w:cs="仿宋"/>
                <w:b/>
                <w:color w:val="000000"/>
                <w:szCs w:val="21"/>
              </w:rPr>
              <w:t>数量</w:t>
            </w:r>
          </w:p>
        </w:tc>
        <w:tc>
          <w:tcPr>
            <w:tcW w:w="674" w:type="dxa"/>
            <w:tcBorders>
              <w:top w:val="single" w:color="auto" w:sz="12" w:space="0"/>
              <w:bottom w:val="single" w:color="auto" w:sz="6" w:space="0"/>
            </w:tcBorders>
            <w:shd w:val="clear" w:color="auto" w:fill="auto"/>
            <w:vAlign w:val="center"/>
          </w:tcPr>
          <w:p>
            <w:pPr>
              <w:pStyle w:val="11"/>
              <w:jc w:val="center"/>
              <w:rPr>
                <w:rFonts w:ascii="仿宋" w:hAnsi="仿宋" w:eastAsia="仿宋" w:cs="仿宋"/>
                <w:b/>
                <w:color w:val="000000"/>
                <w:szCs w:val="21"/>
              </w:rPr>
            </w:pPr>
            <w:r>
              <w:rPr>
                <w:rFonts w:hint="eastAsia" w:ascii="仿宋" w:hAnsi="仿宋" w:eastAsia="仿宋" w:cs="仿宋"/>
                <w:b/>
                <w:color w:val="000000"/>
                <w:szCs w:val="21"/>
              </w:rPr>
              <w:t>备注</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330" w:type="dxa"/>
            <w:tcBorders>
              <w:top w:val="single" w:color="auto" w:sz="6" w:space="0"/>
            </w:tcBorders>
            <w:shd w:val="clear" w:color="auto" w:fill="auto"/>
            <w:vAlign w:val="center"/>
          </w:tcPr>
          <w:p>
            <w:pPr>
              <w:pStyle w:val="11"/>
              <w:jc w:val="center"/>
              <w:rPr>
                <w:rFonts w:ascii="仿宋" w:hAnsi="仿宋" w:eastAsia="仿宋" w:cs="仿宋"/>
                <w:b/>
                <w:color w:val="000000"/>
                <w:szCs w:val="21"/>
              </w:rPr>
            </w:pPr>
            <w:r>
              <w:rPr>
                <w:rFonts w:hint="eastAsia" w:ascii="仿宋" w:hAnsi="仿宋" w:eastAsia="仿宋" w:cs="仿宋"/>
                <w:b/>
                <w:color w:val="000000"/>
                <w:szCs w:val="21"/>
              </w:rPr>
              <w:t>1</w:t>
            </w:r>
          </w:p>
        </w:tc>
        <w:tc>
          <w:tcPr>
            <w:tcW w:w="686" w:type="dxa"/>
            <w:tcBorders>
              <w:top w:val="single" w:color="auto" w:sz="6" w:space="0"/>
            </w:tcBorders>
            <w:shd w:val="clear" w:color="auto" w:fill="auto"/>
            <w:vAlign w:val="center"/>
          </w:tcPr>
          <w:p>
            <w:pPr>
              <w:pStyle w:val="11"/>
              <w:jc w:val="center"/>
              <w:rPr>
                <w:rFonts w:ascii="仿宋" w:hAnsi="仿宋" w:eastAsia="仿宋" w:cs="仿宋"/>
                <w:b/>
                <w:color w:val="000000"/>
                <w:szCs w:val="21"/>
              </w:rPr>
            </w:pPr>
            <w:r>
              <w:rPr>
                <w:rFonts w:hint="eastAsia" w:ascii="仿宋" w:hAnsi="仿宋" w:eastAsia="仿宋" w:cs="仿宋"/>
                <w:b/>
                <w:color w:val="000000"/>
                <w:szCs w:val="21"/>
              </w:rPr>
              <w:t>视频边缘计算网关</w:t>
            </w:r>
          </w:p>
        </w:tc>
        <w:tc>
          <w:tcPr>
            <w:tcW w:w="6638" w:type="dxa"/>
            <w:tcBorders>
              <w:top w:val="single" w:color="auto" w:sz="6" w:space="0"/>
            </w:tcBorders>
            <w:shd w:val="clear" w:color="auto" w:fill="auto"/>
            <w:vAlign w:val="center"/>
          </w:tcPr>
          <w:p>
            <w:pPr>
              <w:pStyle w:val="27"/>
              <w:tabs>
                <w:tab w:val="left" w:pos="312"/>
              </w:tabs>
              <w:spacing w:line="360" w:lineRule="auto"/>
              <w:ind w:left="440"/>
            </w:pPr>
            <w:r>
              <w:rPr>
                <w:rFonts w:hint="eastAsia"/>
              </w:rPr>
              <w:t>硬件需满足以下条件：</w:t>
            </w:r>
          </w:p>
          <w:p>
            <w:pPr>
              <w:pStyle w:val="11"/>
              <w:numPr>
                <w:ilvl w:val="0"/>
                <w:numId w:val="2"/>
              </w:numPr>
              <w:rPr>
                <w:rFonts w:ascii="仿宋" w:hAnsi="仿宋" w:eastAsia="仿宋"/>
                <w:szCs w:val="21"/>
              </w:rPr>
            </w:pPr>
            <w:r>
              <w:rPr>
                <w:rFonts w:hint="eastAsia" w:ascii="仿宋" w:hAnsi="仿宋" w:eastAsia="仿宋"/>
                <w:szCs w:val="21"/>
              </w:rPr>
              <w:t>硬件规格不低于：CPU：8核@1.4GHz，4GB DDR + 64GB eMMC。</w:t>
            </w:r>
          </w:p>
          <w:p>
            <w:pPr>
              <w:pStyle w:val="11"/>
              <w:numPr>
                <w:ilvl w:val="0"/>
                <w:numId w:val="2"/>
              </w:numPr>
              <w:rPr>
                <w:rFonts w:ascii="仿宋" w:hAnsi="仿宋" w:eastAsia="仿宋"/>
                <w:szCs w:val="21"/>
              </w:rPr>
            </w:pPr>
            <w:r>
              <w:rPr>
                <w:rFonts w:hint="eastAsia" w:ascii="仿宋" w:hAnsi="仿宋" w:eastAsia="仿宋"/>
                <w:szCs w:val="21"/>
              </w:rPr>
              <w:t>操作系统：linux操作系统；</w:t>
            </w:r>
          </w:p>
          <w:p>
            <w:pPr>
              <w:pStyle w:val="11"/>
              <w:numPr>
                <w:ilvl w:val="0"/>
                <w:numId w:val="2"/>
              </w:numPr>
              <w:rPr>
                <w:rFonts w:ascii="仿宋" w:hAnsi="仿宋" w:eastAsia="仿宋"/>
                <w:szCs w:val="21"/>
              </w:rPr>
            </w:pPr>
            <w:r>
              <w:rPr>
                <w:rFonts w:hint="eastAsia" w:ascii="仿宋" w:hAnsi="仿宋" w:eastAsia="仿宋"/>
                <w:szCs w:val="21"/>
              </w:rPr>
              <w:t>支持内网和外网隔离,外网口≥1个，内网口≥3个；</w:t>
            </w:r>
          </w:p>
          <w:p>
            <w:pPr>
              <w:pStyle w:val="11"/>
              <w:numPr>
                <w:ilvl w:val="0"/>
                <w:numId w:val="2"/>
              </w:numPr>
              <w:rPr>
                <w:rFonts w:ascii="仿宋" w:hAnsi="仿宋" w:eastAsia="仿宋"/>
                <w:szCs w:val="21"/>
              </w:rPr>
            </w:pPr>
            <w:r>
              <w:rPr>
                <w:rFonts w:hint="eastAsia" w:ascii="仿宋" w:hAnsi="仿宋" w:eastAsia="仿宋"/>
                <w:szCs w:val="21"/>
              </w:rPr>
              <w:t>具有2路报警输入，1路报警输出，1路RS232和1路RS485接口；</w:t>
            </w:r>
          </w:p>
          <w:p>
            <w:pPr>
              <w:pStyle w:val="11"/>
              <w:numPr>
                <w:ilvl w:val="0"/>
                <w:numId w:val="2"/>
              </w:numPr>
              <w:rPr>
                <w:rFonts w:ascii="仿宋" w:hAnsi="仿宋" w:eastAsia="仿宋"/>
                <w:szCs w:val="21"/>
              </w:rPr>
            </w:pPr>
            <w:r>
              <w:rPr>
                <w:rFonts w:hint="eastAsia" w:ascii="仿宋" w:hAnsi="仿宋" w:eastAsia="仿宋"/>
                <w:szCs w:val="21"/>
              </w:rPr>
              <w:t>支持一路3.5mm音频输入和音频输出，采用两个3.5接口；</w:t>
            </w:r>
          </w:p>
          <w:p>
            <w:pPr>
              <w:pStyle w:val="11"/>
              <w:numPr>
                <w:ilvl w:val="0"/>
                <w:numId w:val="2"/>
              </w:numPr>
              <w:rPr>
                <w:rFonts w:ascii="仿宋" w:hAnsi="仿宋" w:eastAsia="仿宋"/>
                <w:szCs w:val="21"/>
              </w:rPr>
            </w:pPr>
            <w:r>
              <w:rPr>
                <w:rFonts w:hint="eastAsia" w:ascii="仿宋" w:hAnsi="仿宋" w:eastAsia="仿宋"/>
                <w:szCs w:val="21"/>
              </w:rPr>
              <w:t>支持220V电源输入，内置UPS电源，支持外部停电时系统自动进行软关机；</w:t>
            </w:r>
          </w:p>
          <w:p>
            <w:pPr>
              <w:pStyle w:val="11"/>
              <w:numPr>
                <w:ilvl w:val="0"/>
                <w:numId w:val="2"/>
              </w:numPr>
              <w:rPr>
                <w:rFonts w:ascii="仿宋" w:hAnsi="仿宋" w:eastAsia="仿宋"/>
                <w:szCs w:val="21"/>
              </w:rPr>
            </w:pPr>
            <w:r>
              <w:rPr>
                <w:rFonts w:hint="eastAsia" w:ascii="仿宋" w:hAnsi="仿宋" w:eastAsia="仿宋"/>
                <w:szCs w:val="21"/>
              </w:rPr>
              <w:t>支持同时编解码视频路数≥32路，支持HDMI和VGA视频输出；</w:t>
            </w:r>
          </w:p>
          <w:p>
            <w:pPr>
              <w:pStyle w:val="11"/>
              <w:numPr>
                <w:ilvl w:val="0"/>
                <w:numId w:val="2"/>
              </w:numPr>
              <w:rPr>
                <w:rFonts w:ascii="仿宋" w:hAnsi="仿宋" w:eastAsia="仿宋"/>
                <w:szCs w:val="21"/>
              </w:rPr>
            </w:pPr>
            <w:r>
              <w:rPr>
                <w:rFonts w:hint="eastAsia" w:ascii="仿宋" w:hAnsi="仿宋" w:eastAsia="仿宋"/>
                <w:szCs w:val="21"/>
              </w:rPr>
              <w:t>支持</w:t>
            </w:r>
            <w:r>
              <w:rPr>
                <w:rFonts w:ascii="仿宋" w:hAnsi="仿宋" w:eastAsia="仿宋"/>
                <w:szCs w:val="21"/>
              </w:rPr>
              <w:t>1</w:t>
            </w:r>
            <w:r>
              <w:rPr>
                <w:rFonts w:hint="eastAsia" w:ascii="仿宋" w:hAnsi="仿宋" w:eastAsia="仿宋"/>
                <w:szCs w:val="21"/>
              </w:rPr>
              <w:t>路硬盘存储，支持两路T</w:t>
            </w:r>
            <w:r>
              <w:rPr>
                <w:rFonts w:ascii="仿宋" w:hAnsi="仿宋" w:eastAsia="仿宋"/>
                <w:szCs w:val="21"/>
              </w:rPr>
              <w:t>F</w:t>
            </w:r>
            <w:r>
              <w:rPr>
                <w:rFonts w:hint="eastAsia" w:ascii="仿宋" w:hAnsi="仿宋" w:eastAsia="仿宋"/>
                <w:szCs w:val="21"/>
              </w:rPr>
              <w:t>卡存储，单卡可支持1</w:t>
            </w:r>
            <w:r>
              <w:rPr>
                <w:rFonts w:ascii="仿宋" w:hAnsi="仿宋" w:eastAsia="仿宋"/>
                <w:szCs w:val="21"/>
              </w:rPr>
              <w:t>TB</w:t>
            </w:r>
            <w:r>
              <w:rPr>
                <w:rFonts w:hint="eastAsia" w:ascii="仿宋" w:hAnsi="仿宋" w:eastAsia="仿宋"/>
                <w:szCs w:val="21"/>
              </w:rPr>
              <w:t>；</w:t>
            </w:r>
          </w:p>
          <w:p>
            <w:pPr>
              <w:pStyle w:val="11"/>
              <w:numPr>
                <w:ilvl w:val="0"/>
                <w:numId w:val="2"/>
              </w:numPr>
              <w:rPr>
                <w:rFonts w:ascii="仿宋" w:hAnsi="仿宋" w:eastAsia="仿宋"/>
                <w:szCs w:val="21"/>
              </w:rPr>
            </w:pPr>
            <w:r>
              <w:rPr>
                <w:rFonts w:hint="eastAsia" w:eastAsiaTheme="minorEastAsia"/>
                <w:szCs w:val="21"/>
              </w:rPr>
              <w:t>▲</w:t>
            </w:r>
            <w:r>
              <w:rPr>
                <w:rFonts w:hint="eastAsia" w:ascii="仿宋" w:hAnsi="仿宋" w:eastAsia="仿宋"/>
                <w:szCs w:val="21"/>
              </w:rPr>
              <w:t>内置硬件AI算力，支持≥32路1080P实时码流的反光背心及未佩戴安全帽检测算法模型分析;</w:t>
            </w:r>
            <w:r>
              <w:rPr>
                <w:rFonts w:ascii="仿宋" w:hAnsi="仿宋" w:eastAsia="仿宋"/>
                <w:szCs w:val="21"/>
              </w:rPr>
              <w:t xml:space="preserve"> </w:t>
            </w:r>
          </w:p>
          <w:p>
            <w:pPr>
              <w:pStyle w:val="27"/>
              <w:tabs>
                <w:tab w:val="left" w:pos="312"/>
              </w:tabs>
              <w:spacing w:line="360" w:lineRule="auto"/>
              <w:ind w:left="440"/>
            </w:pPr>
            <w:r>
              <w:rPr>
                <w:rFonts w:hint="eastAsia"/>
              </w:rPr>
              <w:t>功能需满足以下条件：</w:t>
            </w:r>
          </w:p>
          <w:p>
            <w:pPr>
              <w:pStyle w:val="11"/>
              <w:numPr>
                <w:ilvl w:val="0"/>
                <w:numId w:val="3"/>
              </w:numPr>
              <w:rPr>
                <w:rFonts w:ascii="仿宋" w:hAnsi="仿宋" w:eastAsia="仿宋"/>
                <w:szCs w:val="21"/>
              </w:rPr>
            </w:pPr>
            <w:r>
              <w:rPr>
                <w:rFonts w:hint="eastAsia" w:ascii="仿宋" w:hAnsi="仿宋" w:eastAsia="仿宋"/>
                <w:szCs w:val="21"/>
              </w:rPr>
              <w:t>支持视频最大接入路数≥</w:t>
            </w:r>
            <w:r>
              <w:rPr>
                <w:rFonts w:ascii="仿宋" w:hAnsi="仿宋" w:eastAsia="仿宋"/>
                <w:szCs w:val="21"/>
              </w:rPr>
              <w:t>512</w:t>
            </w:r>
            <w:r>
              <w:rPr>
                <w:rFonts w:hint="eastAsia" w:ascii="仿宋" w:hAnsi="仿宋" w:eastAsia="仿宋"/>
                <w:szCs w:val="21"/>
              </w:rPr>
              <w:t>路，本项目授权接入实时视频路数≥150路；</w:t>
            </w:r>
          </w:p>
          <w:p>
            <w:pPr>
              <w:pStyle w:val="11"/>
              <w:numPr>
                <w:ilvl w:val="0"/>
                <w:numId w:val="3"/>
              </w:numPr>
              <w:rPr>
                <w:rFonts w:ascii="仿宋" w:hAnsi="仿宋" w:eastAsia="仿宋"/>
                <w:szCs w:val="21"/>
              </w:rPr>
            </w:pPr>
            <w:r>
              <w:rPr>
                <w:rFonts w:hint="eastAsia" w:ascii="仿宋" w:hAnsi="仿宋" w:eastAsia="仿宋"/>
                <w:szCs w:val="21"/>
              </w:rPr>
              <w:t>视频协议支持onvif、GB28181；平台级联视频协议支持GB28181-2016；</w:t>
            </w:r>
          </w:p>
          <w:p>
            <w:pPr>
              <w:pStyle w:val="11"/>
              <w:numPr>
                <w:ilvl w:val="0"/>
                <w:numId w:val="3"/>
              </w:numPr>
              <w:rPr>
                <w:rFonts w:ascii="仿宋" w:hAnsi="仿宋" w:eastAsia="仿宋"/>
                <w:szCs w:val="21"/>
              </w:rPr>
            </w:pPr>
            <w:r>
              <w:rPr>
                <w:rFonts w:hint="eastAsia" w:ascii="仿宋" w:hAnsi="仿宋" w:eastAsia="仿宋"/>
                <w:szCs w:val="21"/>
              </w:rPr>
              <w:t>未佩戴安全帽检测算法、未穿反光背心检测算法分析准确率（60*120像素人体成像条件下）要求不低于85%；</w:t>
            </w:r>
          </w:p>
          <w:p>
            <w:pPr>
              <w:pStyle w:val="11"/>
              <w:numPr>
                <w:ilvl w:val="0"/>
                <w:numId w:val="3"/>
              </w:numPr>
              <w:rPr>
                <w:rFonts w:ascii="仿宋" w:hAnsi="仿宋" w:eastAsia="仿宋"/>
                <w:szCs w:val="21"/>
              </w:rPr>
            </w:pPr>
            <w:r>
              <w:rPr>
                <w:rFonts w:hint="eastAsia" w:ascii="仿宋" w:hAnsi="仿宋" w:eastAsia="仿宋"/>
                <w:szCs w:val="21"/>
              </w:rPr>
              <w:t>支持根据首讯安环平台事件推送协议定制开发数据推送接口；</w:t>
            </w:r>
          </w:p>
          <w:p>
            <w:pPr>
              <w:pStyle w:val="11"/>
              <w:numPr>
                <w:ilvl w:val="0"/>
                <w:numId w:val="3"/>
              </w:numPr>
              <w:rPr>
                <w:rFonts w:ascii="仿宋" w:hAnsi="仿宋" w:eastAsia="仿宋"/>
                <w:szCs w:val="21"/>
              </w:rPr>
            </w:pPr>
            <w:r>
              <w:rPr>
                <w:rFonts w:hint="eastAsia" w:ascii="仿宋" w:hAnsi="仿宋" w:eastAsia="仿宋"/>
                <w:szCs w:val="21"/>
              </w:rPr>
              <w:t>支持Node js、java、Python、JDK、Python、Ubuntu、java、C、C+、C++、.Net开发环境，支持二次开发应用，支持二次开发加载视觉AI算法;</w:t>
            </w:r>
          </w:p>
        </w:tc>
        <w:tc>
          <w:tcPr>
            <w:tcW w:w="590" w:type="dxa"/>
            <w:tcBorders>
              <w:top w:val="single" w:color="auto" w:sz="6" w:space="0"/>
            </w:tcBorders>
            <w:shd w:val="clear" w:color="auto" w:fill="auto"/>
            <w:vAlign w:val="center"/>
          </w:tcPr>
          <w:p>
            <w:pPr>
              <w:pStyle w:val="11"/>
              <w:jc w:val="center"/>
              <w:rPr>
                <w:rFonts w:ascii="仿宋" w:hAnsi="仿宋" w:eastAsia="仿宋" w:cs="仿宋"/>
                <w:b/>
                <w:color w:val="000000"/>
                <w:szCs w:val="21"/>
              </w:rPr>
            </w:pPr>
            <w:r>
              <w:rPr>
                <w:rFonts w:hint="eastAsia" w:ascii="仿宋" w:hAnsi="仿宋" w:eastAsia="仿宋" w:cs="仿宋"/>
                <w:b/>
                <w:color w:val="000000"/>
                <w:szCs w:val="21"/>
              </w:rPr>
              <w:t>1</w:t>
            </w:r>
          </w:p>
        </w:tc>
        <w:tc>
          <w:tcPr>
            <w:tcW w:w="674" w:type="dxa"/>
            <w:tcBorders>
              <w:top w:val="single" w:color="auto" w:sz="6" w:space="0"/>
            </w:tcBorders>
            <w:shd w:val="clear" w:color="auto" w:fill="auto"/>
            <w:vAlign w:val="center"/>
          </w:tcPr>
          <w:p>
            <w:pPr>
              <w:pStyle w:val="11"/>
              <w:jc w:val="center"/>
              <w:rPr>
                <w:rFonts w:ascii="仿宋" w:hAnsi="仿宋" w:eastAsia="仿宋" w:cs="仿宋"/>
                <w:b/>
                <w:color w:val="000000"/>
                <w:szCs w:val="21"/>
              </w:rPr>
            </w:pPr>
          </w:p>
        </w:tc>
      </w:tr>
    </w:tbl>
    <w:p/>
    <w:p>
      <w:pPr>
        <w:pStyle w:val="5"/>
        <w:widowControl/>
        <w:spacing w:before="0" w:after="0" w:line="300" w:lineRule="exact"/>
        <w:rPr>
          <w:rFonts w:ascii="宋体" w:hAnsi="宋体"/>
          <w:kern w:val="2"/>
          <w:sz w:val="21"/>
          <w:szCs w:val="21"/>
        </w:rPr>
      </w:pPr>
      <w:r>
        <w:rPr>
          <w:rFonts w:hint="eastAsia" w:ascii="宋体" w:hAnsi="宋体"/>
          <w:kern w:val="2"/>
          <w:sz w:val="21"/>
          <w:szCs w:val="21"/>
        </w:rPr>
        <w:t>6.3.2系统测试及调试服务要求</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本项目要求支持现场安装调试，包含：</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hint="eastAsia" w:ascii="宋体" w:hAnsi="宋体" w:cs="宋体"/>
          <w:b w:val="0"/>
          <w:bCs w:val="0"/>
          <w:sz w:val="21"/>
          <w:szCs w:val="21"/>
        </w:rPr>
        <w:tab/>
      </w:r>
      <w:r>
        <w:rPr>
          <w:rFonts w:hint="eastAsia" w:ascii="宋体" w:hAnsi="宋体" w:cs="宋体"/>
          <w:b w:val="0"/>
          <w:bCs w:val="0"/>
          <w:sz w:val="21"/>
          <w:szCs w:val="21"/>
        </w:rPr>
        <w:t>设备的上架、上电及入网；</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w:t>
      </w:r>
      <w:r>
        <w:rPr>
          <w:rFonts w:hint="eastAsia" w:ascii="宋体" w:hAnsi="宋体" w:cs="宋体"/>
          <w:b w:val="0"/>
          <w:bCs w:val="0"/>
          <w:sz w:val="21"/>
          <w:szCs w:val="21"/>
        </w:rPr>
        <w:tab/>
      </w:r>
      <w:r>
        <w:rPr>
          <w:rFonts w:hint="eastAsia" w:ascii="宋体" w:hAnsi="宋体" w:cs="宋体"/>
          <w:b w:val="0"/>
          <w:bCs w:val="0"/>
          <w:sz w:val="21"/>
          <w:szCs w:val="21"/>
        </w:rPr>
        <w:t>视频平台的级联对接；</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w:t>
      </w:r>
      <w:r>
        <w:rPr>
          <w:rFonts w:hint="eastAsia" w:ascii="宋体" w:hAnsi="宋体" w:cs="宋体"/>
          <w:b w:val="0"/>
          <w:bCs w:val="0"/>
          <w:sz w:val="21"/>
          <w:szCs w:val="21"/>
        </w:rPr>
        <w:tab/>
      </w:r>
      <w:r>
        <w:rPr>
          <w:rFonts w:hint="eastAsia" w:ascii="宋体" w:hAnsi="宋体" w:cs="宋体"/>
          <w:b w:val="0"/>
          <w:bCs w:val="0"/>
          <w:sz w:val="21"/>
          <w:szCs w:val="21"/>
        </w:rPr>
        <w:t>设备算法服务的部署及布控；</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w:t>
      </w:r>
      <w:r>
        <w:rPr>
          <w:rFonts w:hint="eastAsia" w:ascii="宋体" w:hAnsi="宋体" w:cs="宋体"/>
          <w:b w:val="0"/>
          <w:bCs w:val="0"/>
          <w:sz w:val="21"/>
          <w:szCs w:val="21"/>
        </w:rPr>
        <w:tab/>
      </w:r>
      <w:r>
        <w:rPr>
          <w:rFonts w:hint="eastAsia" w:ascii="宋体" w:hAnsi="宋体" w:cs="宋体"/>
          <w:b w:val="0"/>
          <w:bCs w:val="0"/>
          <w:sz w:val="21"/>
          <w:szCs w:val="21"/>
        </w:rPr>
        <w:t>设备定制开发接口的调试；</w:t>
      </w:r>
    </w:p>
    <w:p>
      <w:pPr>
        <w:pStyle w:val="4"/>
        <w:widowControl/>
        <w:spacing w:before="0" w:after="0" w:line="300" w:lineRule="exact"/>
        <w:rPr>
          <w:rFonts w:ascii="宋体" w:hAnsi="宋体"/>
          <w:sz w:val="21"/>
          <w:szCs w:val="21"/>
        </w:rPr>
      </w:pPr>
      <w:r>
        <w:rPr>
          <w:rFonts w:hint="eastAsia" w:ascii="宋体" w:hAnsi="宋体"/>
          <w:sz w:val="21"/>
          <w:szCs w:val="21"/>
        </w:rPr>
        <w:t>6.5交付物要求</w:t>
      </w:r>
    </w:p>
    <w:p/>
    <w:tbl>
      <w:tblPr>
        <w:tblStyle w:val="20"/>
        <w:tblW w:w="8043"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1422"/>
        <w:gridCol w:w="4253"/>
        <w:gridCol w:w="165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12" w:space="0"/>
              <w:bottom w:val="single" w:color="auto" w:sz="6"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序号</w:t>
            </w:r>
          </w:p>
        </w:tc>
        <w:tc>
          <w:tcPr>
            <w:tcW w:w="1422" w:type="dxa"/>
            <w:tcBorders>
              <w:top w:val="single" w:color="auto" w:sz="12" w:space="0"/>
              <w:bottom w:val="single" w:color="auto" w:sz="6"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项目</w:t>
            </w:r>
          </w:p>
        </w:tc>
        <w:tc>
          <w:tcPr>
            <w:tcW w:w="4253" w:type="dxa"/>
            <w:tcBorders>
              <w:top w:val="single" w:color="auto" w:sz="12" w:space="0"/>
              <w:bottom w:val="single" w:color="auto" w:sz="6"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描述</w:t>
            </w:r>
          </w:p>
        </w:tc>
        <w:tc>
          <w:tcPr>
            <w:tcW w:w="1659" w:type="dxa"/>
            <w:tcBorders>
              <w:top w:val="single" w:color="auto" w:sz="12" w:space="0"/>
              <w:bottom w:val="single" w:color="auto" w:sz="6"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6" w:space="0"/>
            </w:tcBorders>
            <w:shd w:val="clear" w:color="auto" w:fill="auto"/>
            <w:vAlign w:val="center"/>
          </w:tcPr>
          <w:p>
            <w:pPr>
              <w:rPr>
                <w:rFonts w:ascii="仿宋" w:hAnsi="仿宋" w:eastAsia="仿宋"/>
                <w:szCs w:val="21"/>
              </w:rPr>
            </w:pPr>
            <w:r>
              <w:rPr>
                <w:rFonts w:hint="eastAsia" w:ascii="仿宋" w:hAnsi="仿宋" w:eastAsia="仿宋"/>
                <w:szCs w:val="21"/>
              </w:rPr>
              <w:t>1</w:t>
            </w:r>
          </w:p>
        </w:tc>
        <w:tc>
          <w:tcPr>
            <w:tcW w:w="1422" w:type="dxa"/>
            <w:vMerge w:val="restart"/>
            <w:tcBorders>
              <w:top w:val="single" w:color="auto" w:sz="6" w:space="0"/>
            </w:tcBorders>
            <w:shd w:val="clear" w:color="auto" w:fill="auto"/>
            <w:vAlign w:val="center"/>
          </w:tcPr>
          <w:p>
            <w:pPr>
              <w:rPr>
                <w:rFonts w:ascii="仿宋" w:hAnsi="仿宋" w:eastAsia="仿宋"/>
                <w:szCs w:val="21"/>
              </w:rPr>
            </w:pPr>
            <w:r>
              <w:rPr>
                <w:rFonts w:hint="eastAsia" w:ascii="仿宋" w:hAnsi="仿宋" w:eastAsia="仿宋"/>
                <w:szCs w:val="21"/>
              </w:rPr>
              <w:t>产品交付</w:t>
            </w:r>
          </w:p>
        </w:tc>
        <w:tc>
          <w:tcPr>
            <w:tcW w:w="4253" w:type="dxa"/>
            <w:tcBorders>
              <w:top w:val="single" w:color="auto" w:sz="6" w:space="0"/>
            </w:tcBorders>
            <w:shd w:val="clear" w:color="auto" w:fill="auto"/>
            <w:vAlign w:val="center"/>
          </w:tcPr>
          <w:p>
            <w:pPr>
              <w:rPr>
                <w:rFonts w:ascii="仿宋" w:hAnsi="仿宋" w:eastAsia="仿宋"/>
                <w:szCs w:val="21"/>
              </w:rPr>
            </w:pPr>
            <w:r>
              <w:rPr>
                <w:rFonts w:hint="eastAsia" w:ascii="仿宋" w:hAnsi="仿宋" w:eastAsia="仿宋"/>
                <w:szCs w:val="21"/>
              </w:rPr>
              <w:t>硬件设备</w:t>
            </w:r>
          </w:p>
        </w:tc>
        <w:tc>
          <w:tcPr>
            <w:tcW w:w="1659" w:type="dxa"/>
            <w:tcBorders>
              <w:top w:val="single" w:color="auto" w:sz="6" w:space="0"/>
            </w:tcBorders>
            <w:shd w:val="clear" w:color="auto" w:fill="auto"/>
            <w:vAlign w:val="center"/>
          </w:tcPr>
          <w:p>
            <w:pPr>
              <w:rPr>
                <w:rFonts w:ascii="仿宋" w:hAnsi="仿宋" w:eastAsia="仿宋"/>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shd w:val="clear" w:color="auto" w:fill="auto"/>
            <w:vAlign w:val="center"/>
          </w:tcPr>
          <w:p>
            <w:pPr>
              <w:rPr>
                <w:rFonts w:ascii="仿宋" w:hAnsi="仿宋" w:eastAsia="仿宋"/>
                <w:szCs w:val="21"/>
              </w:rPr>
            </w:pPr>
            <w:r>
              <w:rPr>
                <w:rFonts w:hint="eastAsia" w:ascii="仿宋" w:hAnsi="仿宋" w:eastAsia="仿宋"/>
                <w:szCs w:val="21"/>
              </w:rPr>
              <w:t>2</w:t>
            </w:r>
          </w:p>
        </w:tc>
        <w:tc>
          <w:tcPr>
            <w:tcW w:w="1422" w:type="dxa"/>
            <w:vMerge w:val="continue"/>
            <w:shd w:val="clear" w:color="auto" w:fill="auto"/>
            <w:vAlign w:val="center"/>
          </w:tcPr>
          <w:p>
            <w:pPr>
              <w:rPr>
                <w:rFonts w:ascii="仿宋" w:hAnsi="仿宋" w:eastAsia="仿宋"/>
                <w:szCs w:val="21"/>
              </w:rPr>
            </w:pPr>
          </w:p>
        </w:tc>
        <w:tc>
          <w:tcPr>
            <w:tcW w:w="4253" w:type="dxa"/>
            <w:shd w:val="clear" w:color="auto" w:fill="auto"/>
            <w:vAlign w:val="center"/>
          </w:tcPr>
          <w:p>
            <w:pPr>
              <w:rPr>
                <w:rFonts w:ascii="仿宋" w:hAnsi="仿宋" w:eastAsia="仿宋"/>
                <w:szCs w:val="21"/>
              </w:rPr>
            </w:pPr>
            <w:r>
              <w:rPr>
                <w:rFonts w:hint="eastAsia" w:ascii="仿宋" w:hAnsi="仿宋" w:eastAsia="仿宋"/>
                <w:szCs w:val="21"/>
              </w:rPr>
              <w:t>产品用户手册、合格证及其他随机附件</w:t>
            </w:r>
          </w:p>
        </w:tc>
        <w:tc>
          <w:tcPr>
            <w:tcW w:w="1659" w:type="dxa"/>
            <w:shd w:val="clear" w:color="auto" w:fill="auto"/>
            <w:vAlign w:val="center"/>
          </w:tcPr>
          <w:p>
            <w:pPr>
              <w:rPr>
                <w:rFonts w:ascii="仿宋" w:hAnsi="仿宋" w:eastAsia="仿宋"/>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shd w:val="clear" w:color="auto" w:fill="auto"/>
            <w:vAlign w:val="center"/>
          </w:tcPr>
          <w:p>
            <w:pPr>
              <w:rPr>
                <w:rFonts w:ascii="仿宋" w:hAnsi="仿宋" w:eastAsia="仿宋"/>
                <w:szCs w:val="21"/>
              </w:rPr>
            </w:pPr>
            <w:r>
              <w:rPr>
                <w:rFonts w:hint="eastAsia" w:ascii="仿宋" w:hAnsi="仿宋" w:eastAsia="仿宋"/>
                <w:szCs w:val="21"/>
              </w:rPr>
              <w:t>3</w:t>
            </w:r>
          </w:p>
        </w:tc>
        <w:tc>
          <w:tcPr>
            <w:tcW w:w="1422" w:type="dxa"/>
            <w:vMerge w:val="restart"/>
            <w:shd w:val="clear" w:color="auto" w:fill="auto"/>
            <w:vAlign w:val="center"/>
          </w:tcPr>
          <w:p>
            <w:pPr>
              <w:rPr>
                <w:rFonts w:ascii="仿宋" w:hAnsi="仿宋" w:eastAsia="仿宋"/>
                <w:szCs w:val="21"/>
              </w:rPr>
            </w:pPr>
            <w:r>
              <w:rPr>
                <w:rFonts w:hint="eastAsia" w:ascii="仿宋" w:hAnsi="仿宋" w:eastAsia="仿宋"/>
                <w:szCs w:val="21"/>
              </w:rPr>
              <w:t>接口部分代码交付</w:t>
            </w:r>
          </w:p>
        </w:tc>
        <w:tc>
          <w:tcPr>
            <w:tcW w:w="4253" w:type="dxa"/>
            <w:shd w:val="clear" w:color="auto" w:fill="auto"/>
            <w:vAlign w:val="center"/>
          </w:tcPr>
          <w:p>
            <w:pPr>
              <w:rPr>
                <w:rFonts w:ascii="仿宋" w:hAnsi="仿宋" w:eastAsia="仿宋"/>
                <w:szCs w:val="21"/>
              </w:rPr>
            </w:pPr>
            <w:r>
              <w:rPr>
                <w:rFonts w:hint="eastAsia" w:ascii="仿宋" w:hAnsi="仿宋" w:eastAsia="仿宋"/>
                <w:szCs w:val="21"/>
              </w:rPr>
              <w:t>分析任务通道配置接口代码及文档交付</w:t>
            </w:r>
          </w:p>
        </w:tc>
        <w:tc>
          <w:tcPr>
            <w:tcW w:w="1659" w:type="dxa"/>
            <w:shd w:val="clear" w:color="auto" w:fill="auto"/>
            <w:vAlign w:val="center"/>
          </w:tcPr>
          <w:p>
            <w:pPr>
              <w:rPr>
                <w:rFonts w:ascii="仿宋" w:hAnsi="仿宋" w:eastAsia="仿宋"/>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shd w:val="clear" w:color="auto" w:fill="auto"/>
            <w:vAlign w:val="center"/>
          </w:tcPr>
          <w:p>
            <w:pPr>
              <w:rPr>
                <w:rFonts w:ascii="仿宋" w:hAnsi="仿宋" w:eastAsia="仿宋"/>
                <w:szCs w:val="21"/>
              </w:rPr>
            </w:pPr>
            <w:r>
              <w:rPr>
                <w:rFonts w:hint="eastAsia" w:ascii="仿宋" w:hAnsi="仿宋" w:eastAsia="仿宋"/>
                <w:szCs w:val="21"/>
              </w:rPr>
              <w:t>4</w:t>
            </w:r>
          </w:p>
        </w:tc>
        <w:tc>
          <w:tcPr>
            <w:tcW w:w="1422" w:type="dxa"/>
            <w:vMerge w:val="continue"/>
            <w:shd w:val="clear" w:color="auto" w:fill="auto"/>
            <w:vAlign w:val="center"/>
          </w:tcPr>
          <w:p>
            <w:pPr>
              <w:rPr>
                <w:rFonts w:ascii="仿宋" w:hAnsi="仿宋" w:eastAsia="仿宋"/>
                <w:szCs w:val="21"/>
              </w:rPr>
            </w:pPr>
          </w:p>
        </w:tc>
        <w:tc>
          <w:tcPr>
            <w:tcW w:w="4253" w:type="dxa"/>
            <w:shd w:val="clear" w:color="auto" w:fill="auto"/>
            <w:vAlign w:val="center"/>
          </w:tcPr>
          <w:p>
            <w:pPr>
              <w:rPr>
                <w:rFonts w:ascii="仿宋" w:hAnsi="仿宋" w:eastAsia="仿宋"/>
                <w:szCs w:val="21"/>
              </w:rPr>
            </w:pPr>
            <w:r>
              <w:rPr>
                <w:rFonts w:hint="eastAsia" w:ascii="仿宋" w:hAnsi="仿宋" w:eastAsia="仿宋"/>
                <w:szCs w:val="21"/>
              </w:rPr>
              <w:t>分析任务参数配置接口代码及文档交付</w:t>
            </w:r>
          </w:p>
        </w:tc>
        <w:tc>
          <w:tcPr>
            <w:tcW w:w="1659" w:type="dxa"/>
            <w:shd w:val="clear" w:color="auto" w:fill="auto"/>
            <w:vAlign w:val="center"/>
          </w:tcPr>
          <w:p>
            <w:pPr>
              <w:rPr>
                <w:rFonts w:ascii="仿宋" w:hAnsi="仿宋" w:eastAsia="仿宋"/>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shd w:val="clear" w:color="auto" w:fill="auto"/>
            <w:vAlign w:val="center"/>
          </w:tcPr>
          <w:p>
            <w:pPr>
              <w:rPr>
                <w:rFonts w:ascii="仿宋" w:hAnsi="仿宋" w:eastAsia="仿宋"/>
                <w:szCs w:val="21"/>
              </w:rPr>
            </w:pPr>
            <w:r>
              <w:rPr>
                <w:rFonts w:hint="eastAsia" w:ascii="仿宋" w:hAnsi="仿宋" w:eastAsia="仿宋"/>
                <w:szCs w:val="21"/>
              </w:rPr>
              <w:t>5</w:t>
            </w:r>
          </w:p>
        </w:tc>
        <w:tc>
          <w:tcPr>
            <w:tcW w:w="1422" w:type="dxa"/>
            <w:vMerge w:val="continue"/>
            <w:shd w:val="clear" w:color="auto" w:fill="auto"/>
            <w:vAlign w:val="center"/>
          </w:tcPr>
          <w:p>
            <w:pPr>
              <w:rPr>
                <w:rFonts w:ascii="仿宋" w:hAnsi="仿宋" w:eastAsia="仿宋"/>
                <w:szCs w:val="21"/>
              </w:rPr>
            </w:pPr>
          </w:p>
        </w:tc>
        <w:tc>
          <w:tcPr>
            <w:tcW w:w="4253" w:type="dxa"/>
            <w:shd w:val="clear" w:color="auto" w:fill="auto"/>
            <w:vAlign w:val="center"/>
          </w:tcPr>
          <w:p>
            <w:pPr>
              <w:rPr>
                <w:rFonts w:ascii="仿宋" w:hAnsi="仿宋" w:eastAsia="仿宋"/>
                <w:szCs w:val="21"/>
              </w:rPr>
            </w:pPr>
            <w:r>
              <w:rPr>
                <w:rFonts w:hint="eastAsia" w:ascii="仿宋" w:hAnsi="仿宋" w:eastAsia="仿宋"/>
                <w:szCs w:val="21"/>
              </w:rPr>
              <w:t>分析任务启停控制接口代码及文档交付</w:t>
            </w:r>
          </w:p>
        </w:tc>
        <w:tc>
          <w:tcPr>
            <w:tcW w:w="1659" w:type="dxa"/>
            <w:shd w:val="clear" w:color="auto" w:fill="auto"/>
            <w:vAlign w:val="center"/>
          </w:tcPr>
          <w:p>
            <w:pPr>
              <w:rPr>
                <w:rFonts w:ascii="仿宋" w:hAnsi="仿宋" w:eastAsia="仿宋"/>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shd w:val="clear" w:color="auto" w:fill="auto"/>
            <w:vAlign w:val="center"/>
          </w:tcPr>
          <w:p>
            <w:pPr>
              <w:rPr>
                <w:rFonts w:ascii="仿宋" w:hAnsi="仿宋" w:eastAsia="仿宋"/>
                <w:szCs w:val="21"/>
              </w:rPr>
            </w:pPr>
            <w:r>
              <w:rPr>
                <w:rFonts w:hint="eastAsia" w:ascii="仿宋" w:hAnsi="仿宋" w:eastAsia="仿宋"/>
                <w:szCs w:val="21"/>
              </w:rPr>
              <w:t>6</w:t>
            </w:r>
          </w:p>
        </w:tc>
        <w:tc>
          <w:tcPr>
            <w:tcW w:w="1422" w:type="dxa"/>
            <w:vMerge w:val="continue"/>
            <w:shd w:val="clear" w:color="auto" w:fill="auto"/>
            <w:vAlign w:val="center"/>
          </w:tcPr>
          <w:p>
            <w:pPr>
              <w:rPr>
                <w:rFonts w:ascii="仿宋" w:hAnsi="仿宋" w:eastAsia="仿宋"/>
                <w:szCs w:val="21"/>
              </w:rPr>
            </w:pPr>
          </w:p>
        </w:tc>
        <w:tc>
          <w:tcPr>
            <w:tcW w:w="4253" w:type="dxa"/>
            <w:shd w:val="clear" w:color="auto" w:fill="auto"/>
            <w:vAlign w:val="center"/>
          </w:tcPr>
          <w:p>
            <w:pPr>
              <w:rPr>
                <w:rFonts w:ascii="仿宋" w:hAnsi="仿宋" w:eastAsia="仿宋"/>
                <w:szCs w:val="21"/>
              </w:rPr>
            </w:pPr>
            <w:r>
              <w:rPr>
                <w:rFonts w:hint="eastAsia" w:ascii="仿宋" w:hAnsi="仿宋" w:eastAsia="仿宋"/>
                <w:szCs w:val="21"/>
              </w:rPr>
              <w:t>分析结果数据推送接口代码及文档交付</w:t>
            </w:r>
          </w:p>
        </w:tc>
        <w:tc>
          <w:tcPr>
            <w:tcW w:w="1659" w:type="dxa"/>
            <w:shd w:val="clear" w:color="auto" w:fill="auto"/>
            <w:vAlign w:val="center"/>
          </w:tcPr>
          <w:p>
            <w:pPr>
              <w:rPr>
                <w:rFonts w:ascii="仿宋" w:hAnsi="仿宋" w:eastAsia="仿宋"/>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shd w:val="clear" w:color="auto" w:fill="auto"/>
            <w:vAlign w:val="center"/>
          </w:tcPr>
          <w:p>
            <w:pPr>
              <w:rPr>
                <w:rFonts w:ascii="仿宋" w:hAnsi="仿宋" w:eastAsia="仿宋"/>
                <w:szCs w:val="21"/>
              </w:rPr>
            </w:pPr>
            <w:r>
              <w:rPr>
                <w:rFonts w:hint="eastAsia" w:ascii="仿宋" w:hAnsi="仿宋" w:eastAsia="仿宋"/>
                <w:szCs w:val="21"/>
              </w:rPr>
              <w:t>7</w:t>
            </w:r>
          </w:p>
        </w:tc>
        <w:tc>
          <w:tcPr>
            <w:tcW w:w="1422" w:type="dxa"/>
            <w:shd w:val="clear" w:color="auto" w:fill="auto"/>
            <w:vAlign w:val="center"/>
          </w:tcPr>
          <w:p>
            <w:pPr>
              <w:rPr>
                <w:rFonts w:ascii="仿宋" w:hAnsi="仿宋" w:eastAsia="仿宋"/>
                <w:szCs w:val="21"/>
              </w:rPr>
            </w:pPr>
            <w:r>
              <w:rPr>
                <w:rFonts w:hint="eastAsia" w:ascii="仿宋" w:hAnsi="仿宋" w:eastAsia="仿宋"/>
                <w:szCs w:val="21"/>
              </w:rPr>
              <w:t>培训服务</w:t>
            </w:r>
          </w:p>
        </w:tc>
        <w:tc>
          <w:tcPr>
            <w:tcW w:w="4253" w:type="dxa"/>
            <w:shd w:val="clear" w:color="auto" w:fill="auto"/>
            <w:vAlign w:val="center"/>
          </w:tcPr>
          <w:p>
            <w:pPr>
              <w:rPr>
                <w:rFonts w:ascii="仿宋" w:hAnsi="仿宋" w:eastAsia="仿宋"/>
                <w:szCs w:val="21"/>
              </w:rPr>
            </w:pPr>
            <w:r>
              <w:rPr>
                <w:rFonts w:hint="eastAsia" w:ascii="仿宋" w:hAnsi="仿宋" w:eastAsia="仿宋"/>
                <w:szCs w:val="21"/>
              </w:rPr>
              <w:t>安排客户培训会议，演示设备运行流程</w:t>
            </w:r>
          </w:p>
        </w:tc>
        <w:tc>
          <w:tcPr>
            <w:tcW w:w="1659" w:type="dxa"/>
            <w:shd w:val="clear" w:color="auto" w:fill="auto"/>
            <w:vAlign w:val="center"/>
          </w:tcPr>
          <w:p>
            <w:pPr>
              <w:rPr>
                <w:rFonts w:ascii="仿宋" w:hAnsi="仿宋" w:eastAsia="仿宋"/>
                <w:szCs w:val="21"/>
              </w:rPr>
            </w:pPr>
          </w:p>
        </w:tc>
      </w:tr>
    </w:tbl>
    <w:p>
      <w:pPr>
        <w:pStyle w:val="2"/>
        <w:spacing w:line="380" w:lineRule="exact"/>
        <w:rPr>
          <w:rFonts w:ascii="宋体" w:hAnsi="宋体" w:cs="宋体"/>
          <w:b w:val="0"/>
          <w:bCs w:val="0"/>
          <w:sz w:val="21"/>
          <w:szCs w:val="21"/>
        </w:rPr>
      </w:pPr>
      <w:r>
        <w:rPr>
          <w:rFonts w:hint="eastAsia" w:ascii="宋体" w:hAnsi="宋体" w:cs="宋体"/>
          <w:b w:val="0"/>
          <w:bCs w:val="0"/>
          <w:sz w:val="21"/>
          <w:szCs w:val="21"/>
        </w:rPr>
        <w:t>注：内容包括但不限于上表。</w:t>
      </w: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18"/>
        <w:rPr>
          <w:rFonts w:ascii="宋体" w:hAnsi="宋体" w:cs="宋体"/>
          <w:color w:val="000000" w:themeColor="text1"/>
          <w14:textFill>
            <w14:solidFill>
              <w14:schemeClr w14:val="tx1"/>
            </w14:solidFill>
          </w14:textFill>
        </w:rPr>
      </w:pPr>
    </w:p>
    <w:p>
      <w:pPr>
        <w:pStyle w:val="3"/>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第八章  </w:t>
      </w:r>
      <w:bookmarkEnd w:id="180"/>
      <w:bookmarkEnd w:id="181"/>
      <w:bookmarkEnd w:id="182"/>
      <w:bookmarkEnd w:id="183"/>
      <w:r>
        <w:rPr>
          <w:rFonts w:hint="eastAsia" w:ascii="宋体" w:hAnsi="宋体" w:cs="宋体"/>
          <w:color w:val="000000" w:themeColor="text1"/>
          <w14:textFill>
            <w14:solidFill>
              <w14:schemeClr w14:val="tx1"/>
            </w14:solidFill>
          </w14:textFill>
        </w:rPr>
        <w:t>合同范本</w:t>
      </w:r>
    </w:p>
    <w:p>
      <w:pPr>
        <w:jc w:val="center"/>
        <w:rPr>
          <w:rFonts w:ascii="宋体" w:hAnsi="宋体" w:cs="宋体"/>
          <w:color w:val="000000" w:themeColor="text1"/>
          <w14:textFill>
            <w14:solidFill>
              <w14:schemeClr w14:val="tx1"/>
            </w14:solidFill>
          </w14:textFill>
        </w:rPr>
      </w:pPr>
      <w:r>
        <w:rPr>
          <w:rFonts w:hint="eastAsia" w:ascii="宋体" w:hAnsi="宋体" w:cs="宋体"/>
          <w:b/>
          <w:kern w:val="0"/>
          <w:sz w:val="24"/>
        </w:rPr>
        <w:t>详见竞争性比选文件附件。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92" w:name="_Toc513633965"/>
    </w:p>
    <w:p>
      <w:pPr>
        <w:pStyle w:val="3"/>
        <w:spacing w:before="0" w:after="0" w:line="360" w:lineRule="auto"/>
        <w:jc w:val="center"/>
        <w:rPr>
          <w:rFonts w:ascii="宋体" w:hAnsi="宋体" w:cs="宋体"/>
          <w:color w:val="000000" w:themeColor="text1"/>
          <w14:textFill>
            <w14:solidFill>
              <w14:schemeClr w14:val="tx1"/>
            </w14:solidFill>
          </w14:textFill>
        </w:rPr>
      </w:pPr>
      <w:bookmarkStart w:id="193" w:name="_Toc24853"/>
      <w:bookmarkStart w:id="194" w:name="_Toc2000413"/>
      <w:bookmarkStart w:id="195" w:name="_Toc514858709"/>
      <w:r>
        <w:rPr>
          <w:rFonts w:hint="eastAsia" w:ascii="宋体" w:hAnsi="宋体" w:cs="宋体"/>
          <w:color w:val="000000" w:themeColor="text1"/>
          <w14:textFill>
            <w14:solidFill>
              <w14:schemeClr w14:val="tx1"/>
            </w14:solidFill>
          </w14:textFill>
        </w:rPr>
        <w:t>第九章  竞争性比选响应文件格式</w:t>
      </w:r>
      <w:bookmarkEnd w:id="192"/>
      <w:bookmarkEnd w:id="193"/>
      <w:bookmarkEnd w:id="194"/>
      <w:bookmarkEnd w:id="195"/>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6" w:name="_Toc503971829"/>
      <w:bookmarkStart w:id="197" w:name="_Toc513633967"/>
      <w:bookmarkStart w:id="198" w:name="_Toc503951046"/>
      <w:bookmarkStart w:id="199" w:name="_Toc513646738"/>
      <w:bookmarkStart w:id="200" w:name="_Toc514858710"/>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6"/>
      <w:bookmarkEnd w:id="197"/>
      <w:bookmarkEnd w:id="198"/>
      <w:bookmarkEnd w:id="199"/>
      <w:bookmarkEnd w:id="200"/>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4"/>
        <w:jc w:val="center"/>
        <w:rPr>
          <w:rFonts w:ascii="宋体" w:hAnsi="宋体" w:eastAsia="宋体" w:cs="宋体"/>
          <w:color w:val="000000" w:themeColor="text1"/>
          <w14:textFill>
            <w14:solidFill>
              <w14:schemeClr w14:val="tx1"/>
            </w14:solidFill>
          </w14:textFill>
        </w:rPr>
      </w:pPr>
      <w:bookmarkStart w:id="201" w:name="_Toc11329273"/>
      <w:bookmarkStart w:id="202" w:name="_Toc5459"/>
      <w:bookmarkStart w:id="203" w:name="_Toc28780"/>
      <w:bookmarkStart w:id="204" w:name="_Toc1368"/>
      <w:r>
        <w:rPr>
          <w:rFonts w:hint="eastAsia" w:ascii="宋体" w:hAnsi="宋体" w:eastAsia="宋体" w:cs="宋体"/>
          <w:color w:val="000000" w:themeColor="text1"/>
          <w14:textFill>
            <w14:solidFill>
              <w14:schemeClr w14:val="tx1"/>
            </w14:solidFill>
          </w14:textFill>
        </w:rPr>
        <w:t>目    录</w:t>
      </w:r>
      <w:bookmarkEnd w:id="184"/>
      <w:bookmarkEnd w:id="185"/>
      <w:bookmarkEnd w:id="186"/>
      <w:bookmarkEnd w:id="187"/>
      <w:bookmarkEnd w:id="188"/>
      <w:bookmarkEnd w:id="189"/>
      <w:bookmarkEnd w:id="190"/>
      <w:bookmarkEnd w:id="191"/>
      <w:bookmarkEnd w:id="201"/>
      <w:bookmarkEnd w:id="202"/>
      <w:bookmarkEnd w:id="203"/>
      <w:bookmarkEnd w:id="204"/>
    </w:p>
    <w:p>
      <w:pPr>
        <w:numPr>
          <w:ilvl w:val="0"/>
          <w:numId w:val="4"/>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4"/>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七、工程量清单</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9"/>
        <w:rPr>
          <w:rFonts w:ascii="宋体" w:hAnsi="宋体" w:cs="宋体"/>
          <w:color w:val="000000" w:themeColor="text1"/>
          <w14:textFill>
            <w14:solidFill>
              <w14:schemeClr w14:val="tx1"/>
            </w14:solidFill>
          </w14:textFill>
        </w:rPr>
      </w:pPr>
    </w:p>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05" w:name="_Toc8870"/>
      <w:bookmarkStart w:id="206" w:name="_Toc11329274"/>
      <w:bookmarkStart w:id="207" w:name="_Toc15863"/>
      <w:bookmarkStart w:id="208" w:name="_Toc25874"/>
      <w:bookmarkStart w:id="209" w:name="_Toc29547"/>
      <w:bookmarkStart w:id="210" w:name="_Toc503951048"/>
      <w:bookmarkStart w:id="211" w:name="_Toc447827053"/>
      <w:bookmarkStart w:id="212" w:name="_Toc513633969"/>
      <w:r>
        <w:rPr>
          <w:rFonts w:hint="eastAsia" w:ascii="宋体" w:hAnsi="宋体" w:eastAsia="宋体" w:cs="宋体"/>
          <w:color w:val="000000" w:themeColor="text1"/>
          <w:sz w:val="28"/>
          <w14:textFill>
            <w14:solidFill>
              <w14:schemeClr w14:val="tx1"/>
            </w14:solidFill>
          </w14:textFill>
        </w:rPr>
        <w:t>一、</w:t>
      </w:r>
      <w:bookmarkEnd w:id="205"/>
      <w:bookmarkEnd w:id="206"/>
      <w:r>
        <w:rPr>
          <w:rFonts w:hint="eastAsia" w:ascii="宋体" w:hAnsi="宋体" w:eastAsia="宋体" w:cs="宋体"/>
          <w:color w:val="000000" w:themeColor="text1"/>
          <w:sz w:val="28"/>
          <w14:textFill>
            <w14:solidFill>
              <w14:schemeClr w14:val="tx1"/>
            </w14:solidFill>
          </w14:textFill>
        </w:rPr>
        <w:t>竞争比选响应声明书</w:t>
      </w:r>
      <w:bookmarkEnd w:id="207"/>
      <w:bookmarkEnd w:id="208"/>
      <w:bookmarkEnd w:id="209"/>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14:textFill>
            <w14:solidFill>
              <w14:schemeClr w14:val="tx1"/>
            </w14:solidFill>
          </w14:textFill>
        </w:rPr>
        <w:t>首讯公司2024年安环智能监管设备及服务采购</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元，按照竞争比选文件的要求，承担本次竞争性比选文件要求的任务。</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pStyle w:val="9"/>
      </w:pPr>
    </w:p>
    <w:p/>
    <w:p>
      <w:pPr>
        <w:pStyle w:val="4"/>
        <w:jc w:val="center"/>
        <w:rPr>
          <w:rFonts w:ascii="宋体" w:hAnsi="宋体" w:eastAsia="宋体" w:cs="宋体"/>
          <w:color w:val="000000" w:themeColor="text1"/>
          <w:sz w:val="28"/>
          <w:szCs w:val="28"/>
          <w14:textFill>
            <w14:solidFill>
              <w14:schemeClr w14:val="tx1"/>
            </w14:solidFill>
          </w14:textFill>
        </w:rPr>
      </w:pPr>
      <w:bookmarkStart w:id="213" w:name="_Toc27815"/>
      <w:bookmarkStart w:id="214"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13"/>
    </w:p>
    <w:p>
      <w:pPr>
        <w:pStyle w:val="4"/>
        <w:jc w:val="center"/>
        <w:rPr>
          <w:rFonts w:ascii="宋体" w:hAnsi="宋体" w:eastAsia="宋体" w:cs="宋体"/>
          <w:color w:val="000000" w:themeColor="text1"/>
          <w:sz w:val="24"/>
          <w:szCs w:val="24"/>
          <w14:textFill>
            <w14:solidFill>
              <w14:schemeClr w14:val="tx1"/>
            </w14:solidFill>
          </w14:textFill>
        </w:rPr>
      </w:pPr>
      <w:bookmarkStart w:id="215"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14"/>
      <w:bookmarkEnd w:id="215"/>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6" w:name="_Toc369531698"/>
      <w:bookmarkStart w:id="217" w:name="_Toc27897"/>
      <w:bookmarkStart w:id="218" w:name="_Toc352691662"/>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6"/>
      <w:bookmarkEnd w:id="217"/>
      <w:bookmarkEnd w:id="218"/>
      <w:r>
        <w:rPr>
          <w:rFonts w:ascii="宋体" w:hAnsi="宋体"/>
          <w:color w:val="000000" w:themeColor="text1"/>
          <w14:textFill>
            <w14:solidFill>
              <w14:schemeClr w14:val="tx1"/>
            </w14:solidFill>
          </w14:textFill>
        </w:rPr>
        <w:t>龄</w:t>
      </w:r>
      <w:bookmarkStart w:id="219" w:name="_Toc15573"/>
      <w:bookmarkStart w:id="220" w:name="_Toc300835211"/>
      <w:bookmarkStart w:id="221" w:name="_Toc247514248"/>
      <w:bookmarkStart w:id="222" w:name="_Toc352691663"/>
      <w:bookmarkStart w:id="223" w:name="_Toc361508754"/>
      <w:bookmarkStart w:id="224" w:name="_Toc152045789"/>
      <w:bookmarkStart w:id="225" w:name="_Toc144974858"/>
      <w:bookmarkStart w:id="226" w:name="_Toc384308377"/>
      <w:bookmarkStart w:id="227" w:name="_Toc369531699"/>
      <w:bookmarkStart w:id="228" w:name="_Toc247527829"/>
      <w:bookmarkStart w:id="229" w:name="_Toc152042578"/>
      <w:r>
        <w:rPr>
          <w:rFonts w:ascii="宋体" w:hAnsi="宋体"/>
          <w:color w:val="000000" w:themeColor="text1"/>
          <w14:textFill>
            <w14:solidFill>
              <w14:schemeClr w14:val="tx1"/>
            </w14:solidFill>
          </w14:textFill>
        </w:rPr>
        <w:t>：</w:t>
      </w:r>
      <w:bookmarkEnd w:id="219"/>
      <w:bookmarkEnd w:id="220"/>
      <w:bookmarkEnd w:id="221"/>
      <w:bookmarkEnd w:id="222"/>
      <w:bookmarkEnd w:id="223"/>
      <w:bookmarkEnd w:id="224"/>
      <w:bookmarkEnd w:id="225"/>
      <w:bookmarkEnd w:id="226"/>
      <w:bookmarkEnd w:id="227"/>
      <w:bookmarkEnd w:id="228"/>
      <w:bookmarkEnd w:id="229"/>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4"/>
        <w:jc w:val="center"/>
        <w:rPr>
          <w:rFonts w:ascii="宋体" w:hAnsi="宋体"/>
          <w:color w:val="000000" w:themeColor="text1"/>
          <w:sz w:val="28"/>
          <w:szCs w:val="28"/>
          <w14:textFill>
            <w14:solidFill>
              <w14:schemeClr w14:val="tx1"/>
            </w14:solidFill>
          </w14:textFill>
        </w:rPr>
      </w:pPr>
      <w:bookmarkStart w:id="230" w:name="_Toc491883233"/>
      <w:bookmarkStart w:id="231" w:name="_Toc58"/>
      <w:r>
        <w:rPr>
          <w:rFonts w:hint="eastAsia" w:ascii="宋体" w:hAnsi="宋体" w:eastAsia="宋体" w:cs="宋体"/>
          <w:color w:val="000000" w:themeColor="text1"/>
          <w:sz w:val="24"/>
          <w:szCs w:val="24"/>
          <w14:textFill>
            <w14:solidFill>
              <w14:schemeClr w14:val="tx1"/>
            </w14:solidFill>
          </w14:textFill>
        </w:rPr>
        <w:t>（二）</w:t>
      </w:r>
      <w:bookmarkEnd w:id="230"/>
      <w:r>
        <w:rPr>
          <w:rFonts w:hint="eastAsia" w:ascii="宋体" w:hAnsi="宋体" w:eastAsia="宋体" w:cs="宋体"/>
          <w:color w:val="000000" w:themeColor="text1"/>
          <w:sz w:val="24"/>
          <w:szCs w:val="24"/>
          <w14:textFill>
            <w14:solidFill>
              <w14:schemeClr w14:val="tx1"/>
            </w14:solidFill>
          </w14:textFill>
        </w:rPr>
        <w:t>法定代表人授权委托书</w:t>
      </w:r>
      <w:bookmarkEnd w:id="231"/>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32" w:name="_Toc11329275"/>
      <w:r>
        <w:rPr>
          <w:rFonts w:hint="eastAsia" w:ascii="宋体" w:hAnsi="宋体" w:cs="宋体"/>
          <w:b/>
          <w:bCs/>
          <w:color w:val="000000" w:themeColor="text1"/>
          <w:kern w:val="0"/>
          <w:sz w:val="28"/>
          <w:szCs w:val="32"/>
          <w14:textFill>
            <w14:solidFill>
              <w14:schemeClr w14:val="tx1"/>
            </w14:solidFill>
          </w14:textFill>
        </w:rPr>
        <w:t>三、</w:t>
      </w:r>
      <w:bookmarkEnd w:id="210"/>
      <w:bookmarkEnd w:id="211"/>
      <w:bookmarkEnd w:id="212"/>
      <w:bookmarkEnd w:id="232"/>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16"/>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u w:val="single"/>
          <w14:textFill>
            <w14:solidFill>
              <w14:schemeClr w14:val="tx1"/>
            </w14:solidFill>
          </w14:textFill>
        </w:rPr>
        <w:t>首讯公司2024年安环智能监管设备及服务采购</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p>
      <w:pPr>
        <w:tabs>
          <w:tab w:val="left" w:pos="1680"/>
          <w:tab w:val="left" w:pos="4215"/>
          <w:tab w:val="left" w:pos="4305"/>
          <w:tab w:val="left" w:pos="8000"/>
        </w:tabs>
        <w:autoSpaceDE w:val="0"/>
        <w:autoSpaceDN w:val="0"/>
        <w:adjustRightInd w:val="0"/>
        <w:snapToGrid w:val="0"/>
        <w:spacing w:line="360" w:lineRule="auto"/>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b/>
          <w:bCs/>
        </w:rPr>
        <w:t>报价采用表格形式，见“工程量清单”。</w:t>
      </w: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33" w:name="_Toc503951050"/>
      <w:bookmarkStart w:id="234" w:name="_Toc513633971"/>
      <w:bookmarkStart w:id="235" w:name="_Toc11329278"/>
      <w:bookmarkStart w:id="236" w:name="_Toc179632823"/>
      <w:bookmarkStart w:id="237" w:name="_Toc247085887"/>
      <w:bookmarkStart w:id="238" w:name="_Toc246996369"/>
      <w:bookmarkStart w:id="239" w:name="_Toc447827058"/>
      <w:bookmarkStart w:id="240" w:name="_Toc152045803"/>
      <w:bookmarkStart w:id="241" w:name="_Toc152042592"/>
      <w:bookmarkStart w:id="242" w:name="_Toc246997112"/>
      <w:bookmarkStart w:id="243" w:name="_Toc144974871"/>
      <w:r>
        <w:rPr>
          <w:rFonts w:hint="eastAsia" w:ascii="宋体" w:hAnsi="宋体" w:eastAsia="宋体" w:cs="宋体"/>
          <w:color w:val="000000" w:themeColor="text1"/>
          <w:sz w:val="28"/>
          <w14:textFill>
            <w14:solidFill>
              <w14:schemeClr w14:val="tx1"/>
            </w14:solidFill>
          </w14:textFill>
        </w:rPr>
        <w:br w:type="page"/>
      </w:r>
      <w:bookmarkStart w:id="244" w:name="_Toc11961"/>
      <w:bookmarkStart w:id="245" w:name="_Toc18757"/>
      <w:bookmarkStart w:id="246" w:name="_Toc12910"/>
      <w:r>
        <w:rPr>
          <w:rFonts w:hint="eastAsia" w:ascii="宋体" w:hAnsi="宋体" w:eastAsia="宋体" w:cs="宋体"/>
          <w:color w:val="000000" w:themeColor="text1"/>
          <w:sz w:val="28"/>
          <w14:textFill>
            <w14:solidFill>
              <w14:schemeClr w14:val="tx1"/>
            </w14:solidFill>
          </w14:textFill>
        </w:rPr>
        <w:t>四、资格审查资料</w:t>
      </w:r>
      <w:bookmarkEnd w:id="233"/>
      <w:bookmarkEnd w:id="234"/>
      <w:bookmarkEnd w:id="235"/>
      <w:bookmarkEnd w:id="244"/>
      <w:bookmarkEnd w:id="245"/>
      <w:bookmarkEnd w:id="246"/>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47" w:name="_Toc22003"/>
      <w:bookmarkStart w:id="248" w:name="_Toc17915"/>
      <w:bookmarkStart w:id="249" w:name="_Toc32456"/>
      <w:r>
        <w:rPr>
          <w:rFonts w:hint="eastAsia" w:ascii="宋体" w:hAnsi="宋体" w:eastAsia="宋体" w:cs="宋体"/>
          <w:color w:val="000000" w:themeColor="text1"/>
          <w:sz w:val="28"/>
          <w14:textFill>
            <w14:solidFill>
              <w14:schemeClr w14:val="tx1"/>
            </w14:solidFill>
          </w14:textFill>
        </w:rPr>
        <w:t>（营业执照、资质证书、项目人员资料等）</w:t>
      </w:r>
      <w:bookmarkEnd w:id="247"/>
      <w:bookmarkEnd w:id="248"/>
      <w:bookmarkEnd w:id="249"/>
    </w:p>
    <w:bookmarkEnd w:id="236"/>
    <w:bookmarkEnd w:id="237"/>
    <w:bookmarkEnd w:id="238"/>
    <w:bookmarkEnd w:id="239"/>
    <w:bookmarkEnd w:id="240"/>
    <w:bookmarkEnd w:id="241"/>
    <w:bookmarkEnd w:id="242"/>
    <w:bookmarkEnd w:id="243"/>
    <w:p>
      <w:pPr>
        <w:pStyle w:val="4"/>
        <w:jc w:val="center"/>
        <w:rPr>
          <w:rFonts w:ascii="宋体" w:hAnsi="宋体" w:eastAsia="宋体" w:cs="宋体"/>
          <w:bCs w:val="0"/>
          <w:sz w:val="28"/>
          <w:szCs w:val="28"/>
        </w:rPr>
      </w:pPr>
      <w:bookmarkStart w:id="250" w:name="_Toc447827068"/>
      <w:bookmarkStart w:id="251" w:name="_Toc503951055"/>
      <w:bookmarkStart w:id="252" w:name="_Toc513633973"/>
      <w:bookmarkStart w:id="253" w:name="_Toc11672"/>
      <w:bookmarkStart w:id="254" w:name="_Toc29559"/>
      <w:bookmarkStart w:id="255" w:name="_Toc11329281"/>
      <w:bookmarkStart w:id="256" w:name="_Toc11243"/>
      <w:r>
        <w:rPr>
          <w:rFonts w:hint="eastAsia" w:ascii="宋体" w:hAnsi="宋体" w:eastAsia="宋体" w:cs="宋体"/>
          <w:sz w:val="28"/>
        </w:rPr>
        <w:t>（一）资格审查资料</w:t>
      </w:r>
      <w:r>
        <w:rPr>
          <w:rFonts w:hint="eastAsia" w:ascii="宋体" w:hAnsi="宋体" w:cs="宋体"/>
          <w:szCs w:val="21"/>
        </w:rPr>
        <w:t xml:space="preserve"> </w:t>
      </w:r>
    </w:p>
    <w:tbl>
      <w:tblPr>
        <w:tblStyle w:val="19"/>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425"/>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资质要求</w:t>
            </w:r>
          </w:p>
        </w:tc>
        <w:tc>
          <w:tcPr>
            <w:tcW w:w="656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color w:val="000000" w:themeColor="text1"/>
                <w:szCs w:val="21"/>
                <w:shd w:val="clear" w:color="auto" w:fill="FFFFFF"/>
                <w14:textFill>
                  <w14:solidFill>
                    <w14:schemeClr w14:val="tx1"/>
                  </w14:solidFill>
                </w14:textFill>
              </w:rPr>
              <w:t>1.具备独立法人资格，具有有效的营业执照；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56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2021年1月1日至报价截止日期（以合同签订时间为准）承担过一项合同金额不低于10万元交通行业交通领域相关的软件服务或开发运维项目业绩。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56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rPr>
          <w:rFonts w:hAnsi="宋体"/>
          <w:kern w:val="0"/>
          <w:szCs w:val="21"/>
        </w:rPr>
      </w:pPr>
      <w:r>
        <w:rPr>
          <w:rFonts w:hint="eastAsia" w:ascii="宋体" w:hAnsi="宋体" w:cs="宋体"/>
          <w:szCs w:val="21"/>
        </w:rPr>
        <w:t xml:space="preserve">  </w:t>
      </w:r>
      <w:r>
        <w:rPr>
          <w:rFonts w:hint="eastAsia" w:hAnsi="宋体"/>
          <w:kern w:val="0"/>
          <w:szCs w:val="21"/>
        </w:rPr>
        <w:t xml:space="preserve"> 注：</w:t>
      </w:r>
    </w:p>
    <w:p>
      <w:pPr>
        <w:numPr>
          <w:ilvl w:val="255"/>
          <w:numId w:val="0"/>
        </w:numPr>
        <w:spacing w:line="400" w:lineRule="exact"/>
        <w:ind w:firstLine="420" w:firstLineChars="200"/>
        <w:rPr>
          <w:rFonts w:hAnsi="宋体"/>
          <w:kern w:val="0"/>
          <w:szCs w:val="21"/>
        </w:rPr>
      </w:pPr>
      <w:r>
        <w:rPr>
          <w:rFonts w:hint="eastAsia" w:hAnsi="宋体"/>
          <w:kern w:val="0"/>
          <w:szCs w:val="21"/>
        </w:rPr>
        <w:t>1.提供公司营业执照、资质证书复印件，</w:t>
      </w:r>
      <w:r>
        <w:rPr>
          <w:rFonts w:hint="eastAsia" w:ascii="宋体" w:hAnsi="宋体" w:cs="宋体"/>
          <w:color w:val="000000" w:themeColor="text1"/>
          <w:szCs w:val="21"/>
          <w14:textFill>
            <w14:solidFill>
              <w14:schemeClr w14:val="tx1"/>
            </w14:solidFill>
          </w14:textFill>
        </w:rPr>
        <w:t>并加盖报价人公章</w:t>
      </w:r>
      <w:r>
        <w:rPr>
          <w:rFonts w:hint="eastAsia" w:hAnsi="宋体"/>
          <w:kern w:val="0"/>
          <w:szCs w:val="21"/>
        </w:rPr>
        <w:t>。</w:t>
      </w:r>
    </w:p>
    <w:p>
      <w:pPr>
        <w:numPr>
          <w:ilvl w:val="255"/>
          <w:numId w:val="0"/>
        </w:numPr>
        <w:spacing w:line="400" w:lineRule="exact"/>
        <w:ind w:firstLine="420" w:firstLineChars="200"/>
        <w:jc w:val="left"/>
        <w:rPr>
          <w:rFonts w:asciiTheme="minorEastAsia" w:hAnsiTheme="minorEastAsia" w:eastAsiaTheme="minorEastAsia" w:cstheme="minorEastAsia"/>
          <w:bCs/>
          <w:szCs w:val="21"/>
        </w:rPr>
      </w:pPr>
      <w:r>
        <w:rPr>
          <w:rFonts w:hint="eastAsia" w:hAnsi="宋体"/>
          <w:kern w:val="0"/>
          <w:szCs w:val="21"/>
        </w:rPr>
        <w:t>2.</w:t>
      </w:r>
      <w:r>
        <w:rPr>
          <w:rFonts w:hint="eastAsia" w:asciiTheme="minorEastAsia" w:hAnsiTheme="minorEastAsia" w:eastAsiaTheme="minorEastAsia" w:cstheme="minorEastAsia"/>
          <w:bCs/>
          <w:szCs w:val="21"/>
        </w:rPr>
        <w:t>提供项目合同书（相关证明材料须能反映出相关数据和内容，否则一律视为未提供）复印件，并加盖投标单位公章。</w:t>
      </w:r>
    </w:p>
    <w:p>
      <w:pPr>
        <w:numPr>
          <w:ilvl w:val="255"/>
          <w:numId w:val="0"/>
        </w:numPr>
        <w:spacing w:line="400" w:lineRule="exact"/>
        <w:ind w:firstLine="420" w:firstLineChars="200"/>
        <w:jc w:val="left"/>
      </w:pPr>
      <w:r>
        <w:rPr>
          <w:rFonts w:hint="eastAsia" w:asciiTheme="minorEastAsia" w:hAnsiTheme="minorEastAsia" w:eastAsiaTheme="minorEastAsia" w:cstheme="minorEastAsia"/>
          <w:bCs/>
          <w:szCs w:val="21"/>
        </w:rPr>
        <w:t>3.</w:t>
      </w: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50"/>
      <w:bookmarkEnd w:id="251"/>
      <w:bookmarkEnd w:id="252"/>
      <w:r>
        <w:rPr>
          <w:rFonts w:hint="eastAsia" w:ascii="宋体" w:hAnsi="宋体" w:eastAsia="宋体" w:cs="宋体"/>
          <w:color w:val="000000" w:themeColor="text1"/>
          <w:sz w:val="28"/>
          <w14:textFill>
            <w14:solidFill>
              <w14:schemeClr w14:val="tx1"/>
            </w14:solidFill>
          </w14:textFill>
        </w:rPr>
        <w:t>报价人须知前附表规定的材料</w:t>
      </w:r>
      <w:bookmarkEnd w:id="253"/>
      <w:bookmarkEnd w:id="254"/>
      <w:bookmarkEnd w:id="255"/>
      <w:bookmarkEnd w:id="256"/>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57" w:name="_Toc8299"/>
      <w:bookmarkStart w:id="258" w:name="_Toc15805"/>
      <w:bookmarkStart w:id="259" w:name="bookmark81"/>
      <w:bookmarkStart w:id="260" w:name="_Toc513633974"/>
      <w:bookmarkStart w:id="261" w:name="_Toc503951058"/>
      <w:r>
        <w:rPr>
          <w:rFonts w:hint="eastAsia" w:ascii="宋体" w:hAnsi="宋体" w:cs="宋体"/>
          <w:b/>
          <w:bCs/>
          <w:kern w:val="0"/>
          <w:sz w:val="28"/>
          <w:szCs w:val="32"/>
        </w:rPr>
        <w:t>（一）商务评分资料</w:t>
      </w:r>
      <w:bookmarkEnd w:id="257"/>
      <w:bookmarkEnd w:id="258"/>
    </w:p>
    <w:p>
      <w:pPr>
        <w:pStyle w:val="29"/>
        <w:ind w:firstLine="420"/>
        <w:jc w:val="center"/>
        <w:rPr>
          <w:rFonts w:ascii="宋体" w:hAnsi="宋体" w:eastAsia="宋体" w:cs="Times New Roman"/>
          <w:sz w:val="21"/>
          <w:szCs w:val="24"/>
        </w:rPr>
      </w:pPr>
      <w:bookmarkStart w:id="262" w:name="OLE_LINK34"/>
      <w:r>
        <w:rPr>
          <w:rFonts w:hint="eastAsia" w:ascii="宋体" w:hAnsi="宋体" w:eastAsia="宋体" w:cs="Times New Roman"/>
          <w:sz w:val="21"/>
          <w:szCs w:val="24"/>
        </w:rPr>
        <w:t>商务及技术部分</w:t>
      </w:r>
      <w:bookmarkEnd w:id="262"/>
      <w:r>
        <w:rPr>
          <w:rFonts w:hint="eastAsia" w:ascii="宋体" w:hAnsi="宋体" w:eastAsia="宋体" w:cs="Times New Roman"/>
          <w:sz w:val="21"/>
          <w:szCs w:val="24"/>
        </w:rPr>
        <w:t>资料目录</w:t>
      </w:r>
    </w:p>
    <w:tbl>
      <w:tblPr>
        <w:tblStyle w:val="19"/>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pPr>
              <w:pStyle w:val="30"/>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029" w:type="dxa"/>
            <w:vAlign w:val="center"/>
          </w:tcPr>
          <w:p>
            <w:pPr>
              <w:pStyle w:val="30"/>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30"/>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30"/>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30"/>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应加分数</w:t>
            </w:r>
          </w:p>
        </w:tc>
        <w:tc>
          <w:tcPr>
            <w:tcW w:w="1052" w:type="dxa"/>
            <w:vAlign w:val="center"/>
          </w:tcPr>
          <w:p>
            <w:pPr>
              <w:pStyle w:val="30"/>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30"/>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029" w:type="dxa"/>
            <w:vAlign w:val="center"/>
          </w:tcPr>
          <w:p>
            <w:pPr>
              <w:spacing w:line="360" w:lineRule="auto"/>
              <w:jc w:val="center"/>
              <w:rPr>
                <w:rFonts w:asciiTheme="minorEastAsia" w:hAnsiTheme="minorEastAsia" w:eastAsiaTheme="minorEastAsia" w:cstheme="minorEastAsia"/>
                <w:b/>
                <w:sz w:val="18"/>
                <w:szCs w:val="18"/>
              </w:rPr>
            </w:pPr>
          </w:p>
        </w:tc>
        <w:tc>
          <w:tcPr>
            <w:tcW w:w="2492" w:type="dxa"/>
            <w:vAlign w:val="center"/>
          </w:tcPr>
          <w:p>
            <w:pPr>
              <w:spacing w:line="360" w:lineRule="auto"/>
              <w:jc w:val="center"/>
              <w:rPr>
                <w:rFonts w:asciiTheme="minorEastAsia" w:hAnsiTheme="minorEastAsia" w:eastAsiaTheme="minorEastAsia" w:cstheme="minorEastAsia"/>
                <w:b/>
                <w:sz w:val="18"/>
                <w:szCs w:val="18"/>
              </w:rPr>
            </w:pPr>
          </w:p>
        </w:tc>
        <w:tc>
          <w:tcPr>
            <w:tcW w:w="1736" w:type="dxa"/>
            <w:vAlign w:val="center"/>
          </w:tcPr>
          <w:p>
            <w:pPr>
              <w:spacing w:line="360" w:lineRule="auto"/>
              <w:jc w:val="center"/>
              <w:rPr>
                <w:rFonts w:asciiTheme="minorEastAsia" w:hAnsiTheme="minorEastAsia" w:eastAsiaTheme="minorEastAsia" w:cstheme="minorEastAsia"/>
                <w:b/>
                <w:sz w:val="18"/>
                <w:szCs w:val="18"/>
              </w:rPr>
            </w:pPr>
          </w:p>
        </w:tc>
        <w:tc>
          <w:tcPr>
            <w:tcW w:w="1395" w:type="dxa"/>
            <w:vAlign w:val="center"/>
          </w:tcPr>
          <w:p>
            <w:pPr>
              <w:spacing w:line="360" w:lineRule="auto"/>
              <w:jc w:val="center"/>
              <w:rPr>
                <w:rFonts w:asciiTheme="minorEastAsia" w:hAnsiTheme="minorEastAsia" w:eastAsiaTheme="minorEastAsia" w:cstheme="minorEastAsia"/>
                <w:b/>
                <w:sz w:val="18"/>
                <w:szCs w:val="18"/>
              </w:rPr>
            </w:pPr>
          </w:p>
        </w:tc>
        <w:tc>
          <w:tcPr>
            <w:tcW w:w="1052" w:type="dxa"/>
            <w:vAlign w:val="center"/>
          </w:tcPr>
          <w:p>
            <w:pPr>
              <w:spacing w:line="360" w:lineRule="auto"/>
              <w:jc w:val="center"/>
              <w:rPr>
                <w:rFonts w:asciiTheme="minorEastAsia" w:hAnsiTheme="minorEastAsia" w:eastAsiaTheme="minorEastAsia" w:cstheme="minorEastAsia"/>
                <w:b/>
                <w:sz w:val="18"/>
                <w:szCs w:val="18"/>
              </w:rPr>
            </w:pPr>
          </w:p>
        </w:tc>
        <w:tc>
          <w:tcPr>
            <w:tcW w:w="998" w:type="dxa"/>
            <w:vAlign w:val="center"/>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证明材料2</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29" w:type="dxa"/>
            <w:vAlign w:val="center"/>
          </w:tcPr>
          <w:p>
            <w:pPr>
              <w:snapToGrid w:val="0"/>
              <w:spacing w:line="400" w:lineRule="exact"/>
              <w:rPr>
                <w:rFonts w:asciiTheme="minorEastAsia" w:hAnsiTheme="minorEastAsia" w:eastAsiaTheme="minorEastAsia" w:cstheme="minorEastAsia"/>
                <w:sz w:val="18"/>
                <w:szCs w:val="18"/>
              </w:rPr>
            </w:pP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XX证书</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证明材料3</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bl>
    <w:p>
      <w:pPr>
        <w:pStyle w:val="18"/>
        <w:ind w:left="0" w:leftChars="0" w:firstLine="0"/>
      </w:pPr>
      <w:bookmarkStart w:id="263" w:name="_Toc30564"/>
    </w:p>
    <w:p>
      <w:pPr>
        <w:spacing w:line="360" w:lineRule="auto"/>
        <w:jc w:val="center"/>
        <w:outlineLvl w:val="1"/>
        <w:rPr>
          <w:rFonts w:ascii="宋体" w:hAnsi="宋体" w:cs="宋体"/>
          <w:b/>
          <w:bCs/>
          <w:kern w:val="0"/>
          <w:sz w:val="28"/>
          <w:szCs w:val="32"/>
        </w:rPr>
      </w:pPr>
    </w:p>
    <w:p>
      <w:pPr>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（二）技术方案</w:t>
      </w:r>
      <w:bookmarkEnd w:id="263"/>
    </w:p>
    <w:p>
      <w:pPr>
        <w:pStyle w:val="5"/>
        <w:jc w:val="center"/>
        <w:rPr>
          <w:rFonts w:ascii="宋体" w:hAnsi="宋体" w:cs="宋体"/>
          <w:color w:val="000000" w:themeColor="text1"/>
          <w:sz w:val="28"/>
          <w14:textFill>
            <w14:solidFill>
              <w14:schemeClr w14:val="tx1"/>
            </w14:solidFill>
          </w14:textFill>
        </w:rPr>
      </w:pPr>
    </w:p>
    <w:p>
      <w:pP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pPr>
        <w:pStyle w:val="5"/>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w:t>
      </w:r>
      <w:bookmarkEnd w:id="259"/>
      <w:bookmarkStart w:id="264" w:name="_Toc507681700"/>
      <w:bookmarkStart w:id="265" w:name="_Toc507681488"/>
      <w:bookmarkStart w:id="266" w:name="_Toc504639215"/>
      <w:r>
        <w:rPr>
          <w:rFonts w:hint="eastAsia" w:ascii="宋体" w:hAnsi="宋体" w:cs="宋体"/>
          <w:color w:val="000000" w:themeColor="text1"/>
          <w:sz w:val="28"/>
          <w14:textFill>
            <w14:solidFill>
              <w14:schemeClr w14:val="tx1"/>
            </w14:solidFill>
          </w14:textFill>
        </w:rPr>
        <w:t>报价人自行承诺部分</w:t>
      </w:r>
      <w:bookmarkEnd w:id="264"/>
      <w:bookmarkEnd w:id="265"/>
      <w:bookmarkEnd w:id="266"/>
    </w:p>
    <w:p>
      <w:pPr>
        <w:pStyle w:val="16"/>
        <w:spacing w:line="480" w:lineRule="auto"/>
        <w:jc w:val="both"/>
        <w:rPr>
          <w:rFonts w:hAnsi="宋体"/>
          <w:color w:val="auto"/>
        </w:rPr>
      </w:pPr>
      <w:r>
        <w:rPr>
          <w:rFonts w:hint="eastAsia" w:hAnsi="宋体"/>
          <w:color w:val="auto"/>
        </w:rPr>
        <w:t>致：</w:t>
      </w:r>
      <w:r>
        <w:rPr>
          <w:rFonts w:hint="eastAsia" w:hAnsi="宋体"/>
          <w:color w:val="auto"/>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rPr>
      </w:pPr>
      <w:r>
        <w:rPr>
          <w:rFonts w:hint="eastAsia" w:ascii="宋体" w:hAnsi="宋体"/>
          <w:sz w:val="24"/>
        </w:rPr>
        <w:t>在研究</w:t>
      </w:r>
      <w:r>
        <w:rPr>
          <w:rFonts w:hint="eastAsia" w:ascii="宋体" w:hAnsi="宋体" w:cs="宋体"/>
          <w:sz w:val="24"/>
          <w:u w:val="single"/>
        </w:rPr>
        <w:t>首讯公司2024年安环智能监管设备及服务采购</w:t>
      </w:r>
      <w:r>
        <w:rPr>
          <w:rFonts w:hint="eastAsia" w:ascii="宋体" w:hAnsi="宋体"/>
          <w:sz w:val="24"/>
          <w:u w:val="single"/>
        </w:rPr>
        <w:t>项目</w:t>
      </w:r>
      <w:r>
        <w:rPr>
          <w:rFonts w:hint="eastAsia" w:ascii="宋体" w:hAnsi="宋体"/>
          <w:sz w:val="24"/>
        </w:rPr>
        <w:t>竞争比选文件后，在此郑重承诺我司满足本项目一切报价内容、报价、工期要求及质量标准等相关要求，响应比选函的一切内容，同时申明将按照甲方要求组建服务团队、履行服务义务。若我司中标本项目且无法满足业主相关需求，我司愿承担由此给采购人造成的一切损失。</w:t>
      </w:r>
    </w:p>
    <w:p>
      <w:pPr>
        <w:pStyle w:val="9"/>
        <w:spacing w:line="480" w:lineRule="auto"/>
        <w:rPr>
          <w:rFonts w:ascii="宋体" w:hAnsi="宋体"/>
          <w:sz w:val="24"/>
        </w:rPr>
      </w:pPr>
    </w:p>
    <w:p>
      <w:pPr>
        <w:spacing w:line="480" w:lineRule="auto"/>
        <w:rPr>
          <w:rFonts w:ascii="宋体" w:hAnsi="宋体"/>
          <w:sz w:val="24"/>
        </w:rPr>
      </w:pPr>
      <w:r>
        <w:rPr>
          <w:rFonts w:hint="eastAsia" w:ascii="宋体" w:hAnsi="宋体"/>
          <w:sz w:val="24"/>
        </w:rPr>
        <w:t xml:space="preserve">                                        承诺人：XX公司</w:t>
      </w:r>
    </w:p>
    <w:p>
      <w:pPr>
        <w:pStyle w:val="9"/>
        <w:spacing w:line="480" w:lineRule="auto"/>
      </w:pPr>
      <w:r>
        <w:rPr>
          <w:rFonts w:hint="eastAsia" w:ascii="宋体" w:hAnsi="宋体"/>
          <w:sz w:val="24"/>
        </w:rPr>
        <w:t xml:space="preserve">                                        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pStyle w:val="5"/>
        <w:jc w:val="center"/>
        <w:rPr>
          <w:rFonts w:ascii="宋体" w:hAnsi="宋体" w:cs="宋体"/>
          <w:color w:val="000000" w:themeColor="text1"/>
          <w:sz w:val="28"/>
          <w14:textFill>
            <w14:solidFill>
              <w14:schemeClr w14:val="tx1"/>
            </w14:solidFill>
          </w14:textFill>
        </w:rPr>
      </w:pP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pPr>
        <w:pStyle w:val="5"/>
        <w:jc w:val="center"/>
        <w:rPr>
          <w:rFonts w:ascii="宋体" w:hAnsi="宋体" w:cs="宋体"/>
          <w:color w:val="000000" w:themeColor="text1"/>
          <w:sz w:val="28"/>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5"/>
        <w:spacing w:before="0" w:after="0" w:line="360" w:lineRule="auto"/>
        <w:jc w:val="center"/>
        <w:rPr>
          <w:color w:val="000000" w:themeColor="text1"/>
          <w:sz w:val="28"/>
          <w:szCs w:val="28"/>
          <w14:textFill>
            <w14:solidFill>
              <w14:schemeClr w14:val="tx1"/>
            </w14:solidFill>
          </w14:textFill>
        </w:rPr>
      </w:pPr>
      <w:bookmarkStart w:id="267" w:name="_Toc4375"/>
      <w:bookmarkStart w:id="268" w:name="_Toc508110857"/>
      <w:bookmarkStart w:id="269" w:name="_Toc452107137"/>
      <w:r>
        <w:rPr>
          <w:rFonts w:hint="eastAsia"/>
          <w:color w:val="000000" w:themeColor="text1"/>
          <w:sz w:val="28"/>
          <w:szCs w:val="28"/>
          <w14:textFill>
            <w14:solidFill>
              <w14:schemeClr w14:val="tx1"/>
            </w14:solidFill>
          </w14:textFill>
        </w:rPr>
        <w:t>（一）报价人基本信息表</w:t>
      </w:r>
      <w:bookmarkEnd w:id="267"/>
      <w:bookmarkEnd w:id="268"/>
      <w:bookmarkEnd w:id="269"/>
    </w:p>
    <w:p>
      <w:pPr>
        <w:pStyle w:val="12"/>
        <w:rPr>
          <w:color w:val="000000" w:themeColor="text1"/>
          <w14:textFill>
            <w14:solidFill>
              <w14:schemeClr w14:val="tx1"/>
            </w14:solidFill>
          </w14:textFill>
        </w:rPr>
      </w:pPr>
    </w:p>
    <w:tbl>
      <w:tblPr>
        <w:tblStyle w:val="19"/>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bl>
    <w:p>
      <w:pPr>
        <w:pStyle w:val="5"/>
        <w:rPr>
          <w:rFonts w:ascii="宋体" w:hAnsi="宋体" w:cs="宋体"/>
          <w:color w:val="000000" w:themeColor="text1"/>
          <w:sz w:val="28"/>
          <w14:textFill>
            <w14:solidFill>
              <w14:schemeClr w14:val="tx1"/>
            </w14:solidFill>
          </w14:textFill>
        </w:rPr>
      </w:pPr>
    </w:p>
    <w:p>
      <w:pPr>
        <w:pStyle w:val="5"/>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1、投标保证金银行回执等附件。</w:t>
      </w:r>
    </w:p>
    <w:bookmarkEnd w:id="260"/>
    <w:bookmarkEnd w:id="261"/>
    <w:p>
      <w:pPr>
        <w:keepNext/>
        <w:keepLines/>
        <w:spacing w:line="360" w:lineRule="auto"/>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2、其他内容。</w:t>
      </w: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79</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35</w: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520" w:h="235" w:hRule="exact" w:wrap="around" w:vAnchor="text" w:hAnchor="page" w:x="6073" w:y="-2"/>
      <w:rPr>
        <w:rStyle w:val="22"/>
      </w:rPr>
    </w:pPr>
    <w:r>
      <w:fldChar w:fldCharType="begin"/>
    </w:r>
    <w:r>
      <w:rPr>
        <w:rStyle w:val="22"/>
      </w:rPr>
      <w:instrText xml:space="preserve">PAGE  </w:instrText>
    </w:r>
    <w:r>
      <w:fldChar w:fldCharType="separate"/>
    </w:r>
    <w:r>
      <w:rPr>
        <w:rStyle w:val="22"/>
      </w:rPr>
      <w:t>73</w:t>
    </w:r>
    <w:r>
      <w:fldChar w:fldCharType="end"/>
    </w:r>
  </w:p>
  <w:p>
    <w:pPr>
      <w:pStyle w:val="1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520" w:h="235" w:hRule="exact" w:wrap="around" w:vAnchor="text" w:hAnchor="page" w:x="6073" w:y="-2"/>
      <w:rPr>
        <w:rStyle w:val="22"/>
      </w:rPr>
    </w:pPr>
    <w:r>
      <w:fldChar w:fldCharType="begin"/>
    </w:r>
    <w:r>
      <w:rPr>
        <w:rStyle w:val="22"/>
      </w:rPr>
      <w:instrText xml:space="preserve">PAGE  </w:instrText>
    </w:r>
    <w:r>
      <w:fldChar w:fldCharType="separate"/>
    </w:r>
    <w:r>
      <w:rPr>
        <w:rStyle w:val="22"/>
      </w:rPr>
      <w:t>19</w:t>
    </w:r>
    <w:r>
      <w:fldChar w:fldCharType="end"/>
    </w:r>
  </w:p>
  <w:p>
    <w:pPr>
      <w:pStyle w:val="12"/>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520" w:h="235" w:hRule="exact" w:wrap="around" w:vAnchor="text" w:hAnchor="page" w:x="6073" w:y="-2"/>
      <w:rPr>
        <w:rStyle w:val="22"/>
      </w:rPr>
    </w:pPr>
    <w:r>
      <w:fldChar w:fldCharType="begin"/>
    </w:r>
    <w:r>
      <w:rPr>
        <w:rStyle w:val="22"/>
      </w:rPr>
      <w:instrText xml:space="preserve">PAGE  </w:instrText>
    </w:r>
    <w:r>
      <w:fldChar w:fldCharType="separate"/>
    </w:r>
    <w:r>
      <w:rPr>
        <w:rStyle w:val="22"/>
      </w:rPr>
      <w:t>78</w:t>
    </w:r>
    <w:r>
      <w:fldChar w:fldCharType="end"/>
    </w:r>
  </w:p>
  <w:p>
    <w:pPr>
      <w:pStyle w:val="12"/>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2"/>
                            </w:rPr>
                          </w:pPr>
                          <w:r>
                            <w:fldChar w:fldCharType="begin"/>
                          </w:r>
                          <w:r>
                            <w:rPr>
                              <w:rStyle w:val="22"/>
                            </w:rPr>
                            <w:instrText xml:space="preserve">PAGE  </w:instrText>
                          </w:r>
                          <w:r>
                            <w:fldChar w:fldCharType="separate"/>
                          </w:r>
                          <w:r>
                            <w:rPr>
                              <w:rStyle w:val="22"/>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2"/>
                      <w:rPr>
                        <w:rStyle w:val="22"/>
                      </w:rPr>
                    </w:pPr>
                    <w:r>
                      <w:fldChar w:fldCharType="begin"/>
                    </w:r>
                    <w:r>
                      <w:rPr>
                        <w:rStyle w:val="22"/>
                      </w:rPr>
                      <w:instrText xml:space="preserve">PAGE  </w:instrText>
                    </w:r>
                    <w:r>
                      <w:fldChar w:fldCharType="separate"/>
                    </w:r>
                    <w:r>
                      <w:rPr>
                        <w:rStyle w:val="22"/>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A48B3"/>
    <w:multiLevelType w:val="singleLevel"/>
    <w:tmpl w:val="C43A48B3"/>
    <w:lvl w:ilvl="0" w:tentative="0">
      <w:start w:val="7"/>
      <w:numFmt w:val="chineseCounting"/>
      <w:suff w:val="space"/>
      <w:lvlText w:val="第%1章"/>
      <w:lvlJc w:val="left"/>
      <w:rPr>
        <w:rFonts w:hint="eastAsia"/>
      </w:rPr>
    </w:lvl>
  </w:abstractNum>
  <w:abstractNum w:abstractNumId="1">
    <w:nsid w:val="219754E5"/>
    <w:multiLevelType w:val="singleLevel"/>
    <w:tmpl w:val="219754E5"/>
    <w:lvl w:ilvl="0" w:tentative="0">
      <w:start w:val="1"/>
      <w:numFmt w:val="decimal"/>
      <w:lvlText w:val="%1."/>
      <w:lvlJc w:val="left"/>
      <w:pPr>
        <w:tabs>
          <w:tab w:val="left" w:pos="312"/>
        </w:tabs>
      </w:p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abstractNum w:abstractNumId="3">
    <w:nsid w:val="49975E33"/>
    <w:multiLevelType w:val="singleLevel"/>
    <w:tmpl w:val="49975E33"/>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40562453"/>
    <w:rsid w:val="000F7295"/>
    <w:rsid w:val="00142BCD"/>
    <w:rsid w:val="00173FDD"/>
    <w:rsid w:val="00335F75"/>
    <w:rsid w:val="00504950"/>
    <w:rsid w:val="0072698F"/>
    <w:rsid w:val="007A2004"/>
    <w:rsid w:val="008F7A07"/>
    <w:rsid w:val="00966559"/>
    <w:rsid w:val="00CD6D45"/>
    <w:rsid w:val="00E008C7"/>
    <w:rsid w:val="00E04AC3"/>
    <w:rsid w:val="00E74A86"/>
    <w:rsid w:val="00F546A3"/>
    <w:rsid w:val="01B74972"/>
    <w:rsid w:val="025125D0"/>
    <w:rsid w:val="02FA0434"/>
    <w:rsid w:val="033B06AB"/>
    <w:rsid w:val="05506B2F"/>
    <w:rsid w:val="055C337C"/>
    <w:rsid w:val="060D37AF"/>
    <w:rsid w:val="07C52E34"/>
    <w:rsid w:val="08C663D4"/>
    <w:rsid w:val="090977DD"/>
    <w:rsid w:val="0A693330"/>
    <w:rsid w:val="0B1A4809"/>
    <w:rsid w:val="0B602F55"/>
    <w:rsid w:val="0C132AFC"/>
    <w:rsid w:val="0D993FB0"/>
    <w:rsid w:val="0E393859"/>
    <w:rsid w:val="0E3B58C3"/>
    <w:rsid w:val="0EA57CDD"/>
    <w:rsid w:val="0EC73541"/>
    <w:rsid w:val="0F7F745B"/>
    <w:rsid w:val="0FFC2E99"/>
    <w:rsid w:val="10343BF8"/>
    <w:rsid w:val="10E943BC"/>
    <w:rsid w:val="10FC7F74"/>
    <w:rsid w:val="11124190"/>
    <w:rsid w:val="1250098C"/>
    <w:rsid w:val="125C66E7"/>
    <w:rsid w:val="13223B44"/>
    <w:rsid w:val="134247FC"/>
    <w:rsid w:val="13573D7A"/>
    <w:rsid w:val="13CD7870"/>
    <w:rsid w:val="141A6BA3"/>
    <w:rsid w:val="1433393F"/>
    <w:rsid w:val="15EA5356"/>
    <w:rsid w:val="17421CDB"/>
    <w:rsid w:val="17AC5EFC"/>
    <w:rsid w:val="17FB4600"/>
    <w:rsid w:val="18331236"/>
    <w:rsid w:val="187C5B16"/>
    <w:rsid w:val="18A35434"/>
    <w:rsid w:val="18C96881"/>
    <w:rsid w:val="197E141A"/>
    <w:rsid w:val="19C679E0"/>
    <w:rsid w:val="1A1717FA"/>
    <w:rsid w:val="1A8C400A"/>
    <w:rsid w:val="1AFD0644"/>
    <w:rsid w:val="1CAB253E"/>
    <w:rsid w:val="1CB25FAA"/>
    <w:rsid w:val="1CBE3220"/>
    <w:rsid w:val="1CFD7C36"/>
    <w:rsid w:val="1D7752AD"/>
    <w:rsid w:val="1D8B5B65"/>
    <w:rsid w:val="1DAF6D5D"/>
    <w:rsid w:val="1F0614F2"/>
    <w:rsid w:val="1FBA2E87"/>
    <w:rsid w:val="1FBF03F0"/>
    <w:rsid w:val="1FCB7587"/>
    <w:rsid w:val="20031B05"/>
    <w:rsid w:val="216D4BF6"/>
    <w:rsid w:val="21853DC6"/>
    <w:rsid w:val="21D97A24"/>
    <w:rsid w:val="221B2A67"/>
    <w:rsid w:val="22A86A88"/>
    <w:rsid w:val="22BC4191"/>
    <w:rsid w:val="22E87B5F"/>
    <w:rsid w:val="23805560"/>
    <w:rsid w:val="23F67C94"/>
    <w:rsid w:val="243B2F6E"/>
    <w:rsid w:val="2641214D"/>
    <w:rsid w:val="269B62C0"/>
    <w:rsid w:val="26D63897"/>
    <w:rsid w:val="27814E36"/>
    <w:rsid w:val="289861F3"/>
    <w:rsid w:val="299C149B"/>
    <w:rsid w:val="29D51C23"/>
    <w:rsid w:val="29D873B1"/>
    <w:rsid w:val="2A103287"/>
    <w:rsid w:val="2A9144DF"/>
    <w:rsid w:val="2AC50370"/>
    <w:rsid w:val="2B013C59"/>
    <w:rsid w:val="2B7F1563"/>
    <w:rsid w:val="2BA8559F"/>
    <w:rsid w:val="2C3F023F"/>
    <w:rsid w:val="2C552E35"/>
    <w:rsid w:val="2DF53829"/>
    <w:rsid w:val="2E463ABE"/>
    <w:rsid w:val="2E6E3CFB"/>
    <w:rsid w:val="2F072CF9"/>
    <w:rsid w:val="2F927AAF"/>
    <w:rsid w:val="302047D7"/>
    <w:rsid w:val="3138643E"/>
    <w:rsid w:val="318206FC"/>
    <w:rsid w:val="31C64AB1"/>
    <w:rsid w:val="32CB318E"/>
    <w:rsid w:val="33182487"/>
    <w:rsid w:val="338C1033"/>
    <w:rsid w:val="339441CF"/>
    <w:rsid w:val="33FB61D0"/>
    <w:rsid w:val="343E5272"/>
    <w:rsid w:val="345179FF"/>
    <w:rsid w:val="351103A8"/>
    <w:rsid w:val="35705DCF"/>
    <w:rsid w:val="360B60DB"/>
    <w:rsid w:val="369C3A80"/>
    <w:rsid w:val="377313B5"/>
    <w:rsid w:val="37A14E61"/>
    <w:rsid w:val="37D026C8"/>
    <w:rsid w:val="37F214F9"/>
    <w:rsid w:val="382805C6"/>
    <w:rsid w:val="38EB5754"/>
    <w:rsid w:val="38FD0B34"/>
    <w:rsid w:val="3911775D"/>
    <w:rsid w:val="39277C8A"/>
    <w:rsid w:val="392A1279"/>
    <w:rsid w:val="39952550"/>
    <w:rsid w:val="3BA2510C"/>
    <w:rsid w:val="3C065E33"/>
    <w:rsid w:val="3C3145CE"/>
    <w:rsid w:val="3C443027"/>
    <w:rsid w:val="3E9E3129"/>
    <w:rsid w:val="3EB82ED9"/>
    <w:rsid w:val="3F640884"/>
    <w:rsid w:val="3F936696"/>
    <w:rsid w:val="3FED6E84"/>
    <w:rsid w:val="40207DC4"/>
    <w:rsid w:val="40562453"/>
    <w:rsid w:val="40582115"/>
    <w:rsid w:val="40606BAD"/>
    <w:rsid w:val="410E3E10"/>
    <w:rsid w:val="41317ABC"/>
    <w:rsid w:val="4153517C"/>
    <w:rsid w:val="41632342"/>
    <w:rsid w:val="41C841CE"/>
    <w:rsid w:val="421D53C4"/>
    <w:rsid w:val="42FA0482"/>
    <w:rsid w:val="43023801"/>
    <w:rsid w:val="431D401F"/>
    <w:rsid w:val="43F87E97"/>
    <w:rsid w:val="444C419C"/>
    <w:rsid w:val="44845974"/>
    <w:rsid w:val="449D5083"/>
    <w:rsid w:val="44AB792B"/>
    <w:rsid w:val="45913036"/>
    <w:rsid w:val="4619717E"/>
    <w:rsid w:val="46C2478C"/>
    <w:rsid w:val="47371FC7"/>
    <w:rsid w:val="478A6F17"/>
    <w:rsid w:val="48123D9C"/>
    <w:rsid w:val="48307A3B"/>
    <w:rsid w:val="498034A5"/>
    <w:rsid w:val="49C26B9C"/>
    <w:rsid w:val="49FF31B8"/>
    <w:rsid w:val="4A5219AA"/>
    <w:rsid w:val="4A77137D"/>
    <w:rsid w:val="4ADF47D6"/>
    <w:rsid w:val="4B717EB6"/>
    <w:rsid w:val="4C2E11C8"/>
    <w:rsid w:val="4C8524E4"/>
    <w:rsid w:val="4D2C5ABB"/>
    <w:rsid w:val="4DEC0901"/>
    <w:rsid w:val="4F2F3164"/>
    <w:rsid w:val="4F96101A"/>
    <w:rsid w:val="4F9E1ABE"/>
    <w:rsid w:val="4FAE3D60"/>
    <w:rsid w:val="500135C9"/>
    <w:rsid w:val="501A21FF"/>
    <w:rsid w:val="51244DF0"/>
    <w:rsid w:val="51A23DC6"/>
    <w:rsid w:val="51AE63EB"/>
    <w:rsid w:val="51BA67E3"/>
    <w:rsid w:val="51D51818"/>
    <w:rsid w:val="53861634"/>
    <w:rsid w:val="55261643"/>
    <w:rsid w:val="55B26AC6"/>
    <w:rsid w:val="55D023CC"/>
    <w:rsid w:val="565A6E77"/>
    <w:rsid w:val="569A4274"/>
    <w:rsid w:val="58424522"/>
    <w:rsid w:val="587A1119"/>
    <w:rsid w:val="595606C3"/>
    <w:rsid w:val="5964211A"/>
    <w:rsid w:val="598C3505"/>
    <w:rsid w:val="5A5C300D"/>
    <w:rsid w:val="5A623871"/>
    <w:rsid w:val="5B041B67"/>
    <w:rsid w:val="5B0A122A"/>
    <w:rsid w:val="5B696055"/>
    <w:rsid w:val="5B9625EC"/>
    <w:rsid w:val="5CEC43FE"/>
    <w:rsid w:val="5D031354"/>
    <w:rsid w:val="5D693538"/>
    <w:rsid w:val="5D8F03E6"/>
    <w:rsid w:val="5E3E0745"/>
    <w:rsid w:val="5F497D13"/>
    <w:rsid w:val="5FD321CC"/>
    <w:rsid w:val="5FD650D9"/>
    <w:rsid w:val="5FF27AE1"/>
    <w:rsid w:val="607B064C"/>
    <w:rsid w:val="60DE22A3"/>
    <w:rsid w:val="613735AE"/>
    <w:rsid w:val="61542052"/>
    <w:rsid w:val="6245633B"/>
    <w:rsid w:val="627D665A"/>
    <w:rsid w:val="62C109B8"/>
    <w:rsid w:val="62DD22DA"/>
    <w:rsid w:val="62FD557A"/>
    <w:rsid w:val="63485E56"/>
    <w:rsid w:val="63D95197"/>
    <w:rsid w:val="64671A02"/>
    <w:rsid w:val="66091FA1"/>
    <w:rsid w:val="661D040C"/>
    <w:rsid w:val="663E1958"/>
    <w:rsid w:val="66E96BA7"/>
    <w:rsid w:val="67684766"/>
    <w:rsid w:val="68813268"/>
    <w:rsid w:val="68ED60B6"/>
    <w:rsid w:val="6A8E1F47"/>
    <w:rsid w:val="6AB53B3C"/>
    <w:rsid w:val="6AEF1CE7"/>
    <w:rsid w:val="6AF66C20"/>
    <w:rsid w:val="6BE73023"/>
    <w:rsid w:val="6CE73B06"/>
    <w:rsid w:val="6D490D4E"/>
    <w:rsid w:val="6E382763"/>
    <w:rsid w:val="6E6A7525"/>
    <w:rsid w:val="6FD76303"/>
    <w:rsid w:val="6FEFA52B"/>
    <w:rsid w:val="707929C1"/>
    <w:rsid w:val="70BD7F95"/>
    <w:rsid w:val="719A09DE"/>
    <w:rsid w:val="72170CD9"/>
    <w:rsid w:val="722E4900"/>
    <w:rsid w:val="730C0A49"/>
    <w:rsid w:val="73A81DB5"/>
    <w:rsid w:val="73CB47CA"/>
    <w:rsid w:val="742B542B"/>
    <w:rsid w:val="744675ED"/>
    <w:rsid w:val="755748DA"/>
    <w:rsid w:val="76770A05"/>
    <w:rsid w:val="767A0FBD"/>
    <w:rsid w:val="773504DF"/>
    <w:rsid w:val="775A0916"/>
    <w:rsid w:val="77E86EA5"/>
    <w:rsid w:val="780515CF"/>
    <w:rsid w:val="78182ECC"/>
    <w:rsid w:val="782B4CE1"/>
    <w:rsid w:val="789B398A"/>
    <w:rsid w:val="78D43970"/>
    <w:rsid w:val="78E1748A"/>
    <w:rsid w:val="793F2C89"/>
    <w:rsid w:val="79572C87"/>
    <w:rsid w:val="79A24936"/>
    <w:rsid w:val="79D6185E"/>
    <w:rsid w:val="79F4531C"/>
    <w:rsid w:val="7A716688"/>
    <w:rsid w:val="7AB6702C"/>
    <w:rsid w:val="7AC44CB6"/>
    <w:rsid w:val="7AFF3773"/>
    <w:rsid w:val="7BB01619"/>
    <w:rsid w:val="7BFF3A4C"/>
    <w:rsid w:val="7C1C093F"/>
    <w:rsid w:val="7C36570A"/>
    <w:rsid w:val="7CCA7F2E"/>
    <w:rsid w:val="7CDC4FC8"/>
    <w:rsid w:val="7CF20F04"/>
    <w:rsid w:val="7DC50CB1"/>
    <w:rsid w:val="7DC72008"/>
    <w:rsid w:val="7E484F9C"/>
    <w:rsid w:val="7E4F572C"/>
    <w:rsid w:val="7F3FFA4F"/>
    <w:rsid w:val="7F604826"/>
    <w:rsid w:val="7FB7532B"/>
    <w:rsid w:val="97BF047A"/>
    <w:rsid w:val="ADFFD7DE"/>
    <w:rsid w:val="C7EFB3E2"/>
    <w:rsid w:val="D7EB4125"/>
    <w:rsid w:val="E9BDDE95"/>
    <w:rsid w:val="EFBF688D"/>
    <w:rsid w:val="FDFB57CE"/>
    <w:rsid w:val="FEFFB5DA"/>
    <w:rsid w:val="FFEFC4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8">
    <w:name w:val="Normal Indent"/>
    <w:basedOn w:val="1"/>
    <w:qFormat/>
    <w:uiPriority w:val="0"/>
    <w:pPr>
      <w:ind w:firstLine="420" w:firstLineChars="200"/>
    </w:pPr>
  </w:style>
  <w:style w:type="paragraph" w:styleId="9">
    <w:name w:val="Body Text"/>
    <w:basedOn w:val="1"/>
    <w:next w:val="1"/>
    <w:qFormat/>
    <w:uiPriority w:val="0"/>
    <w:pPr>
      <w:spacing w:after="120"/>
    </w:pPr>
    <w:rPr>
      <w:kern w:val="0"/>
      <w:sz w:val="20"/>
    </w:rPr>
  </w:style>
  <w:style w:type="paragraph" w:styleId="10">
    <w:name w:val="Body Text Indent"/>
    <w:basedOn w:val="1"/>
    <w:next w:val="1"/>
    <w:qFormat/>
    <w:uiPriority w:val="0"/>
    <w:pPr>
      <w:spacing w:after="120"/>
      <w:ind w:left="420" w:leftChars="200"/>
    </w:pPr>
    <w:rPr>
      <w:kern w:val="0"/>
      <w:sz w:val="20"/>
    </w:rPr>
  </w:style>
  <w:style w:type="paragraph" w:styleId="11">
    <w:name w:val="Plain Text"/>
    <w:basedOn w:val="1"/>
    <w:qFormat/>
    <w:uiPriority w:val="0"/>
    <w:rPr>
      <w:rFonts w:ascii="Courier New" w:hAnsi="Courier New"/>
      <w:kern w:val="0"/>
      <w:sz w:val="20"/>
      <w:szCs w:val="20"/>
    </w:rPr>
  </w:style>
  <w:style w:type="paragraph" w:styleId="12">
    <w:name w:val="footer"/>
    <w:basedOn w:val="1"/>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2"/>
    <w:basedOn w:val="1"/>
    <w:next w:val="1"/>
    <w:qFormat/>
    <w:uiPriority w:val="39"/>
    <w:pPr>
      <w:ind w:left="210"/>
      <w:jc w:val="left"/>
    </w:pPr>
    <w:rPr>
      <w:rFonts w:ascii="Calibri" w:hAnsi="Calibri"/>
      <w:smallCaps/>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index 1"/>
    <w:basedOn w:val="1"/>
    <w:next w:val="1"/>
    <w:semiHidden/>
    <w:qFormat/>
    <w:uiPriority w:val="0"/>
    <w:pPr>
      <w:spacing w:line="360" w:lineRule="auto"/>
      <w:jc w:val="center"/>
    </w:pPr>
    <w:rPr>
      <w:rFonts w:ascii="宋体" w:hAnsi="Arial" w:cs="Arial"/>
      <w:b/>
      <w:color w:val="000000"/>
      <w:sz w:val="24"/>
    </w:rPr>
  </w:style>
  <w:style w:type="paragraph" w:styleId="17">
    <w:name w:val="Body Text First Indent"/>
    <w:basedOn w:val="9"/>
    <w:qFormat/>
    <w:uiPriority w:val="0"/>
    <w:pPr>
      <w:ind w:firstLine="420" w:firstLineChars="100"/>
    </w:pPr>
    <w:rPr>
      <w:rFonts w:ascii="Calibri" w:hAnsi="Calibri" w:eastAsia="方正仿宋_GBK"/>
      <w:sz w:val="32"/>
      <w:szCs w:val="20"/>
    </w:rPr>
  </w:style>
  <w:style w:type="paragraph" w:styleId="18">
    <w:name w:val="Body Text First Indent 2"/>
    <w:basedOn w:val="10"/>
    <w:unhideWhenUsed/>
    <w:qFormat/>
    <w:uiPriority w:val="0"/>
    <w:pPr>
      <w:ind w:firstLine="420"/>
    </w:pPr>
  </w:style>
  <w:style w:type="table" w:styleId="20">
    <w:name w:val="Table Grid"/>
    <w:basedOn w:val="19"/>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paragraph" w:customStyle="1" w:styleId="23">
    <w:name w:val="font10"/>
    <w:basedOn w:val="1"/>
    <w:qFormat/>
    <w:uiPriority w:val="0"/>
    <w:pPr>
      <w:widowControl/>
      <w:spacing w:before="100" w:beforeAutospacing="1" w:after="100" w:afterAutospacing="1"/>
      <w:jc w:val="left"/>
    </w:pPr>
    <w:rPr>
      <w:kern w:val="0"/>
      <w:sz w:val="28"/>
      <w:szCs w:val="28"/>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标题 2 字符"/>
    <w:link w:val="4"/>
    <w:qFormat/>
    <w:uiPriority w:val="0"/>
    <w:rPr>
      <w:rFonts w:ascii="Arial" w:hAnsi="Arial" w:eastAsia="黑体"/>
      <w:b/>
      <w:bCs/>
      <w:kern w:val="0"/>
      <w:sz w:val="32"/>
      <w:szCs w:val="32"/>
    </w:rPr>
  </w:style>
  <w:style w:type="character" w:customStyle="1" w:styleId="26">
    <w:name w:val="标题 1 字符"/>
    <w:link w:val="3"/>
    <w:qFormat/>
    <w:uiPriority w:val="0"/>
    <w:rPr>
      <w:b/>
      <w:bCs/>
      <w:kern w:val="44"/>
      <w:sz w:val="44"/>
      <w:szCs w:val="44"/>
    </w:rPr>
  </w:style>
  <w:style w:type="paragraph" w:styleId="27">
    <w:name w:val="List Paragraph"/>
    <w:basedOn w:val="1"/>
    <w:qFormat/>
    <w:uiPriority w:val="99"/>
    <w:pPr>
      <w:ind w:firstLine="420" w:firstLineChars="200"/>
    </w:pPr>
  </w:style>
  <w:style w:type="paragraph" w:customStyle="1" w:styleId="28">
    <w:name w:val="Table Paragraph"/>
    <w:basedOn w:val="1"/>
    <w:qFormat/>
    <w:uiPriority w:val="1"/>
  </w:style>
  <w:style w:type="paragraph" w:customStyle="1" w:styleId="29">
    <w:name w:val="*正文"/>
    <w:basedOn w:val="1"/>
    <w:qFormat/>
    <w:uiPriority w:val="0"/>
    <w:pPr>
      <w:widowControl/>
      <w:ind w:firstLine="200" w:firstLineChars="200"/>
    </w:pPr>
    <w:rPr>
      <w:rFonts w:ascii="仿宋_GB2312" w:eastAsia="仿宋_GB2312" w:cstheme="minorBidi"/>
      <w:sz w:val="24"/>
      <w:szCs w:val="28"/>
    </w:rPr>
  </w:style>
  <w:style w:type="paragraph" w:customStyle="1" w:styleId="30">
    <w:name w:val="表体"/>
    <w:basedOn w:val="1"/>
    <w:next w:val="1"/>
    <w:qFormat/>
    <w:uiPriority w:val="0"/>
    <w:pPr>
      <w:snapToGrid w:val="0"/>
      <w:spacing w:line="0" w:lineRule="atLeast"/>
    </w:pPr>
    <w:rPr>
      <w:b/>
      <w:szCs w:val="20"/>
    </w:rPr>
  </w:style>
  <w:style w:type="paragraph" w:customStyle="1" w:styleId="31">
    <w:name w:val="表格内正文，无编号"/>
    <w:basedOn w:val="1"/>
    <w:qFormat/>
    <w:uiPriority w:val="0"/>
    <w:pPr>
      <w:spacing w:line="400" w:lineRule="exact"/>
      <w:ind w:firstLine="643" w:firstLineChars="200"/>
    </w:pPr>
  </w:style>
  <w:style w:type="paragraph" w:customStyle="1" w:styleId="3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2916</Words>
  <Characters>16626</Characters>
  <Lines>138</Lines>
  <Paragraphs>39</Paragraphs>
  <TotalTime>1</TotalTime>
  <ScaleCrop>false</ScaleCrop>
  <LinksUpToDate>false</LinksUpToDate>
  <CharactersWithSpaces>19503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2023-06-06T09:31:00Z</dcterms:created>
  <dc:creator>Kevin</dc:creator>
  <cp:lastModifiedBy>Kevin</cp:lastModifiedBy>
  <dcterms:modified xsi:type="dcterms:W3CDTF">2024-07-30T08:54:24Z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1C0E4C7F4D65457FB45D112C1DF3B61C</vt:lpwstr>
  </property>
</Properties>
</file>