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jc w:val="center"/>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四公里办公大楼文化打造装饰装修项目</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8</w:t>
      </w:r>
      <w:r>
        <w:rPr>
          <w:rFonts w:hint="eastAsia" w:ascii="宋体" w:hAnsi="宋体" w:cs="宋体"/>
          <w:b/>
          <w:sz w:val="28"/>
          <w:szCs w:val="28"/>
          <w:highlight w:val="none"/>
        </w:rPr>
        <w:t>月</w:t>
      </w:r>
    </w:p>
    <w:p>
      <w:pPr>
        <w:pStyle w:val="28"/>
        <w:jc w:val="center"/>
        <w:rPr>
          <w:rFonts w:ascii="宋体" w:hAnsi="宋体" w:cs="宋体"/>
          <w:szCs w:val="21"/>
          <w:highlight w:val="none"/>
        </w:rPr>
      </w:pPr>
      <w:r>
        <w:rPr>
          <w:highlight w:val="none"/>
        </w:rPr>
        <w:br w:type="page"/>
      </w:r>
      <w:bookmarkStart w:id="0" w:name="_Toc247085669"/>
      <w:bookmarkStart w:id="1" w:name="_Toc507428442"/>
      <w:bookmarkStart w:id="2" w:name="_Toc296602400"/>
      <w:bookmarkStart w:id="3" w:name="_Toc246996898"/>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_Toc18378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_Toc18378 \h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_Toc29948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_Toc29948 \h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_Toc32070 \h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_Toc32568 </w:instrText>
      </w:r>
      <w:r>
        <w:rPr>
          <w:rFonts w:hint="eastAsia" w:ascii="宋体" w:hAnsi="宋体" w:cs="宋体"/>
          <w:bCs/>
          <w:caps/>
          <w:highlight w:val="none"/>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_Toc32568 \h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_Toc10838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_Toc10838 \h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_Toc2064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_Toc2064 \h </w:instrText>
      </w:r>
      <w:r>
        <w:rPr>
          <w:highlight w:val="none"/>
        </w:rPr>
        <w:fldChar w:fldCharType="separate"/>
      </w:r>
      <w:r>
        <w:rPr>
          <w:highlight w:val="none"/>
        </w:rPr>
        <w:t>20</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_Toc15316 \h </w:instrText>
      </w:r>
      <w:r>
        <w:rPr>
          <w:highlight w:val="none"/>
        </w:rPr>
        <w:fldChar w:fldCharType="separate"/>
      </w:r>
      <w:r>
        <w:rPr>
          <w:highlight w:val="none"/>
        </w:rPr>
        <w:t>21</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_Toc15140 </w:instrText>
      </w:r>
      <w:r>
        <w:rPr>
          <w:rFonts w:hint="eastAsia" w:ascii="宋体" w:hAnsi="宋体" w:cs="宋体"/>
          <w:bCs/>
          <w:caps/>
          <w:highlight w:val="none"/>
        </w:rPr>
        <w:fldChar w:fldCharType="separate"/>
      </w:r>
      <w:r>
        <w:rPr>
          <w:rFonts w:hint="eastAsia" w:ascii="宋体" w:hAnsi="宋体" w:cs="宋体"/>
          <w:highlight w:val="none"/>
        </w:rPr>
        <w:t>第八章  合同范本</w:t>
      </w:r>
      <w:r>
        <w:rPr>
          <w:highlight w:val="none"/>
        </w:rPr>
        <w:tab/>
      </w:r>
      <w:r>
        <w:rPr>
          <w:highlight w:val="none"/>
        </w:rPr>
        <w:fldChar w:fldCharType="begin"/>
      </w:r>
      <w:r>
        <w:rPr>
          <w:highlight w:val="none"/>
        </w:rPr>
        <w:instrText xml:space="preserve"> PAGEREF _Toc15140 \h </w:instrText>
      </w:r>
      <w:r>
        <w:rPr>
          <w:highlight w:val="none"/>
        </w:rPr>
        <w:fldChar w:fldCharType="separate"/>
      </w:r>
      <w:r>
        <w:rPr>
          <w:highlight w:val="none"/>
        </w:rPr>
        <w:t>22</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_Toc10514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_Toc10514 \h </w:instrText>
      </w:r>
      <w:r>
        <w:rPr>
          <w:highlight w:val="none"/>
        </w:rPr>
        <w:fldChar w:fldCharType="separate"/>
      </w:r>
      <w:r>
        <w:rPr>
          <w:highlight w:val="none"/>
        </w:rPr>
        <w:t>23</w:t>
      </w:r>
      <w:r>
        <w:rPr>
          <w:highlight w:val="none"/>
        </w:rPr>
        <w:fldChar w:fldCharType="end"/>
      </w:r>
      <w:r>
        <w:rPr>
          <w:rFonts w:hint="eastAsia" w:ascii="宋体" w:hAnsi="宋体" w:cs="宋体"/>
          <w:bCs/>
          <w:caps/>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247096243"/>
      <w:bookmarkStart w:id="6" w:name="_Toc144974479"/>
      <w:bookmarkStart w:id="7" w:name="_Toc507319890"/>
      <w:bookmarkStart w:id="8" w:name="_Toc246996900"/>
      <w:bookmarkStart w:id="9" w:name="_Toc247085671"/>
      <w:bookmarkStart w:id="10" w:name="_Toc152042287"/>
      <w:bookmarkStart w:id="11" w:name="_Toc2000404"/>
      <w:bookmarkStart w:id="12" w:name="_Toc152045511"/>
      <w:bookmarkStart w:id="13" w:name="_Toc179632527"/>
      <w:bookmarkStart w:id="14" w:name="_Toc246996157"/>
      <w:bookmarkStart w:id="15" w:name="_Toc18378"/>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2"/>
      <w:bookmarkStart w:id="17" w:name="OLE_LINK3"/>
    </w:p>
    <w:p>
      <w:pPr>
        <w:pStyle w:val="4"/>
        <w:spacing w:before="0" w:after="0" w:line="360" w:lineRule="auto"/>
        <w:rPr>
          <w:rFonts w:ascii="宋体" w:hAnsi="宋体" w:eastAsia="宋体" w:cs="宋体"/>
          <w:highlight w:val="none"/>
        </w:rPr>
      </w:pPr>
      <w:bookmarkStart w:id="18" w:name="_Toc6549"/>
      <w:bookmarkStart w:id="19" w:name="_Toc246996158"/>
      <w:bookmarkStart w:id="20" w:name="_Toc30430"/>
      <w:bookmarkStart w:id="21" w:name="_Toc11329213"/>
      <w:bookmarkStart w:id="22" w:name="_Toc152045512"/>
      <w:bookmarkStart w:id="23" w:name="_Toc152042288"/>
      <w:bookmarkStart w:id="24" w:name="_Toc24874"/>
      <w:bookmarkStart w:id="25" w:name="_Toc507319891"/>
      <w:bookmarkStart w:id="26" w:name="_Toc247085672"/>
      <w:bookmarkStart w:id="27" w:name="_Toc10076"/>
      <w:bookmarkStart w:id="28" w:name="_Toc179632528"/>
      <w:bookmarkStart w:id="29" w:name="_Toc246996901"/>
      <w:bookmarkStart w:id="30" w:name="_Toc144974480"/>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四公里办公大楼文化打造装饰装修项目</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1" w:name="_Toc11329214"/>
      <w:bookmarkStart w:id="32" w:name="_Toc247085673"/>
      <w:bookmarkStart w:id="33" w:name="_Toc246996902"/>
      <w:bookmarkStart w:id="34" w:name="_Toc18109"/>
      <w:bookmarkStart w:id="35" w:name="_Toc13546"/>
      <w:bookmarkStart w:id="36" w:name="_Toc144974481"/>
      <w:bookmarkStart w:id="37" w:name="_Toc507319892"/>
      <w:bookmarkStart w:id="38" w:name="_Toc152042289"/>
      <w:bookmarkStart w:id="39" w:name="_Toc179632529"/>
      <w:bookmarkStart w:id="40" w:name="_Toc246996159"/>
      <w:bookmarkStart w:id="41" w:name="_Toc21343"/>
      <w:bookmarkStart w:id="42" w:name="_Toc10952"/>
      <w:bookmarkStart w:id="43" w:name="_Toc152045513"/>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44" w:name="_Toc446247226"/>
      <w:r>
        <w:rPr>
          <w:rFonts w:hint="eastAsia" w:ascii="宋体" w:hAnsi="宋体" w:cs="宋体"/>
          <w:szCs w:val="21"/>
          <w:highlight w:val="none"/>
        </w:rPr>
        <w:t xml:space="preserve">2.1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项目地点：</w:t>
      </w:r>
      <w:bookmarkEnd w:id="44"/>
      <w:r>
        <w:rPr>
          <w:rFonts w:hint="eastAsia" w:ascii="宋体" w:hAnsi="宋体" w:cs="宋体"/>
          <w:color w:val="000000" w:themeColor="text1"/>
          <w:lang w:val="en-US" w:eastAsia="zh-CN"/>
          <w14:textFill>
            <w14:solidFill>
              <w14:schemeClr w14:val="tx1"/>
            </w14:solidFill>
          </w14:textFill>
        </w:rPr>
        <w:t>重庆首讯科技股份</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有限公司。</w:t>
      </w:r>
    </w:p>
    <w:p>
      <w:pPr>
        <w:pStyle w:val="13"/>
        <w:numPr>
          <w:ilvl w:val="0"/>
          <w:numId w:val="0"/>
        </w:numPr>
        <w:adjustRightInd w:val="0"/>
        <w:spacing w:line="400" w:lineRule="exact"/>
        <w:ind w:firstLine="420" w:firstLineChars="20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2.2 项目概况：主要建设内容包括</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对首讯公司四公里基地3楼、4楼走廊及楼梯间部分的墙面文化建设设计施工改造、休息区的墙面文化建设设计施工改造、墙面柜体定制、接待台家具柜体定制、吊顶拆除、吊顶施工、会议室的墙面文化设计打造、调度室的文化设计打造、灯具安装、荣誉室的墙面装饰和文化建设施工等工作内容，详清单所示范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采购预计金额：56.91万元。</w:t>
      </w:r>
    </w:p>
    <w:p>
      <w:pPr>
        <w:pStyle w:val="13"/>
        <w:adjustRightInd w:val="0"/>
        <w:spacing w:line="400" w:lineRule="exact"/>
        <w:rPr>
          <w:rFonts w:hint="eastAsia" w:ascii="宋体" w:hAnsi="宋体" w:cs="宋体"/>
          <w:szCs w:val="21"/>
          <w:highlight w:val="none"/>
          <w:lang w:val="en-US" w:eastAsia="zh-CN"/>
        </w:rPr>
      </w:pPr>
      <w:r>
        <w:rPr>
          <w:rFonts w:hint="eastAsia" w:ascii="宋体" w:hAnsi="宋体" w:cs="宋体"/>
          <w:highlight w:val="none"/>
        </w:rPr>
        <w:t>2.3 比选范围：</w:t>
      </w:r>
      <w:r>
        <w:rPr>
          <w:rFonts w:hint="eastAsia" w:ascii="宋体" w:hAnsi="宋体" w:cs="宋体"/>
          <w:szCs w:val="21"/>
          <w:highlight w:val="none"/>
          <w:lang w:val="en-US" w:eastAsia="zh-CN"/>
        </w:rPr>
        <w:t>以甲方指令的关于本工程的标准设计施工图、合同清单、图纸会审纪要、变更通知、通知单等为依据，由乙方承担本工程的首讯公司文化建设施工相关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开工日期：以甲方实际下达的开工通知为准</w:t>
      </w:r>
      <w:r>
        <w:rPr>
          <w:rFonts w:hint="eastAsia" w:ascii="宋体" w:hAnsi="宋体" w:cs="宋体"/>
          <w:b w:val="0"/>
          <w:bCs w:val="0"/>
          <w:kern w:val="2"/>
          <w:sz w:val="21"/>
          <w:szCs w:val="24"/>
          <w:highlight w:val="none"/>
          <w:lang w:val="en-US" w:eastAsia="zh-CN" w:bidi="ar-SA"/>
        </w:rPr>
        <w:t>；暂定工期</w:t>
      </w:r>
      <w:r>
        <w:rPr>
          <w:rFonts w:hint="eastAsia" w:ascii="宋体" w:hAnsi="宋体" w:eastAsia="宋体" w:cs="宋体"/>
          <w:b w:val="0"/>
          <w:bCs w:val="0"/>
          <w:kern w:val="2"/>
          <w:sz w:val="21"/>
          <w:szCs w:val="24"/>
          <w:highlight w:val="none"/>
          <w:lang w:val="en-US" w:eastAsia="zh-CN" w:bidi="ar-SA"/>
        </w:rPr>
        <w:t>：</w:t>
      </w:r>
      <w:r>
        <w:rPr>
          <w:rFonts w:hint="eastAsia" w:ascii="宋体" w:hAnsi="宋体" w:cs="宋体"/>
          <w:b w:val="0"/>
          <w:bCs w:val="0"/>
          <w:kern w:val="2"/>
          <w:sz w:val="21"/>
          <w:szCs w:val="24"/>
          <w:highlight w:val="none"/>
          <w:lang w:val="en-US" w:eastAsia="zh-CN" w:bidi="ar-SA"/>
        </w:rPr>
        <w:t>30天</w:t>
      </w:r>
      <w:r>
        <w:rPr>
          <w:rFonts w:hint="eastAsia" w:ascii="宋体" w:hAnsi="宋体" w:eastAsia="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eastAsia="宋体" w:cs="宋体"/>
          <w:b/>
          <w:bCs/>
          <w:highlight w:val="none"/>
          <w:lang w:val="en-US" w:eastAsia="zh-CN"/>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ascii="宋体" w:hAnsi="宋体" w:eastAsia="宋体" w:cs="宋体"/>
          <w:highlight w:val="none"/>
        </w:rPr>
      </w:pPr>
      <w:bookmarkStart w:id="45" w:name="_Toc152042290"/>
      <w:bookmarkStart w:id="46" w:name="_Toc507319893"/>
      <w:bookmarkStart w:id="47" w:name="_Toc11874"/>
      <w:bookmarkStart w:id="48" w:name="_Toc30356"/>
      <w:bookmarkStart w:id="49" w:name="_Toc179632530"/>
      <w:bookmarkStart w:id="50" w:name="_Toc11329215"/>
      <w:bookmarkStart w:id="51" w:name="_Toc144974482"/>
      <w:bookmarkStart w:id="52" w:name="_Toc152045514"/>
      <w:bookmarkStart w:id="53" w:name="_Toc10171"/>
      <w:bookmarkStart w:id="54" w:name="_Toc247085674"/>
      <w:bookmarkStart w:id="55" w:name="_Toc7065"/>
      <w:bookmarkStart w:id="56" w:name="_Toc246996903"/>
      <w:bookmarkStart w:id="57" w:name="_Toc246996160"/>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pStyle w:val="13"/>
        <w:adjustRightInd w:val="0"/>
        <w:spacing w:line="400" w:lineRule="exact"/>
        <w:rPr>
          <w:rFonts w:hint="eastAsia" w:ascii="宋体" w:hAnsi="宋体" w:cs="宋体"/>
          <w:highlight w:val="none"/>
          <w:lang w:val="en-US" w:eastAsia="zh-CN"/>
        </w:rPr>
      </w:pPr>
      <w:bookmarkStart w:id="58" w:name="_Toc144974483"/>
      <w:bookmarkStart w:id="59" w:name="_Toc152042291"/>
      <w:bookmarkStart w:id="60" w:name="_Toc247085675"/>
      <w:bookmarkStart w:id="61" w:name="_Toc246996904"/>
      <w:bookmarkStart w:id="62" w:name="_Toc179632531"/>
      <w:bookmarkStart w:id="63" w:name="_Toc152045515"/>
      <w:bookmarkStart w:id="64" w:name="_Toc246996161"/>
      <w:r>
        <w:rPr>
          <w:rFonts w:hint="eastAsia" w:ascii="宋体" w:hAnsi="宋体" w:cs="宋体"/>
          <w:highlight w:val="none"/>
          <w:lang w:val="en-US" w:eastAsia="zh-CN"/>
        </w:rPr>
        <w:t>3.1 资质要求：</w:t>
      </w:r>
    </w:p>
    <w:p>
      <w:pPr>
        <w:pStyle w:val="13"/>
        <w:adjustRightInd w:val="0"/>
        <w:spacing w:line="400" w:lineRule="exact"/>
        <w:rPr>
          <w:rFonts w:hint="eastAsia" w:ascii="宋体" w:hAnsi="宋体" w:cs="宋体"/>
          <w:highlight w:val="none"/>
          <w:lang w:val="en-US" w:eastAsia="zh-CN"/>
        </w:rPr>
      </w:pPr>
      <w:r>
        <w:rPr>
          <w:rFonts w:hint="eastAsia" w:ascii="宋体" w:hAnsi="宋体" w:cs="宋体"/>
          <w:highlight w:val="none"/>
          <w:lang w:val="en-US" w:eastAsia="zh-CN"/>
        </w:rPr>
        <w:t>（1）具备独立法人资格，具有有效的营业执照；</w:t>
      </w:r>
    </w:p>
    <w:p>
      <w:pPr>
        <w:pStyle w:val="13"/>
        <w:adjustRightInd w:val="0"/>
        <w:spacing w:line="400" w:lineRule="exact"/>
        <w:rPr>
          <w:rFonts w:hint="eastAsia" w:ascii="宋体" w:hAnsi="宋体" w:cs="宋体"/>
          <w:highlight w:val="none"/>
          <w:lang w:val="en-US" w:eastAsia="zh-CN"/>
        </w:rPr>
      </w:pPr>
      <w:r>
        <w:rPr>
          <w:rFonts w:hint="eastAsia" w:ascii="宋体" w:hAnsi="宋体" w:cs="宋体"/>
          <w:highlight w:val="none"/>
          <w:lang w:val="en-US" w:eastAsia="zh-CN"/>
        </w:rPr>
        <w:t>（2）具备有效的安全生产许可证；</w:t>
      </w:r>
    </w:p>
    <w:p>
      <w:pPr>
        <w:pStyle w:val="13"/>
        <w:adjustRightInd w:val="0"/>
        <w:spacing w:line="400" w:lineRule="exact"/>
        <w:rPr>
          <w:rFonts w:hint="eastAsia" w:ascii="宋体" w:hAnsi="宋体" w:cs="宋体"/>
          <w:highlight w:val="none"/>
          <w:lang w:val="en-US" w:eastAsia="zh-CN"/>
        </w:rPr>
      </w:pPr>
      <w:r>
        <w:rPr>
          <w:rFonts w:hint="eastAsia" w:ascii="宋体" w:hAnsi="宋体" w:cs="宋体"/>
          <w:highlight w:val="none"/>
          <w:lang w:val="en-US" w:eastAsia="zh-CN"/>
        </w:rPr>
        <w:t>（3）具备建筑装修装饰工程专业承包贰级及以上资质（含贰级）；</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3.2 业绩要求：</w:t>
      </w:r>
      <w:r>
        <w:rPr>
          <w:rFonts w:hint="eastAsia" w:ascii="宋体" w:hAnsi="宋体" w:cs="宋体"/>
          <w:highlight w:val="none"/>
          <w:lang w:val="en-US" w:eastAsia="zh-CN"/>
        </w:rPr>
        <w:t>报价人自2021年1月1日至投标截止日(以合同签订时间为准）至少具有1个合同金额不低于30万元的类似展厅或其他装饰装修施工项目业绩（提供合同扫描件及对应增值税发票复印件，发票金额需达到30万元）</w:t>
      </w:r>
      <w:r>
        <w:rPr>
          <w:rFonts w:hint="eastAsia" w:ascii="宋体" w:hAnsi="宋体" w:eastAsia="宋体" w:cs="宋体"/>
          <w:highlight w:val="none"/>
          <w:lang w:val="en-US" w:eastAsia="zh-CN"/>
        </w:rPr>
        <w:t>。</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3.3 信誉要求：在国家企业信用信息公示系统（http://www.gsxt.gov.cn/）中未被列入严重违法失信企业名单（黑名单）信息；在“信用中国”网站（http://www.creditchina.gov.cn/）中未被列入失信惩戒执行人名单。</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3.4 报价人须提供采购人要求的所有资质要求、业绩要求、信誉要求的复印件并加盖单位鲜公章。</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3.5 本次比选不接受联合体报价。</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3.6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highlight w:val="none"/>
          <w:lang w:val="en-US" w:eastAsia="zh-CN"/>
          <w14:textFill>
            <w14:solidFill>
              <w14:schemeClr w14:val="tx1"/>
            </w14:solidFill>
          </w14:textFill>
        </w:rPr>
      </w:pPr>
      <w:bookmarkStart w:id="65" w:name="_Toc9941"/>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评标办法</w:t>
      </w:r>
      <w:bookmarkEnd w:id="65"/>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本项目采用</w:t>
      </w:r>
      <w:r>
        <w:rPr>
          <w:rFonts w:hint="eastAsia" w:ascii="宋体" w:hAnsi="宋体" w:cs="宋体"/>
          <w:highlight w:val="none"/>
          <w:lang w:val="en-US" w:eastAsia="zh-CN"/>
        </w:rPr>
        <w:t>综合评估法</w:t>
      </w:r>
      <w:r>
        <w:rPr>
          <w:rFonts w:hint="eastAsia" w:ascii="宋体" w:hAnsi="宋体" w:eastAsia="宋体" w:cs="宋体"/>
          <w:highlight w:val="none"/>
          <w:lang w:val="en-US" w:eastAsia="zh-CN"/>
        </w:rPr>
        <w:t>。</w:t>
      </w:r>
    </w:p>
    <w:p>
      <w:pPr>
        <w:pStyle w:val="4"/>
        <w:spacing w:before="120" w:after="0" w:line="400" w:lineRule="exact"/>
        <w:rPr>
          <w:rFonts w:ascii="宋体" w:hAnsi="宋体" w:eastAsia="宋体" w:cs="宋体"/>
          <w:highlight w:val="none"/>
        </w:rPr>
      </w:pPr>
      <w:bookmarkStart w:id="66" w:name="_Toc11329216"/>
      <w:bookmarkStart w:id="67" w:name="_Toc14361"/>
      <w:bookmarkStart w:id="68" w:name="_Toc12460"/>
      <w:bookmarkStart w:id="69" w:name="_Toc25619"/>
      <w:bookmarkStart w:id="70" w:name="_Toc20441"/>
      <w:bookmarkStart w:id="71" w:name="_Toc507319894"/>
      <w:r>
        <w:rPr>
          <w:rFonts w:hint="eastAsia" w:ascii="宋体" w:hAnsi="宋体" w:eastAsia="宋体" w:cs="宋体"/>
          <w:highlight w:val="none"/>
          <w:lang w:val="en-US" w:eastAsia="zh-CN"/>
        </w:rPr>
        <w:t>5</w:t>
      </w:r>
      <w:r>
        <w:rPr>
          <w:rFonts w:hint="eastAsia" w:ascii="宋体" w:hAnsi="宋体" w:eastAsia="宋体" w:cs="宋体"/>
          <w:highlight w:val="none"/>
        </w:rPr>
        <w:t>. 比选文件的获取</w:t>
      </w:r>
      <w:bookmarkEnd w:id="58"/>
      <w:bookmarkEnd w:id="59"/>
      <w:bookmarkEnd w:id="60"/>
      <w:bookmarkEnd w:id="61"/>
      <w:bookmarkEnd w:id="62"/>
      <w:bookmarkEnd w:id="63"/>
      <w:bookmarkEnd w:id="64"/>
      <w:bookmarkEnd w:id="66"/>
      <w:bookmarkEnd w:id="67"/>
      <w:bookmarkEnd w:id="68"/>
      <w:bookmarkEnd w:id="69"/>
      <w:bookmarkEnd w:id="70"/>
      <w:bookmarkEnd w:id="71"/>
    </w:p>
    <w:p>
      <w:pPr>
        <w:pStyle w:val="13"/>
        <w:adjustRightInd w:val="0"/>
        <w:spacing w:line="400" w:lineRule="exact"/>
        <w:rPr>
          <w:rFonts w:hint="eastAsia" w:ascii="宋体" w:hAnsi="宋体" w:eastAsia="宋体" w:cs="宋体"/>
          <w:highlight w:val="none"/>
          <w:lang w:val="en-US" w:eastAsia="zh-CN"/>
        </w:rPr>
      </w:pPr>
      <w:bookmarkStart w:id="72" w:name="_Toc246996162"/>
      <w:bookmarkStart w:id="73" w:name="_Toc179632532"/>
      <w:bookmarkStart w:id="74" w:name="_Toc152045516"/>
      <w:bookmarkStart w:id="75" w:name="_Toc11329217"/>
      <w:bookmarkStart w:id="76" w:name="_Toc246996905"/>
      <w:bookmarkStart w:id="77" w:name="_Toc247085676"/>
      <w:bookmarkStart w:id="78" w:name="_Toc152042292"/>
      <w:bookmarkStart w:id="79" w:name="_Toc144974484"/>
      <w:bookmarkStart w:id="80" w:name="_Toc507319895"/>
      <w:bookmarkStart w:id="81" w:name="_Toc16686"/>
      <w:bookmarkStart w:id="82" w:name="_Toc31493"/>
      <w:bookmarkStart w:id="83" w:name="_Toc9131"/>
      <w:r>
        <w:rPr>
          <w:rFonts w:hint="eastAsia" w:ascii="宋体" w:hAnsi="宋体" w:eastAsia="宋体" w:cs="宋体"/>
          <w:highlight w:val="none"/>
          <w:lang w:val="en-US" w:eastAsia="zh-CN"/>
        </w:rPr>
        <w:t>凡愿意参加的潜在报价人，在202</w:t>
      </w:r>
      <w:r>
        <w:rPr>
          <w:rFonts w:hint="eastAsia" w:ascii="宋体" w:hAnsi="宋体" w:cs="宋体"/>
          <w:highlight w:val="none"/>
          <w:lang w:val="en-US" w:eastAsia="zh-CN"/>
        </w:rPr>
        <w:t>4</w:t>
      </w:r>
      <w:r>
        <w:rPr>
          <w:rFonts w:hint="eastAsia" w:ascii="宋体" w:hAnsi="宋体" w:eastAsia="宋体" w:cs="宋体"/>
          <w:highlight w:val="none"/>
          <w:lang w:val="en-US" w:eastAsia="zh-CN"/>
        </w:rPr>
        <w:t>年</w:t>
      </w:r>
      <w:r>
        <w:rPr>
          <w:rFonts w:hint="eastAsia" w:ascii="宋体" w:hAnsi="宋体" w:cs="宋体"/>
          <w:highlight w:val="none"/>
          <w:lang w:val="en-US" w:eastAsia="zh-CN"/>
        </w:rPr>
        <w:t>8</w:t>
      </w:r>
      <w:r>
        <w:rPr>
          <w:rFonts w:hint="eastAsia" w:ascii="宋体" w:hAnsi="宋体" w:eastAsia="宋体" w:cs="宋体"/>
          <w:highlight w:val="none"/>
          <w:lang w:val="en-US" w:eastAsia="zh-CN"/>
        </w:rPr>
        <w:t>月</w:t>
      </w:r>
      <w:r>
        <w:rPr>
          <w:rFonts w:hint="eastAsia" w:ascii="宋体" w:hAnsi="宋体" w:cs="宋体"/>
          <w:highlight w:val="none"/>
          <w:lang w:val="en-US" w:eastAsia="zh-CN"/>
        </w:rPr>
        <w:t>21</w:t>
      </w:r>
      <w:r>
        <w:rPr>
          <w:rFonts w:hint="eastAsia" w:ascii="宋体" w:hAnsi="宋体" w:eastAsia="宋体" w:cs="宋体"/>
          <w:highlight w:val="none"/>
          <w:lang w:val="en-US" w:eastAsia="zh-CN"/>
        </w:rPr>
        <w:t>日上午10:00前</w:t>
      </w:r>
      <w:r>
        <w:rPr>
          <w:rFonts w:hint="eastAsia" w:ascii="宋体" w:hAnsi="宋体" w:cs="宋体"/>
        </w:rPr>
        <w:t>前在重庆高速集团官网</w:t>
      </w:r>
      <w:r>
        <w:rPr>
          <w:rFonts w:hint="eastAsia" w:ascii="宋体" w:hAnsi="宋体" w:cs="宋体"/>
          <w:lang w:val="en-US" w:eastAsia="zh-CN"/>
        </w:rPr>
        <w:t>（</w:t>
      </w:r>
      <w:r>
        <w:rPr>
          <w:rFonts w:hint="eastAsia" w:ascii="宋体" w:hAnsi="宋体" w:eastAsia="宋体" w:cs="宋体"/>
          <w:highlight w:val="none"/>
          <w:lang w:val="en-US" w:eastAsia="zh-CN"/>
        </w:rPr>
        <w:t>https://www.cegc.com.cn/html/col1810480.html</w:t>
      </w:r>
      <w:r>
        <w:rPr>
          <w:rFonts w:hint="eastAsia" w:ascii="宋体" w:hAnsi="宋体" w:cs="宋体"/>
          <w:lang w:val="en-US" w:eastAsia="zh-CN"/>
        </w:rPr>
        <w:t>）上</w:t>
      </w:r>
      <w:r>
        <w:rPr>
          <w:rFonts w:hint="eastAsia" w:ascii="宋体" w:hAnsi="宋体" w:cs="宋体"/>
        </w:rPr>
        <w:t>获取竞争性比选文件，各报价人应随时关注网上发布的竞争性比选文件答疑、补遗、澄清等文件内容，不管报价人是否下载，均视为已知晓竞争性比选文件的全部内容和有关事宜</w:t>
      </w:r>
      <w:r>
        <w:rPr>
          <w:rFonts w:hint="eastAsia" w:ascii="宋体" w:hAnsi="宋体" w:cs="宋体"/>
          <w:lang w:eastAsia="zh-CN"/>
        </w:rPr>
        <w:t>。</w:t>
      </w:r>
    </w:p>
    <w:p>
      <w:pPr>
        <w:pStyle w:val="4"/>
        <w:spacing w:before="120" w:after="0" w:line="400" w:lineRule="exact"/>
        <w:rPr>
          <w:rFonts w:ascii="宋体" w:hAnsi="宋体" w:eastAsia="宋体" w:cs="宋体"/>
          <w:highlight w:val="none"/>
        </w:rPr>
      </w:pPr>
      <w:bookmarkStart w:id="84" w:name="_Toc6883"/>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pStyle w:val="13"/>
        <w:adjustRightInd w:val="0"/>
        <w:spacing w:line="400" w:lineRule="exact"/>
        <w:rPr>
          <w:rFonts w:hint="eastAsia" w:ascii="宋体" w:hAnsi="宋体" w:eastAsia="宋体" w:cs="宋体"/>
          <w:highlight w:val="none"/>
          <w:lang w:val="en-US" w:eastAsia="zh-CN"/>
        </w:rPr>
      </w:pPr>
      <w:bookmarkStart w:id="85" w:name="_Toc246996164"/>
      <w:bookmarkStart w:id="86" w:name="_Toc507319897"/>
      <w:bookmarkStart w:id="87" w:name="_Toc246996907"/>
      <w:bookmarkStart w:id="88" w:name="_Toc18402"/>
      <w:bookmarkStart w:id="89" w:name="_Toc144974485"/>
      <w:bookmarkStart w:id="90" w:name="_Toc11329219"/>
      <w:bookmarkStart w:id="91" w:name="_Toc152042293"/>
      <w:bookmarkStart w:id="92" w:name="_Toc393"/>
      <w:bookmarkStart w:id="93" w:name="_Toc21615"/>
      <w:bookmarkStart w:id="94" w:name="_Toc179632534"/>
      <w:bookmarkStart w:id="95" w:name="_Toc247085678"/>
      <w:bookmarkStart w:id="96" w:name="_Toc152045517"/>
      <w:r>
        <w:rPr>
          <w:rFonts w:hint="eastAsia" w:ascii="宋体" w:hAnsi="宋体" w:eastAsia="宋体" w:cs="宋体"/>
          <w:highlight w:val="none"/>
          <w:lang w:val="en-US" w:eastAsia="zh-CN"/>
        </w:rPr>
        <w:t>6.1报价截止时间和开标时间：202</w:t>
      </w:r>
      <w:r>
        <w:rPr>
          <w:rFonts w:hint="eastAsia" w:ascii="宋体" w:hAnsi="宋体" w:cs="宋体"/>
          <w:highlight w:val="none"/>
          <w:lang w:val="en-US" w:eastAsia="zh-CN"/>
        </w:rPr>
        <w:t>4</w:t>
      </w:r>
      <w:r>
        <w:rPr>
          <w:rFonts w:hint="eastAsia" w:ascii="宋体" w:hAnsi="宋体" w:eastAsia="宋体" w:cs="宋体"/>
          <w:highlight w:val="none"/>
          <w:lang w:val="en-US" w:eastAsia="zh-CN"/>
        </w:rPr>
        <w:t>年</w:t>
      </w:r>
      <w:r>
        <w:rPr>
          <w:rFonts w:hint="eastAsia" w:ascii="宋体" w:hAnsi="宋体" w:cs="宋体"/>
          <w:highlight w:val="none"/>
          <w:lang w:val="en-US" w:eastAsia="zh-CN"/>
        </w:rPr>
        <w:t>8</w:t>
      </w:r>
      <w:r>
        <w:rPr>
          <w:rFonts w:hint="eastAsia" w:ascii="宋体" w:hAnsi="宋体" w:eastAsia="宋体" w:cs="宋体"/>
          <w:highlight w:val="none"/>
          <w:lang w:val="en-US" w:eastAsia="zh-CN"/>
        </w:rPr>
        <w:t>月</w:t>
      </w:r>
      <w:r>
        <w:rPr>
          <w:rFonts w:hint="eastAsia" w:ascii="宋体" w:hAnsi="宋体" w:cs="宋体"/>
          <w:highlight w:val="none"/>
          <w:lang w:val="en-US" w:eastAsia="zh-CN"/>
        </w:rPr>
        <w:t>21</w:t>
      </w:r>
      <w:r>
        <w:rPr>
          <w:rFonts w:hint="eastAsia" w:ascii="宋体" w:hAnsi="宋体" w:eastAsia="宋体" w:cs="宋体"/>
          <w:highlight w:val="none"/>
          <w:lang w:val="en-US" w:eastAsia="zh-CN"/>
        </w:rPr>
        <w:t>日上午10时00分（北京时间）。</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w:t>
      </w:r>
      <w:r>
        <w:rPr>
          <w:rFonts w:hint="eastAsia" w:ascii="宋体" w:hAnsi="宋体" w:eastAsia="宋体" w:cs="宋体"/>
          <w:highlight w:val="none"/>
          <w:lang w:val="en-US" w:eastAsia="zh-CN"/>
        </w:rPr>
        <w:t>2</w:t>
      </w:r>
      <w:r>
        <w:rPr>
          <w:rFonts w:hint="default" w:ascii="宋体" w:hAnsi="宋体" w:eastAsia="宋体" w:cs="宋体"/>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.3 递交地址：重庆市渝北区新南路52号东界龙湖</w:t>
      </w:r>
      <w:r>
        <w:rPr>
          <w:rFonts w:hint="eastAsia" w:ascii="宋体" w:hAnsi="宋体" w:cs="宋体"/>
          <w:highlight w:val="none"/>
          <w:lang w:val="en-US" w:eastAsia="zh-CN"/>
        </w:rPr>
        <w:t>一</w:t>
      </w:r>
      <w:r>
        <w:rPr>
          <w:rFonts w:hint="default" w:ascii="宋体" w:hAnsi="宋体" w:eastAsia="宋体" w:cs="宋体"/>
          <w:highlight w:val="none"/>
          <w:lang w:val="en-US" w:eastAsia="zh-CN"/>
        </w:rPr>
        <w:t>楼。</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.4 逾期送达，或未送达指定地点，或未密封的竞争性比选响应文件，采购人不予受理。</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6.5采购人不组织</w:t>
      </w:r>
      <w:r>
        <w:rPr>
          <w:rFonts w:hint="eastAsia" w:ascii="宋体" w:hAnsi="宋体" w:cs="宋体"/>
          <w:highlight w:val="none"/>
          <w:lang w:val="en-US" w:eastAsia="zh-CN"/>
        </w:rPr>
        <w:t>项目</w:t>
      </w:r>
      <w:r>
        <w:rPr>
          <w:rFonts w:hint="eastAsia" w:ascii="宋体" w:hAnsi="宋体" w:eastAsia="宋体" w:cs="宋体"/>
          <w:highlight w:val="none"/>
          <w:lang w:val="en-US" w:eastAsia="zh-CN"/>
        </w:rPr>
        <w:t>现场踏勘，不召开报价预备会。</w:t>
      </w:r>
    </w:p>
    <w:p>
      <w:pPr>
        <w:pStyle w:val="4"/>
        <w:spacing w:before="120" w:after="0" w:line="400" w:lineRule="exact"/>
        <w:rPr>
          <w:rFonts w:ascii="宋体" w:hAnsi="宋体" w:eastAsia="宋体" w:cs="宋体"/>
          <w:highlight w:val="none"/>
        </w:rPr>
      </w:pPr>
      <w:bookmarkStart w:id="97" w:name="_Toc12272"/>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3"/>
        <w:tblW w:w="9388" w:type="dxa"/>
        <w:tblInd w:w="0" w:type="dxa"/>
        <w:tblLayout w:type="fixed"/>
        <w:tblCellMar>
          <w:top w:w="0" w:type="dxa"/>
          <w:left w:w="108" w:type="dxa"/>
          <w:bottom w:w="0" w:type="dxa"/>
          <w:right w:w="108" w:type="dxa"/>
        </w:tblCellMar>
      </w:tblPr>
      <w:tblGrid>
        <w:gridCol w:w="9388"/>
      </w:tblGrid>
      <w:tr>
        <w:tblPrEx>
          <w:tblCellMar>
            <w:top w:w="0" w:type="dxa"/>
            <w:left w:w="108" w:type="dxa"/>
            <w:bottom w:w="0" w:type="dxa"/>
            <w:right w:w="108" w:type="dxa"/>
          </w:tblCellMar>
        </w:tblPrEx>
        <w:trPr>
          <w:trHeight w:val="470" w:hRule="atLeast"/>
        </w:trPr>
        <w:tc>
          <w:tcPr>
            <w:tcW w:w="9388"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r>
      <w:tr>
        <w:tblPrEx>
          <w:tblCellMar>
            <w:top w:w="0" w:type="dxa"/>
            <w:left w:w="108" w:type="dxa"/>
            <w:bottom w:w="0" w:type="dxa"/>
            <w:right w:w="108" w:type="dxa"/>
          </w:tblCellMar>
        </w:tblPrEx>
        <w:trPr>
          <w:trHeight w:val="461" w:hRule="atLeast"/>
        </w:trPr>
        <w:tc>
          <w:tcPr>
            <w:tcW w:w="9388" w:type="dxa"/>
            <w:vAlign w:val="center"/>
          </w:tcPr>
          <w:p>
            <w:pPr>
              <w:keepNext w:val="0"/>
              <w:keepLines w:val="0"/>
              <w:widowControl w:val="0"/>
              <w:suppressLineNumbers w:val="0"/>
              <w:topLinePunct/>
              <w:spacing w:before="0" w:beforeAutospacing="0" w:after="0" w:afterAutospacing="0" w:line="400" w:lineRule="exact"/>
              <w:ind w:left="1050" w:leftChars="200" w:right="0" w:hanging="630" w:hangingChars="300"/>
              <w:jc w:val="both"/>
              <w:rPr>
                <w:rFonts w:hint="default" w:ascii="宋体" w:hAnsi="宋体" w:cs="宋体"/>
                <w:szCs w:val="21"/>
                <w:highlight w:val="none"/>
                <w:lang w:val="en-US"/>
              </w:rPr>
            </w:pPr>
            <w:r>
              <w:rPr>
                <w:rFonts w:hint="eastAsia" w:ascii="宋体" w:hAnsi="宋体" w:cs="宋体"/>
                <w:szCs w:val="21"/>
                <w:highlight w:val="none"/>
              </w:rPr>
              <w:t>地址：</w:t>
            </w:r>
            <w:r>
              <w:rPr>
                <w:rFonts w:hint="eastAsia" w:ascii="宋体" w:hAnsi="宋体" w:cs="宋体"/>
                <w:szCs w:val="21"/>
                <w:highlight w:val="none"/>
                <w:lang w:val="en-US" w:eastAsia="zh-CN"/>
              </w:rPr>
              <w:t>重庆市渝北区新南路52号东界龙湖三楼</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刘</w:t>
            </w:r>
            <w:r>
              <w:rPr>
                <w:rFonts w:hint="eastAsia" w:ascii="宋体" w:hAnsi="宋体" w:cs="宋体"/>
                <w:szCs w:val="21"/>
                <w:highlight w:val="none"/>
              </w:rPr>
              <w:t>老师  电 话：</w:t>
            </w:r>
            <w:r>
              <w:rPr>
                <w:rFonts w:hint="eastAsia" w:ascii="宋体" w:hAnsi="宋体" w:cs="宋体"/>
                <w:szCs w:val="21"/>
                <w:highlight w:val="none"/>
                <w:lang w:val="en-US" w:eastAsia="zh-CN"/>
              </w:rPr>
              <w:t>18623655450</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技术联系人：方老师  </w:t>
            </w:r>
            <w:r>
              <w:rPr>
                <w:rFonts w:hint="eastAsia" w:ascii="宋体" w:hAnsi="宋体" w:cs="宋体"/>
                <w:szCs w:val="21"/>
                <w:highlight w:val="none"/>
              </w:rPr>
              <w:t>电 话：</w:t>
            </w:r>
            <w:r>
              <w:rPr>
                <w:rFonts w:hint="eastAsia" w:ascii="宋体" w:hAnsi="宋体" w:cs="宋体"/>
                <w:szCs w:val="21"/>
                <w:highlight w:val="none"/>
                <w:lang w:val="en-US" w:eastAsia="zh-CN"/>
              </w:rPr>
              <w:t>18523811039</w:t>
            </w:r>
          </w:p>
        </w:tc>
      </w:tr>
    </w:tbl>
    <w:p>
      <w:pPr>
        <w:rPr>
          <w:highlight w:val="none"/>
        </w:rPr>
      </w:pPr>
    </w:p>
    <w:p>
      <w:pPr>
        <w:pStyle w:val="28"/>
        <w:rPr>
          <w:highlight w:val="none"/>
        </w:rPr>
      </w:pPr>
    </w:p>
    <w:p>
      <w:pPr>
        <w:rPr>
          <w:highlight w:val="none"/>
        </w:rPr>
      </w:pPr>
    </w:p>
    <w:p>
      <w:pPr>
        <w:pStyle w:val="12"/>
        <w:rPr>
          <w:highlight w:val="none"/>
        </w:rPr>
      </w:pPr>
    </w:p>
    <w:p>
      <w:pPr>
        <w:rPr>
          <w:highlight w:val="none"/>
        </w:rPr>
      </w:pPr>
    </w:p>
    <w:p>
      <w:pPr>
        <w:pStyle w:val="2"/>
        <w:rPr>
          <w:highlight w:val="none"/>
        </w:rPr>
      </w:pPr>
    </w:p>
    <w:p>
      <w:pPr>
        <w:rPr>
          <w:highlight w:val="none"/>
        </w:rPr>
      </w:pPr>
    </w:p>
    <w:p>
      <w:pPr>
        <w:pStyle w:val="2"/>
      </w:pPr>
    </w:p>
    <w:p>
      <w:pPr>
        <w:rPr>
          <w:highlight w:val="none"/>
        </w:rPr>
      </w:pPr>
    </w:p>
    <w:bookmarkEnd w:id="16"/>
    <w:bookmarkEnd w:id="17"/>
    <w:p>
      <w:pPr>
        <w:pStyle w:val="3"/>
        <w:spacing w:before="0" w:after="0" w:line="360" w:lineRule="auto"/>
        <w:jc w:val="center"/>
        <w:rPr>
          <w:rFonts w:ascii="宋体" w:hAnsi="宋体" w:cs="宋体"/>
          <w:highlight w:val="none"/>
        </w:rPr>
      </w:pPr>
      <w:bookmarkStart w:id="98" w:name="_Toc29948"/>
      <w:bookmarkStart w:id="99" w:name="_Toc144974495"/>
      <w:bookmarkStart w:id="100" w:name="_Toc152045527"/>
      <w:bookmarkStart w:id="101" w:name="_Toc152042303"/>
      <w:bookmarkStart w:id="102" w:name="_Toc2000405"/>
      <w:bookmarkStart w:id="103" w:name="_Toc246996916"/>
      <w:bookmarkStart w:id="104" w:name="_Toc246996173"/>
      <w:bookmarkStart w:id="105" w:name="_Toc179632544"/>
      <w:bookmarkStart w:id="106" w:name="_Toc507319898"/>
      <w:bookmarkStart w:id="107" w:name="_Toc24708568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p>
    <w:p>
      <w:pPr>
        <w:rPr>
          <w:highlight w:val="none"/>
        </w:rPr>
      </w:pP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092"/>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349" w:type="pct"/>
            <w:vAlign w:val="center"/>
          </w:tcPr>
          <w:p>
            <w:pPr>
              <w:spacing w:line="400" w:lineRule="exact"/>
              <w:jc w:val="center"/>
              <w:rPr>
                <w:rFonts w:ascii="宋体" w:hAnsi="宋体" w:cs="宋体"/>
                <w:b/>
                <w:kern w:val="0"/>
                <w:szCs w:val="21"/>
                <w:highlight w:val="none"/>
              </w:rPr>
            </w:pPr>
            <w:bookmarkStart w:id="108" w:name="_Toc326760840"/>
            <w:r>
              <w:rPr>
                <w:rFonts w:hint="eastAsia" w:ascii="宋体" w:hAnsi="宋体" w:cs="宋体"/>
                <w:b/>
                <w:kern w:val="0"/>
                <w:szCs w:val="21"/>
                <w:highlight w:val="none"/>
              </w:rPr>
              <w:t>序号</w:t>
            </w:r>
          </w:p>
        </w:tc>
        <w:tc>
          <w:tcPr>
            <w:tcW w:w="1062" w:type="pct"/>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3587" w:type="pct"/>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w:t>
            </w:r>
          </w:p>
        </w:tc>
        <w:tc>
          <w:tcPr>
            <w:tcW w:w="3587"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采购人：重庆首讯科技股份有限公司</w:t>
            </w:r>
          </w:p>
          <w:p>
            <w:pPr>
              <w:ind w:left="42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地  址：</w:t>
            </w:r>
            <w:r>
              <w:rPr>
                <w:rFonts w:hint="eastAsia" w:ascii="宋体" w:hAnsi="宋体" w:cs="宋体"/>
                <w:szCs w:val="21"/>
                <w:highlight w:val="none"/>
                <w:lang w:val="en-US" w:eastAsia="zh-CN"/>
              </w:rPr>
              <w:t>重庆市渝北区新南路52号东界龙湖三楼</w:t>
            </w:r>
          </w:p>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联系人：</w:t>
            </w:r>
            <w:r>
              <w:rPr>
                <w:rFonts w:hint="eastAsia" w:ascii="宋体" w:hAnsi="宋体" w:cs="宋体"/>
                <w:szCs w:val="21"/>
                <w:highlight w:val="none"/>
                <w:shd w:val="clear" w:color="auto" w:fill="FFFFFF"/>
                <w:lang w:val="en-US" w:eastAsia="zh-CN"/>
              </w:rPr>
              <w:t>刘</w:t>
            </w:r>
            <w:r>
              <w:rPr>
                <w:rFonts w:hint="eastAsia" w:ascii="宋体" w:hAnsi="宋体" w:cs="宋体"/>
                <w:szCs w:val="21"/>
                <w:highlight w:val="none"/>
                <w:shd w:val="clear" w:color="auto" w:fill="FFFFFF"/>
              </w:rPr>
              <w:t>老师</w:t>
            </w:r>
          </w:p>
          <w:p>
            <w:pPr>
              <w:ind w:left="420"/>
              <w:rPr>
                <w:rFonts w:hint="default" w:eastAsia="宋体"/>
                <w:highlight w:val="none"/>
                <w:lang w:val="en-US" w:eastAsia="zh-CN"/>
              </w:rPr>
            </w:pPr>
            <w:r>
              <w:rPr>
                <w:rFonts w:hint="eastAsia" w:ascii="宋体" w:hAnsi="宋体" w:cs="宋体"/>
                <w:szCs w:val="21"/>
                <w:highlight w:val="none"/>
                <w:shd w:val="clear" w:color="auto" w:fill="FFFFFF"/>
              </w:rPr>
              <w:t>电  话：</w:t>
            </w:r>
            <w:r>
              <w:rPr>
                <w:rFonts w:hint="eastAsia" w:ascii="宋体" w:hAnsi="宋体" w:cs="宋体"/>
                <w:szCs w:val="21"/>
                <w:highlight w:val="none"/>
                <w:shd w:val="clear" w:color="auto" w:fill="FFFFFF"/>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项目名称</w:t>
            </w:r>
          </w:p>
        </w:tc>
        <w:tc>
          <w:tcPr>
            <w:tcW w:w="3587" w:type="pct"/>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四公里办公大楼文化打造装饰装修项目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项目地点</w:t>
            </w:r>
          </w:p>
        </w:tc>
        <w:tc>
          <w:tcPr>
            <w:tcW w:w="3587" w:type="pct"/>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比选范围</w:t>
            </w:r>
          </w:p>
        </w:tc>
        <w:tc>
          <w:tcPr>
            <w:tcW w:w="3587" w:type="pct"/>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工期要求</w:t>
            </w:r>
          </w:p>
        </w:tc>
        <w:tc>
          <w:tcPr>
            <w:tcW w:w="3587" w:type="pct"/>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质量要求</w:t>
            </w:r>
          </w:p>
        </w:tc>
        <w:tc>
          <w:tcPr>
            <w:tcW w:w="3587" w:type="pct"/>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安全目标</w:t>
            </w:r>
          </w:p>
        </w:tc>
        <w:tc>
          <w:tcPr>
            <w:tcW w:w="3587" w:type="pct"/>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1062" w:type="pct"/>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报价人资质条件、能力与信誉</w:t>
            </w:r>
          </w:p>
        </w:tc>
        <w:tc>
          <w:tcPr>
            <w:tcW w:w="3587" w:type="pct"/>
            <w:vAlign w:val="center"/>
          </w:tcPr>
          <w:p>
            <w:pPr>
              <w:numPr>
                <w:ilvl w:val="0"/>
                <w:numId w:val="2"/>
              </w:numPr>
              <w:spacing w:line="400" w:lineRule="exact"/>
              <w:ind w:firstLine="420" w:firstLineChars="200"/>
              <w:rPr>
                <w:highlight w:val="none"/>
              </w:rPr>
            </w:pPr>
            <w:r>
              <w:rPr>
                <w:rFonts w:hint="eastAsia" w:ascii="宋体" w:hAnsi="宋体" w:cs="宋体"/>
                <w:szCs w:val="21"/>
                <w:highlight w:val="none"/>
              </w:rPr>
              <w:t>资质条件：见比选公告3.1</w:t>
            </w:r>
          </w:p>
          <w:p>
            <w:pPr>
              <w:spacing w:line="400" w:lineRule="exact"/>
              <w:ind w:firstLine="420" w:firstLineChars="200"/>
              <w:rPr>
                <w:highlight w:val="none"/>
              </w:rPr>
            </w:pPr>
            <w:r>
              <w:rPr>
                <w:rFonts w:hint="eastAsia" w:ascii="宋体" w:hAnsi="宋体" w:cs="宋体"/>
                <w:szCs w:val="21"/>
                <w:highlight w:val="none"/>
              </w:rPr>
              <w:t>（2）授权要求：见比选公告3.2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（3）业绩要求：见比选公告3.3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（4）信誉要求：见比选公告3.4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是否接受</w:t>
            </w:r>
          </w:p>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联合体报价</w:t>
            </w:r>
          </w:p>
        </w:tc>
        <w:tc>
          <w:tcPr>
            <w:tcW w:w="3587"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踏勘现场</w:t>
            </w:r>
          </w:p>
        </w:tc>
        <w:tc>
          <w:tcPr>
            <w:tcW w:w="3587"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分包</w:t>
            </w:r>
          </w:p>
        </w:tc>
        <w:tc>
          <w:tcPr>
            <w:tcW w:w="3587"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偏差</w:t>
            </w:r>
          </w:p>
        </w:tc>
        <w:tc>
          <w:tcPr>
            <w:tcW w:w="3587" w:type="pct"/>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1062" w:type="pct"/>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构成比选文件的其他材料</w:t>
            </w:r>
          </w:p>
        </w:tc>
        <w:tc>
          <w:tcPr>
            <w:tcW w:w="3587" w:type="pct"/>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9" w:type="pct"/>
            <w:vAlign w:val="center"/>
          </w:tcPr>
          <w:p>
            <w:pPr>
              <w:spacing w:line="400" w:lineRule="exact"/>
              <w:jc w:val="center"/>
              <w:rPr>
                <w:rFonts w:ascii="宋体" w:hAnsi="宋体" w:cs="宋体"/>
                <w:kern w:val="0"/>
                <w:szCs w:val="21"/>
                <w:highlight w:val="none"/>
              </w:rPr>
            </w:pPr>
            <w:bookmarkStart w:id="109" w:name="_Hlt227984024"/>
            <w:bookmarkEnd w:id="109"/>
            <w:r>
              <w:rPr>
                <w:rFonts w:hint="eastAsia" w:ascii="宋体" w:hAnsi="宋体" w:cs="宋体"/>
                <w:kern w:val="0"/>
                <w:szCs w:val="21"/>
                <w:highlight w:val="none"/>
              </w:rPr>
              <w:t>14</w:t>
            </w:r>
          </w:p>
        </w:tc>
        <w:tc>
          <w:tcPr>
            <w:tcW w:w="1062" w:type="pct"/>
            <w:vAlign w:val="center"/>
          </w:tcPr>
          <w:p>
            <w:pPr>
              <w:rPr>
                <w:rFonts w:ascii="宋体" w:hAnsi="宋体" w:cs="宋体"/>
                <w:szCs w:val="21"/>
                <w:highlight w:val="none"/>
                <w:shd w:val="clear" w:color="auto" w:fill="FFFFFF"/>
              </w:rPr>
            </w:pPr>
            <w:r>
              <w:rPr>
                <w:rFonts w:hint="eastAsia" w:ascii="宋体" w:hAnsi="宋体" w:cs="宋体"/>
                <w:szCs w:val="21"/>
                <w:highlight w:val="none"/>
                <w:shd w:val="clear" w:color="auto" w:fill="FFFFFF"/>
              </w:rPr>
              <w:t>构成竞争性比选响应文件的其他材料</w:t>
            </w:r>
          </w:p>
        </w:tc>
        <w:tc>
          <w:tcPr>
            <w:tcW w:w="3587" w:type="pct"/>
            <w:vAlign w:val="center"/>
          </w:tcPr>
          <w:p>
            <w:pPr>
              <w:pStyle w:val="149"/>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1062" w:type="pct"/>
            <w:tcBorders>
              <w:bottom w:val="single" w:color="auto" w:sz="4" w:space="0"/>
            </w:tcBorders>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工程量清单的填写方式</w:t>
            </w:r>
          </w:p>
        </w:tc>
        <w:tc>
          <w:tcPr>
            <w:tcW w:w="3587" w:type="pct"/>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3587" w:type="pct"/>
            <w:tcBorders>
              <w:bottom w:val="single" w:color="auto" w:sz="4" w:space="0"/>
            </w:tcBorders>
          </w:tcPr>
          <w:p>
            <w:pPr>
              <w:spacing w:line="400" w:lineRule="exact"/>
              <w:ind w:firstLine="422" w:firstLineChars="200"/>
              <w:rPr>
                <w:rFonts w:ascii="宋体" w:hAnsi="宋体" w:cs="宋体"/>
                <w:b/>
                <w:bCs/>
                <w:kern w:val="0"/>
                <w:szCs w:val="21"/>
                <w:highlight w:val="none"/>
              </w:rPr>
            </w:pPr>
            <w:r>
              <w:rPr>
                <w:rFonts w:hint="eastAsia" w:ascii="宋体" w:hAnsi="宋体"/>
                <w:b/>
                <w:bCs/>
                <w:szCs w:val="21"/>
                <w:highlight w:val="none"/>
                <w:lang w:val="en-US" w:eastAsia="zh-CN"/>
              </w:rPr>
              <w:t>四公里办公大楼文化打造装饰装修项目</w:t>
            </w:r>
            <w:r>
              <w:rPr>
                <w:rFonts w:hint="eastAsia" w:ascii="宋体" w:hAnsi="宋体"/>
                <w:b/>
                <w:bCs/>
                <w:szCs w:val="21"/>
                <w:highlight w:val="none"/>
              </w:rPr>
              <w:t>最高限价569162.82元</w:t>
            </w:r>
            <w:r>
              <w:rPr>
                <w:rFonts w:hint="eastAsia" w:ascii="宋体" w:hAnsi="宋体"/>
                <w:b/>
                <w:bCs/>
                <w:szCs w:val="21"/>
                <w:highlight w:val="none"/>
                <w:lang w:eastAsia="zh-CN"/>
              </w:rPr>
              <w:t>，</w:t>
            </w:r>
            <w:r>
              <w:rPr>
                <w:rFonts w:hint="eastAsia" w:ascii="宋体" w:hAnsi="宋体"/>
                <w:b/>
                <w:bCs/>
                <w:szCs w:val="21"/>
                <w:highlight w:val="none"/>
                <w:lang w:val="en-US" w:eastAsia="zh-CN"/>
              </w:rPr>
              <w:t>其中安全生产费为12112.32元</w:t>
            </w:r>
            <w:r>
              <w:rPr>
                <w:rFonts w:hint="eastAsia" w:ascii="宋体" w:hAnsi="宋体"/>
                <w:b/>
                <w:bCs/>
                <w:szCs w:val="21"/>
                <w:highlight w:val="none"/>
              </w:rPr>
              <w:t>。</w:t>
            </w:r>
            <w:r>
              <w:rPr>
                <w:rFonts w:hint="eastAsia" w:ascii="宋体" w:hAnsi="宋体"/>
                <w:b/>
                <w:bCs/>
                <w:szCs w:val="21"/>
                <w:highlight w:val="none"/>
                <w:lang w:val="en-US" w:eastAsia="zh-CN"/>
              </w:rPr>
              <w:t>本项目采用单价限价方式，报价人所报单价不得超过采购人发布的单价限价，若有报价高于采购人发布的单价限价，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3587" w:type="pct"/>
            <w:tcBorders>
              <w:bottom w:val="single" w:color="auto" w:sz="4" w:space="0"/>
            </w:tcBorders>
          </w:tcPr>
          <w:p>
            <w:pPr>
              <w:spacing w:line="440" w:lineRule="exact"/>
              <w:ind w:firstLine="420" w:firstLineChars="200"/>
              <w:rPr>
                <w:rFonts w:hint="default" w:ascii="宋体" w:hAnsi="宋体" w:eastAsia="宋体" w:cs="宋体"/>
                <w:szCs w:val="21"/>
                <w:highlight w:val="none"/>
                <w:lang w:val="en-US" w:eastAsia="zh-CN"/>
              </w:rPr>
            </w:pPr>
            <w:bookmarkStart w:id="110" w:name="_Hlk132637631"/>
            <w:r>
              <w:rPr>
                <w:rFonts w:hint="eastAsia" w:ascii="宋体" w:hAnsi="宋体" w:eastAsia="宋体" w:cs="宋体"/>
                <w:szCs w:val="21"/>
                <w:highlight w:val="none"/>
                <w:lang w:val="en-US" w:eastAsia="zh-CN"/>
              </w:rPr>
              <w:t xml:space="preserve"> 一、工程费用支付：</w:t>
            </w:r>
          </w:p>
          <w:p>
            <w:pPr>
              <w:spacing w:line="44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default" w:ascii="宋体" w:hAnsi="宋体" w:eastAsia="宋体" w:cs="宋体"/>
                <w:szCs w:val="21"/>
                <w:highlight w:val="none"/>
                <w:lang w:val="en-US" w:eastAsia="zh-CN"/>
              </w:rPr>
              <w:t>）整体交工验收合格，经乙方应提交书面支付申请并提交相关证明资料</w:t>
            </w:r>
            <w:r>
              <w:rPr>
                <w:rFonts w:hint="eastAsia" w:ascii="宋体" w:hAnsi="宋体" w:cs="宋体"/>
                <w:szCs w:val="21"/>
                <w:highlight w:val="none"/>
                <w:lang w:val="en-US" w:eastAsia="zh-CN"/>
              </w:rPr>
              <w:t>后，甲方向乙方支付</w:t>
            </w:r>
            <w:r>
              <w:rPr>
                <w:rFonts w:hint="default" w:ascii="宋体" w:hAnsi="宋体" w:eastAsia="宋体" w:cs="宋体"/>
                <w:szCs w:val="21"/>
                <w:highlight w:val="none"/>
                <w:lang w:val="en-US" w:eastAsia="zh-CN"/>
              </w:rPr>
              <w:t>支付至</w:t>
            </w:r>
            <w:r>
              <w:rPr>
                <w:rFonts w:hint="eastAsia" w:ascii="宋体" w:hAnsi="宋体" w:cs="宋体"/>
                <w:szCs w:val="21"/>
                <w:highlight w:val="none"/>
                <w:lang w:val="en-US" w:eastAsia="zh-CN"/>
              </w:rPr>
              <w:t>结算</w:t>
            </w:r>
            <w:r>
              <w:rPr>
                <w:rFonts w:hint="default" w:ascii="宋体" w:hAnsi="宋体" w:eastAsia="宋体" w:cs="宋体"/>
                <w:szCs w:val="21"/>
                <w:highlight w:val="none"/>
                <w:lang w:val="en-US" w:eastAsia="zh-CN"/>
              </w:rPr>
              <w:t>金额的97%。</w:t>
            </w:r>
          </w:p>
          <w:p>
            <w:pPr>
              <w:spacing w:line="44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eastAsia="宋体" w:cs="宋体"/>
                <w:szCs w:val="21"/>
                <w:highlight w:val="none"/>
                <w:lang w:val="en-US" w:eastAsia="zh-CN"/>
              </w:rPr>
              <w:t>）双方已确认的结算价款的3%作为质量保证金，缺陷责任期（或质保期）两年（从本工程竣（交）工验收合格之日起计算）届满后，由乙方主动提出书面申请，经甲方确认后，30个工作日内全额支付（质量保证金不计任何利息），若乙方未提出书面申请，则相应的延迟责任由乙方自行承担。</w:t>
            </w:r>
          </w:p>
          <w:p>
            <w:pPr>
              <w:spacing w:line="44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3</w:t>
            </w:r>
            <w:r>
              <w:rPr>
                <w:rFonts w:hint="default" w:ascii="宋体" w:hAnsi="宋体" w:eastAsia="宋体" w:cs="宋体"/>
                <w:szCs w:val="21"/>
                <w:highlight w:val="none"/>
                <w:lang w:val="en-US" w:eastAsia="zh-CN"/>
              </w:rPr>
              <w:t>）乙方应于甲方每次付款（预付款除外）前提供等额增值税专用发票给甲方。</w:t>
            </w:r>
            <w:bookmarkEnd w:id="110"/>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二、安全文明施工费支付</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（1）工程开工一个月内向乙方支付安全生产费用的50%。安全生产费按实结算，工程竣工结算后结余的安全生产费用，应当退回甲方。</w:t>
            </w:r>
          </w:p>
          <w:p>
            <w:pPr>
              <w:spacing w:line="440" w:lineRule="exact"/>
              <w:ind w:firstLine="420" w:firstLineChars="200"/>
              <w:rPr>
                <w:rFonts w:hint="default"/>
                <w:lang w:val="en-US" w:eastAsia="zh-CN"/>
              </w:rPr>
            </w:pPr>
            <w:r>
              <w:rPr>
                <w:rFonts w:hint="eastAsia" w:ascii="宋体" w:hAnsi="宋体" w:eastAsia="宋体" w:cs="宋体"/>
                <w:szCs w:val="21"/>
                <w:highlight w:val="none"/>
                <w:lang w:val="en-US" w:eastAsia="zh-CN"/>
              </w:rPr>
              <w:t>（2）</w:t>
            </w:r>
            <w:r>
              <w:rPr>
                <w:rFonts w:hint="default" w:ascii="宋体" w:hAnsi="宋体" w:eastAsia="宋体" w:cs="宋体"/>
                <w:szCs w:val="21"/>
                <w:highlight w:val="none"/>
                <w:lang w:val="en-US" w:eastAsia="zh-CN"/>
              </w:rPr>
              <w:t>乙方应按照甲方《关于工程(维护》类安全生产费据实支付的业务指》中安全生产法结算的要求，提供相应结算材料，确保安全生产投入。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乙方违约的处理</w:t>
            </w:r>
          </w:p>
        </w:tc>
        <w:tc>
          <w:tcPr>
            <w:tcW w:w="3587" w:type="pct"/>
            <w:tcBorders>
              <w:bottom w:val="single" w:color="auto" w:sz="4" w:space="0"/>
            </w:tcBorders>
          </w:tcPr>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在本项目工作开展期间，其项目经理、项目安全负责人必须驻施工现场开展工作，其在岗驻场工作时间按计划工期的工作日天数按实计量，若不在岗将处以1千元/人·天的违约处理。若离开必须书面向业主请假，未经批准擅自离开，按1千元/人·天处违约处理。</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乙方在本项目工作开展期间，更换项目经理，甲方按5万元/人进行违约处理；更换安全负责人，甲方按2万元/人进行违约处理。新更换的人员不低于比选文件人员资质要求。</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乙方分包的工程项目，不得再行转包或分包，否则将无条件被认为乙方违约，由此引起的一切责任、事故和损失由乙方负责。此外，乙方还应当向甲方支付 1 万元违约金，甲方有权终止或解除合同。</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施工过程中由乙方分包的工程项目质量经检验达不到验收规范和评定标准，不能保证工程质量，或因乙方分包的工程项目进度不能满足采购人和甲方制定的进度目标要求，则甲方有权终止合同，由此造成的损失由乙方承担。此外，乙方还应当向甲方支付  1 万元违约金。</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上一条款外，合同签订后，不经双方协商同意，任何一方不得随意变更或解除。如乙方未经甲方同意，单方解除合同时（如中途未征得甲方同意无故退场），甲方将按照乙方完成工作量的80%进行结算，同时乙方还需支付甲方  1 万元违约金，并且由乙方赔偿甲方因影响施工计划造成的经济损失；如甲方中途无故解除合同，按乙方完成工作量的100%进行结算，应赔偿乙方因此造成的经济损失。</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因乙方原因，出现下列情况之一的，甲方有权采取认为合理的一切措施进行处理，由此引起的损失由乙方承担。</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4.1乙方的主要人员、机械设备及流动资金不能按时到位的，严重制约了工程的施工；</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4.2进度滞后该工程总体进度计划的10％或落到工程管理曲线下线以下的；</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4.3不按施工技术规范和标准要求施工，造成工程质量低劣的达不到验收标准的；</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4.4不遵守甲方的管理，不能服从采购人和监理人的指令，造成工程不能管理无法推进。</w:t>
            </w:r>
          </w:p>
          <w:p>
            <w:pPr>
              <w:spacing w:line="440" w:lineRule="exact"/>
              <w:ind w:firstLine="420" w:firstLineChars="200"/>
              <w:rPr>
                <w:highlight w:val="none"/>
              </w:rPr>
            </w:pPr>
            <w:r>
              <w:rPr>
                <w:rFonts w:hint="eastAsia" w:ascii="宋体" w:hAnsi="宋体" w:eastAsia="宋体" w:cs="宋体"/>
                <w:szCs w:val="21"/>
                <w:highlight w:val="none"/>
                <w:lang w:val="en-US" w:eastAsia="zh-CN"/>
              </w:rPr>
              <w:t>5.乙方应按本合同规定的工期及质量要求完成，否则应偿付给甲方10000元/天的逾期违约金，并承担甲方项目部延期完成任务以后后续发生的管理费用，限额为 5％本合同的签约合同价。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88" w:type="dxa"/>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092" w:type="dxa"/>
            <w:vAlign w:val="center"/>
          </w:tcPr>
          <w:p>
            <w:pPr>
              <w:spacing w:line="400" w:lineRule="exact"/>
              <w:jc w:val="center"/>
              <w:rPr>
                <w:rFonts w:hint="eastAsia" w:ascii="宋体" w:hAnsi="宋体" w:cs="宋体"/>
                <w:szCs w:val="21"/>
                <w:highlight w:val="none"/>
              </w:rPr>
            </w:pPr>
            <w:r>
              <w:rPr>
                <w:rFonts w:hint="eastAsia" w:ascii="宋体" w:hAnsi="宋体" w:cs="宋体"/>
                <w:color w:val="000000" w:themeColor="text1"/>
                <w:szCs w:val="21"/>
                <w:lang w:val="en-US" w:eastAsia="zh-CN"/>
                <w14:textFill>
                  <w14:solidFill>
                    <w14:schemeClr w14:val="tx1"/>
                  </w14:solidFill>
                </w14:textFill>
              </w:rPr>
              <w:t>报价人须知</w:t>
            </w:r>
          </w:p>
        </w:tc>
        <w:tc>
          <w:tcPr>
            <w:tcW w:w="7068" w:type="dxa"/>
            <w:vAlign w:val="top"/>
          </w:tcPr>
          <w:p>
            <w:pPr>
              <w:spacing w:line="400" w:lineRule="exact"/>
              <w:ind w:firstLine="420" w:firstLineChars="200"/>
              <w:rPr>
                <w:rFonts w:hint="eastAsia" w:ascii="宋体" w:hAnsi="宋体" w:cs="宋体"/>
                <w:highlight w:val="none"/>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w:t>
            </w:r>
            <w:r>
              <w:rPr>
                <w:rFonts w:hint="eastAsia"/>
                <w:color w:val="000000" w:themeColor="text1"/>
                <w:lang w:val="en-US" w:eastAsia="zh-CN"/>
                <w14:textFill>
                  <w14:solidFill>
                    <w14:schemeClr w14:val="tx1"/>
                  </w14:solidFill>
                </w14:textFill>
              </w:rPr>
              <w:t>工作内容及图纸</w:t>
            </w:r>
            <w:r>
              <w:rPr>
                <w:rFonts w:hint="eastAsia"/>
                <w:color w:val="000000" w:themeColor="text1"/>
                <w14:textFill>
                  <w14:solidFill>
                    <w14:schemeClr w14:val="tx1"/>
                  </w14:solidFill>
                </w14:textFill>
              </w:rPr>
              <w:t>后以确认在填报单价和价格之前，设备的所在范围已被包括在每个项目内，报出的单价和价格应被认为包括所有劳务、材料、机械、运输、</w:t>
            </w:r>
            <w:r>
              <w:rPr>
                <w:rFonts w:hint="eastAsia"/>
                <w:color w:val="000000" w:themeColor="text1"/>
                <w:lang w:val="en-US" w:eastAsia="zh-CN"/>
                <w14:textFill>
                  <w14:solidFill>
                    <w14:schemeClr w14:val="tx1"/>
                  </w14:solidFill>
                </w14:textFill>
              </w:rPr>
              <w:t>卸货、</w:t>
            </w:r>
            <w:r>
              <w:rPr>
                <w:rFonts w:hint="eastAsia"/>
                <w:color w:val="000000" w:themeColor="text1"/>
                <w14:textFill>
                  <w14:solidFill>
                    <w14:schemeClr w14:val="tx1"/>
                  </w14:solidFill>
                </w14:textFill>
              </w:rPr>
              <w:t>出厂检验、相关税率、</w:t>
            </w:r>
            <w:r>
              <w:rPr>
                <w:rFonts w:hint="eastAsia"/>
                <w:color w:val="000000" w:themeColor="text1"/>
                <w:lang w:val="en-US" w:eastAsia="zh-CN"/>
                <w14:textFill>
                  <w14:solidFill>
                    <w14:schemeClr w14:val="tx1"/>
                  </w14:solidFill>
                </w14:textFill>
              </w:rPr>
              <w:t>调试、</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9" w:type="pc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1062" w:type="pct"/>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3587" w:type="pct"/>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149"/>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1</w:t>
            </w:r>
          </w:p>
        </w:tc>
        <w:tc>
          <w:tcPr>
            <w:tcW w:w="1062" w:type="pct"/>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3587" w:type="pct"/>
            <w:vAlign w:val="center"/>
          </w:tcPr>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一、投标保证金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报价人是否提供投标保证金：</w:t>
            </w:r>
            <w:r>
              <w:rPr>
                <w:rFonts w:hint="eastAsia" w:ascii="宋体" w:hAnsi="宋体" w:eastAsia="宋体" w:cs="宋体"/>
                <w:b/>
                <w:bCs/>
                <w:szCs w:val="21"/>
                <w:highlight w:val="none"/>
                <w:lang w:val="en-US" w:eastAsia="zh-CN"/>
              </w:rPr>
              <w:t>是</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1、报价人须缴纳投标保证金</w:t>
            </w:r>
            <w:r>
              <w:rPr>
                <w:rFonts w:hint="eastAsia" w:ascii="宋体" w:hAnsi="宋体" w:eastAsia="宋体" w:cs="宋体"/>
                <w:szCs w:val="21"/>
                <w:highlight w:val="none"/>
                <w:u w:val="single"/>
                <w:lang w:val="en-US" w:eastAsia="zh-CN"/>
              </w:rPr>
              <w:t xml:space="preserve"> 5000.00 </w:t>
            </w:r>
            <w:r>
              <w:rPr>
                <w:rFonts w:hint="eastAsia" w:ascii="宋体" w:hAnsi="宋体" w:eastAsia="宋体" w:cs="宋体"/>
                <w:szCs w:val="21"/>
                <w:highlight w:val="none"/>
                <w:lang w:val="en-US" w:eastAsia="zh-CN"/>
              </w:rPr>
              <w:t>元，由报价人从公司基本账户将投标保证金汇至以下指定账户：</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保证金到账截止时间：2024年</w:t>
            </w:r>
            <w:r>
              <w:rPr>
                <w:rFonts w:hint="eastAsia" w:ascii="宋体" w:hAnsi="宋体" w:cs="宋体"/>
                <w:szCs w:val="21"/>
                <w:highlight w:val="none"/>
                <w:lang w:val="en-US" w:eastAsia="zh-CN"/>
              </w:rPr>
              <w:t>8</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21</w:t>
            </w:r>
            <w:r>
              <w:rPr>
                <w:rFonts w:hint="eastAsia" w:ascii="宋体" w:hAnsi="宋体" w:eastAsia="宋体" w:cs="宋体"/>
                <w:szCs w:val="21"/>
                <w:highlight w:val="none"/>
                <w:lang w:val="en-US" w:eastAsia="zh-CN"/>
              </w:rPr>
              <w:t>日上午10时00分前；</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若竞争性比选响应文件内无投标保证金缴纳凭证，采购人有权作废标处理，若投标保证金存在虚假不实情况，采购人有权作废标处理。</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若缴纳现金的，则需备注，转款备注：</w:t>
            </w:r>
            <w:r>
              <w:rPr>
                <w:rFonts w:hint="eastAsia" w:ascii="宋体" w:hAnsi="宋体" w:cs="宋体"/>
                <w:szCs w:val="21"/>
                <w:highlight w:val="none"/>
                <w:lang w:val="en-US" w:eastAsia="zh-CN"/>
              </w:rPr>
              <w:t>四公里办公大楼文化打造装饰装修项目</w:t>
            </w:r>
            <w:r>
              <w:rPr>
                <w:rFonts w:hint="eastAsia" w:ascii="宋体" w:hAnsi="宋体" w:eastAsia="宋体" w:cs="宋体"/>
                <w:szCs w:val="21"/>
                <w:highlight w:val="none"/>
                <w:lang w:val="en-US" w:eastAsia="zh-CN"/>
              </w:rPr>
              <w:t>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参加第一次比选递交的投标保证金可自动延续至本次竞争性比选使用，无需重复递交。</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2、投标保证金退还方式</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为便于及时退还，报价人在递交响应文件的同时，递交本项目保证金银行回单和公司的开户许可证复印件。</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未中标报价人的投标保证金，于该项目结果公示期结束后15个工作日内无息退还至报价人基本账户。</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中标人的投标保证金，自合同签订后15个工作日内无息退还至中标人基本账户。</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3、有下列情形之一的，投标保证金将不予退还：</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（1）报价人在投标有效期内撤销投标文件；</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（2）中标人在收到中标通知书后，无正当理由不与采购人订立合同，在签订合同时向采购人提出附加条件，或者不按照招标文件要求提交履约保证金；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（3）中标人（或拟中标人）拒不提供或者不按时提供低价风险担保（适用于经评审的最低投标价法）；</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（4）报价人被发现本次投标存在串通投标、弄虚造假、行贿等违法行为的；</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（5）发生报价人须知前附表规定的其他可以不予退还投标保证金的情形。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二、履约保证金</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报价人是否提供履约保证金：</w:t>
            </w:r>
            <w:r>
              <w:rPr>
                <w:rFonts w:hint="eastAsia" w:ascii="宋体" w:hAnsi="宋体" w:eastAsia="宋体" w:cs="宋体"/>
                <w:b/>
                <w:bCs/>
                <w:szCs w:val="21"/>
                <w:highlight w:val="none"/>
                <w:lang w:val="en-US" w:eastAsia="zh-CN"/>
              </w:rPr>
              <w:t>是</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default" w:ascii="宋体" w:hAnsi="宋体" w:eastAsia="宋体" w:cs="宋体"/>
                <w:szCs w:val="21"/>
                <w:highlight w:val="none"/>
                <w:lang w:val="en-US" w:eastAsia="zh-CN"/>
              </w:rPr>
              <w:t>履约担保作为本</w:t>
            </w:r>
            <w:r>
              <w:rPr>
                <w:rFonts w:hint="eastAsia" w:ascii="宋体" w:hAnsi="宋体" w:eastAsia="宋体" w:cs="宋体"/>
                <w:szCs w:val="21"/>
                <w:highlight w:val="none"/>
                <w:lang w:val="en-US" w:eastAsia="zh-CN"/>
              </w:rPr>
              <w:t>项目</w:t>
            </w:r>
            <w:r>
              <w:rPr>
                <w:rFonts w:hint="default" w:ascii="宋体" w:hAnsi="宋体" w:eastAsia="宋体" w:cs="宋体"/>
                <w:szCs w:val="21"/>
                <w:highlight w:val="none"/>
                <w:lang w:val="en-US" w:eastAsia="zh-CN"/>
              </w:rPr>
              <w:t>合同附件</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2、履约保证金的金额：</w:t>
            </w:r>
            <w:r>
              <w:rPr>
                <w:rFonts w:hint="eastAsia" w:ascii="宋体" w:hAnsi="宋体" w:eastAsia="宋体" w:cs="宋体"/>
                <w:b/>
                <w:bCs/>
                <w:szCs w:val="21"/>
                <w:highlight w:val="none"/>
                <w:lang w:val="en-US" w:eastAsia="zh-CN"/>
              </w:rPr>
              <w:t>中标人合同金额的10%</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3、履约保证金有效期：自双方签订的合同文件生效之日起，至合同约定的工程验收完成止。</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4、履约保证金缴纳方式：现金或保函</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5、履约保证金的提交：在甲方发出中标通知书后5个工作日内，中标人向采购人提供履约保证金</w:t>
            </w:r>
            <w:r>
              <w:rPr>
                <w:rFonts w:hint="default" w:ascii="宋体" w:hAnsi="宋体" w:eastAsia="宋体" w:cs="宋体"/>
                <w:szCs w:val="21"/>
                <w:highlight w:val="none"/>
                <w:lang w:val="en-US" w:eastAsia="zh-CN"/>
              </w:rPr>
              <w:t>缴纳凭证</w:t>
            </w:r>
            <w:r>
              <w:rPr>
                <w:rFonts w:hint="eastAsia" w:ascii="宋体" w:hAnsi="宋体" w:eastAsia="宋体" w:cs="宋体"/>
                <w:szCs w:val="21"/>
                <w:highlight w:val="none"/>
                <w:lang w:val="en-US" w:eastAsia="zh-CN"/>
              </w:rPr>
              <w:t>。若缴纳现金的，则需备注，转款备注：巫溪至开州高速公路项目机电工程等项目硅芯管、集束管采购履约保证金</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r>
              <w:rPr>
                <w:rFonts w:hint="default" w:ascii="宋体" w:hAnsi="宋体" w:eastAsia="宋体" w:cs="宋体"/>
                <w:szCs w:val="21"/>
                <w:highlight w:val="none"/>
                <w:lang w:val="en-US" w:eastAsia="zh-CN"/>
              </w:rPr>
              <w:t>履约保证金退还：缴纳现金保函的，在完成合同约定的全部工作内容后28天后无息退还剩余部分。</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三、低价保证金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1．低价风险担保：中标价低于最高限价的85%时提供，如不按时足额提供，视为中标人放弃中标，采购人有权不退还其投标保证金。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2．中标人提供低价风险担保的形式、金额及期限：</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（2）低价风险担保的金额：（最高限价×85%-中标价）×3，且最高不超过最高限价的85%。</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（3）低价风险担保送达采购人的时间：从采购人中标通知书送达拟中标人之日起20个工作日内。</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（5）低价风险担保的期限：自低价风险担保生效之日起至合同设备验收证书或验收款支付函签署之日止。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（5）低价风险担保的扣减：</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②因乙方违约被解除合同的，低价风险担保将全额扣除；</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③因乙方原因导致的其他情形。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备注：当中标人或拟中标人未按时提交低价风险担保，且属于可以延长低价风险担保提交期限的特殊情形时，经采购人同意，可适当延长低价风险担保的提交期限。</w:t>
            </w:r>
          </w:p>
          <w:p>
            <w:pPr>
              <w:spacing w:line="440" w:lineRule="exact"/>
              <w:ind w:firstLine="422" w:firstLineChars="200"/>
              <w:rPr>
                <w:rFonts w:hint="default"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投标总报价低于最高限价85%的，报价人应在编制投标文件时，在投标函部分中递交低价风险担保提交承诺书。格式自拟</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四、采购人指定的开户银行及账号如下：</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账户名称：重庆首讯科技股份有限公司</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开户银行：兴业银行重庆分行营业部</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帐    号：3460 1010 0100 4791 14</w:t>
            </w:r>
          </w:p>
          <w:p>
            <w:pPr>
              <w:spacing w:line="440" w:lineRule="exact"/>
              <w:ind w:firstLine="422" w:firstLineChars="200"/>
              <w:rPr>
                <w:rFonts w:hAnsi="宋体" w:cs="宋体"/>
                <w:highlight w:val="none"/>
              </w:rPr>
            </w:pPr>
            <w:r>
              <w:rPr>
                <w:rFonts w:hint="eastAsia" w:ascii="宋体" w:hAnsi="宋体" w:eastAsia="宋体" w:cs="宋体"/>
                <w:b/>
                <w:bCs/>
                <w:szCs w:val="21"/>
                <w:highlight w:val="none"/>
                <w:lang w:val="en-US" w:eastAsia="zh-CN"/>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2</w:t>
            </w:r>
          </w:p>
        </w:tc>
        <w:tc>
          <w:tcPr>
            <w:tcW w:w="1062" w:type="pct"/>
            <w:vAlign w:val="center"/>
          </w:tcPr>
          <w:p>
            <w:pPr>
              <w:pStyle w:val="149"/>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3587" w:type="pct"/>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合规监管</w:t>
            </w:r>
            <w:r>
              <w:rPr>
                <w:rFonts w:hint="eastAsia" w:hAnsi="宋体"/>
                <w:color w:val="auto"/>
                <w:kern w:val="2"/>
                <w:sz w:val="21"/>
                <w:szCs w:val="21"/>
                <w:highlight w:val="none"/>
              </w:rPr>
              <w:t>部</w:t>
            </w:r>
          </w:p>
          <w:p>
            <w:pPr>
              <w:pStyle w:val="149"/>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地    址：重庆市</w:t>
            </w:r>
            <w:r>
              <w:rPr>
                <w:rFonts w:hint="eastAsia" w:hAnsi="宋体"/>
                <w:color w:val="auto"/>
                <w:kern w:val="2"/>
                <w:sz w:val="21"/>
                <w:szCs w:val="21"/>
                <w:highlight w:val="none"/>
                <w:lang w:val="en-US" w:eastAsia="zh-CN"/>
              </w:rPr>
              <w:t>渝北区新南路52号</w:t>
            </w:r>
          </w:p>
          <w:p>
            <w:pPr>
              <w:pStyle w:val="149"/>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23</w:t>
            </w:r>
          </w:p>
        </w:tc>
        <w:tc>
          <w:tcPr>
            <w:tcW w:w="1062" w:type="pct"/>
            <w:vAlign w:val="center"/>
          </w:tcPr>
          <w:p>
            <w:pPr>
              <w:pStyle w:val="149"/>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hAnsi="宋体"/>
                <w:color w:val="auto"/>
                <w:kern w:val="2"/>
                <w:sz w:val="21"/>
                <w:szCs w:val="21"/>
                <w:highlight w:val="none"/>
              </w:rPr>
              <w:t>竞争性比选响应文件的递交</w:t>
            </w:r>
          </w:p>
        </w:tc>
        <w:tc>
          <w:tcPr>
            <w:tcW w:w="3587" w:type="pct"/>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hAnsi="宋体"/>
                <w:sz w:val="21"/>
                <w:szCs w:val="18"/>
                <w:highlight w:val="none"/>
                <w:u w:val="single"/>
              </w:rPr>
              <w:t>202</w:t>
            </w:r>
            <w:r>
              <w:rPr>
                <w:rFonts w:hint="eastAsia" w:hAnsi="宋体"/>
                <w:sz w:val="21"/>
                <w:szCs w:val="18"/>
                <w:highlight w:val="none"/>
                <w:u w:val="single"/>
                <w:lang w:val="en-US" w:eastAsia="zh-CN"/>
              </w:rPr>
              <w:t>4</w:t>
            </w:r>
            <w:r>
              <w:rPr>
                <w:rFonts w:hint="eastAsia" w:hAnsi="宋体"/>
                <w:sz w:val="21"/>
                <w:szCs w:val="18"/>
                <w:highlight w:val="none"/>
                <w:u w:val="single"/>
              </w:rPr>
              <w:t xml:space="preserve"> </w:t>
            </w:r>
            <w:r>
              <w:rPr>
                <w:rFonts w:hint="eastAsia" w:hAnsi="宋体"/>
                <w:sz w:val="21"/>
                <w:szCs w:val="18"/>
                <w:highlight w:val="none"/>
              </w:rPr>
              <w:t>年</w:t>
            </w:r>
            <w:r>
              <w:rPr>
                <w:rFonts w:hint="eastAsia" w:hAnsi="宋体"/>
                <w:sz w:val="21"/>
                <w:szCs w:val="18"/>
                <w:highlight w:val="none"/>
                <w:u w:val="single"/>
              </w:rPr>
              <w:t xml:space="preserve"> </w:t>
            </w:r>
            <w:r>
              <w:rPr>
                <w:rFonts w:hint="eastAsia" w:hAnsi="宋体"/>
                <w:sz w:val="21"/>
                <w:szCs w:val="18"/>
                <w:highlight w:val="none"/>
                <w:u w:val="single"/>
                <w:lang w:val="en-US" w:eastAsia="zh-CN"/>
              </w:rPr>
              <w:t>8</w:t>
            </w:r>
            <w:r>
              <w:rPr>
                <w:rFonts w:hint="eastAsia" w:hAnsi="宋体"/>
                <w:sz w:val="21"/>
                <w:szCs w:val="18"/>
                <w:highlight w:val="none"/>
                <w:u w:val="single"/>
              </w:rPr>
              <w:t xml:space="preserve"> </w:t>
            </w:r>
            <w:r>
              <w:rPr>
                <w:rFonts w:hint="eastAsia" w:hAnsi="宋体"/>
                <w:sz w:val="21"/>
                <w:szCs w:val="18"/>
                <w:highlight w:val="none"/>
              </w:rPr>
              <w:t>月</w:t>
            </w:r>
            <w:r>
              <w:rPr>
                <w:rFonts w:hint="eastAsia" w:hAnsi="宋体"/>
                <w:sz w:val="21"/>
                <w:szCs w:val="18"/>
                <w:highlight w:val="none"/>
                <w:u w:val="single"/>
              </w:rPr>
              <w:t xml:space="preserve"> </w:t>
            </w:r>
            <w:r>
              <w:rPr>
                <w:rFonts w:hint="eastAsia" w:hAnsi="宋体"/>
                <w:sz w:val="21"/>
                <w:szCs w:val="18"/>
                <w:highlight w:val="none"/>
                <w:u w:val="single"/>
                <w:lang w:val="en-US" w:eastAsia="zh-CN"/>
              </w:rPr>
              <w:t>21</w:t>
            </w:r>
            <w:r>
              <w:rPr>
                <w:rFonts w:hint="eastAsia" w:hAnsi="宋体"/>
                <w:sz w:val="21"/>
                <w:szCs w:val="18"/>
                <w:highlight w:val="none"/>
                <w:u w:val="single"/>
              </w:rPr>
              <w:t xml:space="preserve"> </w:t>
            </w:r>
            <w:r>
              <w:rPr>
                <w:rFonts w:hint="eastAsia" w:hAnsi="宋体"/>
                <w:sz w:val="21"/>
                <w:szCs w:val="18"/>
                <w:highlight w:val="none"/>
              </w:rPr>
              <w:t>日</w:t>
            </w:r>
            <w:r>
              <w:rPr>
                <w:rFonts w:hint="eastAsia" w:hAnsi="宋体"/>
                <w:sz w:val="21"/>
                <w:szCs w:val="18"/>
                <w:highlight w:val="none"/>
                <w:lang w:val="en-US" w:eastAsia="zh-CN"/>
              </w:rPr>
              <w:t>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时 00分（北京时间）。</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2.报价地点和开标地点：重庆首讯科技股份有限公司（重庆市渝北区新南路52号东界龙湖三楼）。</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hAnsi="宋体"/>
                <w:color w:val="auto"/>
                <w:kern w:val="2"/>
                <w:sz w:val="21"/>
                <w:szCs w:val="21"/>
                <w:highlight w:val="none"/>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24</w:t>
            </w:r>
          </w:p>
        </w:tc>
        <w:tc>
          <w:tcPr>
            <w:tcW w:w="1062" w:type="pct"/>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3587" w:type="pct"/>
            <w:vAlign w:val="center"/>
          </w:tcPr>
          <w:p>
            <w:pPr>
              <w:pStyle w:val="149"/>
              <w:numPr>
                <w:ilvl w:val="0"/>
                <w:numId w:val="3"/>
              </w:numPr>
              <w:spacing w:line="400" w:lineRule="exact"/>
              <w:ind w:firstLine="422" w:firstLineChars="200"/>
              <w:rPr>
                <w:rFonts w:hAnsi="宋体"/>
                <w:color w:val="auto"/>
                <w:kern w:val="2"/>
                <w:sz w:val="21"/>
                <w:szCs w:val="21"/>
                <w:highlight w:val="none"/>
              </w:rPr>
            </w:pPr>
            <w:r>
              <w:rPr>
                <w:rFonts w:hint="eastAsia" w:hAnsi="宋体"/>
                <w:b/>
                <w:bCs/>
                <w:color w:val="000000" w:themeColor="text1"/>
                <w:sz w:val="21"/>
                <w:szCs w:val="21"/>
                <w:highlight w:val="none"/>
                <w14:textFill>
                  <w14:solidFill>
                    <w14:schemeClr w14:val="tx1"/>
                  </w14:solidFill>
                </w14:textFill>
              </w:rPr>
              <w:t>竞争性比选文件需逐页加盖报价人的公章</w:t>
            </w:r>
            <w:r>
              <w:rPr>
                <w:rFonts w:hint="eastAsia" w:hAnsi="宋体"/>
                <w:color w:val="000000" w:themeColor="text1"/>
                <w:sz w:val="21"/>
                <w:szCs w:val="21"/>
                <w:highlight w:val="none"/>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highlight w:val="none"/>
              </w:rPr>
              <w:t>封面右上角需标注“正本”、“副本”加以区别，所有报价文件需密封到一个封袋中。</w:t>
            </w:r>
          </w:p>
          <w:p>
            <w:pPr>
              <w:pStyle w:val="149"/>
              <w:numPr>
                <w:ilvl w:val="0"/>
                <w:numId w:val="3"/>
              </w:numPr>
              <w:spacing w:line="400" w:lineRule="exact"/>
              <w:ind w:firstLine="420" w:firstLineChars="200"/>
              <w:rPr>
                <w:rFonts w:hAnsi="宋体"/>
                <w:color w:val="auto"/>
                <w:kern w:val="2"/>
                <w:sz w:val="21"/>
                <w:szCs w:val="21"/>
                <w:highlight w:val="none"/>
              </w:rPr>
            </w:pPr>
            <w:r>
              <w:rPr>
                <w:rFonts w:hint="eastAsia" w:hAnsi="宋体"/>
                <w:color w:val="000000" w:themeColor="text1"/>
                <w:sz w:val="21"/>
                <w:szCs w:val="21"/>
                <w:highlight w:val="none"/>
                <w14:textFill>
                  <w14:solidFill>
                    <w14:schemeClr w14:val="tx1"/>
                  </w14:solidFill>
                </w14:textFill>
              </w:rPr>
              <w:t>报价人应提供竞争性比选响应文件</w:t>
            </w:r>
            <w:r>
              <w:rPr>
                <w:rFonts w:hint="eastAsia" w:hAnsi="宋体"/>
                <w:b/>
                <w:bCs/>
                <w:color w:val="000000" w:themeColor="text1"/>
                <w:sz w:val="21"/>
                <w:szCs w:val="21"/>
                <w:highlight w:val="none"/>
                <w14:textFill>
                  <w14:solidFill>
                    <w14:schemeClr w14:val="tx1"/>
                  </w14:solidFill>
                </w14:textFill>
              </w:rPr>
              <w:t>电子文件1份</w:t>
            </w:r>
            <w:r>
              <w:rPr>
                <w:rFonts w:hint="eastAsia" w:hAnsi="宋体"/>
                <w:b/>
                <w:bCs/>
                <w:color w:val="000000" w:themeColor="text1"/>
                <w:sz w:val="21"/>
                <w:szCs w:val="21"/>
                <w:highlight w:val="none"/>
                <w:lang w:eastAsia="zh-CN"/>
                <w14:textFill>
                  <w14:solidFill>
                    <w14:schemeClr w14:val="tx1"/>
                  </w14:solidFill>
                </w14:textFill>
              </w:rPr>
              <w:t>，</w:t>
            </w:r>
            <w:r>
              <w:rPr>
                <w:rFonts w:hint="eastAsia" w:hAnsi="宋体"/>
                <w:color w:val="auto"/>
                <w:kern w:val="2"/>
                <w:sz w:val="21"/>
                <w:szCs w:val="21"/>
                <w:highlight w:val="none"/>
                <w:lang w:val="en-US" w:eastAsia="zh-CN"/>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highlight w:val="none"/>
                <w14:textFill>
                  <w14:solidFill>
                    <w14:schemeClr w14:val="tx1"/>
                  </w14:solidFill>
                </w14:textFill>
              </w:rPr>
              <w:t>。当电子文件与纸质版竞争性比选响应文件不一致时，以纸质版竞争性比选响应文件为准，当正本与副本不一致时，以正本为准</w:t>
            </w:r>
            <w:r>
              <w:rPr>
                <w:rFonts w:hint="eastAsia" w:hAnsi="宋体"/>
                <w:color w:val="000000" w:themeColor="text1"/>
                <w:highlight w:val="none"/>
                <w14:textFill>
                  <w14:solidFill>
                    <w14:schemeClr w14:val="tx1"/>
                  </w14:solidFill>
                </w14:textFill>
              </w:rPr>
              <w:t>。</w:t>
            </w:r>
          </w:p>
          <w:p>
            <w:pPr>
              <w:pStyle w:val="149"/>
              <w:numPr>
                <w:ilvl w:val="0"/>
                <w:numId w:val="3"/>
              </w:numPr>
              <w:spacing w:line="400" w:lineRule="exact"/>
              <w:ind w:left="0" w:leftChars="0"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竞争性比选响应声明书、报价函、资格要求材料、报价人认为需要提供的其他相关文件（注：以上所有文件均须逐页加盖报价人的公章）。</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numPr>
                <w:ilvl w:val="0"/>
                <w:numId w:val="0"/>
              </w:numPr>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val="en-US" w:eastAsia="zh-CN"/>
              </w:rPr>
              <w:t>四公里办公大楼文化打造装饰装修项目竞争性比选响应文件（加盖报价人的公章）</w:t>
            </w:r>
          </w:p>
          <w:p>
            <w:pPr>
              <w:pStyle w:val="149"/>
              <w:numPr>
                <w:ilvl w:val="0"/>
                <w:numId w:val="0"/>
              </w:numPr>
              <w:spacing w:line="400" w:lineRule="exact"/>
              <w:ind w:leftChars="200"/>
              <w:rPr>
                <w:rFonts w:hint="eastAsia" w:hAnsi="宋体"/>
                <w:color w:val="auto"/>
                <w:kern w:val="2"/>
                <w:sz w:val="21"/>
                <w:szCs w:val="21"/>
                <w:highlight w:val="none"/>
              </w:rPr>
            </w:pPr>
            <w:r>
              <w:rPr>
                <w:rFonts w:hint="eastAsia" w:hAnsi="宋体"/>
                <w:color w:val="auto"/>
                <w:kern w:val="2"/>
                <w:sz w:val="21"/>
                <w:szCs w:val="21"/>
                <w:highlight w:val="none"/>
              </w:rPr>
              <w:t>在</w:t>
            </w:r>
            <w:r>
              <w:rPr>
                <w:rFonts w:hint="eastAsia" w:hAnsi="宋体"/>
                <w:color w:val="auto"/>
                <w:kern w:val="2"/>
                <w:sz w:val="21"/>
                <w:szCs w:val="21"/>
                <w:highlight w:val="none"/>
                <w:u w:val="single"/>
              </w:rPr>
              <w:t xml:space="preserve"> </w:t>
            </w:r>
            <w:r>
              <w:rPr>
                <w:rFonts w:hint="eastAsia" w:hAnsi="宋体"/>
                <w:sz w:val="21"/>
                <w:szCs w:val="18"/>
                <w:highlight w:val="none"/>
                <w:u w:val="single"/>
              </w:rPr>
              <w:t>202</w:t>
            </w:r>
            <w:r>
              <w:rPr>
                <w:rFonts w:hint="eastAsia" w:hAnsi="宋体"/>
                <w:sz w:val="21"/>
                <w:szCs w:val="18"/>
                <w:highlight w:val="none"/>
                <w:u w:val="single"/>
                <w:lang w:val="en-US" w:eastAsia="zh-CN"/>
              </w:rPr>
              <w:t>4</w:t>
            </w:r>
            <w:r>
              <w:rPr>
                <w:rFonts w:hint="eastAsia" w:hAnsi="宋体"/>
                <w:sz w:val="21"/>
                <w:szCs w:val="18"/>
                <w:highlight w:val="none"/>
                <w:u w:val="single"/>
              </w:rPr>
              <w:t xml:space="preserve"> </w:t>
            </w:r>
            <w:r>
              <w:rPr>
                <w:rFonts w:hint="eastAsia" w:hAnsi="宋体"/>
                <w:sz w:val="21"/>
                <w:szCs w:val="18"/>
                <w:highlight w:val="none"/>
              </w:rPr>
              <w:t>年</w:t>
            </w:r>
            <w:r>
              <w:rPr>
                <w:rFonts w:hint="eastAsia" w:hAnsi="宋体"/>
                <w:sz w:val="21"/>
                <w:szCs w:val="18"/>
                <w:highlight w:val="none"/>
                <w:u w:val="single"/>
              </w:rPr>
              <w:t xml:space="preserve"> </w:t>
            </w:r>
            <w:r>
              <w:rPr>
                <w:rFonts w:hint="eastAsia" w:hAnsi="宋体"/>
                <w:sz w:val="21"/>
                <w:szCs w:val="18"/>
                <w:highlight w:val="none"/>
                <w:u w:val="single"/>
                <w:lang w:val="en-US" w:eastAsia="zh-CN"/>
              </w:rPr>
              <w:t>8</w:t>
            </w:r>
            <w:r>
              <w:rPr>
                <w:rFonts w:hint="eastAsia" w:hAnsi="宋体"/>
                <w:sz w:val="21"/>
                <w:szCs w:val="18"/>
                <w:highlight w:val="none"/>
                <w:u w:val="single"/>
              </w:rPr>
              <w:t xml:space="preserve"> </w:t>
            </w:r>
            <w:r>
              <w:rPr>
                <w:rFonts w:hint="eastAsia" w:hAnsi="宋体"/>
                <w:sz w:val="21"/>
                <w:szCs w:val="18"/>
                <w:highlight w:val="none"/>
              </w:rPr>
              <w:t>月</w:t>
            </w:r>
            <w:r>
              <w:rPr>
                <w:rFonts w:hint="eastAsia" w:hAnsi="宋体"/>
                <w:sz w:val="21"/>
                <w:szCs w:val="18"/>
                <w:highlight w:val="none"/>
                <w:u w:val="single"/>
              </w:rPr>
              <w:t xml:space="preserve"> </w:t>
            </w:r>
            <w:r>
              <w:rPr>
                <w:rFonts w:hint="eastAsia" w:hAnsi="宋体"/>
                <w:sz w:val="21"/>
                <w:szCs w:val="18"/>
                <w:highlight w:val="none"/>
                <w:u w:val="single"/>
                <w:lang w:val="en-US" w:eastAsia="zh-CN"/>
              </w:rPr>
              <w:t>21</w:t>
            </w:r>
            <w:r>
              <w:rPr>
                <w:rFonts w:hAnsi="宋体"/>
                <w:sz w:val="21"/>
                <w:szCs w:val="18"/>
                <w:highlight w:val="none"/>
                <w:u w:val="single"/>
              </w:rPr>
              <w:t xml:space="preserve"> </w:t>
            </w:r>
            <w:r>
              <w:rPr>
                <w:rFonts w:hint="eastAsia" w:hAnsi="宋体"/>
                <w:sz w:val="21"/>
                <w:szCs w:val="18"/>
                <w:highlight w:val="none"/>
              </w:rPr>
              <w:t>日</w:t>
            </w:r>
            <w:r>
              <w:rPr>
                <w:rFonts w:hint="eastAsia" w:hAnsi="宋体"/>
                <w:sz w:val="21"/>
                <w:szCs w:val="18"/>
                <w:highlight w:val="none"/>
                <w:lang w:val="en-US" w:eastAsia="zh-CN"/>
              </w:rPr>
              <w:t>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s="宋体"/>
                <w:color w:val="auto"/>
                <w:sz w:val="21"/>
                <w:szCs w:val="21"/>
                <w:highlight w:val="none"/>
                <w:lang w:val="en-US" w:eastAsia="zh-CN" w:bidi="ar-SA"/>
              </w:rPr>
              <w:t>25</w:t>
            </w:r>
          </w:p>
        </w:tc>
        <w:tc>
          <w:tcPr>
            <w:tcW w:w="1062" w:type="pct"/>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ighlight w:val="none"/>
              </w:rPr>
              <w:t>中标候选人公示</w:t>
            </w:r>
          </w:p>
        </w:tc>
        <w:tc>
          <w:tcPr>
            <w:tcW w:w="3587" w:type="pct"/>
            <w:vAlign w:val="center"/>
          </w:tcPr>
          <w:p>
            <w:pPr>
              <w:spacing w:line="400" w:lineRule="exact"/>
              <w:ind w:firstLine="420" w:firstLineChars="200"/>
              <w:rPr>
                <w:rFonts w:hint="eastAsia" w:hAnsi="宋体"/>
                <w:color w:val="auto"/>
                <w:kern w:val="2"/>
                <w:sz w:val="21"/>
                <w:szCs w:val="21"/>
                <w:highlight w:val="none"/>
              </w:rPr>
            </w:pPr>
            <w:r>
              <w:rPr>
                <w:rFonts w:hint="eastAsia"/>
                <w:highlight w:val="none"/>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9" w:type="pct"/>
            <w:vAlign w:val="center"/>
          </w:tcPr>
          <w:p>
            <w:pPr>
              <w:pStyle w:val="149"/>
              <w:spacing w:line="400" w:lineRule="exact"/>
              <w:jc w:val="center"/>
              <w:rPr>
                <w:rFonts w:hint="eastAsia" w:hAnsi="宋体"/>
                <w:color w:val="auto"/>
                <w:kern w:val="2"/>
                <w:sz w:val="21"/>
                <w:szCs w:val="21"/>
                <w:highlight w:val="none"/>
              </w:rPr>
            </w:pPr>
            <w:r>
              <w:rPr>
                <w:rFonts w:hint="eastAsia" w:hAnsi="宋体"/>
                <w:color w:val="000000" w:themeColor="text1"/>
                <w:kern w:val="2"/>
                <w:sz w:val="21"/>
                <w:szCs w:val="21"/>
                <w:highlight w:val="none"/>
                <w14:textFill>
                  <w14:solidFill>
                    <w14:schemeClr w14:val="tx1"/>
                  </w14:solidFill>
                </w14:textFill>
              </w:rPr>
              <w:t>2</w:t>
            </w:r>
            <w:r>
              <w:rPr>
                <w:rFonts w:hint="eastAsia" w:hAnsi="宋体"/>
                <w:color w:val="000000" w:themeColor="text1"/>
                <w:kern w:val="2"/>
                <w:sz w:val="21"/>
                <w:szCs w:val="21"/>
                <w:highlight w:val="none"/>
                <w:lang w:val="en-US" w:eastAsia="zh-CN"/>
                <w14:textFill>
                  <w14:solidFill>
                    <w14:schemeClr w14:val="tx1"/>
                  </w14:solidFill>
                </w14:textFill>
              </w:rPr>
              <w:t>6</w:t>
            </w:r>
          </w:p>
        </w:tc>
        <w:tc>
          <w:tcPr>
            <w:tcW w:w="4650" w:type="pct"/>
            <w:gridSpan w:val="2"/>
            <w:vAlign w:val="center"/>
          </w:tcPr>
          <w:p>
            <w:pPr>
              <w:pStyle w:val="149"/>
              <w:spacing w:line="400" w:lineRule="exact"/>
              <w:ind w:firstLine="482" w:firstLineChars="200"/>
              <w:jc w:val="center"/>
              <w:rPr>
                <w:rFonts w:hint="eastAsia" w:hAnsi="宋体"/>
                <w:sz w:val="21"/>
                <w:szCs w:val="21"/>
                <w:highlight w:val="none"/>
              </w:rPr>
            </w:pPr>
            <w:r>
              <w:rPr>
                <w:rFonts w:hAnsi="宋体"/>
                <w:b/>
                <w:bCs/>
                <w:color w:val="000000" w:themeColor="text1"/>
                <w:szCs w:val="21"/>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9" w:type="pct"/>
            <w:vAlign w:val="center"/>
          </w:tcPr>
          <w:p>
            <w:pPr>
              <w:pStyle w:val="149"/>
              <w:spacing w:line="40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w:t>
            </w:r>
            <w:r>
              <w:rPr>
                <w:rFonts w:hint="eastAsia" w:hAnsi="宋体"/>
                <w:color w:val="000000" w:themeColor="text1"/>
                <w:kern w:val="2"/>
                <w:sz w:val="21"/>
                <w:szCs w:val="21"/>
                <w:highlight w:val="none"/>
                <w:lang w:val="en-US" w:eastAsia="zh-CN"/>
                <w14:textFill>
                  <w14:solidFill>
                    <w14:schemeClr w14:val="tx1"/>
                  </w14:solidFill>
                </w14:textFill>
              </w:rPr>
              <w:t>6</w:t>
            </w:r>
            <w:r>
              <w:rPr>
                <w:rFonts w:hint="eastAsia" w:hAnsi="宋体"/>
                <w:color w:val="000000" w:themeColor="text1"/>
                <w:kern w:val="2"/>
                <w:sz w:val="21"/>
                <w:szCs w:val="21"/>
                <w:highlight w:val="none"/>
                <w14:textFill>
                  <w14:solidFill>
                    <w14:schemeClr w14:val="tx1"/>
                  </w14:solidFill>
                </w14:textFill>
              </w:rPr>
              <w:t>.1</w:t>
            </w:r>
          </w:p>
        </w:tc>
        <w:tc>
          <w:tcPr>
            <w:tcW w:w="4650" w:type="pct"/>
            <w:gridSpan w:val="2"/>
            <w:vAlign w:val="center"/>
          </w:tcPr>
          <w:p>
            <w:pPr>
              <w:pStyle w:val="149"/>
              <w:spacing w:line="400" w:lineRule="exact"/>
              <w:ind w:firstLine="420" w:firstLineChars="200"/>
              <w:rPr>
                <w:rFonts w:hAnsi="宋体"/>
                <w:b/>
                <w:bCs/>
                <w:color w:val="000000" w:themeColor="text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8" w:type="dxa"/>
            <w:vAlign w:val="center"/>
          </w:tcPr>
          <w:p>
            <w:pPr>
              <w:pStyle w:val="149"/>
              <w:spacing w:line="40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6</w:t>
            </w:r>
            <w:r>
              <w:rPr>
                <w:rFonts w:hint="eastAsia" w:hAnsi="宋体"/>
                <w:color w:val="000000" w:themeColor="text1"/>
                <w:kern w:val="2"/>
                <w:sz w:val="21"/>
                <w:szCs w:val="21"/>
                <w14:textFill>
                  <w14:solidFill>
                    <w14:schemeClr w14:val="tx1"/>
                  </w14:solidFill>
                </w14:textFill>
              </w:rPr>
              <w:t>.2</w:t>
            </w:r>
          </w:p>
        </w:tc>
        <w:tc>
          <w:tcPr>
            <w:tcW w:w="9160" w:type="dxa"/>
            <w:gridSpan w:val="2"/>
            <w:vAlign w:val="center"/>
          </w:tcPr>
          <w:p>
            <w:pPr>
              <w:pStyle w:val="149"/>
              <w:numPr>
                <w:ilvl w:val="0"/>
                <w:numId w:val="4"/>
              </w:numPr>
              <w:spacing w:line="400" w:lineRule="exact"/>
              <w:ind w:firstLine="420" w:firstLineChars="200"/>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如中标人无法满足工程量清单中任一参数要求，采购人有权退货、终止合同，并扣除合同总金额的10%。</w:t>
            </w:r>
          </w:p>
          <w:p>
            <w:pPr>
              <w:pStyle w:val="149"/>
              <w:numPr>
                <w:ilvl w:val="0"/>
                <w:numId w:val="4"/>
              </w:numPr>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采购人</w:t>
            </w:r>
            <w:r>
              <w:rPr>
                <w:rFonts w:hint="default" w:hAnsi="宋体"/>
                <w:color w:val="000000" w:themeColor="text1"/>
                <w:sz w:val="21"/>
                <w:szCs w:val="21"/>
                <w:lang w:val="en-US" w:eastAsia="zh-CN"/>
                <w14:textFill>
                  <w14:solidFill>
                    <w14:schemeClr w14:val="tx1"/>
                  </w14:solidFill>
                </w14:textFill>
              </w:rPr>
              <w:t>将现场验收和第三方检测相结合进行质量的把控，随机抽查到货产品质量。对于现场验收不合格的产品，该批次货物做退货处理，并有权扣除供货人部分履约担保和低价担保（如有）；对于随机抽取至第三方检测机构进行检测的产品，</w:t>
            </w:r>
            <w:r>
              <w:rPr>
                <w:rFonts w:hint="eastAsia" w:hAnsi="宋体"/>
                <w:color w:val="000000" w:themeColor="text1"/>
                <w:sz w:val="21"/>
                <w:szCs w:val="21"/>
                <w:lang w:val="en-US" w:eastAsia="zh-CN"/>
                <w14:textFill>
                  <w14:solidFill>
                    <w14:schemeClr w14:val="tx1"/>
                  </w14:solidFill>
                </w14:textFill>
              </w:rPr>
              <w:t>采购人</w:t>
            </w:r>
            <w:r>
              <w:rPr>
                <w:rFonts w:hint="default" w:hAnsi="宋体"/>
                <w:color w:val="000000" w:themeColor="text1"/>
                <w:sz w:val="21"/>
                <w:szCs w:val="21"/>
                <w:lang w:val="en-US" w:eastAsia="zh-CN"/>
                <w14:textFill>
                  <w14:solidFill>
                    <w14:schemeClr w14:val="tx1"/>
                  </w14:solidFill>
                </w14:textFill>
              </w:rPr>
              <w:t>将立即对该批次货物做退货处理，并扣除中标人的履约担保和低价担保（如有），若产品已安装完成，则由中标人赔偿相应损失。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8" w:type="dxa"/>
            <w:vAlign w:val="center"/>
          </w:tcPr>
          <w:p>
            <w:pPr>
              <w:pStyle w:val="149"/>
              <w:spacing w:line="40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26.3</w:t>
            </w:r>
          </w:p>
        </w:tc>
        <w:tc>
          <w:tcPr>
            <w:tcW w:w="9160" w:type="dxa"/>
            <w:gridSpan w:val="2"/>
            <w:vAlign w:val="center"/>
          </w:tcPr>
          <w:p>
            <w:pPr>
              <w:pStyle w:val="149"/>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1、需提供投标保证金银行回执。</w:t>
            </w:r>
          </w:p>
        </w:tc>
      </w:tr>
      <w:bookmarkEnd w:id="108"/>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b/>
          <w:color w:val="000000" w:themeColor="text1"/>
          <w:highlight w:val="none"/>
          <w14:textFill>
            <w14:solidFill>
              <w14:schemeClr w14:val="tx1"/>
            </w14:solidFill>
          </w14:textFill>
        </w:rPr>
      </w:pPr>
      <w:bookmarkStart w:id="111" w:name="_Toc17532"/>
      <w:bookmarkStart w:id="112" w:name="_Toc30198"/>
      <w:bookmarkStart w:id="113" w:name="_Toc11284"/>
      <w:bookmarkStart w:id="114" w:name="_Toc11329222"/>
      <w:bookmarkStart w:id="115" w:name="_Toc9520"/>
      <w:bookmarkStart w:id="116" w:name="_Toc27148"/>
      <w:bookmarkStart w:id="117" w:name="_Toc388534043"/>
      <w:bookmarkStart w:id="118" w:name="_Toc11329227"/>
      <w:bookmarkStart w:id="119" w:name="_Toc8293"/>
      <w:bookmarkStart w:id="120" w:name="_Toc387234996"/>
      <w:bookmarkStart w:id="121" w:name="_Toc21487"/>
      <w:r>
        <w:rPr>
          <w:rFonts w:hint="eastAsia" w:ascii="宋体" w:hAnsi="宋体" w:eastAsia="宋体" w:cs="宋体"/>
          <w:color w:val="000000" w:themeColor="text1"/>
          <w:sz w:val="28"/>
          <w:szCs w:val="28"/>
          <w:highlight w:val="none"/>
          <w14:textFill>
            <w14:solidFill>
              <w14:schemeClr w14:val="tx1"/>
            </w14:solidFill>
          </w14:textFill>
        </w:rPr>
        <w:t xml:space="preserve">附录1  </w:t>
      </w:r>
      <w:bookmarkEnd w:id="111"/>
      <w:bookmarkEnd w:id="112"/>
      <w:bookmarkEnd w:id="113"/>
      <w:bookmarkEnd w:id="114"/>
      <w:bookmarkStart w:id="122" w:name="_Toc12773"/>
      <w:bookmarkStart w:id="123" w:name="_Toc27096"/>
      <w:bookmarkStart w:id="124" w:name="_Toc25591"/>
      <w:bookmarkStart w:id="125" w:name="_Toc11329226"/>
      <w:r>
        <w:rPr>
          <w:rFonts w:hint="eastAsia" w:ascii="宋体" w:hAnsi="宋体" w:eastAsia="宋体" w:cs="宋体"/>
          <w:bCs w:val="0"/>
          <w:color w:val="000000" w:themeColor="text1"/>
          <w:sz w:val="28"/>
          <w:szCs w:val="28"/>
          <w:highlight w:val="none"/>
          <w14:textFill>
            <w14:solidFill>
              <w14:schemeClr w14:val="tx1"/>
            </w14:solidFill>
          </w14:textFill>
        </w:rPr>
        <w:t>资格审查文件</w:t>
      </w:r>
      <w:bookmarkEnd w:id="115"/>
      <w:bookmarkEnd w:id="122"/>
      <w:bookmarkEnd w:id="123"/>
      <w:bookmarkEnd w:id="124"/>
      <w:bookmarkEnd w:id="125"/>
      <w:r>
        <w:rPr>
          <w:rFonts w:hint="eastAsia" w:ascii="宋体" w:hAnsi="宋体" w:eastAsia="宋体" w:cs="宋体"/>
          <w:bCs w:val="0"/>
          <w:color w:val="000000" w:themeColor="text1"/>
          <w:sz w:val="28"/>
          <w:szCs w:val="28"/>
          <w:highlight w:val="none"/>
          <w14:textFill>
            <w14:solidFill>
              <w14:schemeClr w14:val="tx1"/>
            </w14:solidFill>
          </w14:textFill>
        </w:rPr>
        <w:t>（项目主要管理人员最低要求）</w:t>
      </w:r>
    </w:p>
    <w:tbl>
      <w:tblPr>
        <w:tblStyle w:val="43"/>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26" w:name="_Toc6945"/>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cs="宋体"/>
                <w:i w:val="0"/>
                <w:caps w:val="0"/>
                <w:color w:val="000000"/>
                <w:spacing w:val="0"/>
                <w:kern w:val="0"/>
                <w:sz w:val="21"/>
                <w:szCs w:val="21"/>
                <w:lang w:val="en-US" w:eastAsia="zh-CN" w:bidi="ar"/>
              </w:rPr>
              <w:t>具有二级建造师及以上执业资格；持有有效的省级建设主管部门颁发的安全生产考核合格证B证，提供社保证明。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技术负责人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rPr>
              <w:t>具有中级及以上职称，提供社保证明</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安全负责人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持有有效的省级建设主管部门颁发的安全生产考核合格证C证，</w:t>
            </w:r>
            <w:r>
              <w:rPr>
                <w:rFonts w:hint="eastAsia" w:ascii="宋体" w:hAnsi="宋体" w:cs="宋体"/>
                <w:i w:val="0"/>
                <w:caps w:val="0"/>
                <w:color w:val="000000"/>
                <w:spacing w:val="0"/>
                <w:kern w:val="0"/>
                <w:sz w:val="21"/>
                <w:szCs w:val="21"/>
                <w:lang w:val="en-US" w:eastAsia="zh-CN" w:bidi="ar"/>
              </w:rPr>
              <w:t>提供社保证明</w:t>
            </w:r>
            <w:r>
              <w:rPr>
                <w:rFonts w:hint="eastAsia" w:ascii="宋体" w:hAnsi="宋体" w:cs="宋体"/>
                <w:szCs w:val="21"/>
                <w:highlight w:val="none"/>
                <w:lang w:val="en-US" w:eastAsia="zh-CN"/>
              </w:rPr>
              <w:t>。</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及由社保局出具的报价人为以上人员缴纳2024年4月至2024年6月连续三个月的养老保险证明（带有社保部门公章或社保部门的有效电子印章）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4"/>
        <w:ind w:firstLine="1124" w:firstLineChars="400"/>
        <w:jc w:val="both"/>
        <w:rPr>
          <w:rFonts w:ascii="宋体" w:hAnsi="宋体" w:eastAsia="宋体" w:cs="宋体"/>
          <w:bCs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t>附录2 资格审查文件（项目其他人员最低要求）</w:t>
      </w:r>
      <w:bookmarkEnd w:id="12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27" w:name="_Toc23696"/>
            <w:bookmarkStart w:id="128" w:name="_Toc507319900"/>
            <w:bookmarkStart w:id="129" w:name="_Toc413241584"/>
            <w:bookmarkStart w:id="130" w:name="_Toc24393"/>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numPr>
                <w:ilvl w:val="0"/>
                <w:numId w:val="5"/>
              </w:numPr>
              <w:ind w:firstLine="400"/>
              <w:rPr>
                <w:rFonts w:hint="eastAsia"/>
                <w:lang w:val="en-US" w:eastAsia="zh-CN"/>
              </w:rPr>
            </w:pPr>
            <w:r>
              <w:rPr>
                <w:rFonts w:hint="eastAsia"/>
                <w:lang w:val="en-US" w:eastAsia="zh-CN"/>
              </w:rPr>
              <w:t>施工劳务人员，至少1支队伍，现场至少配备10名施工劳务人员，必须为报价人自有员工或者劳务派遣员工； </w:t>
            </w:r>
          </w:p>
          <w:p>
            <w:pPr>
              <w:numPr>
                <w:ilvl w:val="0"/>
                <w:numId w:val="5"/>
              </w:numPr>
              <w:ind w:firstLine="400"/>
              <w:rPr>
                <w:rFonts w:hint="eastAsia" w:eastAsia="宋体"/>
                <w:highlight w:val="none"/>
                <w:lang w:val="en-US" w:eastAsia="zh-CN"/>
              </w:rPr>
            </w:pPr>
            <w:r>
              <w:rPr>
                <w:rFonts w:hint="eastAsia"/>
                <w:lang w:val="en-US" w:eastAsia="zh-CN"/>
              </w:rPr>
              <w:t>资料员1名，必须为报价人自有员工或者劳务派遣员工；</w:t>
            </w:r>
          </w:p>
          <w:p>
            <w:pPr>
              <w:numPr>
                <w:ilvl w:val="0"/>
                <w:numId w:val="5"/>
              </w:numPr>
              <w:ind w:firstLine="400"/>
              <w:rPr>
                <w:rFonts w:hint="eastAsia" w:eastAsia="宋体"/>
                <w:highlight w:val="none"/>
                <w:lang w:val="en-US" w:eastAsia="zh-CN"/>
              </w:rPr>
            </w:pPr>
            <w:r>
              <w:rPr>
                <w:rFonts w:hint="eastAsia"/>
                <w:lang w:val="en-US" w:eastAsia="zh-CN"/>
              </w:rPr>
              <w:t>质量员1名，须为报价人自有员工或者劳务派遣员工；</w:t>
            </w:r>
          </w:p>
          <w:p>
            <w:pPr>
              <w:numPr>
                <w:ilvl w:val="0"/>
                <w:numId w:val="5"/>
              </w:numPr>
              <w:ind w:firstLine="400"/>
              <w:rPr>
                <w:rFonts w:hint="eastAsia" w:eastAsia="宋体"/>
                <w:highlight w:val="none"/>
                <w:lang w:val="en-US" w:eastAsia="zh-CN"/>
              </w:rPr>
            </w:pPr>
            <w:r>
              <w:rPr>
                <w:rFonts w:hint="eastAsia"/>
                <w:lang w:val="en-US" w:eastAsia="zh-CN"/>
              </w:rPr>
              <w:t>另需根据项目实际施工进度情况及时增加人员。</w:t>
            </w:r>
          </w:p>
        </w:tc>
      </w:tr>
      <w:bookmarkEnd w:id="127"/>
      <w:bookmarkEnd w:id="128"/>
      <w:bookmarkEnd w:id="129"/>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rPr>
        <w:t>注：以上</w:t>
      </w:r>
      <w:r>
        <w:rPr>
          <w:rFonts w:hint="eastAsia" w:ascii="宋体" w:hAnsi="宋体" w:cs="宋体"/>
          <w:bCs/>
          <w:kern w:val="0"/>
          <w:szCs w:val="21"/>
          <w:lang w:val="en-US" w:eastAsia="zh-CN"/>
        </w:rPr>
        <w:t>人员</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r>
        <w:rPr>
          <w:rFonts w:hint="eastAsia" w:hAnsi="宋体"/>
          <w:b w:val="0"/>
          <w:bCs w:val="0"/>
          <w:color w:val="auto"/>
          <w:sz w:val="21"/>
          <w:szCs w:val="21"/>
          <w:highlight w:val="none"/>
        </w:rPr>
        <w:t>。</w:t>
      </w:r>
    </w:p>
    <w:p>
      <w:pPr>
        <w:pStyle w:val="4"/>
        <w:jc w:val="center"/>
        <w:rPr>
          <w:rFonts w:hAnsi="宋体"/>
          <w:b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t>附录3 资格审查文件（主要机械设备和试验检测设备最低要求）</w:t>
      </w:r>
      <w:bookmarkEnd w:id="130"/>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w:t>
            </w:r>
            <w:r>
              <w:rPr>
                <w:rFonts w:hint="eastAsia" w:ascii="宋体" w:hAnsi="宋体" w:cs="宋体"/>
                <w:caps/>
                <w:szCs w:val="21"/>
              </w:rPr>
              <w:t>根据项目实际施工进度情况及时增加相关机械设备和试验检测设备。</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spacing w:line="440" w:lineRule="exact"/>
        <w:jc w:val="center"/>
        <w:rPr>
          <w:rFonts w:hint="eastAsia" w:ascii="宋体" w:hAnsi="宋体" w:eastAsia="宋体" w:cs="宋体"/>
          <w:color w:val="000000" w:themeColor="text1"/>
          <w:szCs w:val="21"/>
          <w:highlight w:val="none"/>
          <w:lang w:eastAsia="zh-CN"/>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以上（附录1-附录3中的资格审查）的要求均为强制性条件，其中任何一条不满足要求，则按否决报价处理。</w:t>
      </w:r>
    </w:p>
    <w:bookmarkEnd w:id="116"/>
    <w:bookmarkEnd w:id="117"/>
    <w:bookmarkEnd w:id="118"/>
    <w:bookmarkEnd w:id="119"/>
    <w:bookmarkEnd w:id="120"/>
    <w:bookmarkEnd w:id="121"/>
    <w:p>
      <w:pPr>
        <w:pStyle w:val="3"/>
        <w:numPr>
          <w:ilvl w:val="0"/>
          <w:numId w:val="6"/>
        </w:numPr>
        <w:spacing w:before="0" w:after="0" w:line="360" w:lineRule="auto"/>
        <w:jc w:val="center"/>
        <w:rPr>
          <w:highlight w:val="none"/>
        </w:rPr>
      </w:pPr>
      <w:bookmarkStart w:id="131" w:name="_Toc152042364"/>
      <w:bookmarkStart w:id="132" w:name="_Toc179632605"/>
      <w:bookmarkStart w:id="133" w:name="_Toc32070"/>
      <w:bookmarkStart w:id="134" w:name="_Toc507319957"/>
      <w:bookmarkStart w:id="135" w:name="_Toc2000406"/>
      <w:bookmarkStart w:id="136" w:name="_Toc152045587"/>
      <w:bookmarkStart w:id="137" w:name="_Toc246996973"/>
      <w:bookmarkStart w:id="138" w:name="_Toc246996230"/>
      <w:bookmarkStart w:id="139" w:name="_Toc144974554"/>
      <w:bookmarkStart w:id="140" w:name="_Toc247085745"/>
      <w:r>
        <w:rPr>
          <w:rFonts w:hint="eastAsia" w:ascii="宋体" w:hAnsi="宋体" w:cs="宋体"/>
          <w:highlight w:val="none"/>
        </w:rPr>
        <w:t>评标办法（综合评估法）</w:t>
      </w:r>
      <w:bookmarkEnd w:id="131"/>
      <w:bookmarkEnd w:id="132"/>
      <w:bookmarkEnd w:id="133"/>
      <w:bookmarkEnd w:id="134"/>
      <w:bookmarkEnd w:id="135"/>
      <w:bookmarkEnd w:id="136"/>
      <w:bookmarkEnd w:id="137"/>
      <w:bookmarkEnd w:id="138"/>
      <w:bookmarkEnd w:id="139"/>
      <w:bookmarkEnd w:id="140"/>
    </w:p>
    <w:p>
      <w:pPr>
        <w:rPr>
          <w:highlight w:val="none"/>
        </w:rPr>
      </w:pPr>
    </w:p>
    <w:p>
      <w:pPr>
        <w:rPr>
          <w:b/>
          <w:bCs/>
          <w:highlight w:val="none"/>
        </w:rPr>
      </w:pPr>
      <w:r>
        <w:rPr>
          <w:rFonts w:hint="eastAsia"/>
          <w:b/>
          <w:bCs/>
          <w:highlight w:val="none"/>
        </w:rPr>
        <w:t>评标办法前附表</w:t>
      </w:r>
    </w:p>
    <w:tbl>
      <w:tblPr>
        <w:tblStyle w:val="4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评审因素与评审标准</w:t>
            </w:r>
          </w:p>
        </w:tc>
        <w:tc>
          <w:tcPr>
            <w:tcW w:w="592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Cs/>
                <w:kern w:val="0"/>
                <w:szCs w:val="21"/>
                <w:highlight w:val="none"/>
              </w:rPr>
              <w:t>1</w:t>
            </w:r>
          </w:p>
        </w:tc>
        <w:tc>
          <w:tcPr>
            <w:tcW w:w="1159" w:type="dxa"/>
            <w:vAlign w:val="center"/>
          </w:tcPr>
          <w:p>
            <w:pPr>
              <w:snapToGrid w:val="0"/>
              <w:spacing w:line="320" w:lineRule="exact"/>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szCs w:val="21"/>
                <w:highlight w:val="none"/>
              </w:rPr>
              <w:t>评标办</w:t>
            </w:r>
            <w:r>
              <w:rPr>
                <w:rFonts w:hint="eastAsia" w:asciiTheme="minorEastAsia" w:hAnsiTheme="minorEastAsia" w:eastAsiaTheme="minorEastAsia" w:cstheme="minorEastAsia"/>
                <w:spacing w:val="-1"/>
                <w:szCs w:val="21"/>
                <w:highlight w:val="none"/>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highlight w:val="none"/>
              </w:rPr>
            </w:pPr>
            <w:r>
              <w:rPr>
                <w:rFonts w:hint="eastAsia" w:ascii="宋体" w:hAnsi="宋体" w:cs="宋体"/>
                <w:szCs w:val="21"/>
                <w:highlight w:val="none"/>
              </w:rPr>
              <w:t>中标候选人排序方法</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（1）以评标价低的报价人优先；</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（2）如评标价也相同时，以技术得分较高的报价人优先；</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highlight w:val="none"/>
              </w:rPr>
            </w:pPr>
            <w:r>
              <w:rPr>
                <w:rFonts w:hint="eastAsia" w:ascii="宋体" w:hAnsi="宋体" w:cs="宋体"/>
                <w:szCs w:val="21"/>
                <w:highlight w:val="none"/>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评审标准</w:t>
            </w:r>
          </w:p>
        </w:tc>
        <w:tc>
          <w:tcPr>
            <w:tcW w:w="5928" w:type="dxa"/>
            <w:vAlign w:val="center"/>
          </w:tcPr>
          <w:p>
            <w:pPr>
              <w:snapToGrid w:val="0"/>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营业执照</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资质要求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业绩要求</w:t>
            </w:r>
          </w:p>
        </w:tc>
        <w:tc>
          <w:tcPr>
            <w:tcW w:w="5928"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信誉要求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项目主要管理人员最低要求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其他人员最低要求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主要机械设备和试验检测设备最低要求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报价人名称</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报价函签字盖章</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竞争性比选响应文件格式</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符合第九章“竞争性比选响应文件格式”的要求，字迹清晰可辨。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1.竞争性比选响应声明书的所有数据均符合比选文件的规定；</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已标价工程量清单</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报价其它要求</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竞争性比选响应文件正本中法定代表人或其授权代理人签署</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其它材料</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投标内容</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工期</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质量标准</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安全目标</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159" w:type="dxa"/>
            <w:vAlign w:val="center"/>
          </w:tcPr>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分值构</w:t>
            </w:r>
          </w:p>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（总分 100 分） </w:t>
            </w:r>
          </w:p>
        </w:tc>
        <w:tc>
          <w:tcPr>
            <w:tcW w:w="7950" w:type="dxa"/>
            <w:gridSpan w:val="2"/>
            <w:vAlign w:val="center"/>
          </w:tcPr>
          <w:p>
            <w:pPr>
              <w:numPr>
                <w:ilvl w:val="0"/>
                <w:numId w:val="0"/>
              </w:num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r>
              <w:rPr>
                <w:rFonts w:hint="eastAsia" w:asciiTheme="minorEastAsia" w:hAnsiTheme="minorEastAsia" w:eastAsiaTheme="minorEastAsia" w:cstheme="minorEastAsia"/>
                <w:szCs w:val="21"/>
                <w:highlight w:val="none"/>
                <w:lang w:val="en-US" w:eastAsia="zh-CN"/>
              </w:rPr>
              <w:t>7</w:t>
            </w:r>
            <w:r>
              <w:rPr>
                <w:rFonts w:hint="default"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pPr>
              <w:numPr>
                <w:ilvl w:val="0"/>
                <w:numId w:val="0"/>
              </w:num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商务部分</w:t>
            </w:r>
            <w:r>
              <w:rPr>
                <w:rFonts w:hint="eastAsia" w:asciiTheme="minorEastAsia" w:hAnsiTheme="minorEastAsia" w:eastAsiaTheme="minorEastAsia" w:cstheme="minorEastAsia"/>
                <w:szCs w:val="21"/>
                <w:highlight w:val="none"/>
                <w:lang w:val="en-US" w:eastAsia="zh-CN"/>
              </w:rPr>
              <w:t>1</w:t>
            </w:r>
            <w:r>
              <w:rPr>
                <w:rFonts w:hint="default"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w:t>
            </w:r>
          </w:p>
        </w:tc>
        <w:tc>
          <w:tcPr>
            <w:tcW w:w="1159" w:type="dxa"/>
            <w:vMerge w:val="restart"/>
            <w:tcBorders>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r>
              <w:rPr>
                <w:rFonts w:hint="eastAsia" w:asciiTheme="minorEastAsia" w:hAnsiTheme="minorEastAsia" w:eastAsiaTheme="minorEastAsia" w:cstheme="minorEastAsia"/>
                <w:szCs w:val="21"/>
                <w:highlight w:val="none"/>
                <w:lang w:val="en-US" w:eastAsia="zh-CN"/>
              </w:rPr>
              <w:t>7</w:t>
            </w:r>
            <w:r>
              <w:rPr>
                <w:rFonts w:hint="eastAsia" w:asciiTheme="minorEastAsia" w:hAnsiTheme="minorEastAsia" w:eastAsiaTheme="minorEastAsia" w:cstheme="minorEastAsia"/>
                <w:szCs w:val="21"/>
                <w:highlight w:val="none"/>
              </w:rPr>
              <w:t>0分）</w:t>
            </w:r>
          </w:p>
        </w:tc>
        <w:tc>
          <w:tcPr>
            <w:tcW w:w="2022" w:type="dxa"/>
            <w:tcBorders>
              <w:left w:val="single" w:color="auto" w:sz="4" w:space="0"/>
              <w:bottom w:val="single" w:color="auto" w:sz="4" w:space="0"/>
              <w:right w:val="single" w:color="auto" w:sz="4" w:space="0"/>
            </w:tcBorders>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kern w:val="0"/>
                <w:sz w:val="21"/>
                <w:szCs w:val="21"/>
                <w:highlight w:val="none"/>
                <w:lang w:val="en-US" w:eastAsia="zh-CN"/>
              </w:rPr>
              <w:t>评标基准价计算方法</w:t>
            </w:r>
          </w:p>
        </w:tc>
        <w:tc>
          <w:tcPr>
            <w:tcW w:w="5928" w:type="dxa"/>
            <w:tcBorders>
              <w:left w:val="single" w:color="auto" w:sz="4" w:space="0"/>
              <w:bottom w:val="single" w:color="auto" w:sz="4" w:space="0"/>
              <w:right w:val="single" w:color="auto" w:sz="4" w:space="0"/>
            </w:tcBorders>
            <w:vAlign w:val="top"/>
          </w:tcPr>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由评标委员会计算评标基准价：</w:t>
            </w:r>
          </w:p>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（1）评标价的确定：评标价＝投标函文字报价</w:t>
            </w:r>
          </w:p>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（2）评标基准价的确定：</w:t>
            </w:r>
          </w:p>
          <w:p>
            <w:pPr>
              <w:snapToGrid w:val="0"/>
              <w:spacing w:line="400" w:lineRule="exact"/>
              <w:ind w:firstLine="420" w:firstLineChars="200"/>
              <w:rPr>
                <w:rFonts w:ascii="宋体" w:hAnsi="宋体" w:cs="宋体"/>
                <w:szCs w:val="21"/>
                <w:highlight w:val="none"/>
              </w:rPr>
            </w:pPr>
            <w:r>
              <w:rPr>
                <w:rFonts w:hint="eastAsia" w:ascii="宋体" w:hAnsi="宋体" w:eastAsia="宋体" w:cs="宋体"/>
                <w:kern w:val="0"/>
                <w:sz w:val="21"/>
                <w:szCs w:val="21"/>
                <w:highlight w:val="none"/>
              </w:rPr>
              <w:t>在通过初步评审后且不高于最高限价</w:t>
            </w:r>
            <w:r>
              <w:rPr>
                <w:rFonts w:hint="eastAsia" w:ascii="宋体" w:hAnsi="宋体" w:eastAsia="宋体" w:cs="宋体"/>
                <w:kern w:val="0"/>
                <w:sz w:val="21"/>
                <w:szCs w:val="21"/>
                <w:highlight w:val="none"/>
                <w:lang w:val="en-US" w:eastAsia="zh-CN"/>
              </w:rPr>
              <w:t>和不低于最高限价85%的投标报价</w:t>
            </w:r>
            <w:r>
              <w:rPr>
                <w:rFonts w:hint="eastAsia" w:ascii="宋体" w:hAnsi="宋体" w:eastAsia="宋体" w:cs="宋体"/>
                <w:kern w:val="0"/>
                <w:sz w:val="21"/>
                <w:szCs w:val="21"/>
                <w:highlight w:val="none"/>
              </w:rPr>
              <w:t>中去掉六分之一（不能整除的按小数前整数取整，不足六家报价则不去掉）的最低价和相同家数的最高价后的算术平均值</w:t>
            </w:r>
            <w:r>
              <w:rPr>
                <w:rFonts w:hint="eastAsia" w:ascii="宋体" w:hAnsi="宋体" w:eastAsia="宋体" w:cs="宋体"/>
                <w:kern w:val="0"/>
                <w:sz w:val="21"/>
                <w:szCs w:val="21"/>
                <w:highlight w:val="none"/>
                <w:lang w:val="en-US" w:eastAsia="zh-CN"/>
              </w:rPr>
              <w:t>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kern w:val="0"/>
                <w:sz w:val="21"/>
                <w:szCs w:val="21"/>
                <w:highlight w:val="none"/>
                <w:lang w:val="en-US" w:eastAsia="zh-CN"/>
              </w:rPr>
              <w:t>评标价的偏差率计算公式</w:t>
            </w:r>
          </w:p>
        </w:tc>
        <w:tc>
          <w:tcPr>
            <w:tcW w:w="592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Cs w:val="21"/>
                <w:highlight w:val="none"/>
              </w:rPr>
            </w:pPr>
            <w:r>
              <w:rPr>
                <w:rFonts w:hint="eastAsia" w:ascii="宋体" w:hAnsi="宋体" w:eastAsia="宋体" w:cs="宋体"/>
                <w:b/>
                <w:bCs/>
                <w:sz w:val="21"/>
                <w:szCs w:val="21"/>
                <w:highlight w:val="none"/>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rFonts w:hint="eastAsia" w:asciiTheme="minorEastAsia" w:hAnsiTheme="minorEastAsia" w:eastAsiaTheme="minorEastAsia" w:cstheme="minorEastAsia"/>
                <w:szCs w:val="21"/>
                <w:highlight w:val="none"/>
              </w:rPr>
            </w:pPr>
            <w:r>
              <w:rPr>
                <w:rFonts w:hint="eastAsia" w:ascii="宋体" w:hAnsi="宋体" w:eastAsia="宋体" w:cs="宋体"/>
                <w:kern w:val="0"/>
                <w:sz w:val="21"/>
                <w:szCs w:val="21"/>
                <w:highlight w:val="none"/>
                <w:lang w:val="en-US" w:eastAsia="zh-CN"/>
              </w:rPr>
              <w:t>报价（70</w:t>
            </w:r>
            <w:r>
              <w:rPr>
                <w:rFonts w:hint="default" w:ascii="宋体" w:hAnsi="宋体" w:eastAsia="宋体" w:cs="宋体"/>
                <w:kern w:val="0"/>
                <w:sz w:val="21"/>
                <w:szCs w:val="21"/>
                <w:highlight w:val="none"/>
                <w:lang w:eastAsia="zh-CN"/>
              </w:rPr>
              <w:t>分</w:t>
            </w:r>
            <w:r>
              <w:rPr>
                <w:rFonts w:hint="eastAsia" w:ascii="宋体" w:hAnsi="宋体" w:eastAsia="宋体" w:cs="宋体"/>
                <w:kern w:val="0"/>
                <w:sz w:val="21"/>
                <w:szCs w:val="21"/>
                <w:highlight w:val="none"/>
                <w:lang w:val="en-US" w:eastAsia="zh-CN"/>
              </w:rPr>
              <w:t>）</w:t>
            </w:r>
          </w:p>
        </w:tc>
        <w:tc>
          <w:tcPr>
            <w:tcW w:w="5928" w:type="dxa"/>
            <w:tcBorders>
              <w:top w:val="single" w:color="auto" w:sz="4" w:space="0"/>
              <w:left w:val="single" w:color="auto" w:sz="4" w:space="0"/>
              <w:bottom w:val="single" w:color="auto" w:sz="4" w:space="0"/>
              <w:right w:val="single" w:color="auto" w:sz="4" w:space="0"/>
            </w:tcBorders>
            <w:vAlign w:val="center"/>
          </w:tcPr>
          <w:p>
            <w:pPr>
              <w:pStyle w:val="41"/>
              <w:spacing w:after="0" w:line="320" w:lineRule="exac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所有有效投标报价分别与评标基准价相比较，等于基准价得70分，每增加1%扣0.5分；每减少1%扣0.2分，</w:t>
            </w:r>
            <w:r>
              <w:rPr>
                <w:rFonts w:hint="default" w:ascii="宋体" w:hAnsi="宋体" w:eastAsia="宋体" w:cs="宋体"/>
                <w:kern w:val="0"/>
                <w:sz w:val="21"/>
                <w:szCs w:val="21"/>
                <w:highlight w:val="none"/>
                <w:lang w:eastAsia="zh-CN" w:bidi="ar-SA"/>
              </w:rPr>
              <w:t>最多扣10分</w:t>
            </w:r>
            <w:r>
              <w:rPr>
                <w:rFonts w:hint="eastAsia" w:ascii="宋体" w:hAnsi="宋体" w:eastAsia="宋体" w:cs="宋体"/>
                <w:kern w:val="0"/>
                <w:sz w:val="21"/>
                <w:szCs w:val="21"/>
                <w:highlight w:val="none"/>
                <w:lang w:val="en-US" w:eastAsia="zh-CN" w:bidi="ar-SA"/>
              </w:rPr>
              <w:t>。按插入法计算得分。</w:t>
            </w:r>
          </w:p>
          <w:p>
            <w:pPr>
              <w:pStyle w:val="42"/>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textAlignment w:val="baseline"/>
              <w:rPr>
                <w:rFonts w:hint="eastAsia" w:ascii="宋体" w:hAnsi="宋体" w:eastAsia="宋体" w:cs="宋体"/>
                <w:szCs w:val="21"/>
                <w:highlight w:val="none"/>
                <w:lang w:eastAsia="zh-CN"/>
              </w:rPr>
            </w:pPr>
            <w:r>
              <w:rPr>
                <w:rFonts w:hint="eastAsia" w:ascii="宋体" w:hAnsi="宋体" w:eastAsia="宋体" w:cs="宋体"/>
                <w:kern w:val="0"/>
                <w:sz w:val="21"/>
                <w:szCs w:val="21"/>
                <w:highlight w:val="none"/>
                <w:lang w:val="en-US" w:eastAsia="zh-CN" w:bidi="ar-SA"/>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r>
              <w:rPr>
                <w:rFonts w:hint="eastAsia" w:ascii="宋体" w:hAnsi="宋体" w:eastAsia="宋体" w:cs="宋体"/>
                <w:sz w:val="21"/>
                <w:szCs w:val="21"/>
                <w:highlight w:val="none"/>
              </w:rPr>
              <w:t>商务部分评分标准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default"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w:t>
            </w: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业绩要求（</w:t>
            </w:r>
            <w:r>
              <w:rPr>
                <w:rFonts w:hint="default" w:ascii="宋体" w:hAnsi="宋体" w:eastAsia="宋体" w:cs="宋体"/>
                <w:sz w:val="21"/>
                <w:szCs w:val="21"/>
                <w:highlight w:val="none"/>
              </w:rPr>
              <w:t>8</w:t>
            </w:r>
            <w:r>
              <w:rPr>
                <w:rFonts w:hint="eastAsia" w:ascii="宋体" w:hAnsi="宋体" w:eastAsia="宋体" w:cs="宋体"/>
                <w:sz w:val="21"/>
                <w:szCs w:val="21"/>
                <w:highlight w:val="none"/>
              </w:rPr>
              <w:t>分）</w:t>
            </w:r>
          </w:p>
          <w:p>
            <w:pPr>
              <w:spacing w:line="320" w:lineRule="exact"/>
              <w:jc w:val="center"/>
              <w:rPr>
                <w:rFonts w:hint="eastAsia" w:asciiTheme="minorEastAsia" w:hAnsiTheme="minorEastAsia" w:eastAsiaTheme="minorEastAsia" w:cstheme="minorEastAsia"/>
                <w:szCs w:val="21"/>
                <w:highlight w:val="none"/>
                <w:lang w:eastAsia="zh-CN"/>
              </w:rPr>
            </w:pPr>
          </w:p>
        </w:tc>
        <w:tc>
          <w:tcPr>
            <w:tcW w:w="59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1.满足资格条件的业绩要求得</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p>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2.在满足资格要求基础上</w:t>
            </w:r>
            <w:r>
              <w:rPr>
                <w:rFonts w:hint="eastAsia" w:ascii="宋体" w:hAnsi="宋体" w:cs="宋体"/>
                <w:szCs w:val="21"/>
                <w:highlight w:val="none"/>
                <w:lang w:val="en-US" w:eastAsia="zh-CN"/>
              </w:rPr>
              <w:t>，报价人在2021年1月1日至投标截止日(以合同签订时间为准）每增加1个合同金额不低于30万元的类似展厅或其他装饰装修施工项目业绩</w:t>
            </w:r>
            <w:r>
              <w:rPr>
                <w:rFonts w:hint="eastAsia" w:ascii="宋体" w:hAnsi="宋体" w:eastAsia="宋体" w:cs="宋体"/>
                <w:szCs w:val="21"/>
                <w:highlight w:val="none"/>
                <w:lang w:val="en-US" w:eastAsia="zh-CN"/>
              </w:rPr>
              <w:t>的得</w:t>
            </w:r>
            <w:r>
              <w:rPr>
                <w:rFonts w:hint="default" w:ascii="宋体" w:hAnsi="宋体" w:eastAsia="宋体" w:cs="宋体"/>
                <w:szCs w:val="21"/>
                <w:highlight w:val="none"/>
                <w:lang w:eastAsia="zh-CN"/>
              </w:rPr>
              <w:t>2</w:t>
            </w:r>
            <w:r>
              <w:rPr>
                <w:rFonts w:hint="eastAsia" w:ascii="宋体" w:hAnsi="宋体" w:eastAsia="宋体" w:cs="宋体"/>
                <w:szCs w:val="21"/>
                <w:highlight w:val="none"/>
                <w:lang w:val="en-US" w:eastAsia="zh-CN"/>
              </w:rPr>
              <w:t>分，满分</w:t>
            </w:r>
            <w:r>
              <w:rPr>
                <w:rFonts w:hint="default" w:ascii="宋体" w:hAnsi="宋体" w:eastAsia="宋体" w:cs="宋体"/>
                <w:szCs w:val="21"/>
                <w:highlight w:val="none"/>
                <w:lang w:eastAsia="zh-CN"/>
              </w:rPr>
              <w:t>4</w:t>
            </w:r>
            <w:r>
              <w:rPr>
                <w:rFonts w:hint="eastAsia" w:ascii="宋体" w:hAnsi="宋体" w:eastAsia="宋体" w:cs="宋体"/>
                <w:szCs w:val="21"/>
                <w:highlight w:val="none"/>
                <w:lang w:val="en-US" w:eastAsia="zh-CN"/>
              </w:rPr>
              <w:t>分。</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注：</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.合同</w:t>
            </w:r>
            <w:r>
              <w:rPr>
                <w:rFonts w:hint="eastAsia" w:ascii="宋体" w:hAnsi="宋体" w:eastAsia="宋体" w:cs="宋体"/>
                <w:szCs w:val="21"/>
                <w:highlight w:val="none"/>
                <w:lang w:val="en-US" w:eastAsia="zh-CN"/>
              </w:rPr>
              <w:t>复印件</w:t>
            </w:r>
            <w:r>
              <w:rPr>
                <w:rFonts w:hint="eastAsia" w:ascii="宋体" w:hAnsi="宋体" w:eastAsia="宋体" w:cs="宋体"/>
                <w:szCs w:val="21"/>
                <w:highlight w:val="none"/>
                <w:lang w:eastAsia="zh-CN"/>
              </w:rPr>
              <w:t>（合同需清晰反映上述业绩要求的主要内容，包括但不限于合同金额及</w:t>
            </w:r>
            <w:r>
              <w:rPr>
                <w:rFonts w:hint="eastAsia" w:ascii="宋体" w:hAnsi="宋体" w:eastAsia="宋体" w:cs="宋体"/>
                <w:szCs w:val="21"/>
                <w:highlight w:val="none"/>
                <w:lang w:val="en-US" w:eastAsia="zh-CN"/>
              </w:rPr>
              <w:t>工作内容</w:t>
            </w:r>
            <w:r>
              <w:rPr>
                <w:rFonts w:hint="eastAsia" w:ascii="宋体" w:hAnsi="宋体" w:eastAsia="宋体" w:cs="宋体"/>
                <w:szCs w:val="21"/>
                <w:highlight w:val="none"/>
                <w:lang w:eastAsia="zh-CN"/>
              </w:rPr>
              <w:t>），合同原件备查。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Cs w:val="21"/>
                <w:highlight w:val="none"/>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项目团队</w:t>
            </w:r>
            <w:r>
              <w:rPr>
                <w:rFonts w:hint="eastAsia" w:asciiTheme="minorEastAsia" w:hAnsiTheme="minorEastAsia" w:eastAsiaTheme="minorEastAsia" w:cstheme="minorEastAsia"/>
                <w:szCs w:val="21"/>
                <w:highlight w:val="none"/>
              </w:rPr>
              <w:t>（</w:t>
            </w:r>
            <w:r>
              <w:rPr>
                <w:rFonts w:hint="default"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分）</w:t>
            </w:r>
          </w:p>
        </w:tc>
        <w:tc>
          <w:tcPr>
            <w:tcW w:w="59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报价人的项目管理团队成员至少有3人，且提供相应证书。满足3人得1分；增加1人，得1分，满分3分。注：需提供项目人员名单、身份证、职称证书、执业资格证书及劳动合同相关证明材料，并加盖单位公章。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w:t>
            </w:r>
            <w:r>
              <w:rPr>
                <w:rFonts w:hint="eastAsia" w:ascii="宋体" w:hAnsi="宋体" w:eastAsia="宋体" w:cs="宋体"/>
                <w:sz w:val="21"/>
                <w:szCs w:val="21"/>
                <w:highlight w:val="none"/>
              </w:rPr>
              <w:t>评分标准</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0分）</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i w:val="0"/>
                <w:iCs w:val="0"/>
                <w:kern w:val="2"/>
                <w:sz w:val="21"/>
                <w:szCs w:val="21"/>
                <w:highlight w:val="none"/>
                <w:u w:val="none"/>
                <w:lang w:val="en-US" w:eastAsia="zh-CN" w:bidi="ar"/>
              </w:rPr>
              <w:t>施工组织设计方案（20分）</w:t>
            </w:r>
          </w:p>
        </w:tc>
        <w:tc>
          <w:tcPr>
            <w:tcW w:w="59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399" w:leftChars="190" w:firstLine="0" w:firstLineChars="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施工组织设计方案需包含以下内容：</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1.施工方案与技术措施，包括工程特点、重点与难点描述的准确性及相应针对性措施；</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2.质量、安全、文明施工及环境保护管理体系与防噪音施工措施；</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3.施工总进度计划及保证措施；</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4.资源配备计划，包括主要施工设备、检测试验和仪表设备、主要材料及劳动力计划；</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5.对重大危险源的识别分析管理措施；特殊气候条件下的施工方案；紧急情况的处理措施、预案以及抵抗风险的措施；成品保护和工程保修工作的管理措施和承诺；</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6.对专业工程的配合、协调、管理、服务方案；与采购人、设计人的配合；</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7.项目管理机构（含项目负责人、技术负责人、质量负责人、安全负责人及其他主要人员的资格与业绩）；对项目管理机构人员的到位情况承诺</w:t>
            </w:r>
            <w:r>
              <w:rPr>
                <w:rFonts w:hint="eastAsia" w:ascii="宋体" w:hAnsi="宋体" w:cs="宋体"/>
                <w:i w:val="0"/>
                <w:iCs w:val="0"/>
                <w:kern w:val="2"/>
                <w:sz w:val="21"/>
                <w:szCs w:val="21"/>
                <w:highlight w:val="none"/>
                <w:u w:val="none"/>
                <w:lang w:val="en-US" w:eastAsia="zh-CN" w:bidi="ar"/>
              </w:rPr>
              <w:t>；</w:t>
            </w:r>
            <w:r>
              <w:rPr>
                <w:rFonts w:hint="eastAsia" w:ascii="宋体" w:hAnsi="宋体" w:eastAsia="宋体" w:cs="宋体"/>
                <w:i w:val="0"/>
                <w:iCs w:val="0"/>
                <w:kern w:val="2"/>
                <w:sz w:val="21"/>
                <w:szCs w:val="21"/>
                <w:highlight w:val="none"/>
                <w:u w:val="none"/>
                <w:lang w:val="en-US" w:eastAsia="zh-CN" w:bidi="ar"/>
              </w:rPr>
              <w:t xml:space="preserve"> </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8.施工总平面布置规划，包括施工现场总平面布置和临时用地布置；</w:t>
            </w:r>
          </w:p>
          <w:p>
            <w:pPr>
              <w:keepNext w:val="0"/>
              <w:keepLines w:val="0"/>
              <w:widowControl/>
              <w:suppressLineNumbers w:val="0"/>
              <w:ind w:left="0" w:leftChars="0" w:firstLine="420" w:firstLineChars="200"/>
              <w:jc w:val="left"/>
              <w:textAlignment w:val="center"/>
              <w:rPr>
                <w:rFonts w:hint="eastAsia" w:ascii="宋体" w:hAnsi="宋体" w:eastAsia="宋体" w:cs="宋体"/>
                <w:szCs w:val="21"/>
                <w:highlight w:val="none"/>
                <w:lang w:val="en-US" w:eastAsia="zh-CN"/>
              </w:rPr>
            </w:pPr>
            <w:r>
              <w:rPr>
                <w:rFonts w:hint="eastAsia" w:ascii="宋体" w:hAnsi="宋体" w:eastAsia="宋体" w:cs="宋体"/>
                <w:i w:val="0"/>
                <w:iCs w:val="0"/>
                <w:kern w:val="2"/>
                <w:sz w:val="21"/>
                <w:szCs w:val="21"/>
                <w:highlight w:val="none"/>
                <w:u w:val="none"/>
                <w:lang w:val="en-US" w:eastAsia="zh-CN" w:bidi="ar"/>
              </w:rPr>
              <w:t>综合比较打分：方案描述清晰、完整，可操作性强得</w:t>
            </w:r>
            <w:r>
              <w:rPr>
                <w:rFonts w:hint="eastAsia" w:ascii="宋体" w:hAnsi="宋体" w:cs="宋体"/>
                <w:i w:val="0"/>
                <w:iCs w:val="0"/>
                <w:kern w:val="2"/>
                <w:sz w:val="21"/>
                <w:szCs w:val="21"/>
                <w:highlight w:val="none"/>
                <w:u w:val="none"/>
                <w:lang w:val="en-US" w:eastAsia="zh-CN" w:bidi="ar"/>
              </w:rPr>
              <w:t>20</w:t>
            </w:r>
            <w:r>
              <w:rPr>
                <w:rFonts w:hint="eastAsia" w:ascii="宋体" w:hAnsi="宋体" w:eastAsia="宋体" w:cs="宋体"/>
                <w:i w:val="0"/>
                <w:iCs w:val="0"/>
                <w:kern w:val="2"/>
                <w:sz w:val="21"/>
                <w:szCs w:val="21"/>
                <w:highlight w:val="none"/>
                <w:u w:val="none"/>
                <w:lang w:val="en-US" w:eastAsia="zh-CN" w:bidi="ar"/>
              </w:rPr>
              <w:t>-</w:t>
            </w:r>
            <w:r>
              <w:rPr>
                <w:rFonts w:hint="eastAsia" w:ascii="宋体" w:hAnsi="宋体" w:cs="宋体"/>
                <w:i w:val="0"/>
                <w:iCs w:val="0"/>
                <w:kern w:val="2"/>
                <w:sz w:val="21"/>
                <w:szCs w:val="21"/>
                <w:highlight w:val="none"/>
                <w:u w:val="none"/>
                <w:lang w:val="en-US" w:eastAsia="zh-CN" w:bidi="ar"/>
              </w:rPr>
              <w:t>16</w:t>
            </w:r>
            <w:r>
              <w:rPr>
                <w:rFonts w:hint="eastAsia" w:ascii="宋体" w:hAnsi="宋体" w:eastAsia="宋体" w:cs="宋体"/>
                <w:i w:val="0"/>
                <w:iCs w:val="0"/>
                <w:kern w:val="2"/>
                <w:sz w:val="21"/>
                <w:szCs w:val="21"/>
                <w:highlight w:val="none"/>
                <w:u w:val="none"/>
                <w:lang w:val="en-US" w:eastAsia="zh-CN" w:bidi="ar"/>
              </w:rPr>
              <w:t>分，方案描述较清晰、较完整，可操作性较强得</w:t>
            </w:r>
            <w:r>
              <w:rPr>
                <w:rFonts w:hint="eastAsia" w:ascii="宋体" w:hAnsi="宋体" w:cs="宋体"/>
                <w:i w:val="0"/>
                <w:iCs w:val="0"/>
                <w:kern w:val="2"/>
                <w:sz w:val="21"/>
                <w:szCs w:val="21"/>
                <w:highlight w:val="none"/>
                <w:u w:val="none"/>
                <w:lang w:val="en-US" w:eastAsia="zh-CN" w:bidi="ar"/>
              </w:rPr>
              <w:t>16</w:t>
            </w:r>
            <w:r>
              <w:rPr>
                <w:rFonts w:hint="eastAsia" w:ascii="宋体" w:hAnsi="宋体" w:eastAsia="宋体" w:cs="宋体"/>
                <w:i w:val="0"/>
                <w:iCs w:val="0"/>
                <w:kern w:val="2"/>
                <w:sz w:val="21"/>
                <w:szCs w:val="21"/>
                <w:highlight w:val="none"/>
                <w:u w:val="none"/>
                <w:lang w:val="en-US" w:eastAsia="zh-CN" w:bidi="ar"/>
              </w:rPr>
              <w:t>-</w:t>
            </w:r>
            <w:r>
              <w:rPr>
                <w:rFonts w:hint="eastAsia" w:ascii="宋体" w:hAnsi="宋体" w:cs="宋体"/>
                <w:i w:val="0"/>
                <w:iCs w:val="0"/>
                <w:kern w:val="2"/>
                <w:sz w:val="21"/>
                <w:szCs w:val="21"/>
                <w:highlight w:val="none"/>
                <w:u w:val="none"/>
                <w:lang w:val="en-US" w:eastAsia="zh-CN" w:bidi="ar"/>
              </w:rPr>
              <w:t>12</w:t>
            </w:r>
            <w:r>
              <w:rPr>
                <w:rFonts w:hint="eastAsia" w:ascii="宋体" w:hAnsi="宋体" w:eastAsia="宋体" w:cs="宋体"/>
                <w:i w:val="0"/>
                <w:iCs w:val="0"/>
                <w:kern w:val="2"/>
                <w:sz w:val="21"/>
                <w:szCs w:val="21"/>
                <w:highlight w:val="none"/>
                <w:u w:val="none"/>
                <w:lang w:val="en-US" w:eastAsia="zh-CN" w:bidi="ar"/>
              </w:rPr>
              <w:t>分；方案描述不够清晰，不够完整得</w:t>
            </w:r>
            <w:r>
              <w:rPr>
                <w:rFonts w:hint="eastAsia" w:ascii="宋体" w:hAnsi="宋体" w:cs="宋体"/>
                <w:i w:val="0"/>
                <w:iCs w:val="0"/>
                <w:kern w:val="2"/>
                <w:sz w:val="21"/>
                <w:szCs w:val="21"/>
                <w:highlight w:val="none"/>
                <w:u w:val="none"/>
                <w:lang w:val="en-US" w:eastAsia="zh-CN" w:bidi="ar"/>
              </w:rPr>
              <w:t>12</w:t>
            </w:r>
            <w:r>
              <w:rPr>
                <w:rFonts w:hint="eastAsia" w:ascii="宋体" w:hAnsi="宋体" w:eastAsia="宋体" w:cs="宋体"/>
                <w:i w:val="0"/>
                <w:iCs w:val="0"/>
                <w:kern w:val="2"/>
                <w:sz w:val="21"/>
                <w:szCs w:val="21"/>
                <w:highlight w:val="none"/>
                <w:u w:val="none"/>
                <w:lang w:val="en-US" w:eastAsia="zh-CN" w:bidi="ar"/>
              </w:rPr>
              <w:t>-0分</w:t>
            </w:r>
            <w:r>
              <w:rPr>
                <w:rFonts w:hint="eastAsia" w:ascii="宋体" w:hAnsi="宋体" w:cs="宋体"/>
                <w:i w:val="0"/>
                <w:iCs w:val="0"/>
                <w:kern w:val="2"/>
                <w:sz w:val="21"/>
                <w:szCs w:val="21"/>
                <w:highlight w:val="none"/>
                <w:u w:val="none"/>
                <w:lang w:val="en-US" w:eastAsia="zh-CN" w:bidi="ar"/>
              </w:rPr>
              <w:t>；不提供不得分</w:t>
            </w:r>
            <w:r>
              <w:rPr>
                <w:rFonts w:hint="eastAsia" w:ascii="宋体" w:hAnsi="宋体" w:eastAsia="宋体" w:cs="宋体"/>
                <w:i w:val="0"/>
                <w:iCs w:val="0"/>
                <w:kern w:val="2"/>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条款号</w:t>
            </w: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条款名称</w:t>
            </w:r>
          </w:p>
        </w:tc>
        <w:tc>
          <w:tcPr>
            <w:tcW w:w="592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3181" w:type="dxa"/>
            <w:gridSpan w:val="2"/>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spacing w:val="-5"/>
                <w:kern w:val="0"/>
                <w:sz w:val="20"/>
                <w:highlight w:val="none"/>
              </w:rPr>
              <w:t>评标程序</w:t>
            </w:r>
          </w:p>
        </w:tc>
        <w:tc>
          <w:tcPr>
            <w:tcW w:w="5928" w:type="dxa"/>
            <w:tcBorders>
              <w:top w:val="single" w:color="auto" w:sz="4" w:space="0"/>
              <w:left w:val="single" w:color="auto" w:sz="4" w:space="0"/>
              <w:right w:val="single" w:color="auto" w:sz="4" w:space="0"/>
            </w:tcBorders>
            <w:vAlign w:val="center"/>
          </w:tcPr>
          <w:p>
            <w:pPr>
              <w:pStyle w:val="168"/>
              <w:spacing w:before="70" w:line="320" w:lineRule="exact"/>
              <w:ind w:left="119" w:right="83" w:firstLine="420"/>
              <w:rPr>
                <w:rFonts w:ascii="宋体" w:hAnsi="宋体" w:cs="宋体"/>
                <w:szCs w:val="21"/>
                <w:highlight w:val="none"/>
              </w:rPr>
            </w:pPr>
            <w:r>
              <w:rPr>
                <w:rFonts w:hint="eastAsia" w:ascii="宋体" w:hAnsi="宋体" w:cs="宋体"/>
                <w:szCs w:val="21"/>
                <w:highlight w:val="none"/>
              </w:rPr>
              <w:t xml:space="preserve">1.按本章评标办法第2.1款、2.2款及2.3款进行初步评审，未通过初步评审或评标委员会认定为无效的投标文件的不再进行后续评审。 </w:t>
            </w:r>
          </w:p>
          <w:p>
            <w:pPr>
              <w:pStyle w:val="168"/>
              <w:spacing w:before="42" w:line="320" w:lineRule="exact"/>
              <w:ind w:left="119" w:right="72" w:firstLine="420"/>
              <w:rPr>
                <w:rFonts w:ascii="宋体" w:hAnsi="宋体" w:cs="宋体"/>
                <w:szCs w:val="21"/>
                <w:highlight w:val="none"/>
              </w:rPr>
            </w:pPr>
            <w:r>
              <w:rPr>
                <w:rFonts w:hint="eastAsia" w:ascii="宋体" w:hAnsi="宋体" w:cs="宋体"/>
                <w:szCs w:val="21"/>
                <w:highlight w:val="none"/>
              </w:rPr>
              <w:t>2.按本章评标办法前附表第3.1款的规定进行报价投标报价部分评审；</w:t>
            </w:r>
          </w:p>
          <w:p>
            <w:pPr>
              <w:pStyle w:val="168"/>
              <w:spacing w:before="15" w:line="320" w:lineRule="exact"/>
              <w:ind w:left="119" w:right="72" w:firstLine="420"/>
              <w:rPr>
                <w:rFonts w:ascii="宋体" w:hAnsi="宋体" w:cs="宋体"/>
                <w:szCs w:val="21"/>
                <w:highlight w:val="none"/>
              </w:rPr>
            </w:pPr>
            <w:r>
              <w:rPr>
                <w:rFonts w:hint="eastAsia" w:ascii="宋体" w:hAnsi="宋体" w:cs="宋体"/>
                <w:szCs w:val="21"/>
                <w:highlight w:val="none"/>
              </w:rPr>
              <w:t>3.按本章评标办法前附表第3.2款的规定进行商务部分的评审；</w:t>
            </w:r>
          </w:p>
          <w:p>
            <w:pPr>
              <w:pStyle w:val="168"/>
              <w:spacing w:before="15" w:line="320" w:lineRule="exact"/>
              <w:ind w:left="119" w:right="72" w:firstLine="420"/>
              <w:rPr>
                <w:rFonts w:ascii="宋体" w:hAnsi="宋体" w:cs="宋体"/>
                <w:szCs w:val="21"/>
                <w:highlight w:val="none"/>
              </w:rPr>
            </w:pPr>
            <w:r>
              <w:rPr>
                <w:rFonts w:hint="eastAsia" w:ascii="宋体" w:hAnsi="宋体" w:cs="宋体"/>
                <w:szCs w:val="21"/>
                <w:highlight w:val="none"/>
              </w:rPr>
              <w:t>4.按本章评标办法前附表第 3.3款的规定进行技术部分的评审；</w:t>
            </w:r>
          </w:p>
          <w:p>
            <w:pPr>
              <w:pStyle w:val="168"/>
              <w:spacing w:before="42" w:line="320" w:lineRule="exact"/>
              <w:ind w:left="119" w:right="-23" w:firstLine="420"/>
              <w:rPr>
                <w:rFonts w:ascii="宋体" w:hAnsi="宋体" w:cs="宋体"/>
                <w:szCs w:val="21"/>
                <w:highlight w:val="none"/>
              </w:rPr>
            </w:pPr>
            <w:r>
              <w:rPr>
                <w:rFonts w:hint="eastAsia" w:ascii="宋体" w:hAnsi="宋体" w:cs="宋体"/>
                <w:szCs w:val="21"/>
                <w:highlight w:val="none"/>
              </w:rPr>
              <w:t>5.因评标委员会作否决投标处理导致有效</w:t>
            </w:r>
            <w:r>
              <w:rPr>
                <w:rFonts w:hint="eastAsia" w:ascii="宋体" w:hAnsi="宋体" w:cs="宋体"/>
                <w:szCs w:val="21"/>
                <w:highlight w:val="none"/>
                <w:lang w:eastAsia="zh-CN"/>
              </w:rPr>
              <w:t>报价人</w:t>
            </w:r>
            <w:r>
              <w:rPr>
                <w:rFonts w:hint="eastAsia" w:ascii="宋体" w:hAnsi="宋体" w:cs="宋体"/>
                <w:szCs w:val="21"/>
                <w:highlight w:val="none"/>
              </w:rPr>
              <w:t>不足三个的，评标委员会应当否决所有投标。但是有效</w:t>
            </w:r>
            <w:r>
              <w:rPr>
                <w:rFonts w:hint="eastAsia" w:ascii="宋体" w:hAnsi="宋体" w:cs="宋体"/>
                <w:szCs w:val="21"/>
                <w:highlight w:val="none"/>
                <w:lang w:eastAsia="zh-CN"/>
              </w:rPr>
              <w:t>报价人</w:t>
            </w:r>
            <w:r>
              <w:rPr>
                <w:rFonts w:hint="eastAsia" w:ascii="宋体" w:hAnsi="宋体" w:cs="宋体"/>
                <w:szCs w:val="21"/>
                <w:highlight w:val="none"/>
              </w:rPr>
              <w:t xml:space="preserve">的经济、技术等指标仍然具有市场竞争力，能够满足采购文件要求的，评标委员会可以继续评标并确定中标候选人。 </w:t>
            </w:r>
          </w:p>
          <w:p>
            <w:pPr>
              <w:pStyle w:val="168"/>
              <w:spacing w:before="47" w:line="320" w:lineRule="exact"/>
              <w:ind w:left="119" w:firstLine="420"/>
              <w:rPr>
                <w:rFonts w:ascii="宋体" w:hAnsi="宋体" w:cs="宋体"/>
                <w:szCs w:val="21"/>
                <w:highlight w:val="none"/>
              </w:rPr>
            </w:pPr>
            <w:r>
              <w:rPr>
                <w:rFonts w:hint="eastAsia" w:ascii="宋体" w:hAnsi="宋体" w:cs="宋体"/>
                <w:szCs w:val="21"/>
                <w:highlight w:val="none"/>
              </w:rPr>
              <w:t>6.对技术部分、商务部分、投标总报价得分进行汇总，确定得分由高至低前2名</w:t>
            </w:r>
            <w:r>
              <w:rPr>
                <w:rFonts w:hint="eastAsia" w:ascii="宋体" w:hAnsi="宋体" w:cs="宋体"/>
                <w:szCs w:val="21"/>
                <w:highlight w:val="none"/>
                <w:lang w:eastAsia="zh-CN"/>
              </w:rPr>
              <w:t>报价人</w:t>
            </w:r>
            <w:r>
              <w:rPr>
                <w:rFonts w:hint="eastAsia" w:ascii="宋体" w:hAnsi="宋体" w:cs="宋体"/>
                <w:szCs w:val="21"/>
                <w:highlight w:val="none"/>
              </w:rPr>
              <w:t xml:space="preserve">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3181" w:type="dxa"/>
            <w:gridSpan w:val="2"/>
            <w:vAlign w:val="center"/>
          </w:tcPr>
          <w:p>
            <w:pPr>
              <w:spacing w:line="320" w:lineRule="exact"/>
              <w:jc w:val="center"/>
              <w:rPr>
                <w:rFonts w:asciiTheme="minorEastAsia" w:hAnsiTheme="minorEastAsia" w:eastAsiaTheme="minorEastAsia" w:cstheme="minorEastAsia"/>
                <w:szCs w:val="21"/>
                <w:highlight w:val="none"/>
              </w:rPr>
            </w:pPr>
            <w:r>
              <w:rPr>
                <w:rFonts w:hint="eastAsia"/>
                <w:spacing w:val="-5"/>
                <w:kern w:val="0"/>
                <w:sz w:val="20"/>
                <w:highlight w:val="none"/>
                <w:lang w:eastAsia="zh-CN"/>
              </w:rPr>
              <w:t>报价人</w:t>
            </w:r>
            <w:r>
              <w:rPr>
                <w:rFonts w:hint="eastAsia"/>
                <w:spacing w:val="-5"/>
                <w:kern w:val="0"/>
                <w:sz w:val="20"/>
                <w:highlight w:val="none"/>
              </w:rPr>
              <w:t>得分</w:t>
            </w:r>
          </w:p>
        </w:tc>
        <w:tc>
          <w:tcPr>
            <w:tcW w:w="592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报价人</w:t>
            </w:r>
            <w:r>
              <w:rPr>
                <w:rFonts w:hint="eastAsia" w:ascii="宋体" w:hAnsi="宋体" w:cs="宋体"/>
                <w:szCs w:val="21"/>
                <w:highlight w:val="none"/>
              </w:rPr>
              <w:t>得分=投标报价得分+商务部分得分+技术部分得分</w:t>
            </w:r>
          </w:p>
        </w:tc>
      </w:tr>
    </w:tbl>
    <w:p>
      <w:pPr>
        <w:pStyle w:val="9"/>
        <w:spacing w:line="418" w:lineRule="exact"/>
        <w:rPr>
          <w:rFonts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1. 评标方法 </w:t>
      </w:r>
    </w:p>
    <w:p>
      <w:pPr>
        <w:pStyle w:val="2"/>
        <w:spacing w:before="119" w:line="352"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本次评标采用综合评分法。评标委员会按照本章评标办法前附表规定的评分标准进行打分，按得分由高到 低顺序推荐中标候选人，若出现</w:t>
      </w:r>
      <w:r>
        <w:rPr>
          <w:rFonts w:hint="eastAsia" w:ascii="宋体" w:hAnsi="宋体" w:cs="宋体"/>
          <w:kern w:val="2"/>
          <w:sz w:val="21"/>
          <w:szCs w:val="21"/>
          <w:highlight w:val="none"/>
          <w:lang w:eastAsia="zh-CN"/>
        </w:rPr>
        <w:t>报价人</w:t>
      </w:r>
      <w:r>
        <w:rPr>
          <w:rFonts w:hint="eastAsia" w:ascii="宋体" w:hAnsi="宋体" w:cs="宋体"/>
          <w:kern w:val="2"/>
          <w:sz w:val="21"/>
          <w:szCs w:val="21"/>
          <w:highlight w:val="none"/>
        </w:rPr>
        <w:t xml:space="preserve">投标报价相同的，以评标办法前附表约定的原则确定排序。 </w:t>
      </w:r>
    </w:p>
    <w:p>
      <w:pPr>
        <w:pStyle w:val="9"/>
        <w:spacing w:before="56"/>
        <w:rPr>
          <w:rFonts w:ascii="宋体" w:hAnsi="宋体" w:eastAsia="宋体" w:cs="宋体"/>
          <w:kern w:val="2"/>
          <w:sz w:val="21"/>
          <w:szCs w:val="21"/>
          <w:highlight w:val="none"/>
        </w:rPr>
      </w:pPr>
      <w:bookmarkStart w:id="141" w:name="2._评审标准"/>
      <w:bookmarkEnd w:id="141"/>
      <w:r>
        <w:rPr>
          <w:rFonts w:hint="eastAsia" w:ascii="宋体" w:hAnsi="宋体" w:eastAsia="宋体" w:cs="宋体"/>
          <w:kern w:val="2"/>
          <w:sz w:val="21"/>
          <w:szCs w:val="21"/>
          <w:highlight w:val="none"/>
        </w:rPr>
        <w:t xml:space="preserve">2. 评审标准 </w:t>
      </w:r>
    </w:p>
    <w:p>
      <w:pPr>
        <w:spacing w:before="156"/>
        <w:ind w:left="106"/>
        <w:rPr>
          <w:rFonts w:ascii="宋体" w:hAnsi="宋体" w:cs="宋体"/>
          <w:szCs w:val="21"/>
          <w:highlight w:val="none"/>
        </w:rPr>
      </w:pPr>
      <w:bookmarkStart w:id="142" w:name="2.1_初步评审标准"/>
      <w:bookmarkEnd w:id="142"/>
      <w:r>
        <w:rPr>
          <w:rFonts w:hint="eastAsia" w:ascii="宋体" w:hAnsi="宋体" w:cs="宋体"/>
          <w:szCs w:val="21"/>
          <w:highlight w:val="none"/>
        </w:rPr>
        <w:t xml:space="preserve">2.1 初步评审标准 </w:t>
      </w:r>
    </w:p>
    <w:p>
      <w:pPr>
        <w:pStyle w:val="2"/>
        <w:spacing w:before="61"/>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2.1.1 资格评审标准：见评标办法前附表。 </w:t>
      </w:r>
    </w:p>
    <w:p>
      <w:pPr>
        <w:pStyle w:val="2"/>
        <w:spacing w:before="130"/>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2.1.2 形式评审标准：见评标办法前附表。 </w:t>
      </w:r>
    </w:p>
    <w:p>
      <w:pPr>
        <w:pStyle w:val="2"/>
        <w:spacing w:before="130"/>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2.1.3 响应性评审标准：见评标办法前附表。 </w:t>
      </w:r>
    </w:p>
    <w:p>
      <w:pPr>
        <w:rPr>
          <w:rFonts w:ascii="宋体" w:hAnsi="宋体" w:cs="宋体"/>
          <w:caps/>
          <w:szCs w:val="21"/>
          <w:highlight w:val="none"/>
        </w:rPr>
      </w:pPr>
    </w:p>
    <w:p>
      <w:pPr>
        <w:ind w:left="106"/>
        <w:rPr>
          <w:rFonts w:ascii="宋体" w:hAnsi="宋体" w:cs="宋体"/>
          <w:caps/>
          <w:szCs w:val="21"/>
          <w:highlight w:val="none"/>
        </w:rPr>
      </w:pPr>
      <w:bookmarkStart w:id="143" w:name="2.2_分值构成与评分标准"/>
      <w:bookmarkEnd w:id="143"/>
      <w:r>
        <w:rPr>
          <w:rFonts w:hint="eastAsia" w:ascii="宋体" w:hAnsi="宋体" w:cs="宋体"/>
          <w:caps/>
          <w:szCs w:val="21"/>
          <w:highlight w:val="none"/>
        </w:rPr>
        <w:t xml:space="preserve">2.2 分值构成与评分标准 </w:t>
      </w:r>
    </w:p>
    <w:p>
      <w:pPr>
        <w:pStyle w:val="2"/>
        <w:spacing w:before="62"/>
        <w:ind w:left="632"/>
        <w:rPr>
          <w:rFonts w:ascii="宋体" w:hAnsi="宋体" w:cs="宋体"/>
          <w:caps/>
          <w:kern w:val="2"/>
          <w:sz w:val="21"/>
          <w:szCs w:val="21"/>
          <w:highlight w:val="none"/>
        </w:rPr>
      </w:pPr>
      <w:r>
        <w:rPr>
          <w:rFonts w:hint="eastAsia" w:ascii="宋体" w:hAnsi="宋体" w:cs="宋体"/>
          <w:caps/>
          <w:kern w:val="2"/>
          <w:sz w:val="21"/>
          <w:szCs w:val="21"/>
          <w:highlight w:val="none"/>
        </w:rPr>
        <w:t xml:space="preserve">2.2.1 分值构成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（1）技术部分：见评标办法前附表； </w:t>
      </w:r>
    </w:p>
    <w:p>
      <w:pPr>
        <w:pStyle w:val="2"/>
        <w:spacing w:before="145"/>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（2）商务部分：见评标办法前附表； </w:t>
      </w:r>
    </w:p>
    <w:p>
      <w:pPr>
        <w:pStyle w:val="2"/>
        <w:spacing w:before="29" w:line="367" w:lineRule="auto"/>
        <w:ind w:firstLine="526"/>
        <w:rPr>
          <w:rFonts w:ascii="宋体" w:hAnsi="宋体" w:cs="宋体"/>
          <w:caps/>
          <w:kern w:val="2"/>
          <w:sz w:val="21"/>
          <w:szCs w:val="21"/>
          <w:highlight w:val="none"/>
        </w:rPr>
      </w:pPr>
      <w:r>
        <w:rPr>
          <w:rFonts w:hint="eastAsia" w:ascii="宋体" w:hAnsi="宋体" w:cs="宋体"/>
          <w:caps/>
          <w:kern w:val="2"/>
          <w:sz w:val="21"/>
          <w:szCs w:val="21"/>
          <w:highlight w:val="none"/>
        </w:rPr>
        <w:t>（3）投标总报价：见评标办法前附表。</w:t>
      </w:r>
    </w:p>
    <w:p>
      <w:pPr>
        <w:pStyle w:val="2"/>
        <w:spacing w:before="145" w:line="355" w:lineRule="auto"/>
        <w:ind w:left="632" w:right="5004" w:hanging="106"/>
        <w:rPr>
          <w:rFonts w:ascii="宋体" w:hAnsi="宋体" w:cs="宋体"/>
          <w:caps/>
          <w:kern w:val="2"/>
          <w:sz w:val="21"/>
          <w:szCs w:val="21"/>
          <w:highlight w:val="none"/>
        </w:rPr>
      </w:pPr>
      <w:r>
        <w:rPr>
          <w:rFonts w:hint="eastAsia" w:ascii="宋体" w:hAnsi="宋体" w:cs="宋体"/>
          <w:caps/>
          <w:kern w:val="2"/>
          <w:sz w:val="21"/>
          <w:szCs w:val="21"/>
          <w:highlight w:val="none"/>
        </w:rPr>
        <w:t xml:space="preserve"> 2.2.2 评审标准 </w:t>
      </w:r>
    </w:p>
    <w:p>
      <w:pPr>
        <w:pStyle w:val="2"/>
        <w:spacing w:before="29" w:line="367" w:lineRule="auto"/>
        <w:ind w:firstLine="526"/>
        <w:rPr>
          <w:rFonts w:ascii="宋体" w:hAnsi="宋体" w:cs="宋体"/>
          <w:caps/>
          <w:kern w:val="2"/>
          <w:sz w:val="21"/>
          <w:szCs w:val="21"/>
          <w:highlight w:val="none"/>
        </w:rPr>
      </w:pPr>
      <w:r>
        <w:rPr>
          <w:rFonts w:hint="eastAsia" w:ascii="宋体" w:hAnsi="宋体" w:cs="宋体"/>
          <w:caps/>
          <w:kern w:val="2"/>
          <w:sz w:val="21"/>
          <w:szCs w:val="21"/>
          <w:highlight w:val="none"/>
        </w:rPr>
        <w:t xml:space="preserve">（1）技术部分评分标准：见评标办法前附表； </w:t>
      </w:r>
    </w:p>
    <w:p>
      <w:pPr>
        <w:pStyle w:val="2"/>
        <w:spacing w:before="19"/>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 商务部分评分标准：见评标办法前附表； </w:t>
      </w:r>
    </w:p>
    <w:p>
      <w:pPr>
        <w:pStyle w:val="2"/>
        <w:spacing w:before="130" w:line="360" w:lineRule="auto"/>
        <w:ind w:left="647" w:right="2891"/>
        <w:rPr>
          <w:rFonts w:ascii="宋体" w:hAnsi="宋体" w:cs="宋体"/>
          <w:caps/>
          <w:kern w:val="2"/>
          <w:sz w:val="21"/>
          <w:szCs w:val="21"/>
          <w:highlight w:val="none"/>
        </w:rPr>
      </w:pPr>
      <w:r>
        <w:rPr>
          <w:rFonts w:hint="eastAsia" w:ascii="宋体" w:hAnsi="宋体" w:cs="宋体"/>
          <w:caps/>
          <w:kern w:val="2"/>
          <w:sz w:val="21"/>
          <w:szCs w:val="21"/>
          <w:highlight w:val="none"/>
        </w:rPr>
        <w:t xml:space="preserve">（3） 报价评审标准：见评标办法前附表； </w:t>
      </w:r>
    </w:p>
    <w:p>
      <w:pPr>
        <w:pStyle w:val="2"/>
        <w:spacing w:before="119" w:line="352"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2.2.3 评标基准价计算 评标基准价的计算方法：见评标办法前附表。 </w:t>
      </w:r>
    </w:p>
    <w:p>
      <w:pPr>
        <w:pStyle w:val="2"/>
        <w:spacing w:before="119" w:line="352"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2.2.4 投标报价的偏差率计算 投标报价的偏差率计算公式：见评标办法前附表。 </w:t>
      </w:r>
    </w:p>
    <w:p>
      <w:pPr>
        <w:pStyle w:val="9"/>
        <w:spacing w:before="54"/>
        <w:rPr>
          <w:rFonts w:ascii="宋体" w:hAnsi="宋体" w:eastAsia="宋体" w:cs="宋体"/>
          <w:caps/>
          <w:kern w:val="2"/>
          <w:sz w:val="21"/>
          <w:szCs w:val="21"/>
          <w:highlight w:val="none"/>
        </w:rPr>
      </w:pPr>
      <w:bookmarkStart w:id="144" w:name="3._评标程序"/>
      <w:bookmarkEnd w:id="144"/>
      <w:r>
        <w:rPr>
          <w:rFonts w:hint="eastAsia" w:ascii="宋体" w:hAnsi="宋体" w:eastAsia="宋体" w:cs="宋体"/>
          <w:caps/>
          <w:kern w:val="2"/>
          <w:sz w:val="21"/>
          <w:szCs w:val="21"/>
          <w:highlight w:val="none"/>
        </w:rPr>
        <w:t xml:space="preserve">3. 评标程序 </w:t>
      </w:r>
    </w:p>
    <w:p>
      <w:pPr>
        <w:spacing w:before="157"/>
        <w:ind w:left="106"/>
        <w:rPr>
          <w:rFonts w:ascii="宋体" w:hAnsi="宋体" w:cs="宋体"/>
          <w:caps/>
          <w:szCs w:val="21"/>
          <w:highlight w:val="none"/>
        </w:rPr>
      </w:pPr>
      <w:bookmarkStart w:id="145" w:name="3.1_初步评审"/>
      <w:bookmarkEnd w:id="145"/>
      <w:r>
        <w:rPr>
          <w:rFonts w:hint="eastAsia" w:ascii="宋体" w:hAnsi="宋体" w:cs="宋体"/>
          <w:caps/>
          <w:szCs w:val="21"/>
          <w:highlight w:val="none"/>
        </w:rPr>
        <w:t xml:space="preserve">3.1 初步评审 </w:t>
      </w:r>
    </w:p>
    <w:p>
      <w:pPr>
        <w:pStyle w:val="2"/>
        <w:spacing w:before="61"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3.1.1 评标委员会依据本章第2.1款、2.2款及2.3款规定的标准对投标文件进行初步评审。有一项不符合评审标准的，作否决投标处理。</w:t>
      </w:r>
    </w:p>
    <w:p>
      <w:pPr>
        <w:pStyle w:val="2"/>
        <w:spacing w:before="32"/>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3.1.2 </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有以下情形之一的，其投标作否决投标处理： </w:t>
      </w:r>
    </w:p>
    <w:p>
      <w:pPr>
        <w:pStyle w:val="2"/>
        <w:spacing w:before="145"/>
        <w:ind w:left="526"/>
        <w:rPr>
          <w:rFonts w:ascii="宋体" w:hAnsi="宋体" w:cs="宋体"/>
          <w:caps/>
          <w:kern w:val="2"/>
          <w:sz w:val="21"/>
          <w:szCs w:val="21"/>
          <w:highlight w:val="none"/>
        </w:rPr>
      </w:pPr>
      <w:r>
        <w:rPr>
          <w:rFonts w:hint="eastAsia" w:ascii="宋体" w:hAnsi="宋体" w:cs="宋体"/>
          <w:caps/>
          <w:kern w:val="2"/>
          <w:sz w:val="21"/>
          <w:szCs w:val="21"/>
          <w:highlight w:val="none"/>
        </w:rPr>
        <w:t>（1）第二章“</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须知”第1.4.3项规定的任何一种情形的；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（2）本次投标有串通投标、弄虚作假等其他违反招投标相关法律、法规行为的；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（3）拒绝按评标委员会要求澄清、说明或补正的。 </w:t>
      </w:r>
    </w:p>
    <w:p>
      <w:pPr>
        <w:pStyle w:val="2"/>
        <w:spacing w:before="6" w:line="352" w:lineRule="auto"/>
        <w:ind w:firstLine="630" w:firstLineChars="300"/>
        <w:rPr>
          <w:rFonts w:ascii="宋体" w:hAnsi="宋体" w:cs="宋体"/>
          <w:caps/>
          <w:kern w:val="2"/>
          <w:sz w:val="21"/>
          <w:szCs w:val="21"/>
          <w:highlight w:val="none"/>
        </w:rPr>
      </w:pPr>
      <w:r>
        <w:rPr>
          <w:rFonts w:hint="eastAsia" w:ascii="宋体" w:hAnsi="宋体" w:cs="宋体"/>
          <w:caps/>
          <w:kern w:val="2"/>
          <w:sz w:val="21"/>
          <w:szCs w:val="21"/>
          <w:highlight w:val="none"/>
        </w:rPr>
        <w:t>3.1.3 投标报价有算术错误的，评标委员会按以下原则对投标报价进行修正，修正的价格经</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 书面确认后具有约束力，修正原则如下： </w:t>
      </w:r>
    </w:p>
    <w:p>
      <w:pPr>
        <w:pStyle w:val="2"/>
        <w:spacing w:before="32"/>
        <w:ind w:firstLine="420" w:firstLineChars="200"/>
        <w:rPr>
          <w:rFonts w:ascii="宋体" w:hAnsi="宋体" w:cs="宋体"/>
          <w:caps/>
          <w:kern w:val="2"/>
          <w:sz w:val="21"/>
          <w:szCs w:val="21"/>
          <w:highlight w:val="none"/>
        </w:rPr>
      </w:pPr>
      <w:r>
        <w:rPr>
          <w:rFonts w:hint="eastAsia" w:ascii="宋体" w:hAnsi="宋体" w:cs="宋体"/>
          <w:caps/>
          <w:kern w:val="2"/>
          <w:sz w:val="21"/>
          <w:szCs w:val="21"/>
          <w:highlight w:val="none"/>
        </w:rPr>
        <w:t xml:space="preserve">（1）投标文件中的大写金额与小写金额不一致的，以大写金额为准； </w:t>
      </w:r>
    </w:p>
    <w:p>
      <w:pPr>
        <w:pStyle w:val="2"/>
        <w:spacing w:before="145"/>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（2）竞争性比选响应声明书的总报价与已标价工程量清单总报价不一致的，由评标委员会作否决投标处理。 </w:t>
      </w:r>
    </w:p>
    <w:p>
      <w:pPr>
        <w:spacing w:before="169"/>
        <w:ind w:left="106"/>
        <w:rPr>
          <w:rFonts w:ascii="宋体" w:hAnsi="宋体" w:cs="宋体"/>
          <w:caps/>
          <w:szCs w:val="21"/>
          <w:highlight w:val="none"/>
        </w:rPr>
      </w:pPr>
      <w:bookmarkStart w:id="146" w:name="3.2_详细评审"/>
      <w:bookmarkEnd w:id="146"/>
      <w:r>
        <w:rPr>
          <w:rFonts w:hint="eastAsia" w:ascii="宋体" w:hAnsi="宋体" w:cs="宋体"/>
          <w:caps/>
          <w:szCs w:val="21"/>
          <w:highlight w:val="none"/>
        </w:rPr>
        <w:t xml:space="preserve">3.2 详细评审 </w:t>
      </w:r>
    </w:p>
    <w:p>
      <w:pPr>
        <w:pStyle w:val="2"/>
        <w:spacing w:before="61"/>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3.2.1 评标委员会按本章第3.1款、3.2款及3.3款规定的量化因素和分值进行打分，并计算出综合评估得分。 </w:t>
      </w:r>
    </w:p>
    <w:p>
      <w:pPr>
        <w:pStyle w:val="2"/>
        <w:spacing w:before="130" w:line="367"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（1）按本章第3.3目规定的评审因素和分值对技术部分计算出得分A（所有评委打分中去掉一个最高和一个最低分，余下评委打分取算术平均值为该</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技术部分得分。） </w:t>
      </w:r>
    </w:p>
    <w:p>
      <w:pPr>
        <w:pStyle w:val="2"/>
        <w:spacing w:before="19"/>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（2）按本章第3.2目规定的评审因素和分值对商务部分计算出得分B。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（3）按本章第3.1目规定的评审因素和分值对投标总报价计算出得分C。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3.2.2 各类评分分值的最终计算结果保留小数点后两位，小数点后第三位“四舍五入”。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3.2.3  </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得分=A+B+C。 </w:t>
      </w:r>
    </w:p>
    <w:p>
      <w:pPr>
        <w:spacing w:before="1"/>
        <w:rPr>
          <w:rFonts w:ascii="宋体" w:hAnsi="宋体" w:cs="宋体"/>
          <w:caps/>
          <w:szCs w:val="21"/>
          <w:highlight w:val="none"/>
        </w:rPr>
      </w:pPr>
    </w:p>
    <w:p>
      <w:pPr>
        <w:ind w:left="106"/>
        <w:rPr>
          <w:rFonts w:ascii="宋体" w:hAnsi="宋体" w:cs="宋体"/>
          <w:caps/>
          <w:szCs w:val="21"/>
          <w:highlight w:val="none"/>
        </w:rPr>
      </w:pPr>
      <w:bookmarkStart w:id="147" w:name="3.3_投标文件的澄清和补正"/>
      <w:bookmarkEnd w:id="147"/>
      <w:r>
        <w:rPr>
          <w:rFonts w:hint="eastAsia" w:ascii="宋体" w:hAnsi="宋体" w:cs="宋体"/>
          <w:caps/>
          <w:szCs w:val="21"/>
          <w:highlight w:val="none"/>
        </w:rPr>
        <w:t xml:space="preserve">3.3 投标文件的澄清和补正 </w:t>
      </w:r>
    </w:p>
    <w:p>
      <w:pPr>
        <w:pStyle w:val="2"/>
        <w:spacing w:before="61"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3.3.1 在评标过程中，评标委员会可以书面形式要求</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对所提交投标文件中不明确的内容进行 书面澄清或说明，或者对细微偏差进行补正。评标委员会不接受</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主动提出的澄清、说明或补正。 </w:t>
      </w:r>
    </w:p>
    <w:p>
      <w:pPr>
        <w:pStyle w:val="2"/>
        <w:spacing w:before="29" w:line="367"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3.3.2 澄清、说明和补正不得改变投标文件的实质性内容（算术性错误修正的除外）。</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的书 面澄清、说明和补正属于投标文件的组成部分。 </w:t>
      </w:r>
    </w:p>
    <w:p>
      <w:pPr>
        <w:pStyle w:val="2"/>
        <w:spacing w:before="19"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3.3.3 评标委员会对</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提交的澄清、说明或补正有疑问的，可以要求</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进一步澄清、说明或补正，直至满足评标委员会的要求。 </w:t>
      </w:r>
    </w:p>
    <w:p>
      <w:pPr>
        <w:spacing w:before="68"/>
        <w:ind w:left="106"/>
        <w:rPr>
          <w:rFonts w:ascii="宋体" w:hAnsi="宋体" w:cs="宋体"/>
          <w:caps/>
          <w:szCs w:val="21"/>
          <w:highlight w:val="none"/>
        </w:rPr>
      </w:pPr>
      <w:bookmarkStart w:id="148" w:name="3.4_评标结果"/>
      <w:bookmarkEnd w:id="148"/>
      <w:r>
        <w:rPr>
          <w:rFonts w:hint="eastAsia" w:ascii="宋体" w:hAnsi="宋体" w:cs="宋体"/>
          <w:caps/>
          <w:szCs w:val="21"/>
          <w:highlight w:val="none"/>
        </w:rPr>
        <w:t xml:space="preserve">3.4 评标结果 </w:t>
      </w:r>
    </w:p>
    <w:p>
      <w:pPr>
        <w:pStyle w:val="2"/>
        <w:spacing w:before="76" w:line="355" w:lineRule="auto"/>
        <w:ind w:firstLine="420"/>
        <w:rPr>
          <w:rFonts w:hint="eastAsia" w:ascii="宋体" w:hAnsi="宋体" w:cs="宋体"/>
          <w:caps/>
          <w:kern w:val="2"/>
          <w:sz w:val="21"/>
          <w:szCs w:val="21"/>
          <w:highlight w:val="none"/>
        </w:rPr>
      </w:pPr>
      <w:r>
        <w:rPr>
          <w:rFonts w:hint="eastAsia" w:ascii="宋体" w:hAnsi="宋体" w:cs="宋体"/>
          <w:caps/>
          <w:kern w:val="2"/>
          <w:sz w:val="21"/>
          <w:szCs w:val="21"/>
          <w:highlight w:val="none"/>
        </w:rPr>
        <w:t>3.4.1 除第二章“</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须知”前附表授权直接确定中标人外，评标委员会按照得分由高到低的顺 序推荐中标候选人。 </w:t>
      </w:r>
    </w:p>
    <w:p>
      <w:pPr>
        <w:pStyle w:val="2"/>
        <w:spacing w:before="76" w:line="355" w:lineRule="auto"/>
        <w:ind w:firstLine="420"/>
        <w:jc w:val="both"/>
        <w:rPr>
          <w:rFonts w:hint="eastAsia" w:ascii="宋体" w:hAnsi="宋体" w:cs="宋体"/>
          <w:b w:val="0"/>
          <w:bCs w:val="0"/>
          <w:sz w:val="21"/>
          <w:szCs w:val="21"/>
          <w:highlight w:val="none"/>
        </w:rPr>
      </w:pPr>
      <w:r>
        <w:rPr>
          <w:rFonts w:hint="eastAsia" w:ascii="宋体" w:hAnsi="宋体" w:cs="宋体"/>
          <w:b w:val="0"/>
          <w:bCs w:val="0"/>
          <w:sz w:val="21"/>
          <w:szCs w:val="21"/>
          <w:highlight w:val="none"/>
        </w:rPr>
        <w:t>3.4.2 评标委员会完成评标后，应当向</w:t>
      </w:r>
      <w:r>
        <w:rPr>
          <w:rFonts w:hint="eastAsia" w:ascii="宋体" w:hAnsi="宋体" w:cs="宋体"/>
          <w:b w:val="0"/>
          <w:bCs w:val="0"/>
          <w:sz w:val="21"/>
          <w:szCs w:val="21"/>
          <w:highlight w:val="none"/>
          <w:lang w:eastAsia="zh-CN"/>
        </w:rPr>
        <w:t>采购人</w:t>
      </w:r>
      <w:r>
        <w:rPr>
          <w:rFonts w:hint="eastAsia" w:ascii="宋体" w:hAnsi="宋体" w:cs="宋体"/>
          <w:b w:val="0"/>
          <w:bCs w:val="0"/>
          <w:sz w:val="21"/>
          <w:szCs w:val="21"/>
          <w:highlight w:val="none"/>
        </w:rPr>
        <w:t>提交书面评标报告。</w:t>
      </w:r>
    </w:p>
    <w:p>
      <w:pPr>
        <w:pStyle w:val="2"/>
        <w:spacing w:before="76" w:line="355" w:lineRule="auto"/>
        <w:ind w:firstLine="420"/>
        <w:jc w:val="center"/>
        <w:rPr>
          <w:highlight w:val="none"/>
        </w:rPr>
      </w:pPr>
      <w:r>
        <w:rPr>
          <w:rFonts w:hint="eastAsia" w:ascii="宋体" w:hAnsi="宋体" w:cs="宋体"/>
          <w:b w:val="0"/>
          <w:bCs w:val="0"/>
          <w:sz w:val="21"/>
          <w:szCs w:val="21"/>
          <w:highlight w:val="none"/>
        </w:rPr>
        <w:t xml:space="preserve"> </w:t>
      </w:r>
      <w:r>
        <w:rPr>
          <w:rFonts w:hint="eastAsia"/>
          <w:highlight w:val="none"/>
        </w:rPr>
        <w:br w:type="page"/>
      </w:r>
      <w:bookmarkStart w:id="149" w:name="_Toc32568"/>
      <w:r>
        <w:rPr>
          <w:rStyle w:val="82"/>
          <w:rFonts w:hint="eastAsia"/>
          <w:b/>
          <w:bCs/>
          <w:highlight w:val="none"/>
        </w:rPr>
        <w:t>第四章 报价说明</w:t>
      </w:r>
      <w:bookmarkEnd w:id="149"/>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2、本竞争性比选报价采用综合单价报价。综合单价是指完成工程量清单中一个规定计量单位的分部分项工程量清单费用、措施项目清单费用、其他项目清单费用、规费、税金</w:t>
      </w:r>
      <w:r>
        <w:rPr>
          <w:rFonts w:hint="eastAsia" w:ascii="宋体" w:hAnsi="宋体" w:cs="宋体"/>
          <w:b w:val="0"/>
          <w:bCs w:val="0"/>
          <w:sz w:val="21"/>
          <w:szCs w:val="21"/>
          <w:highlight w:val="none"/>
          <w:lang w:val="en-US" w:eastAsia="zh-CN"/>
        </w:rPr>
        <w:t>（税率为9%）</w:t>
      </w:r>
      <w:r>
        <w:rPr>
          <w:rFonts w:hint="eastAsia" w:ascii="宋体" w:hAnsi="宋体" w:eastAsia="宋体" w:cs="宋体"/>
          <w:b w:val="0"/>
          <w:bCs w:val="0"/>
          <w:sz w:val="21"/>
          <w:szCs w:val="21"/>
          <w:highlight w:val="none"/>
          <w:lang w:val="en-US" w:eastAsia="zh-CN"/>
        </w:rPr>
        <w:t>等完成本项目的一切费用（即本项目除安全生产费以外的人工费、材料设备及采管费和二次转运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3、“安全生产费”</w:t>
      </w:r>
      <w:r>
        <w:rPr>
          <w:rFonts w:hint="eastAsia" w:ascii="宋体" w:hAnsi="宋体" w:cs="宋体"/>
          <w:b w:val="0"/>
          <w:bCs w:val="0"/>
          <w:sz w:val="21"/>
          <w:szCs w:val="21"/>
          <w:highlight w:val="none"/>
          <w:lang w:val="en-US" w:eastAsia="zh-CN"/>
        </w:rPr>
        <w:t>为不可竞争性费用，</w:t>
      </w:r>
      <w:r>
        <w:rPr>
          <w:rFonts w:hint="eastAsia" w:ascii="宋体" w:hAnsi="宋体" w:eastAsia="宋体" w:cs="宋体"/>
          <w:b w:val="0"/>
          <w:bCs w:val="0"/>
          <w:sz w:val="21"/>
          <w:szCs w:val="21"/>
          <w:highlight w:val="none"/>
          <w:lang w:val="en-US" w:eastAsia="zh-CN"/>
        </w:rPr>
        <w:t>不得</w:t>
      </w:r>
      <w:r>
        <w:rPr>
          <w:rFonts w:hint="eastAsia" w:ascii="宋体" w:hAnsi="宋体" w:cs="宋体"/>
          <w:b w:val="0"/>
          <w:bCs w:val="0"/>
          <w:sz w:val="21"/>
          <w:szCs w:val="21"/>
          <w:highlight w:val="none"/>
          <w:lang w:val="en-US" w:eastAsia="zh-CN"/>
        </w:rPr>
        <w:t>随意</w:t>
      </w:r>
      <w:r>
        <w:rPr>
          <w:rFonts w:hint="eastAsia" w:ascii="宋体" w:hAnsi="宋体" w:eastAsia="宋体" w:cs="宋体"/>
          <w:b w:val="0"/>
          <w:bCs w:val="0"/>
          <w:sz w:val="21"/>
          <w:szCs w:val="21"/>
          <w:highlight w:val="none"/>
          <w:lang w:val="en-US" w:eastAsia="zh-CN"/>
        </w:rPr>
        <w:t>调整</w:t>
      </w:r>
      <w:r>
        <w:rPr>
          <w:rFonts w:hint="eastAsia" w:ascii="宋体" w:hAnsi="宋体" w:cs="宋体"/>
          <w:b w:val="0"/>
          <w:bCs w:val="0"/>
          <w:sz w:val="21"/>
          <w:szCs w:val="21"/>
          <w:highlight w:val="none"/>
          <w:lang w:val="en-US" w:eastAsia="zh-CN"/>
        </w:rPr>
        <w:t>，据实结算，</w:t>
      </w:r>
      <w:r>
        <w:rPr>
          <w:rFonts w:hint="eastAsia" w:ascii="宋体" w:hAnsi="宋体" w:eastAsia="宋体" w:cs="宋体"/>
          <w:b w:val="0"/>
          <w:bCs w:val="0"/>
          <w:sz w:val="21"/>
          <w:szCs w:val="21"/>
          <w:highlight w:val="none"/>
          <w:lang w:val="en-US" w:eastAsia="zh-CN"/>
        </w:rPr>
        <w:t>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5、报价人应结合施工现场实际和现在的市场情况、自身技术及管理水平、经营状况、机械设备及制定的施工方案的要求自行报价，该报价不低于报价人完成该项目的成本。</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6、工程量清单中所列工程数量是估算的数量，仅作为报价的共同基础，不能作为最终结算与支付的依据。实际支付应按实际完成的工程量*工程量清单的单价来计算支付金额。</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7、工程量清单中所列工程量的变动，丝毫不会降低或影响合同条款的效力，也不免除报价人按规定的标准进行施工和修复缺陷的责任。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9、不同单项及单位工程中的分部分项工程量清单中相同项目（项目特征及工作内容相同）的应报价统一，如有差异，按最低的一个报价进行结算；材料设备单价处理办法相同。</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0</w:t>
      </w:r>
      <w:r>
        <w:rPr>
          <w:rFonts w:hint="eastAsia" w:ascii="宋体" w:hAnsi="宋体" w:eastAsia="宋体" w:cs="宋体"/>
          <w:b w:val="0"/>
          <w:bCs w:val="0"/>
          <w:sz w:val="21"/>
          <w:szCs w:val="21"/>
          <w:highlight w:val="none"/>
          <w:lang w:val="en-US" w:eastAsia="zh-CN"/>
        </w:rPr>
        <w:t>、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、合同为单价合同，合同期间不予调价。</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、报价人应严格按照工程量清单进行报价，不得随意修改采购人发布的工程量清单数量、公式及相关内容。</w:t>
      </w:r>
    </w:p>
    <w:p>
      <w:pPr>
        <w:pStyle w:val="28"/>
        <w:spacing w:line="380" w:lineRule="exact"/>
        <w:ind w:firstLine="420" w:firstLineChars="200"/>
        <w:rPr>
          <w:rFonts w:hint="eastAsia" w:ascii="宋体" w:hAnsi="宋体" w:cs="宋体"/>
          <w:b w:val="0"/>
          <w:bCs w:val="0"/>
          <w:sz w:val="21"/>
          <w:szCs w:val="21"/>
          <w:highlight w:val="yellow"/>
        </w:rPr>
      </w:pPr>
      <w:r>
        <w:rPr>
          <w:rFonts w:hint="eastAsia" w:ascii="宋体" w:hAnsi="宋体" w:eastAsia="宋体" w:cs="宋体"/>
          <w:b w:val="0"/>
          <w:bCs w:val="0"/>
          <w:sz w:val="21"/>
          <w:szCs w:val="21"/>
          <w:highlight w:val="yellow"/>
          <w:lang w:val="en-US" w:eastAsia="zh-CN"/>
        </w:rPr>
        <w:t>1</w:t>
      </w:r>
      <w:r>
        <w:rPr>
          <w:rFonts w:hint="eastAsia" w:ascii="宋体" w:hAnsi="宋体" w:cs="宋体"/>
          <w:b w:val="0"/>
          <w:bCs w:val="0"/>
          <w:sz w:val="21"/>
          <w:szCs w:val="21"/>
          <w:highlight w:val="yellow"/>
          <w:lang w:val="en-US" w:eastAsia="zh-CN"/>
        </w:rPr>
        <w:t>7</w:t>
      </w:r>
      <w:r>
        <w:rPr>
          <w:rFonts w:hint="eastAsia" w:ascii="宋体" w:hAnsi="宋体" w:eastAsia="宋体" w:cs="宋体"/>
          <w:b w:val="0"/>
          <w:bCs w:val="0"/>
          <w:sz w:val="21"/>
          <w:szCs w:val="21"/>
          <w:highlight w:val="yellow"/>
          <w:lang w:val="en-US" w:eastAsia="zh-CN"/>
        </w:rPr>
        <w:t>、报价人提供的材料设备需在报价清单中明确品牌及型号</w:t>
      </w:r>
      <w:r>
        <w:rPr>
          <w:rFonts w:hint="eastAsia" w:ascii="宋体" w:hAnsi="宋体" w:cs="宋体"/>
          <w:b w:val="0"/>
          <w:bCs w:val="0"/>
          <w:sz w:val="21"/>
          <w:szCs w:val="21"/>
          <w:highlight w:val="yellow"/>
          <w:lang w:val="en-US" w:eastAsia="zh-CN"/>
        </w:rPr>
        <w:t>，且报价人提供的设备质保期为2年，自本项目交工验收合格之日起计算</w:t>
      </w:r>
      <w:r>
        <w:rPr>
          <w:rFonts w:hint="eastAsia" w:ascii="宋体" w:hAnsi="宋体" w:eastAsia="宋体" w:cs="宋体"/>
          <w:b w:val="0"/>
          <w:bCs w:val="0"/>
          <w:sz w:val="21"/>
          <w:szCs w:val="21"/>
          <w:highlight w:val="yellow"/>
          <w:lang w:val="en-US" w:eastAsia="zh-CN"/>
        </w:rPr>
        <w:t>。</w:t>
      </w:r>
    </w:p>
    <w:p>
      <w:pPr>
        <w:rPr>
          <w:rFonts w:hint="eastAsia" w:ascii="宋体" w:hAnsi="宋体" w:cs="宋体"/>
          <w:b w:val="0"/>
          <w:bCs w:val="0"/>
          <w:sz w:val="21"/>
          <w:szCs w:val="21"/>
          <w:highlight w:val="none"/>
        </w:rPr>
      </w:pPr>
    </w:p>
    <w:p>
      <w:pPr>
        <w:pStyle w:val="28"/>
        <w:rPr>
          <w:rFonts w:hint="eastAsia"/>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spacing w:before="0" w:after="0" w:line="360" w:lineRule="auto"/>
        <w:jc w:val="center"/>
        <w:rPr>
          <w:rFonts w:hint="eastAsia" w:ascii="宋体" w:hAnsi="宋体" w:cs="宋体"/>
          <w:highlight w:val="none"/>
        </w:rPr>
      </w:pPr>
      <w:bookmarkStart w:id="150" w:name="_Toc514858705"/>
      <w:bookmarkStart w:id="151" w:name="_Toc152045772"/>
      <w:bookmarkStart w:id="152" w:name="_Toc10838"/>
      <w:bookmarkStart w:id="153" w:name="_Toc144974834"/>
      <w:bookmarkStart w:id="154" w:name="_Toc152042554"/>
      <w:bookmarkStart w:id="155" w:name="_Toc179632789"/>
      <w:bookmarkStart w:id="156" w:name="_Toc247085855"/>
      <w:bookmarkStart w:id="157" w:name="_Toc246996340"/>
      <w:bookmarkStart w:id="158" w:name="_Toc246997083"/>
      <w:bookmarkStart w:id="159" w:name="_Toc2000409"/>
      <w:bookmarkStart w:id="160" w:name="_Toc246997097"/>
      <w:bookmarkStart w:id="161" w:name="_Toc152042575"/>
      <w:bookmarkStart w:id="162" w:name="_Toc152045786"/>
      <w:bookmarkStart w:id="163" w:name="_Toc179632806"/>
      <w:bookmarkStart w:id="164" w:name="_Toc247085872"/>
      <w:bookmarkStart w:id="165" w:name="_Toc246996354"/>
      <w:bookmarkStart w:id="166" w:name="_Toc144974855"/>
      <w:r>
        <w:rPr>
          <w:rFonts w:hint="eastAsia" w:ascii="宋体" w:hAnsi="宋体" w:cs="宋体"/>
          <w:highlight w:val="none"/>
        </w:rPr>
        <w:br w:type="page"/>
      </w:r>
    </w:p>
    <w:p>
      <w:pPr>
        <w:pStyle w:val="3"/>
        <w:spacing w:before="0" w:after="0" w:line="360" w:lineRule="auto"/>
        <w:jc w:val="center"/>
        <w:rPr>
          <w:rFonts w:ascii="宋体" w:hAnsi="宋体" w:cs="宋体"/>
          <w:highlight w:val="none"/>
        </w:rPr>
      </w:pPr>
      <w:r>
        <w:rPr>
          <w:rFonts w:hint="eastAsia" w:ascii="宋体" w:hAnsi="宋体" w:cs="宋体"/>
          <w:highlight w:val="none"/>
        </w:rPr>
        <w:t>第五章  工程量清单</w:t>
      </w:r>
      <w:bookmarkEnd w:id="150"/>
      <w:bookmarkEnd w:id="151"/>
      <w:bookmarkEnd w:id="152"/>
      <w:bookmarkEnd w:id="153"/>
      <w:bookmarkEnd w:id="154"/>
      <w:bookmarkEnd w:id="155"/>
      <w:bookmarkEnd w:id="156"/>
      <w:bookmarkEnd w:id="157"/>
      <w:bookmarkEnd w:id="158"/>
      <w:bookmarkEnd w:id="159"/>
    </w:p>
    <w:p>
      <w:pPr>
        <w:jc w:val="center"/>
        <w:rPr>
          <w:rFonts w:hint="eastAsia" w:ascii="宋体" w:hAnsi="宋体" w:cs="宋体"/>
          <w:b/>
          <w:highlight w:val="none"/>
        </w:rPr>
      </w:pPr>
      <w:bookmarkStart w:id="167" w:name="_Toc513633963"/>
      <w:bookmarkStart w:id="168" w:name="_Toc247085866"/>
      <w:bookmarkStart w:id="169" w:name="_Toc179632800"/>
      <w:bookmarkStart w:id="170" w:name="_Toc152045782"/>
      <w:bookmarkStart w:id="171" w:name="_Toc2000410"/>
      <w:bookmarkStart w:id="172" w:name="_Toc247096438"/>
      <w:bookmarkStart w:id="173" w:name="_Toc144974851"/>
      <w:bookmarkStart w:id="174" w:name="_Toc246997093"/>
      <w:bookmarkStart w:id="175" w:name="_Toc514858706"/>
      <w:bookmarkStart w:id="176" w:name="_Toc503951042"/>
      <w:bookmarkStart w:id="177" w:name="_Toc447827048"/>
      <w:bookmarkStart w:id="178" w:name="_Toc246996350"/>
      <w:bookmarkStart w:id="179" w:name="_Toc152042571"/>
      <w:r>
        <w:rPr>
          <w:rFonts w:hint="eastAsia" w:ascii="宋体" w:hAnsi="宋体" w:cs="宋体"/>
          <w:b/>
          <w:kern w:val="0"/>
          <w:sz w:val="24"/>
          <w:highlight w:val="none"/>
        </w:rPr>
        <w:t>详见竞争性比选文件附件。</w:t>
      </w: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rPr>
      </w:pPr>
    </w:p>
    <w:p>
      <w:pPr>
        <w:pStyle w:val="3"/>
        <w:spacing w:before="0" w:after="0" w:line="360" w:lineRule="auto"/>
        <w:jc w:val="center"/>
        <w:rPr>
          <w:rFonts w:ascii="宋体" w:hAnsi="宋体" w:cs="宋体"/>
          <w:highlight w:val="none"/>
        </w:rPr>
      </w:pPr>
      <w:bookmarkStart w:id="180" w:name="_Toc2064"/>
      <w:r>
        <w:rPr>
          <w:rFonts w:hint="eastAsia" w:ascii="宋体" w:hAnsi="宋体" w:cs="宋体"/>
          <w:highlight w:val="none"/>
        </w:rPr>
        <w:t>第六章  图  纸</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jc w:val="center"/>
        <w:rPr>
          <w:rFonts w:hint="eastAsia" w:ascii="宋体" w:hAnsi="宋体" w:cs="宋体"/>
          <w:b/>
          <w:highlight w:val="none"/>
        </w:rPr>
      </w:pPr>
      <w:bookmarkStart w:id="181" w:name="_Toc513633964"/>
      <w:bookmarkStart w:id="182" w:name="_Toc2000411"/>
      <w:bookmarkStart w:id="183" w:name="_Toc503951043"/>
      <w:bookmarkStart w:id="184" w:name="_Toc246997096"/>
      <w:bookmarkStart w:id="185" w:name="_Toc152042574"/>
      <w:bookmarkStart w:id="186" w:name="_Toc247085870"/>
      <w:bookmarkStart w:id="187" w:name="_Toc15316"/>
      <w:bookmarkStart w:id="188" w:name="_Toc246996353"/>
      <w:bookmarkStart w:id="189" w:name="_Toc152045785"/>
      <w:bookmarkStart w:id="190" w:name="_Toc179632804"/>
      <w:bookmarkStart w:id="191" w:name="_Toc514858707"/>
      <w:bookmarkStart w:id="192" w:name="_Toc144974854"/>
      <w:bookmarkStart w:id="193" w:name="_Toc447827049"/>
      <w:r>
        <w:rPr>
          <w:rFonts w:hint="eastAsia" w:ascii="宋体" w:hAnsi="宋体" w:cs="宋体"/>
          <w:b/>
          <w:kern w:val="0"/>
          <w:sz w:val="24"/>
          <w:highlight w:val="none"/>
        </w:rPr>
        <w:t>详见竞争性比选文件附件。</w:t>
      </w: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3"/>
        <w:spacing w:before="0" w:after="0" w:line="360" w:lineRule="auto"/>
        <w:jc w:val="center"/>
        <w:rPr>
          <w:rFonts w:ascii="宋体" w:hAnsi="宋体" w:cs="宋体"/>
          <w:highlight w:val="none"/>
        </w:rPr>
      </w:pPr>
      <w:r>
        <w:rPr>
          <w:rFonts w:hint="eastAsia" w:ascii="宋体" w:hAnsi="宋体" w:cs="宋体"/>
          <w:highlight w:val="none"/>
        </w:rPr>
        <w:t>第七章  技术标准和工作要求</w:t>
      </w:r>
      <w:bookmarkEnd w:id="181"/>
      <w:bookmarkEnd w:id="182"/>
      <w:bookmarkEnd w:id="183"/>
      <w:bookmarkEnd w:id="184"/>
      <w:bookmarkEnd w:id="185"/>
      <w:bookmarkEnd w:id="186"/>
      <w:bookmarkEnd w:id="187"/>
      <w:bookmarkEnd w:id="188"/>
      <w:bookmarkEnd w:id="189"/>
      <w:bookmarkEnd w:id="190"/>
      <w:bookmarkEnd w:id="191"/>
      <w:bookmarkEnd w:id="192"/>
      <w:bookmarkEnd w:id="193"/>
    </w:p>
    <w:bookmarkEnd w:id="160"/>
    <w:bookmarkEnd w:id="161"/>
    <w:bookmarkEnd w:id="162"/>
    <w:bookmarkEnd w:id="163"/>
    <w:bookmarkEnd w:id="164"/>
    <w:bookmarkEnd w:id="165"/>
    <w:bookmarkEnd w:id="166"/>
    <w:p>
      <w:pPr>
        <w:jc w:val="center"/>
        <w:rPr>
          <w:rFonts w:hint="eastAsia" w:ascii="宋体" w:hAnsi="宋体" w:eastAsia="宋体" w:cs="宋体"/>
          <w:b/>
          <w:kern w:val="0"/>
          <w:sz w:val="24"/>
          <w:highlight w:val="none"/>
          <w:lang w:val="en-US" w:eastAsia="zh-CN"/>
        </w:rPr>
      </w:pPr>
      <w:bookmarkStart w:id="194" w:name="_Toc513633965"/>
      <w:bookmarkStart w:id="195" w:name="_Toc246996355"/>
      <w:bookmarkStart w:id="196" w:name="_Toc152042576"/>
      <w:bookmarkStart w:id="197" w:name="_Toc144974856"/>
      <w:bookmarkStart w:id="198" w:name="_Toc247085873"/>
      <w:bookmarkStart w:id="199" w:name="_Toc246997098"/>
      <w:bookmarkStart w:id="200" w:name="_Toc507320039"/>
      <w:bookmarkStart w:id="201" w:name="_Toc152045787"/>
      <w:bookmarkStart w:id="202" w:name="_Toc179632807"/>
      <w:r>
        <w:rPr>
          <w:rFonts w:hint="eastAsia" w:ascii="宋体" w:hAnsi="宋体" w:eastAsia="宋体" w:cs="宋体"/>
          <w:b/>
          <w:kern w:val="0"/>
          <w:sz w:val="24"/>
          <w:highlight w:val="none"/>
          <w:lang w:val="en-US" w:eastAsia="zh-CN"/>
        </w:rPr>
        <w:t>见图纸和清单说明。</w:t>
      </w:r>
    </w:p>
    <w:p>
      <w:pPr>
        <w:pStyle w:val="3"/>
        <w:spacing w:before="0" w:after="0" w:line="360" w:lineRule="auto"/>
        <w:jc w:val="center"/>
        <w:rPr>
          <w:rFonts w:hint="eastAsia" w:ascii="宋体" w:hAnsi="宋体" w:cs="宋体"/>
          <w:color w:val="000000" w:themeColor="text1"/>
          <w:highlight w:val="none"/>
          <w14:textFill>
            <w14:solidFill>
              <w14:schemeClr w14:val="tx1"/>
            </w14:solidFill>
          </w14:textFill>
        </w:rPr>
      </w:pPr>
      <w:bookmarkStart w:id="203" w:name="_Toc15140"/>
    </w:p>
    <w:p>
      <w:pPr>
        <w:rPr>
          <w:rFonts w:hint="eastAsia" w:ascii="宋体" w:hAnsi="宋体" w:cs="宋体"/>
          <w:color w:val="000000" w:themeColor="text1"/>
          <w:highlight w:val="none"/>
          <w14:textFill>
            <w14:solidFill>
              <w14:schemeClr w14:val="tx1"/>
            </w14:solidFill>
          </w14:textFill>
        </w:rPr>
      </w:pPr>
    </w:p>
    <w:p>
      <w:pPr>
        <w:pStyle w:val="2"/>
        <w:rPr>
          <w:rFonts w:hint="eastAsia"/>
        </w:rPr>
      </w:pPr>
    </w:p>
    <w:p>
      <w:pPr>
        <w:rPr>
          <w:rFonts w:hint="eastAsia" w:ascii="宋体" w:hAnsi="宋体" w:cs="宋体"/>
          <w:color w:val="000000" w:themeColor="text1"/>
          <w:highlight w:val="none"/>
          <w14:textFill>
            <w14:solidFill>
              <w14:schemeClr w14:val="tx1"/>
            </w14:solidFill>
          </w14:textFill>
        </w:rPr>
      </w:pPr>
    </w:p>
    <w:p>
      <w:pPr>
        <w:pStyle w:val="2"/>
        <w:rPr>
          <w:rFonts w:hint="eastAsia"/>
        </w:rPr>
      </w:pPr>
    </w:p>
    <w:p>
      <w:pPr>
        <w:pStyle w:val="3"/>
        <w:spacing w:before="0" w:after="0" w:line="360" w:lineRule="auto"/>
        <w:jc w:val="center"/>
        <w:rPr>
          <w:rFonts w:hint="eastAsia" w:ascii="宋体" w:hAnsi="宋体" w:cs="宋体"/>
          <w:color w:val="000000" w:themeColor="text1"/>
          <w:highlight w:val="none"/>
          <w14:textFill>
            <w14:solidFill>
              <w14:schemeClr w14:val="tx1"/>
            </w14:solidFill>
          </w14:textFill>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spacing w:before="0" w:after="0"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第八章  合同范本</w:t>
      </w:r>
      <w:bookmarkEnd w:id="203"/>
    </w:p>
    <w:p>
      <w:pPr>
        <w:jc w:val="center"/>
        <w:rPr>
          <w:rFonts w:hint="eastAsia" w:ascii="宋体" w:hAnsi="宋体" w:cs="宋体"/>
          <w:b/>
          <w:kern w:val="0"/>
          <w:sz w:val="24"/>
          <w:highlight w:val="none"/>
        </w:rPr>
      </w:pPr>
      <w:r>
        <w:rPr>
          <w:rFonts w:hint="eastAsia" w:ascii="宋体" w:hAnsi="宋体" w:cs="宋体"/>
          <w:b/>
          <w:kern w:val="0"/>
          <w:sz w:val="24"/>
          <w:highlight w:val="none"/>
        </w:rPr>
        <w:t>详见竞争性比选文件附件。</w:t>
      </w:r>
    </w:p>
    <w:p>
      <w:pPr>
        <w:pStyle w:val="2"/>
        <w:rPr>
          <w:highlight w:val="none"/>
        </w:rPr>
      </w:pPr>
    </w:p>
    <w:p>
      <w:pPr>
        <w:spacing w:line="400" w:lineRule="exact"/>
        <w:ind w:firstLine="420" w:firstLineChars="200"/>
        <w:rPr>
          <w:rFonts w:ascii="宋体" w:hAnsi="宋体" w:cs="宋体"/>
          <w:highlight w:val="none"/>
        </w:rPr>
      </w:pPr>
    </w:p>
    <w:p>
      <w:pPr>
        <w:pStyle w:val="12"/>
        <w:rPr>
          <w:rFonts w:ascii="宋体" w:hAnsi="宋体" w:cs="宋体"/>
          <w:highlight w:val="none"/>
        </w:rPr>
      </w:pPr>
    </w:p>
    <w:p>
      <w:pPr>
        <w:rPr>
          <w:rFonts w:ascii="宋体" w:hAnsi="宋体" w:cs="宋体"/>
          <w:highlight w:val="none"/>
        </w:rPr>
      </w:pPr>
    </w:p>
    <w:p>
      <w:pPr>
        <w:pStyle w:val="12"/>
        <w:rPr>
          <w:rFonts w:ascii="宋体" w:hAnsi="宋体" w:cs="宋体"/>
          <w:highlight w:val="none"/>
        </w:rPr>
      </w:pPr>
    </w:p>
    <w:p>
      <w:pPr>
        <w:pStyle w:val="12"/>
        <w:ind w:left="0" w:leftChars="0" w:firstLine="0" w:firstLineChars="0"/>
        <w:rPr>
          <w:rFonts w:ascii="宋体" w:hAnsi="宋体" w:cs="宋体"/>
          <w:highlight w:val="none"/>
        </w:rPr>
      </w:pPr>
    </w:p>
    <w:p>
      <w:pPr>
        <w:rPr>
          <w:rFonts w:ascii="宋体" w:hAnsi="宋体" w:cs="宋体"/>
          <w:highlight w:val="none"/>
        </w:rPr>
      </w:pPr>
    </w:p>
    <w:p>
      <w:pPr>
        <w:pStyle w:val="28"/>
        <w:rPr>
          <w:highlight w:val="none"/>
        </w:rPr>
      </w:pPr>
    </w:p>
    <w:p>
      <w:pPr>
        <w:rPr>
          <w:highlight w:val="none"/>
        </w:rPr>
      </w:pPr>
    </w:p>
    <w:p>
      <w:pPr>
        <w:pStyle w:val="2"/>
        <w:rPr>
          <w:highlight w:val="none"/>
        </w:rPr>
      </w:pPr>
    </w:p>
    <w:p>
      <w:pPr>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3"/>
        <w:spacing w:before="0" w:after="0" w:line="360" w:lineRule="auto"/>
        <w:jc w:val="center"/>
        <w:rPr>
          <w:rFonts w:ascii="宋体" w:hAnsi="宋体" w:cs="宋体"/>
          <w:highlight w:val="none"/>
        </w:rPr>
      </w:pPr>
      <w:bookmarkStart w:id="204" w:name="_Toc10514"/>
      <w:bookmarkStart w:id="205" w:name="_Toc2000413"/>
      <w:bookmarkStart w:id="206" w:name="_Toc514858709"/>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bookmarkEnd w:id="194"/>
      <w:bookmarkEnd w:id="204"/>
      <w:bookmarkEnd w:id="205"/>
      <w:bookmarkEnd w:id="206"/>
    </w:p>
    <w:p>
      <w:pPr>
        <w:rPr>
          <w:rFonts w:ascii="宋体" w:hAnsi="宋体" w:cs="宋体"/>
          <w:highlight w:val="none"/>
        </w:rPr>
        <w:sectPr>
          <w:footerReference r:id="rId9" w:type="default"/>
          <w:pgSz w:w="11906" w:h="16838"/>
          <w:pgMar w:top="1440" w:right="1803" w:bottom="1440" w:left="1803" w:header="851" w:footer="992" w:gutter="0"/>
          <w:cols w:space="720" w:num="1"/>
          <w:titlePg/>
          <w:docGrid w:type="lines" w:linePitch="319" w:charSpace="0"/>
        </w:sectPr>
      </w:pPr>
    </w:p>
    <w:p>
      <w:pPr>
        <w:jc w:val="center"/>
        <w:rPr>
          <w:rFonts w:ascii="宋体" w:hAnsi="宋体" w:cs="宋体"/>
          <w:sz w:val="52"/>
          <w:szCs w:val="52"/>
          <w:highlight w:val="none"/>
          <w:u w:val="single"/>
        </w:rPr>
      </w:pPr>
      <w:bookmarkStart w:id="207" w:name="_Toc514858710"/>
      <w:bookmarkStart w:id="208" w:name="_Toc503971829"/>
      <w:bookmarkStart w:id="209" w:name="_Toc513633967"/>
      <w:bookmarkStart w:id="210" w:name="_Toc513646738"/>
      <w:bookmarkStart w:id="211" w:name="_Toc503951046"/>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07"/>
      <w:bookmarkEnd w:id="208"/>
      <w:bookmarkEnd w:id="209"/>
      <w:bookmarkEnd w:id="210"/>
      <w:bookmarkEnd w:id="211"/>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8"/>
        <w:rPr>
          <w:highlight w:val="none"/>
        </w:rPr>
      </w:pPr>
    </w:p>
    <w:p>
      <w:pPr>
        <w:rPr>
          <w:highlight w:val="none"/>
        </w:rPr>
      </w:pPr>
    </w:p>
    <w:p>
      <w:pPr>
        <w:pStyle w:val="28"/>
        <w:rPr>
          <w:highlight w:val="none"/>
        </w:rPr>
      </w:pPr>
    </w:p>
    <w:p>
      <w:pPr>
        <w:rPr>
          <w:highlight w:val="none"/>
        </w:rPr>
      </w:pPr>
    </w:p>
    <w:p>
      <w:pPr>
        <w:pStyle w:val="28"/>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12" w:name="_Toc28780"/>
      <w:bookmarkStart w:id="213" w:name="_Toc10395"/>
      <w:bookmarkStart w:id="214" w:name="_Toc5459"/>
      <w:bookmarkStart w:id="215" w:name="_Toc1368"/>
      <w:bookmarkStart w:id="216" w:name="_Toc11329273"/>
      <w:r>
        <w:rPr>
          <w:rFonts w:hint="eastAsia" w:ascii="宋体" w:hAnsi="宋体" w:eastAsia="宋体" w:cs="宋体"/>
          <w:highlight w:val="none"/>
        </w:rPr>
        <w:t>目    录</w:t>
      </w:r>
      <w:bookmarkEnd w:id="195"/>
      <w:bookmarkEnd w:id="196"/>
      <w:bookmarkEnd w:id="197"/>
      <w:bookmarkEnd w:id="198"/>
      <w:bookmarkEnd w:id="199"/>
      <w:bookmarkEnd w:id="200"/>
      <w:bookmarkEnd w:id="201"/>
      <w:bookmarkEnd w:id="202"/>
      <w:bookmarkEnd w:id="212"/>
      <w:bookmarkEnd w:id="213"/>
      <w:bookmarkEnd w:id="214"/>
      <w:bookmarkEnd w:id="215"/>
      <w:bookmarkEnd w:id="216"/>
    </w:p>
    <w:p>
      <w:pPr>
        <w:numPr>
          <w:ilvl w:val="0"/>
          <w:numId w:val="7"/>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7"/>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四、资格审查资料</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五、报价人须知前附表规定要求的资料</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六、报价人基本信息及其他材料 </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七、现场安全负责人承诺书</w:t>
      </w:r>
    </w:p>
    <w:p>
      <w:pPr>
        <w:pStyle w:val="2"/>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17" w:name="_Toc8870"/>
      <w:bookmarkStart w:id="218" w:name="_Toc11329274"/>
      <w:bookmarkStart w:id="219" w:name="_Toc26417"/>
      <w:bookmarkStart w:id="220" w:name="_Toc29547"/>
      <w:bookmarkStart w:id="221" w:name="_Toc25874"/>
      <w:bookmarkStart w:id="222" w:name="_Toc15863"/>
      <w:bookmarkStart w:id="223" w:name="_Toc503951048"/>
      <w:bookmarkStart w:id="224" w:name="_Toc447827053"/>
      <w:bookmarkStart w:id="225" w:name="_Toc513633969"/>
      <w:r>
        <w:rPr>
          <w:rFonts w:hint="eastAsia" w:ascii="宋体" w:hAnsi="宋体" w:eastAsia="宋体" w:cs="宋体"/>
          <w:sz w:val="28"/>
          <w:highlight w:val="none"/>
        </w:rPr>
        <w:t>一、</w:t>
      </w:r>
      <w:bookmarkEnd w:id="217"/>
      <w:bookmarkEnd w:id="218"/>
      <w:r>
        <w:rPr>
          <w:rFonts w:hint="eastAsia" w:ascii="宋体" w:hAnsi="宋体" w:eastAsia="宋体" w:cs="宋体"/>
          <w:sz w:val="28"/>
          <w:highlight w:val="none"/>
        </w:rPr>
        <w:t>竞争比选响应声明书</w:t>
      </w:r>
      <w:bookmarkEnd w:id="219"/>
      <w:bookmarkEnd w:id="220"/>
      <w:bookmarkEnd w:id="221"/>
      <w:bookmarkEnd w:id="222"/>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根据贵</w:t>
      </w:r>
      <w:r>
        <w:rPr>
          <w:rFonts w:hint="eastAsia" w:ascii="宋体" w:hAnsi="宋体" w:eastAsia="宋体" w:cs="宋体"/>
          <w:sz w:val="21"/>
          <w:szCs w:val="21"/>
          <w:highlight w:val="none"/>
        </w:rPr>
        <w:t>方为</w:t>
      </w:r>
      <w:r>
        <w:rPr>
          <w:rFonts w:hint="eastAsia" w:ascii="宋体" w:hAnsi="宋体" w:cs="宋体"/>
          <w:sz w:val="21"/>
          <w:szCs w:val="21"/>
          <w:highlight w:val="none"/>
          <w:u w:val="single"/>
          <w:lang w:val="en-US" w:eastAsia="zh-CN"/>
        </w:rPr>
        <w:t>四公里办公大楼文化打造装饰装修项目</w:t>
      </w:r>
      <w:r>
        <w:rPr>
          <w:rFonts w:hint="eastAsia" w:ascii="宋体" w:hAnsi="宋体" w:eastAsia="宋体" w:cs="宋体"/>
          <w:sz w:val="21"/>
          <w:szCs w:val="21"/>
          <w:highlight w:val="none"/>
        </w:rPr>
        <w:t>竞争比选项目及服</w:t>
      </w:r>
      <w:r>
        <w:rPr>
          <w:rFonts w:hint="eastAsia" w:ascii="宋体" w:hAnsi="宋体" w:eastAsia="宋体" w:cs="宋体"/>
          <w:color w:val="000000"/>
          <w:sz w:val="21"/>
          <w:szCs w:val="21"/>
          <w:highlight w:val="none"/>
        </w:rPr>
        <w:t>务的竞争比选邀请，签字代表</w:t>
      </w:r>
      <w:r>
        <w:rPr>
          <w:rFonts w:hint="eastAsia" w:ascii="宋体" w:hAnsi="宋体" w:eastAsia="宋体" w:cs="宋体"/>
          <w:color w:val="000000"/>
          <w:sz w:val="21"/>
          <w:szCs w:val="21"/>
          <w:highlight w:val="none"/>
          <w:u w:val="single"/>
        </w:rPr>
        <w:t xml:space="preserve">          （全名、职务）</w:t>
      </w:r>
      <w:r>
        <w:rPr>
          <w:rFonts w:hint="eastAsia" w:ascii="宋体" w:hAnsi="宋体" w:eastAsia="宋体" w:cs="宋体"/>
          <w:color w:val="000000"/>
          <w:sz w:val="21"/>
          <w:szCs w:val="21"/>
          <w:highlight w:val="none"/>
        </w:rPr>
        <w:t>经正式授权并代表竞争比选响应单位</w:t>
      </w:r>
      <w:r>
        <w:rPr>
          <w:rFonts w:hint="eastAsia" w:ascii="宋体" w:hAnsi="宋体" w:eastAsia="宋体" w:cs="宋体"/>
          <w:color w:val="000000"/>
          <w:sz w:val="21"/>
          <w:szCs w:val="21"/>
          <w:highlight w:val="none"/>
          <w:u w:val="single"/>
        </w:rPr>
        <w:t xml:space="preserve">（竞争比选响应单位名称） </w:t>
      </w:r>
      <w:r>
        <w:rPr>
          <w:rFonts w:hint="eastAsia" w:ascii="宋体" w:hAnsi="宋体" w:eastAsia="宋体" w:cs="宋体"/>
          <w:color w:val="000000"/>
          <w:sz w:val="21"/>
          <w:szCs w:val="21"/>
          <w:highlight w:val="none"/>
        </w:rPr>
        <w:t>提交报价文件。</w:t>
      </w:r>
    </w:p>
    <w:p>
      <w:pPr>
        <w:spacing w:line="700" w:lineRule="atLeas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我方愿以人民币：              元（大写              元）的报价总价按照竞争比选文件的要求，承担本次竞争比选文件要求的</w:t>
      </w:r>
      <w:r>
        <w:rPr>
          <w:rFonts w:hint="eastAsia" w:ascii="宋体" w:hAnsi="宋体" w:cs="宋体"/>
          <w:color w:val="000000"/>
          <w:sz w:val="21"/>
          <w:szCs w:val="21"/>
          <w:highlight w:val="none"/>
          <w:u w:val="single"/>
          <w:lang w:val="en-US" w:eastAsia="zh-CN"/>
        </w:rPr>
        <w:t>项目</w:t>
      </w:r>
      <w:r>
        <w:rPr>
          <w:rFonts w:hint="eastAsia" w:ascii="宋体" w:hAnsi="宋体" w:eastAsia="宋体" w:cs="宋体"/>
          <w:color w:val="000000"/>
          <w:sz w:val="21"/>
          <w:szCs w:val="21"/>
          <w:highlight w:val="none"/>
          <w:u w:val="single"/>
        </w:rPr>
        <w:t>。</w:t>
      </w:r>
    </w:p>
    <w:p>
      <w:pPr>
        <w:tabs>
          <w:tab w:val="left" w:pos="540"/>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tabs>
          <w:tab w:val="left" w:pos="540"/>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据此函，签字代表宣布同意如下：</w:t>
      </w:r>
    </w:p>
    <w:p>
      <w:pPr>
        <w:tabs>
          <w:tab w:val="left" w:pos="540"/>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1、竞争比选响应单位将按竞争比选文件规定履行合同责任和义务。</w:t>
      </w:r>
    </w:p>
    <w:p>
      <w:pPr>
        <w:tabs>
          <w:tab w:val="left" w:pos="900"/>
        </w:tabs>
        <w:spacing w:line="30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2、竞争比选响应单位已详细审查全部竞争比选文件，包括修改文件（如有的话）以及全部参考资料和相关附件。我们完全理解并同意放弃对这方面有不明及误解的权利。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4、与本竞争比选响应有关的一切正式往来通讯请寄：</w:t>
      </w:r>
    </w:p>
    <w:p>
      <w:pPr>
        <w:tabs>
          <w:tab w:val="left" w:pos="900"/>
        </w:tabs>
        <w:spacing w:line="30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邮编：</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color w:val="000000"/>
          <w:sz w:val="21"/>
          <w:szCs w:val="21"/>
          <w:highlight w:val="none"/>
        </w:rPr>
        <w:t xml:space="preserve">  </w:t>
      </w:r>
    </w:p>
    <w:p>
      <w:pPr>
        <w:tabs>
          <w:tab w:val="left" w:pos="900"/>
        </w:tabs>
        <w:spacing w:line="30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传真：</w:t>
      </w:r>
      <w:r>
        <w:rPr>
          <w:rFonts w:hint="eastAsia" w:ascii="宋体" w:hAnsi="宋体" w:eastAsia="宋体" w:cs="宋体"/>
          <w:color w:val="000000"/>
          <w:sz w:val="21"/>
          <w:szCs w:val="21"/>
          <w:highlight w:val="none"/>
          <w:u w:val="single"/>
        </w:rPr>
        <w:t xml:space="preserve">            </w:t>
      </w:r>
    </w:p>
    <w:p>
      <w:pPr>
        <w:tabs>
          <w:tab w:val="left" w:pos="900"/>
        </w:tabs>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竞争比选响应单位法定代表人或授权代表人（签字）：</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tabs>
          <w:tab w:val="left" w:pos="900"/>
        </w:tabs>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竞争比选响应单位法定代表人或授权代表人职务：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tabs>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竞争比选响应单位名称（加盖公章）：</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u w:val="single"/>
        </w:rPr>
        <w:t xml:space="preserve">                  </w:t>
      </w:r>
    </w:p>
    <w:p>
      <w:pPr>
        <w:tabs>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 </w:t>
      </w:r>
    </w:p>
    <w:p>
      <w:pPr>
        <w:outlineLvl w:val="0"/>
        <w:rPr>
          <w:b/>
          <w:sz w:val="24"/>
          <w:highlight w:val="none"/>
        </w:rPr>
      </w:pPr>
    </w:p>
    <w:p>
      <w:pPr>
        <w:outlineLvl w:val="0"/>
        <w:rPr>
          <w:b/>
          <w:sz w:val="24"/>
          <w:highlight w:val="none"/>
        </w:rPr>
      </w:pPr>
    </w:p>
    <w:p>
      <w:pPr>
        <w:pStyle w:val="28"/>
        <w:rPr>
          <w:highlight w:val="none"/>
        </w:rPr>
      </w:pPr>
    </w:p>
    <w:p>
      <w:pPr>
        <w:outlineLvl w:val="0"/>
        <w:rPr>
          <w:b/>
          <w:sz w:val="24"/>
          <w:highlight w:val="none"/>
        </w:rPr>
      </w:pPr>
    </w:p>
    <w:p>
      <w:pPr>
        <w:pStyle w:val="4"/>
        <w:jc w:val="center"/>
        <w:rPr>
          <w:rFonts w:ascii="宋体" w:hAnsi="宋体" w:eastAsia="宋体" w:cs="宋体"/>
          <w:sz w:val="28"/>
          <w:szCs w:val="28"/>
          <w:highlight w:val="none"/>
        </w:rPr>
      </w:pPr>
      <w:bookmarkStart w:id="226" w:name="_Toc26697"/>
      <w:bookmarkStart w:id="227" w:name="_Toc27815"/>
      <w:bookmarkStart w:id="228" w:name="_Toc491883232"/>
      <w:r>
        <w:rPr>
          <w:rFonts w:hint="eastAsia" w:ascii="宋体" w:hAnsi="宋体" w:eastAsia="宋体" w:cs="宋体"/>
          <w:sz w:val="28"/>
          <w:szCs w:val="28"/>
          <w:highlight w:val="none"/>
        </w:rPr>
        <w:t>二、法定代表人身份证明或法定代表人授权委托书</w:t>
      </w:r>
      <w:bookmarkEnd w:id="226"/>
      <w:bookmarkEnd w:id="227"/>
    </w:p>
    <w:p>
      <w:pPr>
        <w:pStyle w:val="4"/>
        <w:jc w:val="center"/>
        <w:rPr>
          <w:rFonts w:ascii="宋体" w:hAnsi="宋体" w:eastAsia="宋体" w:cs="宋体"/>
          <w:sz w:val="24"/>
          <w:szCs w:val="24"/>
          <w:highlight w:val="none"/>
        </w:rPr>
      </w:pPr>
      <w:bookmarkStart w:id="229" w:name="_Toc4391"/>
      <w:bookmarkStart w:id="230" w:name="_Toc14141"/>
      <w:r>
        <w:rPr>
          <w:rFonts w:hint="eastAsia" w:ascii="宋体" w:hAnsi="宋体" w:eastAsia="宋体" w:cs="宋体"/>
          <w:sz w:val="24"/>
          <w:szCs w:val="24"/>
          <w:highlight w:val="none"/>
        </w:rPr>
        <w:t>（一）法定代表人身份证明</w:t>
      </w:r>
      <w:bookmarkEnd w:id="228"/>
      <w:bookmarkEnd w:id="229"/>
      <w:bookmarkEnd w:id="230"/>
    </w:p>
    <w:p>
      <w:pPr>
        <w:spacing w:line="440" w:lineRule="exact"/>
        <w:rPr>
          <w:rFonts w:ascii="宋体" w:hAnsi="宋体"/>
          <w:sz w:val="21"/>
          <w:szCs w:val="21"/>
          <w:highlight w:val="none"/>
        </w:rPr>
      </w:pPr>
      <w:r>
        <w:rPr>
          <w:rFonts w:hint="eastAsia" w:ascii="宋体" w:hAnsi="宋体"/>
          <w:sz w:val="21"/>
          <w:szCs w:val="21"/>
          <w:highlight w:val="none"/>
        </w:rPr>
        <w:t>报价人</w:t>
      </w:r>
      <w:r>
        <w:rPr>
          <w:rFonts w:ascii="宋体" w:hAnsi="宋体"/>
          <w:sz w:val="21"/>
          <w:szCs w:val="21"/>
          <w:highlight w:val="none"/>
        </w:rPr>
        <w:t>名称：</w:t>
      </w:r>
      <w:r>
        <w:rPr>
          <w:rFonts w:ascii="宋体" w:hAnsi="宋体"/>
          <w:sz w:val="21"/>
          <w:szCs w:val="21"/>
          <w:highlight w:val="none"/>
          <w:u w:val="single"/>
        </w:rPr>
        <w:t xml:space="preserve">                        </w:t>
      </w:r>
    </w:p>
    <w:p>
      <w:pPr>
        <w:spacing w:line="440" w:lineRule="exact"/>
        <w:rPr>
          <w:rFonts w:ascii="宋体" w:hAnsi="宋体"/>
          <w:sz w:val="21"/>
          <w:szCs w:val="21"/>
          <w:highlight w:val="none"/>
        </w:rPr>
      </w:pPr>
      <w:r>
        <w:rPr>
          <w:rFonts w:ascii="宋体" w:hAnsi="宋体"/>
          <w:sz w:val="21"/>
          <w:szCs w:val="21"/>
          <w:highlight w:val="none"/>
        </w:rPr>
        <w:t>姓名：</w:t>
      </w:r>
      <w:r>
        <w:rPr>
          <w:rFonts w:ascii="宋体" w:hAnsi="宋体"/>
          <w:sz w:val="21"/>
          <w:szCs w:val="21"/>
          <w:highlight w:val="none"/>
          <w:u w:val="single"/>
        </w:rPr>
        <w:t xml:space="preserve">                </w:t>
      </w:r>
      <w:r>
        <w:rPr>
          <w:rFonts w:ascii="宋体" w:hAnsi="宋体"/>
          <w:sz w:val="21"/>
          <w:szCs w:val="21"/>
          <w:highlight w:val="none"/>
        </w:rPr>
        <w:t>性别：</w:t>
      </w:r>
      <w:bookmarkStart w:id="231" w:name="_Toc352691662"/>
      <w:bookmarkStart w:id="232" w:name="_Toc369531698"/>
      <w:bookmarkStart w:id="233" w:name="_Toc27897"/>
      <w:r>
        <w:rPr>
          <w:rFonts w:ascii="宋体" w:hAnsi="宋体"/>
          <w:sz w:val="21"/>
          <w:szCs w:val="21"/>
          <w:highlight w:val="none"/>
          <w:u w:val="single"/>
        </w:rPr>
        <w:t xml:space="preserve">        </w:t>
      </w:r>
      <w:r>
        <w:rPr>
          <w:rFonts w:ascii="宋体" w:hAnsi="宋体"/>
          <w:sz w:val="21"/>
          <w:szCs w:val="21"/>
          <w:highlight w:val="none"/>
        </w:rPr>
        <w:t>年</w:t>
      </w:r>
      <w:bookmarkEnd w:id="231"/>
      <w:bookmarkEnd w:id="232"/>
      <w:bookmarkEnd w:id="233"/>
      <w:r>
        <w:rPr>
          <w:rFonts w:ascii="宋体" w:hAnsi="宋体"/>
          <w:sz w:val="21"/>
          <w:szCs w:val="21"/>
          <w:highlight w:val="none"/>
        </w:rPr>
        <w:t>龄</w:t>
      </w:r>
      <w:bookmarkStart w:id="234" w:name="_Toc15573"/>
      <w:bookmarkStart w:id="235" w:name="_Toc369531699"/>
      <w:bookmarkStart w:id="236" w:name="_Toc152042578"/>
      <w:bookmarkStart w:id="237" w:name="_Toc361508754"/>
      <w:bookmarkStart w:id="238" w:name="_Toc352691663"/>
      <w:bookmarkStart w:id="239" w:name="_Toc152045789"/>
      <w:bookmarkStart w:id="240" w:name="_Toc247527829"/>
      <w:bookmarkStart w:id="241" w:name="_Toc300835211"/>
      <w:bookmarkStart w:id="242" w:name="_Toc144974858"/>
      <w:bookmarkStart w:id="243" w:name="_Toc384308377"/>
      <w:bookmarkStart w:id="244" w:name="_Toc247514248"/>
      <w:r>
        <w:rPr>
          <w:rFonts w:ascii="宋体" w:hAnsi="宋体"/>
          <w:sz w:val="21"/>
          <w:szCs w:val="21"/>
          <w:highlight w:val="none"/>
        </w:rPr>
        <w:t>：</w:t>
      </w:r>
      <w:bookmarkEnd w:id="234"/>
      <w:bookmarkEnd w:id="235"/>
      <w:bookmarkEnd w:id="236"/>
      <w:bookmarkEnd w:id="237"/>
      <w:bookmarkEnd w:id="238"/>
      <w:bookmarkEnd w:id="239"/>
      <w:bookmarkEnd w:id="240"/>
      <w:bookmarkEnd w:id="241"/>
      <w:bookmarkEnd w:id="242"/>
      <w:bookmarkEnd w:id="243"/>
      <w:bookmarkEnd w:id="244"/>
      <w:r>
        <w:rPr>
          <w:rFonts w:ascii="宋体" w:hAnsi="宋体"/>
          <w:sz w:val="21"/>
          <w:szCs w:val="21"/>
          <w:highlight w:val="none"/>
          <w:u w:val="single"/>
        </w:rPr>
        <w:t xml:space="preserve">        </w:t>
      </w:r>
      <w:r>
        <w:rPr>
          <w:rFonts w:ascii="宋体" w:hAnsi="宋体"/>
          <w:sz w:val="21"/>
          <w:szCs w:val="21"/>
          <w:highlight w:val="none"/>
        </w:rPr>
        <w:t>职务：</w:t>
      </w:r>
      <w:r>
        <w:rPr>
          <w:rFonts w:ascii="宋体" w:hAnsi="宋体"/>
          <w:sz w:val="21"/>
          <w:szCs w:val="21"/>
          <w:highlight w:val="none"/>
          <w:u w:val="single"/>
        </w:rPr>
        <w:t xml:space="preserve">        </w:t>
      </w:r>
    </w:p>
    <w:p>
      <w:pPr>
        <w:spacing w:line="440" w:lineRule="exact"/>
        <w:rPr>
          <w:rFonts w:ascii="宋体" w:hAnsi="宋体"/>
          <w:sz w:val="21"/>
          <w:szCs w:val="21"/>
          <w:highlight w:val="none"/>
        </w:rPr>
      </w:pPr>
      <w:r>
        <w:rPr>
          <w:rFonts w:ascii="宋体" w:hAnsi="宋体"/>
          <w:sz w:val="21"/>
          <w:szCs w:val="21"/>
          <w:highlight w:val="none"/>
        </w:rPr>
        <w:t>系</w:t>
      </w:r>
      <w:r>
        <w:rPr>
          <w:rFonts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报价人</w:t>
      </w:r>
      <w:r>
        <w:rPr>
          <w:rFonts w:ascii="宋体" w:hAnsi="宋体"/>
          <w:sz w:val="21"/>
          <w:szCs w:val="21"/>
          <w:highlight w:val="none"/>
        </w:rPr>
        <w:t>名称）的法定代表人。</w:t>
      </w:r>
    </w:p>
    <w:p>
      <w:pPr>
        <w:spacing w:line="440" w:lineRule="exact"/>
        <w:ind w:firstLine="420" w:firstLineChars="200"/>
        <w:rPr>
          <w:rFonts w:ascii="宋体" w:hAnsi="宋体"/>
          <w:sz w:val="21"/>
          <w:szCs w:val="21"/>
          <w:highlight w:val="none"/>
        </w:rPr>
      </w:pPr>
      <w:r>
        <w:rPr>
          <w:rFonts w:ascii="宋体" w:hAnsi="宋体"/>
          <w:sz w:val="21"/>
          <w:szCs w:val="21"/>
          <w:highlight w:val="none"/>
        </w:rPr>
        <w:t>特此证明。</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附：法定代表人身份证复印件</w:t>
      </w:r>
      <w:r>
        <w:rPr>
          <w:rFonts w:hint="eastAsia" w:ascii="宋体" w:hAnsi="宋体"/>
          <w:sz w:val="21"/>
          <w:szCs w:val="21"/>
          <w:highlight w:val="none"/>
        </w:rPr>
        <w:t>（正、反面）</w:t>
      </w:r>
      <w:r>
        <w:rPr>
          <w:rFonts w:ascii="宋体" w:hAnsi="宋体"/>
          <w:sz w:val="21"/>
          <w:szCs w:val="21"/>
          <w:highlight w:val="none"/>
        </w:rPr>
        <w:t>。</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jc w:val="center"/>
        <w:rPr>
          <w:rFonts w:ascii="宋体" w:hAns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报价人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w:t>
      </w:r>
      <w:r>
        <w:rPr>
          <w:rFonts w:hint="eastAsia" w:ascii="宋体" w:hAnsi="宋体"/>
          <w:sz w:val="21"/>
          <w:szCs w:val="21"/>
          <w:highlight w:val="none"/>
        </w:rPr>
        <w:t>盖</w:t>
      </w:r>
      <w:r>
        <w:rPr>
          <w:rFonts w:ascii="宋体" w:hAnsi="宋体"/>
          <w:sz w:val="21"/>
          <w:szCs w:val="21"/>
          <w:highlight w:val="none"/>
        </w:rPr>
        <w:t>单位</w:t>
      </w:r>
      <w:r>
        <w:rPr>
          <w:rFonts w:hint="eastAsia" w:ascii="宋体" w:hAnsi="宋体"/>
          <w:sz w:val="21"/>
          <w:szCs w:val="21"/>
          <w:highlight w:val="none"/>
        </w:rPr>
        <w:t>公章</w:t>
      </w:r>
      <w:r>
        <w:rPr>
          <w:rFonts w:ascii="宋体" w:hAnsi="宋体"/>
          <w:sz w:val="21"/>
          <w:szCs w:val="21"/>
          <w:highlight w:val="none"/>
        </w:rPr>
        <w:t>）</w:t>
      </w:r>
    </w:p>
    <w:p>
      <w:pPr>
        <w:spacing w:line="440" w:lineRule="exact"/>
        <w:rPr>
          <w:rFonts w:ascii="宋体" w:hAnsi="宋体"/>
          <w:sz w:val="21"/>
          <w:szCs w:val="21"/>
          <w:highlight w:val="none"/>
        </w:rPr>
      </w:pPr>
    </w:p>
    <w:p>
      <w:pPr>
        <w:spacing w:line="440" w:lineRule="exact"/>
        <w:ind w:firstLine="4620" w:firstLineChars="2200"/>
        <w:rPr>
          <w:rFonts w:ascii="宋体" w:hAnsi="宋体"/>
          <w:sz w:val="21"/>
          <w:szCs w:val="21"/>
          <w:highlight w:val="none"/>
        </w:rPr>
      </w:pP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p>
    <w:p>
      <w:pPr>
        <w:rPr>
          <w:rFonts w:ascii="宋体" w:hAnsi="宋体"/>
          <w:sz w:val="21"/>
          <w:szCs w:val="21"/>
          <w:highlight w:val="none"/>
        </w:rPr>
      </w:pPr>
    </w:p>
    <w:p>
      <w:pPr>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注：本身份证明需由</w:t>
      </w:r>
      <w:r>
        <w:rPr>
          <w:rFonts w:hint="eastAsia" w:ascii="宋体" w:hAnsi="宋体"/>
          <w:sz w:val="21"/>
          <w:szCs w:val="21"/>
          <w:highlight w:val="none"/>
        </w:rPr>
        <w:t>报价人</w:t>
      </w:r>
      <w:r>
        <w:rPr>
          <w:rFonts w:ascii="宋体" w:hAnsi="宋体"/>
          <w:sz w:val="21"/>
          <w:szCs w:val="21"/>
          <w:highlight w:val="none"/>
        </w:rPr>
        <w:t>加盖单位</w:t>
      </w:r>
      <w:r>
        <w:rPr>
          <w:rFonts w:hint="eastAsia" w:ascii="宋体" w:hAnsi="宋体"/>
          <w:sz w:val="21"/>
          <w:szCs w:val="21"/>
          <w:highlight w:val="none"/>
        </w:rPr>
        <w:t>公章</w:t>
      </w:r>
      <w:r>
        <w:rPr>
          <w:rFonts w:ascii="宋体" w:hAnsi="宋体"/>
          <w:sz w:val="21"/>
          <w:szCs w:val="21"/>
          <w:highlight w:val="none"/>
        </w:rPr>
        <w:t>。</w:t>
      </w:r>
    </w:p>
    <w:p>
      <w:pPr>
        <w:spacing w:line="440" w:lineRule="exact"/>
        <w:rPr>
          <w:rFonts w:ascii="宋体" w:hAnsi="宋体"/>
          <w:sz w:val="21"/>
          <w:szCs w:val="21"/>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5" w:name="_Toc491883233"/>
      <w:bookmarkStart w:id="246" w:name="_Toc10767"/>
      <w:bookmarkStart w:id="247" w:name="_Toc58"/>
      <w:r>
        <w:rPr>
          <w:rFonts w:hint="eastAsia" w:ascii="宋体" w:hAnsi="宋体" w:eastAsia="宋体" w:cs="宋体"/>
          <w:sz w:val="24"/>
          <w:szCs w:val="24"/>
          <w:highlight w:val="none"/>
        </w:rPr>
        <w:t>（二）</w:t>
      </w:r>
      <w:bookmarkEnd w:id="245"/>
      <w:r>
        <w:rPr>
          <w:rFonts w:hint="eastAsia" w:ascii="宋体" w:hAnsi="宋体" w:eastAsia="宋体" w:cs="宋体"/>
          <w:sz w:val="24"/>
          <w:szCs w:val="24"/>
          <w:highlight w:val="none"/>
        </w:rPr>
        <w:t>法定代表人授权委托书</w:t>
      </w:r>
      <w:bookmarkEnd w:id="246"/>
      <w:bookmarkEnd w:id="247"/>
    </w:p>
    <w:p>
      <w:pPr>
        <w:topLinePunct/>
        <w:spacing w:line="440" w:lineRule="exact"/>
        <w:ind w:firstLine="420" w:firstLineChars="200"/>
        <w:rPr>
          <w:rFonts w:ascii="宋体" w:hAnsi="宋体"/>
          <w:sz w:val="21"/>
          <w:szCs w:val="21"/>
          <w:highlight w:val="none"/>
        </w:rPr>
      </w:pPr>
      <w:r>
        <w:rPr>
          <w:rFonts w:ascii="宋体" w:hAnsi="宋体"/>
          <w:sz w:val="21"/>
          <w:szCs w:val="21"/>
          <w:highlight w:val="none"/>
        </w:rPr>
        <w:t>本人</w:t>
      </w:r>
      <w:r>
        <w:rPr>
          <w:rFonts w:ascii="宋体" w:hAnsi="宋体"/>
          <w:sz w:val="21"/>
          <w:szCs w:val="21"/>
          <w:highlight w:val="none"/>
          <w:u w:val="single"/>
        </w:rPr>
        <w:t xml:space="preserve">              </w:t>
      </w:r>
      <w:r>
        <w:rPr>
          <w:rFonts w:ascii="宋体" w:hAnsi="宋体"/>
          <w:sz w:val="21"/>
          <w:szCs w:val="21"/>
          <w:highlight w:val="none"/>
        </w:rPr>
        <w:t>（姓名）系</w:t>
      </w:r>
      <w:r>
        <w:rPr>
          <w:rFonts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报价人</w:t>
      </w:r>
      <w:r>
        <w:rPr>
          <w:rFonts w:ascii="宋体" w:hAnsi="宋体"/>
          <w:sz w:val="21"/>
          <w:szCs w:val="21"/>
          <w:highlight w:val="none"/>
        </w:rPr>
        <w:t>名称）的法定代表人，现委托</w:t>
      </w:r>
      <w:r>
        <w:rPr>
          <w:rFonts w:ascii="宋体" w:hAnsi="宋体"/>
          <w:sz w:val="21"/>
          <w:szCs w:val="21"/>
          <w:highlight w:val="none"/>
          <w:u w:val="single"/>
        </w:rPr>
        <w:t xml:space="preserve">            </w:t>
      </w:r>
      <w:r>
        <w:rPr>
          <w:rFonts w:ascii="宋体" w:hAnsi="宋体"/>
          <w:sz w:val="21"/>
          <w:szCs w:val="21"/>
          <w:highlight w:val="none"/>
        </w:rPr>
        <w:t>（姓名）为我方代理人。代理人根据授权，以我方名义签署、澄清确认、递交、撤回、修改招标项目</w:t>
      </w:r>
      <w:r>
        <w:rPr>
          <w:rFonts w:hint="eastAsia" w:ascii="宋体" w:hAnsi="宋体"/>
          <w:sz w:val="21"/>
          <w:szCs w:val="21"/>
          <w:highlight w:val="none"/>
        </w:rPr>
        <w:t>比选</w:t>
      </w:r>
      <w:r>
        <w:rPr>
          <w:rFonts w:ascii="宋体" w:hAnsi="宋体"/>
          <w:sz w:val="21"/>
          <w:szCs w:val="21"/>
          <w:highlight w:val="none"/>
        </w:rPr>
        <w:t>文件、签订合同和处理有关事宜，其法律后果由我方承担。</w:t>
      </w:r>
    </w:p>
    <w:p>
      <w:pPr>
        <w:spacing w:line="440" w:lineRule="exact"/>
        <w:rPr>
          <w:rFonts w:ascii="宋体" w:hAnsi="宋体"/>
          <w:sz w:val="21"/>
          <w:szCs w:val="21"/>
          <w:highlight w:val="none"/>
        </w:rPr>
      </w:pPr>
      <w:r>
        <w:rPr>
          <w:rFonts w:ascii="宋体" w:hAnsi="宋体"/>
          <w:sz w:val="21"/>
          <w:szCs w:val="21"/>
          <w:highlight w:val="none"/>
        </w:rPr>
        <w:t>委托期限：</w:t>
      </w:r>
      <w:r>
        <w:rPr>
          <w:rFonts w:ascii="宋体" w:hAnsi="宋体"/>
          <w:sz w:val="21"/>
          <w:szCs w:val="21"/>
          <w:highlight w:val="none"/>
          <w:u w:val="single"/>
        </w:rPr>
        <w:t xml:space="preserve">                       </w:t>
      </w:r>
      <w:r>
        <w:rPr>
          <w:rFonts w:ascii="宋体" w:hAnsi="宋体"/>
          <w:sz w:val="21"/>
          <w:szCs w:val="21"/>
          <w:highlight w:val="none"/>
        </w:rPr>
        <w:t>。</w:t>
      </w:r>
    </w:p>
    <w:p>
      <w:pPr>
        <w:spacing w:line="440" w:lineRule="exact"/>
        <w:ind w:firstLine="420" w:firstLineChars="200"/>
        <w:rPr>
          <w:rFonts w:ascii="宋体" w:hAnsi="宋体"/>
          <w:sz w:val="21"/>
          <w:szCs w:val="21"/>
          <w:highlight w:val="none"/>
        </w:rPr>
      </w:pPr>
      <w:r>
        <w:rPr>
          <w:rFonts w:ascii="宋体" w:hAnsi="宋体"/>
          <w:sz w:val="21"/>
          <w:szCs w:val="21"/>
          <w:highlight w:val="none"/>
        </w:rPr>
        <w:t>代理人无转委托权。</w:t>
      </w:r>
    </w:p>
    <w:p>
      <w:pPr>
        <w:spacing w:line="440" w:lineRule="exact"/>
        <w:ind w:firstLine="420" w:firstLineChars="200"/>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附：法定代表人身份证复印件及委托代理人身份证复印件</w:t>
      </w:r>
      <w:r>
        <w:rPr>
          <w:rFonts w:hint="eastAsia" w:ascii="宋体" w:hAnsi="宋体"/>
          <w:sz w:val="21"/>
          <w:szCs w:val="21"/>
          <w:highlight w:val="none"/>
        </w:rPr>
        <w:t>（正、反面）</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ind w:firstLine="2692" w:firstLineChars="1282"/>
        <w:rPr>
          <w:rFonts w:ascii="宋体" w:hAnsi="宋体"/>
          <w:sz w:val="21"/>
          <w:szCs w:val="21"/>
          <w:highlight w:val="none"/>
        </w:rPr>
      </w:pPr>
      <w:r>
        <w:rPr>
          <w:rFonts w:hint="eastAsia" w:ascii="宋体" w:hAnsi="宋体"/>
          <w:sz w:val="21"/>
          <w:szCs w:val="21"/>
          <w:highlight w:val="none"/>
        </w:rPr>
        <w:t>报  价  人</w:t>
      </w:r>
      <w:r>
        <w:rPr>
          <w:rFonts w:ascii="宋体" w:hAnsi="宋体"/>
          <w:sz w:val="21"/>
          <w:szCs w:val="21"/>
          <w:highlight w:val="none"/>
        </w:rPr>
        <w:t>：</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w:t>
      </w:r>
      <w:r>
        <w:rPr>
          <w:rFonts w:hint="eastAsia" w:ascii="宋体" w:hAnsi="宋体"/>
          <w:sz w:val="21"/>
          <w:szCs w:val="21"/>
          <w:highlight w:val="none"/>
        </w:rPr>
        <w:t>盖</w:t>
      </w:r>
      <w:r>
        <w:rPr>
          <w:rFonts w:ascii="宋体" w:hAnsi="宋体"/>
          <w:sz w:val="21"/>
          <w:szCs w:val="21"/>
          <w:highlight w:val="none"/>
        </w:rPr>
        <w:t>单位</w:t>
      </w:r>
      <w:r>
        <w:rPr>
          <w:rFonts w:hint="eastAsia" w:ascii="宋体" w:hAnsi="宋体"/>
          <w:sz w:val="21"/>
          <w:szCs w:val="21"/>
          <w:highlight w:val="none"/>
        </w:rPr>
        <w:t>公章</w:t>
      </w:r>
      <w:r>
        <w:rPr>
          <w:rFonts w:ascii="宋体" w:hAnsi="宋体"/>
          <w:sz w:val="21"/>
          <w:szCs w:val="21"/>
          <w:highlight w:val="none"/>
        </w:rPr>
        <w:t>）</w:t>
      </w:r>
    </w:p>
    <w:p>
      <w:pPr>
        <w:spacing w:line="440" w:lineRule="exact"/>
        <w:ind w:firstLine="2690" w:firstLineChars="1281"/>
        <w:jc w:val="left"/>
        <w:rPr>
          <w:rFonts w:ascii="宋体" w:hAnsi="宋体"/>
          <w:sz w:val="21"/>
          <w:szCs w:val="21"/>
          <w:highlight w:val="none"/>
        </w:rPr>
      </w:pPr>
      <w:r>
        <w:rPr>
          <w:rFonts w:ascii="宋体" w:hAnsi="宋体"/>
          <w:sz w:val="21"/>
          <w:szCs w:val="21"/>
          <w:highlight w:val="none"/>
        </w:rPr>
        <w:t>法定代表人：</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（签字</w:t>
      </w:r>
      <w:r>
        <w:rPr>
          <w:rFonts w:hint="eastAsia" w:ascii="宋体" w:hAnsi="宋体"/>
          <w:sz w:val="21"/>
          <w:szCs w:val="21"/>
          <w:highlight w:val="none"/>
        </w:rPr>
        <w:t xml:space="preserve"> </w:t>
      </w:r>
      <w:r>
        <w:rPr>
          <w:rFonts w:ascii="宋体" w:hAnsi="宋体"/>
          <w:sz w:val="21"/>
          <w:szCs w:val="21"/>
          <w:highlight w:val="none"/>
        </w:rPr>
        <w:t>）</w:t>
      </w:r>
    </w:p>
    <w:p>
      <w:pPr>
        <w:spacing w:line="440" w:lineRule="exact"/>
        <w:ind w:firstLine="2692" w:firstLineChars="1282"/>
        <w:rPr>
          <w:rFonts w:ascii="宋体" w:hAnsi="宋体"/>
          <w:sz w:val="21"/>
          <w:szCs w:val="21"/>
          <w:highlight w:val="none"/>
        </w:rPr>
      </w:pPr>
      <w:r>
        <w:rPr>
          <w:rFonts w:ascii="宋体" w:hAnsi="宋体"/>
          <w:sz w:val="21"/>
          <w:szCs w:val="21"/>
          <w:highlight w:val="none"/>
        </w:rPr>
        <w:t>身份证号码：</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p>
    <w:p>
      <w:pPr>
        <w:spacing w:line="440" w:lineRule="exact"/>
        <w:ind w:firstLine="2692" w:firstLineChars="1282"/>
        <w:rPr>
          <w:rFonts w:ascii="宋体" w:hAnsi="宋体"/>
          <w:sz w:val="21"/>
          <w:szCs w:val="21"/>
          <w:highlight w:val="none"/>
        </w:rPr>
      </w:pPr>
      <w:r>
        <w:rPr>
          <w:rFonts w:ascii="宋体" w:hAnsi="宋体"/>
          <w:sz w:val="21"/>
          <w:szCs w:val="21"/>
          <w:highlight w:val="none"/>
        </w:rPr>
        <w:t>委托代理人：</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（签字）</w:t>
      </w:r>
    </w:p>
    <w:p>
      <w:pPr>
        <w:spacing w:line="440" w:lineRule="exact"/>
        <w:ind w:firstLine="2692" w:firstLineChars="1282"/>
        <w:rPr>
          <w:rFonts w:ascii="宋体" w:hAnsi="宋体"/>
          <w:sz w:val="21"/>
          <w:szCs w:val="21"/>
          <w:highlight w:val="none"/>
        </w:rPr>
      </w:pPr>
      <w:r>
        <w:rPr>
          <w:rFonts w:ascii="宋体" w:hAnsi="宋体"/>
          <w:sz w:val="21"/>
          <w:szCs w:val="21"/>
          <w:highlight w:val="none"/>
        </w:rPr>
        <w:t>身份证号码：</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p>
    <w:p>
      <w:pPr>
        <w:spacing w:line="440" w:lineRule="exact"/>
        <w:ind w:firstLine="2692" w:firstLineChars="1282"/>
        <w:rPr>
          <w:rFonts w:ascii="宋体" w:hAnsi="宋体"/>
          <w:sz w:val="21"/>
          <w:szCs w:val="21"/>
          <w:highlight w:val="none"/>
        </w:rPr>
      </w:pPr>
    </w:p>
    <w:p>
      <w:pPr>
        <w:spacing w:line="440" w:lineRule="exact"/>
        <w:ind w:firstLine="4057" w:firstLineChars="1932"/>
        <w:jc w:val="right"/>
        <w:rPr>
          <w:rFonts w:ascii="宋体" w:hAnsi="宋体"/>
          <w:sz w:val="21"/>
          <w:szCs w:val="21"/>
          <w:highlight w:val="none"/>
        </w:rPr>
      </w:pP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p>
    <w:p>
      <w:pPr>
        <w:rPr>
          <w:rFonts w:ascii="宋体" w:hAnsi="宋体"/>
          <w:sz w:val="21"/>
          <w:szCs w:val="21"/>
          <w:highlight w:val="none"/>
        </w:rPr>
      </w:pPr>
    </w:p>
    <w:p>
      <w:pPr>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注：本授权委托书需由</w:t>
      </w:r>
      <w:r>
        <w:rPr>
          <w:rFonts w:hint="eastAsia" w:ascii="宋体" w:hAnsi="宋体"/>
          <w:sz w:val="21"/>
          <w:szCs w:val="21"/>
          <w:highlight w:val="none"/>
        </w:rPr>
        <w:t>报价人</w:t>
      </w:r>
      <w:r>
        <w:rPr>
          <w:rFonts w:ascii="宋体" w:hAnsi="宋体"/>
          <w:sz w:val="21"/>
          <w:szCs w:val="21"/>
          <w:highlight w:val="none"/>
        </w:rPr>
        <w:t>加盖单位</w:t>
      </w:r>
      <w:r>
        <w:rPr>
          <w:rFonts w:hint="eastAsia" w:ascii="宋体" w:hAnsi="宋体"/>
          <w:sz w:val="21"/>
          <w:szCs w:val="21"/>
          <w:highlight w:val="none"/>
        </w:rPr>
        <w:t>公章</w:t>
      </w:r>
      <w:r>
        <w:rPr>
          <w:rFonts w:ascii="宋体" w:hAnsi="宋体"/>
          <w:sz w:val="21"/>
          <w:szCs w:val="21"/>
          <w:highlight w:val="none"/>
        </w:rPr>
        <w:t>并由其法定代表人和委托代理人签字。</w:t>
      </w:r>
    </w:p>
    <w:p>
      <w:pPr>
        <w:pStyle w:val="28"/>
        <w:rPr>
          <w:sz w:val="21"/>
          <w:szCs w:val="21"/>
          <w:highlight w:val="none"/>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highlight w:val="none"/>
        </w:rPr>
      </w:pPr>
      <w:bookmarkStart w:id="248" w:name="_Toc11329275"/>
      <w:r>
        <w:rPr>
          <w:rFonts w:hint="eastAsia" w:ascii="宋体" w:hAnsi="宋体" w:cs="宋体"/>
          <w:b/>
          <w:bCs/>
          <w:kern w:val="0"/>
          <w:sz w:val="28"/>
          <w:szCs w:val="32"/>
          <w:highlight w:val="none"/>
        </w:rPr>
        <w:t>三、</w:t>
      </w:r>
      <w:bookmarkEnd w:id="223"/>
      <w:bookmarkEnd w:id="224"/>
      <w:bookmarkEnd w:id="225"/>
      <w:bookmarkEnd w:id="248"/>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20" w:firstLineChars="200"/>
        <w:jc w:val="left"/>
        <w:rPr>
          <w:rFonts w:ascii="宋体" w:hAnsi="宋体"/>
          <w:b/>
          <w:color w:val="000000"/>
          <w:sz w:val="24"/>
          <w:highlight w:val="none"/>
        </w:rPr>
      </w:pPr>
      <w:r>
        <w:rPr>
          <w:rFonts w:hint="eastAsia" w:ascii="宋体" w:hAnsi="宋体" w:eastAsia="宋体" w:cs="Times New Roman"/>
          <w:highlight w:val="none"/>
        </w:rPr>
        <w:t>在研究了竞争比选文件中所有文件后，我司对</w:t>
      </w:r>
      <w:r>
        <w:rPr>
          <w:rFonts w:hint="eastAsia" w:ascii="宋体" w:hAnsi="宋体" w:cs="Times New Roman"/>
          <w:highlight w:val="none"/>
          <w:u w:val="single"/>
          <w:lang w:val="en-US" w:eastAsia="zh-CN"/>
        </w:rPr>
        <w:t>四公里办公大楼文化打造装饰装修项目</w:t>
      </w:r>
      <w:r>
        <w:rPr>
          <w:rFonts w:hint="eastAsia" w:ascii="宋体" w:hAnsi="宋体" w:eastAsia="宋体" w:cs="Times New Roman"/>
          <w:highlight w:val="none"/>
        </w:rPr>
        <w:t>竞争比选响应报价如下：</w:t>
      </w:r>
      <w:r>
        <w:rPr>
          <w:rFonts w:hint="eastAsia" w:ascii="宋体" w:hAnsi="宋体"/>
          <w:b/>
          <w:color w:val="000000"/>
          <w:sz w:val="24"/>
          <w:highlight w:val="none"/>
        </w:rPr>
        <w:t xml:space="preserve"> </w:t>
      </w:r>
    </w:p>
    <w:p>
      <w:pPr>
        <w:spacing w:line="360" w:lineRule="auto"/>
        <w:ind w:firstLine="422" w:firstLineChars="200"/>
        <w:jc w:val="left"/>
        <w:rPr>
          <w:rFonts w:hint="eastAsia" w:ascii="宋体" w:hAnsi="宋体" w:eastAsia="宋体" w:cs="Times New Roman"/>
          <w:b/>
          <w:bCs/>
          <w:highlight w:val="none"/>
        </w:rPr>
      </w:pPr>
      <w:r>
        <w:rPr>
          <w:rFonts w:hint="eastAsia" w:ascii="宋体" w:hAnsi="宋体" w:eastAsia="宋体" w:cs="Times New Roman"/>
          <w:b/>
          <w:bCs/>
          <w:highlight w:val="none"/>
        </w:rPr>
        <w:t xml:space="preserve"> </w:t>
      </w:r>
      <w:r>
        <w:rPr>
          <w:rFonts w:hint="eastAsia" w:ascii="宋体" w:hAnsi="宋体" w:eastAsia="宋体" w:cs="Times New Roman"/>
          <w:b/>
          <w:bCs/>
          <w:highlight w:val="none"/>
          <w:lang w:eastAsia="zh-CN"/>
        </w:rPr>
        <w:t>报价采用表格形式，见“工程量清单”。</w:t>
      </w:r>
      <w:r>
        <w:rPr>
          <w:rFonts w:hint="eastAsia" w:ascii="宋体" w:hAnsi="宋体" w:eastAsia="宋体" w:cs="Times New Roman"/>
          <w:b/>
          <w:bCs/>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49" w:name="_Toc503951050"/>
      <w:bookmarkStart w:id="250" w:name="_Toc11329278"/>
      <w:bookmarkStart w:id="251" w:name="_Toc513633971"/>
      <w:bookmarkStart w:id="252" w:name="_Toc246996369"/>
      <w:bookmarkStart w:id="253" w:name="_Toc144974871"/>
      <w:bookmarkStart w:id="254" w:name="_Toc247085887"/>
      <w:bookmarkStart w:id="255" w:name="_Toc179632823"/>
      <w:bookmarkStart w:id="256" w:name="_Toc152045803"/>
      <w:bookmarkStart w:id="257" w:name="_Toc246997112"/>
      <w:bookmarkStart w:id="258" w:name="_Toc447827058"/>
      <w:bookmarkStart w:id="259" w:name="_Toc152042592"/>
      <w:r>
        <w:rPr>
          <w:rFonts w:hint="eastAsia" w:ascii="宋体" w:hAnsi="宋体" w:eastAsia="宋体" w:cs="宋体"/>
          <w:sz w:val="28"/>
          <w:highlight w:val="none"/>
        </w:rPr>
        <w:br w:type="page"/>
      </w:r>
      <w:bookmarkStart w:id="260" w:name="_Toc18757"/>
      <w:bookmarkStart w:id="261" w:name="_Toc12910"/>
      <w:bookmarkStart w:id="262" w:name="_Toc11961"/>
      <w:bookmarkStart w:id="263" w:name="_Toc7430"/>
      <w:r>
        <w:rPr>
          <w:rFonts w:hint="eastAsia" w:ascii="宋体" w:hAnsi="宋体" w:eastAsia="宋体" w:cs="宋体"/>
          <w:sz w:val="28"/>
          <w:highlight w:val="none"/>
        </w:rPr>
        <w:t>四、资格审查资料</w:t>
      </w:r>
      <w:bookmarkEnd w:id="249"/>
      <w:bookmarkEnd w:id="250"/>
      <w:bookmarkEnd w:id="251"/>
      <w:bookmarkEnd w:id="260"/>
      <w:bookmarkEnd w:id="261"/>
      <w:bookmarkEnd w:id="262"/>
      <w:bookmarkEnd w:id="263"/>
    </w:p>
    <w:p>
      <w:pPr>
        <w:pStyle w:val="4"/>
        <w:spacing w:before="0" w:after="0" w:line="360" w:lineRule="auto"/>
        <w:jc w:val="center"/>
        <w:rPr>
          <w:rFonts w:ascii="宋体" w:hAnsi="宋体" w:eastAsia="宋体" w:cs="宋体"/>
          <w:sz w:val="28"/>
          <w:highlight w:val="none"/>
        </w:rPr>
      </w:pPr>
      <w:bookmarkStart w:id="264" w:name="_Toc32456"/>
      <w:bookmarkStart w:id="265" w:name="_Toc17915"/>
      <w:bookmarkStart w:id="266" w:name="_Toc25219"/>
      <w:bookmarkStart w:id="267" w:name="_Toc22003"/>
      <w:r>
        <w:rPr>
          <w:rFonts w:hint="eastAsia" w:ascii="宋体" w:hAnsi="宋体" w:eastAsia="宋体" w:cs="宋体"/>
          <w:sz w:val="28"/>
          <w:highlight w:val="none"/>
        </w:rPr>
        <w:t>（营业执照、资质证书、业绩要求、</w:t>
      </w:r>
      <w:r>
        <w:rPr>
          <w:rFonts w:hint="eastAsia" w:ascii="宋体" w:hAnsi="宋体" w:eastAsia="宋体" w:cs="宋体"/>
          <w:sz w:val="28"/>
          <w:highlight w:val="none"/>
          <w:lang w:val="en-US" w:eastAsia="zh-CN"/>
        </w:rPr>
        <w:t>信誉要求</w:t>
      </w:r>
      <w:r>
        <w:rPr>
          <w:rFonts w:hint="eastAsia" w:ascii="宋体" w:hAnsi="宋体" w:eastAsia="宋体" w:cs="宋体"/>
          <w:sz w:val="28"/>
          <w:highlight w:val="none"/>
        </w:rPr>
        <w:t>等）</w:t>
      </w:r>
      <w:bookmarkEnd w:id="264"/>
      <w:bookmarkEnd w:id="265"/>
      <w:bookmarkEnd w:id="266"/>
      <w:bookmarkEnd w:id="267"/>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rPr>
        <w:t>营业执照</w:t>
      </w:r>
      <w:r>
        <w:rPr>
          <w:rFonts w:hint="eastAsia" w:ascii="宋体" w:hAnsi="宋体" w:eastAsia="宋体" w:cs="Times New Roman"/>
          <w:sz w:val="21"/>
          <w:szCs w:val="21"/>
          <w:highlight w:val="none"/>
          <w:lang w:val="en-US" w:eastAsia="zh-CN"/>
        </w:rPr>
        <w:t>及资质证书</w:t>
      </w:r>
    </w:p>
    <w:p>
      <w:pPr>
        <w:spacing w:line="360" w:lineRule="auto"/>
        <w:ind w:left="840" w:leftChars="200" w:hanging="420" w:hanging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注：</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具有独立法人资格和有效的营业执照</w:t>
      </w:r>
      <w:r>
        <w:rPr>
          <w:rFonts w:hint="eastAsia" w:ascii="宋体" w:hAnsi="宋体" w:eastAsia="宋体" w:cs="Times New Roman"/>
          <w:sz w:val="21"/>
          <w:szCs w:val="21"/>
          <w:highlight w:val="none"/>
        </w:rPr>
        <w:t>，并加盖报价人公章；</w:t>
      </w:r>
    </w:p>
    <w:p>
      <w:pPr>
        <w:spacing w:line="360" w:lineRule="auto"/>
        <w:ind w:left="840" w:leftChars="400" w:firstLine="0" w:firstLineChars="0"/>
        <w:jc w:val="left"/>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具备有效的安全生产许可证；</w:t>
      </w:r>
    </w:p>
    <w:p>
      <w:pPr>
        <w:spacing w:line="360" w:lineRule="auto"/>
        <w:ind w:left="840" w:leftChars="400" w:firstLine="0" w:firstLineChars="0"/>
        <w:jc w:val="left"/>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（3）</w:t>
      </w:r>
      <w:r>
        <w:rPr>
          <w:rFonts w:hint="eastAsia" w:ascii="宋体" w:hAnsi="宋体" w:eastAsia="宋体" w:cs="Times New Roman"/>
          <w:sz w:val="21"/>
          <w:szCs w:val="21"/>
          <w:highlight w:val="none"/>
        </w:rPr>
        <w:t>具备建筑装修装饰工程专业承包贰级及以上资质（含贰级）；</w:t>
      </w:r>
    </w:p>
    <w:p>
      <w:pPr>
        <w:spacing w:line="360" w:lineRule="auto"/>
        <w:ind w:left="842" w:leftChars="200" w:hanging="422" w:hanging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提供公司营业执照及资质证书复印件，并加盖报价人鲜章。</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业绩要求</w:t>
      </w:r>
    </w:p>
    <w:p>
      <w:pPr>
        <w:spacing w:line="360" w:lineRule="auto"/>
        <w:ind w:firstLine="420" w:firstLineChars="200"/>
        <w:jc w:val="left"/>
        <w:rPr>
          <w:rFonts w:hint="eastAsia" w:ascii="宋体" w:hAnsi="宋体" w:cs="宋体"/>
          <w:highlight w:val="none"/>
          <w:lang w:val="en-US" w:eastAsia="zh-CN"/>
        </w:rPr>
      </w:pPr>
      <w:r>
        <w:rPr>
          <w:rFonts w:hint="eastAsia" w:ascii="宋体" w:hAnsi="宋体" w:eastAsia="宋体" w:cs="Times New Roman"/>
          <w:sz w:val="21"/>
          <w:szCs w:val="21"/>
          <w:highlight w:val="none"/>
        </w:rPr>
        <w:t>注：</w:t>
      </w:r>
      <w:r>
        <w:rPr>
          <w:rFonts w:hint="eastAsia" w:ascii="宋体" w:hAnsi="宋体" w:eastAsia="宋体" w:cs="Times New Roman"/>
          <w:sz w:val="21"/>
          <w:szCs w:val="21"/>
          <w:highlight w:val="none"/>
          <w:lang w:val="en-US" w:eastAsia="zh-CN"/>
        </w:rPr>
        <w:t>报价人自2021年1月1日至投标截止日(以合同签订时间为准）至少具有1个合同金额不低于30万元的类似展厅或其他装饰装修施工项目业绩（提供合同扫描件及对应增值税发票复印件，发票金额需达到30万元）</w:t>
      </w:r>
      <w:r>
        <w:rPr>
          <w:rFonts w:hint="eastAsia" w:ascii="宋体" w:hAnsi="宋体" w:cs="宋体"/>
          <w:highlight w:val="none"/>
          <w:lang w:val="en-US" w:eastAsia="zh-CN"/>
        </w:rPr>
        <w:t>。</w:t>
      </w:r>
    </w:p>
    <w:p>
      <w:pPr>
        <w:spacing w:line="360"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提供合同复印件（合同需清晰反映上述业绩要求的主要内容，包括但不限于合同金额及工作内容）</w:t>
      </w:r>
      <w:r>
        <w:rPr>
          <w:rFonts w:hint="eastAsia" w:ascii="宋体" w:hAnsi="宋体" w:cs="Times New Roman"/>
          <w:b/>
          <w:bCs/>
          <w:sz w:val="21"/>
          <w:szCs w:val="21"/>
          <w:highlight w:val="none"/>
          <w:lang w:val="en-US" w:eastAsia="zh-CN"/>
        </w:rPr>
        <w:t>及增值税发票复印件</w:t>
      </w:r>
      <w:r>
        <w:rPr>
          <w:rFonts w:hint="eastAsia" w:ascii="宋体" w:hAnsi="宋体" w:eastAsia="宋体" w:cs="Times New Roman"/>
          <w:b/>
          <w:bCs/>
          <w:sz w:val="21"/>
          <w:szCs w:val="21"/>
          <w:highlight w:val="none"/>
          <w:lang w:val="en-US" w:eastAsia="zh-CN"/>
        </w:rPr>
        <w:t>，并加盖报价人鲜章。</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信誉要求</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注：请附在国家企业信用信息公示系统（http://www.gsxt.gov.cn/）中未被列入严重违法失信企业名单（黑名单）信息，及在“信用中国”网站（http://www.creditchina.gov.cn/）中未被列入失信惩戒执行人名单截图，并加盖报价人公章；</w:t>
      </w:r>
    </w:p>
    <w:p>
      <w:pPr>
        <w:spacing w:line="360" w:lineRule="auto"/>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tbl>
      <w:tblPr>
        <w:tblStyle w:val="43"/>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34"/>
        <w:gridCol w:w="1191"/>
        <w:gridCol w:w="2808"/>
        <w:gridCol w:w="230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2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技术负责人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安全负责人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9"/>
        <w:adjustRightInd/>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w:t>
      </w:r>
      <w:r>
        <w:rPr>
          <w:rFonts w:hint="eastAsia" w:ascii="Times New Roman" w:hAnsi="宋体" w:cs="Times New Roman"/>
          <w:b w:val="0"/>
          <w:bCs w:val="0"/>
          <w:color w:val="auto"/>
          <w:sz w:val="21"/>
          <w:szCs w:val="21"/>
          <w:highlight w:val="none"/>
          <w:lang w:val="en-US" w:eastAsia="zh-CN"/>
        </w:rPr>
        <w:t>注：需提供项目主要管理人员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及由社保局出具的报价人为以上人员缴纳2024年4月至2024年6月连续三个月的养老保险证明（带有社保部门公章或社保部门的有效电子印章）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ascii="宋体" w:hAnsi="宋体" w:eastAsia="宋体" w:cs="Times New Roman"/>
          <w:color w:val="auto"/>
          <w:kern w:val="2"/>
          <w:sz w:val="21"/>
          <w:szCs w:val="21"/>
          <w:highlight w:val="none"/>
          <w:lang w:val="en-US" w:eastAsia="zh-CN" w:bidi="ar-SA"/>
        </w:rPr>
        <w:t>。</w:t>
      </w:r>
    </w:p>
    <w:p>
      <w:pPr>
        <w:pStyle w:val="2"/>
        <w:rPr>
          <w:rFonts w:hint="eastAsia" w:hAnsi="宋体"/>
          <w:color w:val="auto"/>
          <w:sz w:val="21"/>
          <w:szCs w:val="21"/>
          <w:highlight w:val="none"/>
        </w:rPr>
      </w:pPr>
      <w:r>
        <w:rPr>
          <w:rFonts w:hint="eastAsia" w:ascii="宋体" w:hAnsi="宋体" w:eastAsia="宋体" w:cs="宋体"/>
          <w:sz w:val="28"/>
          <w:highlight w:val="none"/>
        </w:rPr>
        <w:br w:type="page"/>
      </w:r>
      <w:bookmarkEnd w:id="252"/>
      <w:bookmarkEnd w:id="253"/>
      <w:bookmarkEnd w:id="254"/>
      <w:bookmarkEnd w:id="255"/>
      <w:bookmarkEnd w:id="256"/>
      <w:bookmarkEnd w:id="257"/>
      <w:bookmarkEnd w:id="258"/>
      <w:bookmarkEnd w:id="259"/>
      <w:bookmarkStart w:id="268" w:name="_Toc503951055"/>
      <w:bookmarkStart w:id="269" w:name="_Toc513633973"/>
      <w:bookmarkStart w:id="270" w:name="_Toc447827068"/>
      <w:bookmarkStart w:id="271" w:name="_Toc11329281"/>
      <w:bookmarkStart w:id="272" w:name="_Toc11672"/>
    </w:p>
    <w:bookmarkEnd w:id="268"/>
    <w:bookmarkEnd w:id="269"/>
    <w:bookmarkEnd w:id="270"/>
    <w:p>
      <w:pPr>
        <w:pStyle w:val="4"/>
        <w:numPr>
          <w:ilvl w:val="0"/>
          <w:numId w:val="8"/>
        </w:numPr>
        <w:spacing w:before="0" w:after="0" w:line="360" w:lineRule="auto"/>
        <w:jc w:val="center"/>
        <w:rPr>
          <w:rFonts w:hint="eastAsia" w:ascii="宋体" w:hAnsi="宋体" w:eastAsia="宋体" w:cs="宋体"/>
          <w:sz w:val="28"/>
          <w:highlight w:val="none"/>
        </w:rPr>
      </w:pPr>
      <w:bookmarkStart w:id="273" w:name="_Toc11243"/>
      <w:bookmarkStart w:id="274" w:name="_Toc29559"/>
      <w:bookmarkStart w:id="275" w:name="_Toc28818"/>
      <w:r>
        <w:rPr>
          <w:rFonts w:hint="eastAsia" w:ascii="宋体" w:hAnsi="宋体" w:eastAsia="宋体" w:cs="宋体"/>
          <w:sz w:val="28"/>
          <w:highlight w:val="none"/>
        </w:rPr>
        <w:t>报价人须知前附表规定的材料</w:t>
      </w:r>
      <w:bookmarkEnd w:id="271"/>
      <w:bookmarkEnd w:id="272"/>
      <w:bookmarkEnd w:id="273"/>
      <w:bookmarkEnd w:id="274"/>
      <w:bookmarkEnd w:id="275"/>
    </w:p>
    <w:p>
      <w:pPr>
        <w:spacing w:line="360" w:lineRule="auto"/>
        <w:jc w:val="center"/>
        <w:outlineLvl w:val="1"/>
        <w:rPr>
          <w:rFonts w:ascii="宋体" w:hAnsi="宋体" w:cs="宋体"/>
          <w:b/>
          <w:bCs/>
          <w:color w:val="000000" w:themeColor="text1"/>
          <w:sz w:val="24"/>
          <w:szCs w:val="28"/>
          <w:highlight w:val="none"/>
          <w14:textFill>
            <w14:solidFill>
              <w14:schemeClr w14:val="tx1"/>
            </w14:solidFill>
          </w14:textFill>
        </w:rPr>
      </w:pPr>
      <w:bookmarkStart w:id="276" w:name="_Toc8299"/>
      <w:bookmarkStart w:id="277" w:name="_Toc15805"/>
      <w:bookmarkStart w:id="278" w:name="bookmark81"/>
      <w:bookmarkStart w:id="279" w:name="_Toc513633974"/>
      <w:bookmarkStart w:id="280" w:name="_Toc503951058"/>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一</w:t>
      </w:r>
      <w:r>
        <w:rPr>
          <w:rFonts w:hint="eastAsia" w:ascii="宋体" w:hAnsi="宋体" w:cs="宋体"/>
          <w:b/>
          <w:bCs/>
          <w:kern w:val="0"/>
          <w:sz w:val="28"/>
          <w:szCs w:val="32"/>
          <w:highlight w:val="none"/>
        </w:rPr>
        <w:t>）商务评分资料</w:t>
      </w:r>
      <w:bookmarkEnd w:id="276"/>
      <w:bookmarkEnd w:id="277"/>
    </w:p>
    <w:p>
      <w:pPr>
        <w:pStyle w:val="172"/>
        <w:ind w:firstLine="480"/>
        <w:jc w:val="center"/>
        <w:rPr>
          <w:rFonts w:hint="eastAsia" w:ascii="宋体" w:hAnsi="宋体" w:eastAsia="宋体" w:cs="Times New Roman"/>
          <w:kern w:val="2"/>
          <w:sz w:val="21"/>
          <w:szCs w:val="24"/>
          <w:highlight w:val="none"/>
          <w:lang w:val="en-US" w:eastAsia="zh-CN" w:bidi="ar-SA"/>
        </w:rPr>
      </w:pPr>
      <w:bookmarkStart w:id="281" w:name="OLE_LINK34"/>
      <w:r>
        <w:rPr>
          <w:rFonts w:hint="eastAsia" w:ascii="宋体" w:hAnsi="宋体" w:eastAsia="宋体" w:cs="Times New Roman"/>
          <w:kern w:val="2"/>
          <w:sz w:val="21"/>
          <w:szCs w:val="24"/>
          <w:highlight w:val="none"/>
          <w:lang w:val="en-US" w:eastAsia="zh-CN" w:bidi="ar-SA"/>
        </w:rPr>
        <w:t>商务及技术部分</w:t>
      </w:r>
      <w:bookmarkEnd w:id="281"/>
      <w:r>
        <w:rPr>
          <w:rFonts w:hint="eastAsia" w:ascii="宋体" w:hAnsi="宋体" w:eastAsia="宋体" w:cs="Times New Roman"/>
          <w:kern w:val="2"/>
          <w:sz w:val="21"/>
          <w:szCs w:val="24"/>
          <w:highlight w:val="none"/>
          <w:lang w:val="en-US" w:eastAsia="zh-CN" w:bidi="ar-SA"/>
        </w:rPr>
        <w:t>资料目录</w:t>
      </w:r>
    </w:p>
    <w:tbl>
      <w:tblPr>
        <w:tblStyle w:val="4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029"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249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1736"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39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应加分数</w:t>
            </w:r>
          </w:p>
        </w:tc>
        <w:tc>
          <w:tcPr>
            <w:tcW w:w="105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rPr>
              <w:t>证明材料对应编号</w:t>
            </w:r>
          </w:p>
        </w:tc>
        <w:tc>
          <w:tcPr>
            <w:tcW w:w="998" w:type="dxa"/>
            <w:vAlign w:val="center"/>
          </w:tcPr>
          <w:p>
            <w:pPr>
              <w:pStyle w:val="17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例</w:t>
            </w:r>
          </w:p>
        </w:tc>
        <w:tc>
          <w:tcPr>
            <w:tcW w:w="102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7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39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05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9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sz w:val="18"/>
                <w:szCs w:val="18"/>
                <w:highlight w:val="none"/>
                <w:lang w:val="en-US" w:eastAsia="zh-CN"/>
              </w:rPr>
              <w:t>业绩材料</w:t>
            </w: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满足资格要求基础业绩条件得4分。</w:t>
            </w: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XX业绩复印件</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证明材料1</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2492" w:type="dxa"/>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bl>
    <w:p>
      <w:pPr>
        <w:pStyle w:val="42"/>
        <w:numPr>
          <w:ilvl w:val="0"/>
          <w:numId w:val="0"/>
        </w:numPr>
        <w:rPr>
          <w:rFonts w:hint="default"/>
          <w:highlight w:val="none"/>
          <w:lang w:val="en-US" w:eastAsia="zh-CN"/>
        </w:rPr>
      </w:pPr>
      <w:bookmarkStart w:id="282" w:name="_Toc30564"/>
      <w:bookmarkStart w:id="283" w:name="_Toc30447"/>
    </w:p>
    <w:p>
      <w:pPr>
        <w:spacing w:line="360" w:lineRule="auto"/>
        <w:jc w:val="center"/>
        <w:outlineLvl w:val="1"/>
        <w:rPr>
          <w:rFonts w:hint="eastAsia" w:ascii="宋体" w:hAnsi="宋体" w:cs="宋体"/>
          <w:b/>
          <w:bCs/>
          <w:kern w:val="0"/>
          <w:sz w:val="28"/>
          <w:szCs w:val="32"/>
          <w:highlight w:val="none"/>
        </w:rPr>
      </w:pPr>
    </w:p>
    <w:p>
      <w:pPr>
        <w:spacing w:line="360" w:lineRule="auto"/>
        <w:jc w:val="center"/>
        <w:outlineLvl w:val="1"/>
        <w:rPr>
          <w:rFonts w:ascii="宋体" w:hAnsi="宋体" w:cs="宋体"/>
          <w:b/>
          <w:bCs/>
          <w:kern w:val="0"/>
          <w:sz w:val="28"/>
          <w:szCs w:val="32"/>
          <w:highlight w:val="none"/>
        </w:rPr>
      </w:pPr>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二</w:t>
      </w:r>
      <w:r>
        <w:rPr>
          <w:rFonts w:hint="eastAsia" w:ascii="宋体" w:hAnsi="宋体" w:cs="宋体"/>
          <w:b/>
          <w:bCs/>
          <w:kern w:val="0"/>
          <w:sz w:val="28"/>
          <w:szCs w:val="32"/>
          <w:highlight w:val="none"/>
        </w:rPr>
        <w:t>）技术方案</w:t>
      </w:r>
      <w:bookmarkEnd w:id="282"/>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报价人</w:t>
      </w:r>
      <w:r>
        <w:rPr>
          <w:rFonts w:hint="eastAsia" w:cs="Times New Roman"/>
          <w:kern w:val="2"/>
          <w:sz w:val="21"/>
          <w:szCs w:val="24"/>
          <w:highlight w:val="none"/>
          <w:lang w:val="en-US" w:eastAsia="zh-CN" w:bidi="ar-SA"/>
        </w:rPr>
        <w:t>对</w:t>
      </w:r>
      <w:r>
        <w:rPr>
          <w:rFonts w:hint="eastAsia" w:ascii="宋体" w:hAnsi="宋体" w:eastAsia="宋体" w:cs="Times New Roman"/>
          <w:kern w:val="2"/>
          <w:sz w:val="21"/>
          <w:szCs w:val="24"/>
          <w:highlight w:val="none"/>
          <w:lang w:val="en-US" w:eastAsia="zh-CN" w:bidi="ar-SA"/>
        </w:rPr>
        <w:t>本项目理解清晰，各项功能描述全面，业务流程明确、可操作性强。建设目标的计划目标、实施路径和措施保障工作的理解程度</w:t>
      </w:r>
      <w:r>
        <w:rPr>
          <w:rFonts w:hint="eastAsia" w:cs="Times New Roman"/>
          <w:kern w:val="2"/>
          <w:sz w:val="21"/>
          <w:szCs w:val="24"/>
          <w:highlight w:val="none"/>
          <w:lang w:val="en-US" w:eastAsia="zh-CN" w:bidi="ar-SA"/>
        </w:rPr>
        <w:t>进行阐述</w:t>
      </w:r>
      <w:r>
        <w:rPr>
          <w:rFonts w:hint="eastAsia" w:ascii="宋体" w:hAnsi="宋体" w:eastAsia="宋体" w:cs="Times New Roman"/>
          <w:kern w:val="2"/>
          <w:sz w:val="21"/>
          <w:szCs w:val="24"/>
          <w:highlight w:val="none"/>
          <w:lang w:val="en-US" w:eastAsia="zh-CN" w:bidi="ar-SA"/>
        </w:rPr>
        <w:t>：</w:t>
      </w:r>
      <w:bookmarkEnd w:id="283"/>
    </w:p>
    <w:p>
      <w:pPr>
        <w:pStyle w:val="37"/>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施工组织设计方案（</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5"/>
        <w:jc w:val="center"/>
        <w:rPr>
          <w:rFonts w:ascii="宋体" w:hAnsi="宋体" w:cs="宋体"/>
          <w:sz w:val="28"/>
          <w:highlight w:val="none"/>
        </w:rPr>
      </w:pPr>
      <w:r>
        <w:rPr>
          <w:rFonts w:hint="eastAsia" w:ascii="宋体" w:hAnsi="宋体" w:cs="宋体"/>
          <w:sz w:val="28"/>
          <w:highlight w:val="none"/>
        </w:rPr>
        <w:t>（</w:t>
      </w:r>
      <w:r>
        <w:rPr>
          <w:rFonts w:hint="eastAsia" w:ascii="宋体" w:hAnsi="宋体" w:cs="宋体"/>
          <w:sz w:val="28"/>
          <w:highlight w:val="none"/>
          <w:lang w:val="en-US" w:eastAsia="zh-CN"/>
        </w:rPr>
        <w:t>三</w:t>
      </w:r>
      <w:r>
        <w:rPr>
          <w:rFonts w:hint="eastAsia" w:ascii="宋体" w:hAnsi="宋体" w:cs="宋体"/>
          <w:sz w:val="28"/>
          <w:highlight w:val="none"/>
        </w:rPr>
        <w:t>）</w:t>
      </w:r>
      <w:bookmarkEnd w:id="278"/>
      <w:bookmarkStart w:id="284" w:name="_Toc504639215"/>
      <w:bookmarkStart w:id="285" w:name="_Toc507681488"/>
      <w:bookmarkStart w:id="286" w:name="_Toc507681700"/>
      <w:r>
        <w:rPr>
          <w:rFonts w:hint="eastAsia" w:ascii="宋体" w:hAnsi="宋体" w:cs="宋体"/>
          <w:sz w:val="28"/>
          <w:highlight w:val="none"/>
        </w:rPr>
        <w:t>报价人自行承诺部分</w:t>
      </w:r>
      <w:bookmarkEnd w:id="284"/>
      <w:bookmarkEnd w:id="285"/>
      <w:bookmarkEnd w:id="286"/>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致：重庆首讯科技股份有限公司</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我公司对</w:t>
      </w:r>
      <w:r>
        <w:rPr>
          <w:rFonts w:hint="eastAsia" w:ascii="宋体" w:hAnsi="宋体" w:eastAsia="宋体" w:cs="宋体"/>
          <w:sz w:val="21"/>
          <w:szCs w:val="21"/>
          <w:highlight w:val="none"/>
          <w:u w:val="single"/>
        </w:rPr>
        <w:t xml:space="preserve">                                 （项目名称）</w:t>
      </w:r>
      <w:r>
        <w:rPr>
          <w:rFonts w:hint="eastAsia" w:ascii="宋体" w:hAnsi="宋体" w:eastAsia="宋体" w:cs="宋体"/>
          <w:sz w:val="21"/>
          <w:szCs w:val="21"/>
          <w:highlight w:val="none"/>
        </w:rPr>
        <w:t>竞争性比选文件中要求内容完全响应做出以下承诺：</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1、我方比选响应文件中所有资料都是真实、准确、完整的；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2、我方不存在资质挂靠或参与串标、围标情形。所报项目相关人员未在其他项目任职。</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3、完全响应竞争性比选文件中的人员要求、</w:t>
      </w:r>
      <w:r>
        <w:rPr>
          <w:rFonts w:hint="eastAsia" w:ascii="宋体" w:hAnsi="宋体" w:cs="宋体"/>
          <w:sz w:val="21"/>
          <w:szCs w:val="21"/>
          <w:highlight w:val="none"/>
          <w:lang w:val="en-US" w:eastAsia="zh-CN"/>
        </w:rPr>
        <w:t>机械要求、</w:t>
      </w:r>
      <w:r>
        <w:rPr>
          <w:rFonts w:hint="eastAsia" w:ascii="宋体" w:hAnsi="宋体" w:eastAsia="宋体" w:cs="宋体"/>
          <w:sz w:val="21"/>
          <w:szCs w:val="21"/>
          <w:highlight w:val="none"/>
        </w:rPr>
        <w:t>投标内容要求、报价要求、工期要求、质量标准等要求；</w:t>
      </w:r>
    </w:p>
    <w:p>
      <w:pPr>
        <w:spacing w:line="360" w:lineRule="auto"/>
        <w:ind w:firstLine="420" w:firstLineChars="200"/>
        <w:rPr>
          <w:rFonts w:hint="eastAsia" w:ascii="宋体" w:hAnsi="宋体" w:eastAsia="宋体" w:cs="宋体"/>
          <w:sz w:val="21"/>
          <w:szCs w:val="21"/>
          <w:highlight w:val="none"/>
        </w:rPr>
      </w:pPr>
      <w:bookmarkStart w:id="291" w:name="_GoBack"/>
      <w:bookmarkEnd w:id="291"/>
      <w:r>
        <w:rPr>
          <w:rFonts w:hint="eastAsia" w:ascii="宋体" w:hAnsi="宋体" w:eastAsia="宋体" w:cs="宋体"/>
          <w:sz w:val="21"/>
          <w:szCs w:val="21"/>
          <w:highlight w:val="none"/>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报价人（单位名称）：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法定代表人（或委托代理人）签字：</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     日期：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4"/>
        <w:spacing w:before="0" w:after="0" w:line="360" w:lineRule="auto"/>
        <w:jc w:val="center"/>
        <w:rPr>
          <w:rFonts w:ascii="宋体" w:hAnsi="宋体" w:eastAsia="宋体" w:cs="宋体"/>
          <w:sz w:val="28"/>
          <w:highlight w:val="none"/>
        </w:rPr>
      </w:pPr>
      <w:r>
        <w:rPr>
          <w:rFonts w:hint="eastAsia" w:ascii="宋体" w:hAnsi="宋体" w:cs="宋体"/>
          <w:sz w:val="28"/>
          <w:highlight w:val="none"/>
        </w:rPr>
        <w:br w:type="page"/>
      </w:r>
      <w:bookmarkStart w:id="287" w:name="_Toc4456"/>
      <w:r>
        <w:rPr>
          <w:rFonts w:hint="eastAsia" w:ascii="宋体" w:hAnsi="宋体" w:eastAsia="宋体" w:cs="宋体"/>
          <w:sz w:val="28"/>
          <w:highlight w:val="none"/>
        </w:rPr>
        <w:t>六、报价人基本信息及其他材料</w:t>
      </w:r>
      <w:bookmarkEnd w:id="287"/>
    </w:p>
    <w:p>
      <w:pPr>
        <w:pStyle w:val="5"/>
        <w:spacing w:before="0" w:after="0" w:line="360" w:lineRule="auto"/>
        <w:jc w:val="center"/>
        <w:rPr>
          <w:sz w:val="28"/>
          <w:szCs w:val="28"/>
          <w:highlight w:val="none"/>
        </w:rPr>
      </w:pPr>
      <w:bookmarkStart w:id="288" w:name="_Toc4375"/>
      <w:bookmarkStart w:id="289" w:name="_Toc508110857"/>
      <w:bookmarkStart w:id="290" w:name="_Toc452107137"/>
      <w:r>
        <w:rPr>
          <w:rFonts w:hint="eastAsia"/>
          <w:sz w:val="28"/>
          <w:szCs w:val="28"/>
          <w:highlight w:val="none"/>
        </w:rPr>
        <w:t>（一）报价人基本信息表</w:t>
      </w:r>
      <w:bookmarkEnd w:id="288"/>
      <w:bookmarkEnd w:id="289"/>
      <w:bookmarkEnd w:id="290"/>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pStyle w:val="5"/>
        <w:jc w:val="center"/>
        <w:rPr>
          <w:rFonts w:ascii="宋体" w:hAnsi="宋体" w:cs="宋体"/>
          <w:sz w:val="28"/>
          <w:highlight w:val="none"/>
        </w:rPr>
      </w:pPr>
      <w:r>
        <w:rPr>
          <w:rFonts w:hint="eastAsia" w:ascii="宋体" w:hAnsi="宋体" w:cs="宋体"/>
          <w:sz w:val="28"/>
          <w:highlight w:val="none"/>
        </w:rPr>
        <w:t>（二）其他材料</w:t>
      </w:r>
    </w:p>
    <w:p>
      <w:pPr>
        <w:pStyle w:val="5"/>
        <w:jc w:val="both"/>
        <w:rPr>
          <w:rFonts w:hint="eastAsia"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投标保证金截图等</w:t>
      </w:r>
    </w:p>
    <w:p>
      <w:pP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w:t>
      </w: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4"/>
        <w:spacing w:before="0" w:after="0" w:line="360" w:lineRule="auto"/>
        <w:jc w:val="center"/>
        <w:rPr>
          <w:rFonts w:ascii="宋体" w:hAnsi="宋体" w:eastAsia="宋体" w:cs="宋体"/>
          <w:sz w:val="28"/>
        </w:rPr>
      </w:pPr>
      <w:r>
        <w:rPr>
          <w:rFonts w:hint="eastAsia" w:ascii="宋体" w:hAnsi="宋体" w:eastAsia="宋体" w:cs="宋体"/>
          <w:sz w:val="28"/>
        </w:rPr>
        <w:t>七、现场安全负责人承诺书</w:t>
      </w:r>
    </w:p>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致：</w:t>
      </w:r>
      <w:r>
        <w:rPr>
          <w:rFonts w:hint="eastAsia" w:ascii="宋体" w:hAnsi="宋体" w:eastAsia="宋体" w:cs="宋体"/>
          <w:b/>
          <w:bCs/>
          <w:sz w:val="21"/>
          <w:szCs w:val="21"/>
          <w:highlight w:val="none"/>
          <w:lang w:val="en-US" w:eastAsia="zh-CN"/>
        </w:rPr>
        <w:t>重庆首讯科技股份有限公司</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根据贵方为</w:t>
      </w:r>
      <w:r>
        <w:rPr>
          <w:rFonts w:hint="eastAsia" w:ascii="宋体" w:hAnsi="宋体" w:cs="Times New Roman"/>
          <w:highlight w:val="none"/>
          <w:u w:val="single"/>
          <w:lang w:val="en-US" w:eastAsia="zh-CN"/>
        </w:rPr>
        <w:t>四公里办公大楼文化打造装饰装修项目</w:t>
      </w:r>
      <w:r>
        <w:rPr>
          <w:rFonts w:hint="eastAsia" w:ascii="宋体" w:hAnsi="宋体" w:eastAsia="宋体" w:cs="宋体"/>
          <w:sz w:val="21"/>
          <w:szCs w:val="21"/>
          <w:highlight w:val="none"/>
          <w:lang w:val="en-US" w:eastAsia="zh-CN"/>
        </w:rPr>
        <w:t>竞争比选项目及服务的竞争比选邀请，</w:t>
      </w:r>
      <w:r>
        <w:rPr>
          <w:rFonts w:hint="eastAsia" w:ascii="宋体" w:hAnsi="宋体" w:eastAsia="宋体" w:cs="宋体"/>
          <w:sz w:val="21"/>
          <w:szCs w:val="21"/>
          <w:highlight w:val="none"/>
          <w:u w:val="single"/>
          <w:lang w:val="en-US" w:eastAsia="zh-CN"/>
        </w:rPr>
        <w:t xml:space="preserve"> （姓名）</w:t>
      </w:r>
      <w:r>
        <w:rPr>
          <w:rFonts w:hint="eastAsia" w:ascii="宋体" w:hAnsi="宋体" w:eastAsia="宋体" w:cs="宋体"/>
          <w:sz w:val="21"/>
          <w:szCs w:val="21"/>
          <w:highlight w:val="none"/>
          <w:lang w:val="en-US" w:eastAsia="zh-CN"/>
        </w:rPr>
        <w:t>经正式任命为</w:t>
      </w:r>
      <w:r>
        <w:rPr>
          <w:rFonts w:hint="eastAsia" w:ascii="宋体" w:hAnsi="宋体" w:cs="Times New Roman"/>
          <w:highlight w:val="none"/>
          <w:u w:val="single"/>
          <w:lang w:val="en-US" w:eastAsia="zh-CN"/>
        </w:rPr>
        <w:t>四公里办公大楼文化打造装饰装修项目</w:t>
      </w:r>
      <w:r>
        <w:rPr>
          <w:rFonts w:hint="eastAsia" w:ascii="宋体" w:hAnsi="宋体" w:eastAsia="宋体" w:cs="宋体"/>
          <w:sz w:val="21"/>
          <w:szCs w:val="21"/>
          <w:highlight w:val="none"/>
          <w:lang w:val="en-US" w:eastAsia="zh-CN"/>
        </w:rPr>
        <w:t>现场安全负责人，严格遵守国家有关安全生产的法律法规及《首讯公司工程安全生产的违约处理细则》渝高速首讯文〔2019〕40 号等有关安全生产的规定，承诺施工期间在现场开展安全管理工作。</w:t>
      </w:r>
    </w:p>
    <w:p>
      <w:pPr>
        <w:pStyle w:val="2"/>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279"/>
    <w:bookmarkEnd w:id="280"/>
    <w:p>
      <w:pPr>
        <w:pStyle w:val="28"/>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837A9A-E16F-46CD-B7FC-AC7FD7D2016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B464E55C"/>
    <w:multiLevelType w:val="singleLevel"/>
    <w:tmpl w:val="B464E55C"/>
    <w:lvl w:ilvl="0" w:tentative="0">
      <w:start w:val="1"/>
      <w:numFmt w:val="decimal"/>
      <w:suff w:val="nothing"/>
      <w:lvlText w:val="（%1）"/>
      <w:lvlJc w:val="left"/>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FF842B9"/>
    <w:multiLevelType w:val="singleLevel"/>
    <w:tmpl w:val="0FF842B9"/>
    <w:lvl w:ilvl="0" w:tentative="0">
      <w:start w:val="1"/>
      <w:numFmt w:val="decimal"/>
      <w:suff w:val="nothing"/>
      <w:lvlText w:val="%1、"/>
      <w:lvlJc w:val="left"/>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E7CE8BC"/>
    <w:multiLevelType w:val="singleLevel"/>
    <w:tmpl w:val="3E7CE8BC"/>
    <w:lvl w:ilvl="0" w:tentative="0">
      <w:start w:val="5"/>
      <w:numFmt w:val="chineseCounting"/>
      <w:suff w:val="nothing"/>
      <w:lvlText w:val="%1、"/>
      <w:lvlJc w:val="left"/>
      <w:rPr>
        <w:rFonts w:hint="eastAsia"/>
      </w:rPr>
    </w:lvl>
  </w:abstractNum>
  <w:abstractNum w:abstractNumId="6">
    <w:nsid w:val="55E7E3B4"/>
    <w:multiLevelType w:val="singleLevel"/>
    <w:tmpl w:val="55E7E3B4"/>
    <w:lvl w:ilvl="0" w:tentative="0">
      <w:start w:val="3"/>
      <w:numFmt w:val="chineseCounting"/>
      <w:suff w:val="space"/>
      <w:lvlText w:val="第%1章"/>
      <w:lvlJc w:val="left"/>
      <w:rPr>
        <w:rFonts w:hint="eastAsia"/>
      </w:rPr>
    </w:lvl>
  </w:abstractNum>
  <w:abstractNum w:abstractNumId="7">
    <w:nsid w:val="6F6BD9B8"/>
    <w:multiLevelType w:val="singleLevel"/>
    <w:tmpl w:val="6F6BD9B8"/>
    <w:lvl w:ilvl="0" w:tentative="0">
      <w:start w:val="1"/>
      <w:numFmt w:val="decimal"/>
      <w:suff w:val="nothing"/>
      <w:lvlText w:val="（%1）"/>
      <w:lvlJc w:val="left"/>
    </w:lvl>
  </w:abstractNum>
  <w:abstractNum w:abstractNumId="8">
    <w:nsid w:val="78BA0F68"/>
    <w:multiLevelType w:val="singleLevel"/>
    <w:tmpl w:val="78BA0F68"/>
    <w:lvl w:ilvl="0" w:tentative="0">
      <w:start w:val="1"/>
      <w:numFmt w:val="decimal"/>
      <w:lvlText w:val="%1."/>
      <w:lvlJc w:val="left"/>
      <w:pPr>
        <w:tabs>
          <w:tab w:val="left" w:pos="312"/>
        </w:tabs>
      </w:pPr>
    </w:lvl>
  </w:abstractNum>
  <w:num w:numId="1">
    <w:abstractNumId w:val="2"/>
  </w:num>
  <w:num w:numId="2">
    <w:abstractNumId w:val="0"/>
  </w:num>
  <w:num w:numId="3">
    <w:abstractNumId w:val="8"/>
  </w:num>
  <w:num w:numId="4">
    <w:abstractNumId w:val="3"/>
  </w:num>
  <w:num w:numId="5">
    <w:abstractNumId w:val="7"/>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1746"/>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1523"/>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6337"/>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3553"/>
    <w:rsid w:val="002E695F"/>
    <w:rsid w:val="002F308B"/>
    <w:rsid w:val="002F59DF"/>
    <w:rsid w:val="002F6545"/>
    <w:rsid w:val="002F68D9"/>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3CA8"/>
    <w:rsid w:val="00397134"/>
    <w:rsid w:val="003A063A"/>
    <w:rsid w:val="003A67CF"/>
    <w:rsid w:val="003B4B4D"/>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0A3"/>
    <w:rsid w:val="00426621"/>
    <w:rsid w:val="0043226B"/>
    <w:rsid w:val="0043326B"/>
    <w:rsid w:val="00434144"/>
    <w:rsid w:val="00435BC6"/>
    <w:rsid w:val="004409EE"/>
    <w:rsid w:val="00441624"/>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D7EC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2F99"/>
    <w:rsid w:val="005E3EBE"/>
    <w:rsid w:val="005E3F38"/>
    <w:rsid w:val="005E782A"/>
    <w:rsid w:val="005F18AC"/>
    <w:rsid w:val="005F2C77"/>
    <w:rsid w:val="00605878"/>
    <w:rsid w:val="0060679A"/>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B6793"/>
    <w:rsid w:val="006C41F0"/>
    <w:rsid w:val="006C497C"/>
    <w:rsid w:val="006C75C9"/>
    <w:rsid w:val="006C7F0A"/>
    <w:rsid w:val="006D1032"/>
    <w:rsid w:val="006D48FF"/>
    <w:rsid w:val="006D4950"/>
    <w:rsid w:val="006E2BEB"/>
    <w:rsid w:val="006E2F3D"/>
    <w:rsid w:val="006E3F3F"/>
    <w:rsid w:val="006E44D5"/>
    <w:rsid w:val="006E4EA8"/>
    <w:rsid w:val="006F08B7"/>
    <w:rsid w:val="00702554"/>
    <w:rsid w:val="0070267A"/>
    <w:rsid w:val="00704E87"/>
    <w:rsid w:val="0070542B"/>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4196"/>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D13"/>
    <w:rsid w:val="00B41020"/>
    <w:rsid w:val="00B42F9A"/>
    <w:rsid w:val="00B43741"/>
    <w:rsid w:val="00B459DA"/>
    <w:rsid w:val="00B4647E"/>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890"/>
    <w:rsid w:val="00C078A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12D"/>
    <w:rsid w:val="00C66A53"/>
    <w:rsid w:val="00C66FB7"/>
    <w:rsid w:val="00C76490"/>
    <w:rsid w:val="00C8220D"/>
    <w:rsid w:val="00C848C9"/>
    <w:rsid w:val="00C8655B"/>
    <w:rsid w:val="00C91CDE"/>
    <w:rsid w:val="00C91F22"/>
    <w:rsid w:val="00C92C81"/>
    <w:rsid w:val="00C943E9"/>
    <w:rsid w:val="00CA01B6"/>
    <w:rsid w:val="00CA2781"/>
    <w:rsid w:val="00CA398D"/>
    <w:rsid w:val="00CA45CB"/>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988"/>
    <w:rsid w:val="00DD4A11"/>
    <w:rsid w:val="00DD4FB9"/>
    <w:rsid w:val="00DD737B"/>
    <w:rsid w:val="00DE1033"/>
    <w:rsid w:val="00DE251C"/>
    <w:rsid w:val="00DE288F"/>
    <w:rsid w:val="00DE2BFF"/>
    <w:rsid w:val="00DE3226"/>
    <w:rsid w:val="00DE58F9"/>
    <w:rsid w:val="00DE680C"/>
    <w:rsid w:val="00DE7971"/>
    <w:rsid w:val="00DF1985"/>
    <w:rsid w:val="00DF5B31"/>
    <w:rsid w:val="00E02114"/>
    <w:rsid w:val="00E03783"/>
    <w:rsid w:val="00E03A6B"/>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03AC"/>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CA6EA2"/>
    <w:rsid w:val="01E05E16"/>
    <w:rsid w:val="01E05F01"/>
    <w:rsid w:val="020C0D2B"/>
    <w:rsid w:val="02195A53"/>
    <w:rsid w:val="022831DB"/>
    <w:rsid w:val="02375428"/>
    <w:rsid w:val="02427F54"/>
    <w:rsid w:val="024F494D"/>
    <w:rsid w:val="026D36BB"/>
    <w:rsid w:val="029D41FE"/>
    <w:rsid w:val="02A800C5"/>
    <w:rsid w:val="02B53517"/>
    <w:rsid w:val="02C6499B"/>
    <w:rsid w:val="02C91CAA"/>
    <w:rsid w:val="02D0709E"/>
    <w:rsid w:val="02FA438B"/>
    <w:rsid w:val="037D0CD2"/>
    <w:rsid w:val="038B3366"/>
    <w:rsid w:val="03981B5E"/>
    <w:rsid w:val="03996EAD"/>
    <w:rsid w:val="039F3A25"/>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3282F"/>
    <w:rsid w:val="06F965AD"/>
    <w:rsid w:val="07035F04"/>
    <w:rsid w:val="07050666"/>
    <w:rsid w:val="07166CB2"/>
    <w:rsid w:val="071A6392"/>
    <w:rsid w:val="071C4DB7"/>
    <w:rsid w:val="07362674"/>
    <w:rsid w:val="073B54B2"/>
    <w:rsid w:val="07410810"/>
    <w:rsid w:val="07537EF9"/>
    <w:rsid w:val="0760673E"/>
    <w:rsid w:val="076646E5"/>
    <w:rsid w:val="077E1A2E"/>
    <w:rsid w:val="07815EE7"/>
    <w:rsid w:val="0784155A"/>
    <w:rsid w:val="079A613C"/>
    <w:rsid w:val="07A22AF8"/>
    <w:rsid w:val="07E6454D"/>
    <w:rsid w:val="081748AE"/>
    <w:rsid w:val="08635851"/>
    <w:rsid w:val="08891E69"/>
    <w:rsid w:val="08A30341"/>
    <w:rsid w:val="08AD5E33"/>
    <w:rsid w:val="08B128CB"/>
    <w:rsid w:val="08C2359B"/>
    <w:rsid w:val="08ED052C"/>
    <w:rsid w:val="09041814"/>
    <w:rsid w:val="092D7BDC"/>
    <w:rsid w:val="09332D2B"/>
    <w:rsid w:val="093E2D64"/>
    <w:rsid w:val="09455F12"/>
    <w:rsid w:val="09472203"/>
    <w:rsid w:val="098B1DA7"/>
    <w:rsid w:val="098F7872"/>
    <w:rsid w:val="09907951"/>
    <w:rsid w:val="099F43E4"/>
    <w:rsid w:val="09A31A61"/>
    <w:rsid w:val="09BA7A85"/>
    <w:rsid w:val="09DE1094"/>
    <w:rsid w:val="09E2475B"/>
    <w:rsid w:val="0A183EA3"/>
    <w:rsid w:val="0A207013"/>
    <w:rsid w:val="0A3F34B7"/>
    <w:rsid w:val="0A441A30"/>
    <w:rsid w:val="0A4B11BE"/>
    <w:rsid w:val="0A7B4003"/>
    <w:rsid w:val="0A7D7D7B"/>
    <w:rsid w:val="0A8E5B8D"/>
    <w:rsid w:val="0AA240FA"/>
    <w:rsid w:val="0AA73E0E"/>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B3827"/>
    <w:rsid w:val="0CAD24AF"/>
    <w:rsid w:val="0CB27F34"/>
    <w:rsid w:val="0CE2660D"/>
    <w:rsid w:val="0D0D3F93"/>
    <w:rsid w:val="0D12389F"/>
    <w:rsid w:val="0D2820B7"/>
    <w:rsid w:val="0D2B5BA2"/>
    <w:rsid w:val="0D2F6875"/>
    <w:rsid w:val="0D33523D"/>
    <w:rsid w:val="0D4E3104"/>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4F077B"/>
    <w:rsid w:val="0E551882"/>
    <w:rsid w:val="0E5C239D"/>
    <w:rsid w:val="0E7306EC"/>
    <w:rsid w:val="0E945E50"/>
    <w:rsid w:val="0E963048"/>
    <w:rsid w:val="0EAD7E50"/>
    <w:rsid w:val="0EB254B2"/>
    <w:rsid w:val="0EB567A2"/>
    <w:rsid w:val="0ED91C40"/>
    <w:rsid w:val="0EE44C60"/>
    <w:rsid w:val="0EFB3F5D"/>
    <w:rsid w:val="0F041CC7"/>
    <w:rsid w:val="0F042317"/>
    <w:rsid w:val="0F072534"/>
    <w:rsid w:val="0F1209F8"/>
    <w:rsid w:val="0F4C19DA"/>
    <w:rsid w:val="0F4C7D05"/>
    <w:rsid w:val="0F4F31AF"/>
    <w:rsid w:val="0F5F17BD"/>
    <w:rsid w:val="0F6617B3"/>
    <w:rsid w:val="0F6B0BDE"/>
    <w:rsid w:val="0F7E014D"/>
    <w:rsid w:val="0F891F7D"/>
    <w:rsid w:val="0F904B36"/>
    <w:rsid w:val="0F90531D"/>
    <w:rsid w:val="0FAD64B5"/>
    <w:rsid w:val="0FB21FD4"/>
    <w:rsid w:val="0FB57489"/>
    <w:rsid w:val="0FE57427"/>
    <w:rsid w:val="0FFE176A"/>
    <w:rsid w:val="0FFF5930"/>
    <w:rsid w:val="1018536D"/>
    <w:rsid w:val="101D4748"/>
    <w:rsid w:val="105454A3"/>
    <w:rsid w:val="108E33C3"/>
    <w:rsid w:val="10981F7A"/>
    <w:rsid w:val="10A265EF"/>
    <w:rsid w:val="10DC5B73"/>
    <w:rsid w:val="10E305D2"/>
    <w:rsid w:val="10EC4A0F"/>
    <w:rsid w:val="10FB7C4C"/>
    <w:rsid w:val="11156FC6"/>
    <w:rsid w:val="11485B0D"/>
    <w:rsid w:val="114C7209"/>
    <w:rsid w:val="114D3805"/>
    <w:rsid w:val="1154158B"/>
    <w:rsid w:val="11677BA5"/>
    <w:rsid w:val="117076B2"/>
    <w:rsid w:val="119E6579"/>
    <w:rsid w:val="11D435DD"/>
    <w:rsid w:val="11DA3C43"/>
    <w:rsid w:val="11E15B8A"/>
    <w:rsid w:val="11EC57E6"/>
    <w:rsid w:val="11F35990"/>
    <w:rsid w:val="1220326C"/>
    <w:rsid w:val="122C043B"/>
    <w:rsid w:val="123A67B6"/>
    <w:rsid w:val="125515DD"/>
    <w:rsid w:val="125670E6"/>
    <w:rsid w:val="125E1A9C"/>
    <w:rsid w:val="1276289F"/>
    <w:rsid w:val="1288522D"/>
    <w:rsid w:val="128F714D"/>
    <w:rsid w:val="129D6A95"/>
    <w:rsid w:val="12AF4046"/>
    <w:rsid w:val="12B74046"/>
    <w:rsid w:val="12CE506D"/>
    <w:rsid w:val="12D036D1"/>
    <w:rsid w:val="12EC4D41"/>
    <w:rsid w:val="12F65490"/>
    <w:rsid w:val="12F73D2A"/>
    <w:rsid w:val="12F9698E"/>
    <w:rsid w:val="13112273"/>
    <w:rsid w:val="131C7C5D"/>
    <w:rsid w:val="134E5054"/>
    <w:rsid w:val="13511DF6"/>
    <w:rsid w:val="1359610F"/>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36127"/>
    <w:rsid w:val="1556607F"/>
    <w:rsid w:val="1557566D"/>
    <w:rsid w:val="15664AEF"/>
    <w:rsid w:val="158E23E1"/>
    <w:rsid w:val="159D7EA6"/>
    <w:rsid w:val="159F1BF9"/>
    <w:rsid w:val="15A00DC2"/>
    <w:rsid w:val="15B71B1D"/>
    <w:rsid w:val="15E63361"/>
    <w:rsid w:val="160B0227"/>
    <w:rsid w:val="16864176"/>
    <w:rsid w:val="16B34B25"/>
    <w:rsid w:val="16E04880"/>
    <w:rsid w:val="16F86032"/>
    <w:rsid w:val="16FE2244"/>
    <w:rsid w:val="17081A7A"/>
    <w:rsid w:val="17092996"/>
    <w:rsid w:val="17292C0C"/>
    <w:rsid w:val="1751439F"/>
    <w:rsid w:val="176F50FE"/>
    <w:rsid w:val="17AD5A18"/>
    <w:rsid w:val="17D10049"/>
    <w:rsid w:val="17D75109"/>
    <w:rsid w:val="17DD0B49"/>
    <w:rsid w:val="17EA6CFE"/>
    <w:rsid w:val="17EE4479"/>
    <w:rsid w:val="17F1563C"/>
    <w:rsid w:val="17F23C73"/>
    <w:rsid w:val="180F3B80"/>
    <w:rsid w:val="181B1411"/>
    <w:rsid w:val="181C1400"/>
    <w:rsid w:val="18223BBF"/>
    <w:rsid w:val="18406E44"/>
    <w:rsid w:val="185C1918"/>
    <w:rsid w:val="1880349D"/>
    <w:rsid w:val="18A24E51"/>
    <w:rsid w:val="18BD142C"/>
    <w:rsid w:val="18BD60C6"/>
    <w:rsid w:val="18D435BC"/>
    <w:rsid w:val="18DC65B5"/>
    <w:rsid w:val="18E261BC"/>
    <w:rsid w:val="18E6320F"/>
    <w:rsid w:val="190050D9"/>
    <w:rsid w:val="19193365"/>
    <w:rsid w:val="19261639"/>
    <w:rsid w:val="195D5C0E"/>
    <w:rsid w:val="19795DC5"/>
    <w:rsid w:val="19B116AD"/>
    <w:rsid w:val="19B17485"/>
    <w:rsid w:val="19B64CC2"/>
    <w:rsid w:val="19BA69A5"/>
    <w:rsid w:val="19CC487B"/>
    <w:rsid w:val="19DF6D3F"/>
    <w:rsid w:val="19E24459"/>
    <w:rsid w:val="19E75211"/>
    <w:rsid w:val="19EF2451"/>
    <w:rsid w:val="1A176F08"/>
    <w:rsid w:val="1A194A1B"/>
    <w:rsid w:val="1A305FF4"/>
    <w:rsid w:val="1A3D7EBE"/>
    <w:rsid w:val="1A4353A0"/>
    <w:rsid w:val="1A557489"/>
    <w:rsid w:val="1A89451A"/>
    <w:rsid w:val="1AD511ED"/>
    <w:rsid w:val="1AE61F72"/>
    <w:rsid w:val="1AF45443"/>
    <w:rsid w:val="1B075A0C"/>
    <w:rsid w:val="1B1A7868"/>
    <w:rsid w:val="1B1C7DC9"/>
    <w:rsid w:val="1B67066F"/>
    <w:rsid w:val="1B7229E4"/>
    <w:rsid w:val="1B7A5EC7"/>
    <w:rsid w:val="1B8D5F8D"/>
    <w:rsid w:val="1B8E5EC0"/>
    <w:rsid w:val="1BBE47DE"/>
    <w:rsid w:val="1BC10D01"/>
    <w:rsid w:val="1C2613A8"/>
    <w:rsid w:val="1C477E44"/>
    <w:rsid w:val="1C8461DD"/>
    <w:rsid w:val="1C9B22E2"/>
    <w:rsid w:val="1CA53B30"/>
    <w:rsid w:val="1CB33990"/>
    <w:rsid w:val="1CBE72D2"/>
    <w:rsid w:val="1CF6260F"/>
    <w:rsid w:val="1CF83AEA"/>
    <w:rsid w:val="1CF911FC"/>
    <w:rsid w:val="1CFC0FD3"/>
    <w:rsid w:val="1CFF7A9C"/>
    <w:rsid w:val="1D34223E"/>
    <w:rsid w:val="1D681B82"/>
    <w:rsid w:val="1D6914D5"/>
    <w:rsid w:val="1D7C7A22"/>
    <w:rsid w:val="1D7E09CF"/>
    <w:rsid w:val="1D9F1A69"/>
    <w:rsid w:val="1DB50BD0"/>
    <w:rsid w:val="1DD7388B"/>
    <w:rsid w:val="1DE41480"/>
    <w:rsid w:val="1DEB1932"/>
    <w:rsid w:val="1E2139B7"/>
    <w:rsid w:val="1E7A14A8"/>
    <w:rsid w:val="1E7F32B0"/>
    <w:rsid w:val="1E9C7B40"/>
    <w:rsid w:val="1EA77665"/>
    <w:rsid w:val="1EBA058B"/>
    <w:rsid w:val="1EBB622E"/>
    <w:rsid w:val="1ED17F52"/>
    <w:rsid w:val="1EDD751C"/>
    <w:rsid w:val="1EE170B7"/>
    <w:rsid w:val="1EEA13A6"/>
    <w:rsid w:val="1EEB392A"/>
    <w:rsid w:val="1EFE64E9"/>
    <w:rsid w:val="1F6207D0"/>
    <w:rsid w:val="1F8A7AB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B30D9B"/>
    <w:rsid w:val="21B32189"/>
    <w:rsid w:val="21C2735E"/>
    <w:rsid w:val="21CF480B"/>
    <w:rsid w:val="21E57FA3"/>
    <w:rsid w:val="21FB5A74"/>
    <w:rsid w:val="226650A3"/>
    <w:rsid w:val="22677BAA"/>
    <w:rsid w:val="226827C0"/>
    <w:rsid w:val="227C6EFF"/>
    <w:rsid w:val="22942795"/>
    <w:rsid w:val="22A10D06"/>
    <w:rsid w:val="22B665A5"/>
    <w:rsid w:val="22B66C9F"/>
    <w:rsid w:val="22C925E0"/>
    <w:rsid w:val="22D84291"/>
    <w:rsid w:val="22E46F4A"/>
    <w:rsid w:val="22E82DE7"/>
    <w:rsid w:val="22F20159"/>
    <w:rsid w:val="22FC6B3F"/>
    <w:rsid w:val="23005537"/>
    <w:rsid w:val="231A3C9A"/>
    <w:rsid w:val="231B23CF"/>
    <w:rsid w:val="232C54A8"/>
    <w:rsid w:val="233C2C53"/>
    <w:rsid w:val="23486890"/>
    <w:rsid w:val="236F1F61"/>
    <w:rsid w:val="23AB4CDF"/>
    <w:rsid w:val="23C37A75"/>
    <w:rsid w:val="240404D0"/>
    <w:rsid w:val="240D5DDB"/>
    <w:rsid w:val="241B6DE6"/>
    <w:rsid w:val="24220F3E"/>
    <w:rsid w:val="2423604B"/>
    <w:rsid w:val="243A3F7E"/>
    <w:rsid w:val="24436391"/>
    <w:rsid w:val="2450121E"/>
    <w:rsid w:val="247A4C56"/>
    <w:rsid w:val="2487622C"/>
    <w:rsid w:val="24973094"/>
    <w:rsid w:val="24AD6D9A"/>
    <w:rsid w:val="24E52AD8"/>
    <w:rsid w:val="24E85B0E"/>
    <w:rsid w:val="250A6267"/>
    <w:rsid w:val="251418FC"/>
    <w:rsid w:val="252B19DB"/>
    <w:rsid w:val="254925FD"/>
    <w:rsid w:val="255249D2"/>
    <w:rsid w:val="256C0CC0"/>
    <w:rsid w:val="25712B23"/>
    <w:rsid w:val="25951FC5"/>
    <w:rsid w:val="25A845B3"/>
    <w:rsid w:val="25B34D67"/>
    <w:rsid w:val="25EB71B7"/>
    <w:rsid w:val="26154215"/>
    <w:rsid w:val="261A0BE6"/>
    <w:rsid w:val="26215F4F"/>
    <w:rsid w:val="26385E8A"/>
    <w:rsid w:val="263C7691"/>
    <w:rsid w:val="265E2776"/>
    <w:rsid w:val="26666FDC"/>
    <w:rsid w:val="26706683"/>
    <w:rsid w:val="26963D4E"/>
    <w:rsid w:val="26AB763C"/>
    <w:rsid w:val="26B267E7"/>
    <w:rsid w:val="26D794B7"/>
    <w:rsid w:val="26E02FA9"/>
    <w:rsid w:val="26F131DC"/>
    <w:rsid w:val="26F65310"/>
    <w:rsid w:val="27052D05"/>
    <w:rsid w:val="27082804"/>
    <w:rsid w:val="270832AE"/>
    <w:rsid w:val="27343A60"/>
    <w:rsid w:val="27357F9F"/>
    <w:rsid w:val="275E35BF"/>
    <w:rsid w:val="27A4553F"/>
    <w:rsid w:val="27CA7E10"/>
    <w:rsid w:val="27D35135"/>
    <w:rsid w:val="27DD1D93"/>
    <w:rsid w:val="27EF1935"/>
    <w:rsid w:val="280A1B75"/>
    <w:rsid w:val="28257458"/>
    <w:rsid w:val="283962F8"/>
    <w:rsid w:val="28422AB2"/>
    <w:rsid w:val="284E28FF"/>
    <w:rsid w:val="285D6583"/>
    <w:rsid w:val="287A36F4"/>
    <w:rsid w:val="288458E7"/>
    <w:rsid w:val="28A33A20"/>
    <w:rsid w:val="28A47F17"/>
    <w:rsid w:val="28A95D87"/>
    <w:rsid w:val="28C444F4"/>
    <w:rsid w:val="28FE6071"/>
    <w:rsid w:val="290212C1"/>
    <w:rsid w:val="290D5ED8"/>
    <w:rsid w:val="29656DCE"/>
    <w:rsid w:val="29722140"/>
    <w:rsid w:val="298B4B23"/>
    <w:rsid w:val="29AD63FD"/>
    <w:rsid w:val="29B175E9"/>
    <w:rsid w:val="29B71FDB"/>
    <w:rsid w:val="29CF18DD"/>
    <w:rsid w:val="29D65D23"/>
    <w:rsid w:val="29D875FE"/>
    <w:rsid w:val="29DF010E"/>
    <w:rsid w:val="29FE44DD"/>
    <w:rsid w:val="2A1169E3"/>
    <w:rsid w:val="2A194E5D"/>
    <w:rsid w:val="2A21554B"/>
    <w:rsid w:val="2A2A17CD"/>
    <w:rsid w:val="2A594BC2"/>
    <w:rsid w:val="2A5A558B"/>
    <w:rsid w:val="2A9F7561"/>
    <w:rsid w:val="2AA90FA0"/>
    <w:rsid w:val="2AB103DC"/>
    <w:rsid w:val="2AB31CE2"/>
    <w:rsid w:val="2AB55266"/>
    <w:rsid w:val="2AF000D8"/>
    <w:rsid w:val="2B3C2B7F"/>
    <w:rsid w:val="2B487382"/>
    <w:rsid w:val="2B552F60"/>
    <w:rsid w:val="2B5D3585"/>
    <w:rsid w:val="2B7841A6"/>
    <w:rsid w:val="2BB367B9"/>
    <w:rsid w:val="2BB62D59"/>
    <w:rsid w:val="2BEA293F"/>
    <w:rsid w:val="2BEC2B5B"/>
    <w:rsid w:val="2C13380B"/>
    <w:rsid w:val="2C184D47"/>
    <w:rsid w:val="2C796A89"/>
    <w:rsid w:val="2C7C10B6"/>
    <w:rsid w:val="2CB204A3"/>
    <w:rsid w:val="2CBD3A96"/>
    <w:rsid w:val="2CC74339"/>
    <w:rsid w:val="2CCC23F7"/>
    <w:rsid w:val="2CCE1414"/>
    <w:rsid w:val="2CF93ABF"/>
    <w:rsid w:val="2D1C573E"/>
    <w:rsid w:val="2D1E27A3"/>
    <w:rsid w:val="2D1E560F"/>
    <w:rsid w:val="2D394FF5"/>
    <w:rsid w:val="2D766528"/>
    <w:rsid w:val="2D797435"/>
    <w:rsid w:val="2DF26007"/>
    <w:rsid w:val="2DF50B51"/>
    <w:rsid w:val="2E6111A5"/>
    <w:rsid w:val="2E671D49"/>
    <w:rsid w:val="2E6A704D"/>
    <w:rsid w:val="2E6C0B54"/>
    <w:rsid w:val="2E7A444E"/>
    <w:rsid w:val="2E8A6255"/>
    <w:rsid w:val="2E8B21B7"/>
    <w:rsid w:val="2EA51EA6"/>
    <w:rsid w:val="2EB8596B"/>
    <w:rsid w:val="2EC8145A"/>
    <w:rsid w:val="2F0B1048"/>
    <w:rsid w:val="2F132DA3"/>
    <w:rsid w:val="2F141AAA"/>
    <w:rsid w:val="2F57653D"/>
    <w:rsid w:val="2F5A3045"/>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ED2830"/>
    <w:rsid w:val="310743D8"/>
    <w:rsid w:val="3112096E"/>
    <w:rsid w:val="316B2857"/>
    <w:rsid w:val="31832D29"/>
    <w:rsid w:val="31997196"/>
    <w:rsid w:val="319D5339"/>
    <w:rsid w:val="319F2F47"/>
    <w:rsid w:val="31B2277E"/>
    <w:rsid w:val="31D20CDE"/>
    <w:rsid w:val="31F37E23"/>
    <w:rsid w:val="31FE689A"/>
    <w:rsid w:val="32223DC6"/>
    <w:rsid w:val="325A02A1"/>
    <w:rsid w:val="329032EF"/>
    <w:rsid w:val="329970EF"/>
    <w:rsid w:val="32AE0B6A"/>
    <w:rsid w:val="32B35AAA"/>
    <w:rsid w:val="32F81DE5"/>
    <w:rsid w:val="32FD11AA"/>
    <w:rsid w:val="330F3777"/>
    <w:rsid w:val="33135210"/>
    <w:rsid w:val="3326373F"/>
    <w:rsid w:val="333626EB"/>
    <w:rsid w:val="334459AC"/>
    <w:rsid w:val="33705A64"/>
    <w:rsid w:val="338E32D5"/>
    <w:rsid w:val="33A055AF"/>
    <w:rsid w:val="33A51E80"/>
    <w:rsid w:val="33B04066"/>
    <w:rsid w:val="33E16D1D"/>
    <w:rsid w:val="33EE589E"/>
    <w:rsid w:val="340329A9"/>
    <w:rsid w:val="340D7B12"/>
    <w:rsid w:val="341E2B5D"/>
    <w:rsid w:val="342645AD"/>
    <w:rsid w:val="342B057B"/>
    <w:rsid w:val="34335C8F"/>
    <w:rsid w:val="345968B4"/>
    <w:rsid w:val="34617CD8"/>
    <w:rsid w:val="346317C9"/>
    <w:rsid w:val="346A286F"/>
    <w:rsid w:val="346C1C91"/>
    <w:rsid w:val="34753860"/>
    <w:rsid w:val="348C6C4A"/>
    <w:rsid w:val="34A61339"/>
    <w:rsid w:val="34AF4725"/>
    <w:rsid w:val="34CC3006"/>
    <w:rsid w:val="34F3793E"/>
    <w:rsid w:val="34FA09EA"/>
    <w:rsid w:val="354B5D9D"/>
    <w:rsid w:val="35506C87"/>
    <w:rsid w:val="35574E9C"/>
    <w:rsid w:val="35580207"/>
    <w:rsid w:val="35681367"/>
    <w:rsid w:val="35712E34"/>
    <w:rsid w:val="358054A4"/>
    <w:rsid w:val="35832558"/>
    <w:rsid w:val="359305B1"/>
    <w:rsid w:val="35966E67"/>
    <w:rsid w:val="35A973C7"/>
    <w:rsid w:val="35ED793B"/>
    <w:rsid w:val="35F06F52"/>
    <w:rsid w:val="35F84740"/>
    <w:rsid w:val="36383125"/>
    <w:rsid w:val="365E28A7"/>
    <w:rsid w:val="366C082D"/>
    <w:rsid w:val="368816D2"/>
    <w:rsid w:val="368C388A"/>
    <w:rsid w:val="36C00E6C"/>
    <w:rsid w:val="36C90DD1"/>
    <w:rsid w:val="36EF2646"/>
    <w:rsid w:val="36F275DD"/>
    <w:rsid w:val="36F55D23"/>
    <w:rsid w:val="37031C33"/>
    <w:rsid w:val="37084089"/>
    <w:rsid w:val="372A4537"/>
    <w:rsid w:val="374634AB"/>
    <w:rsid w:val="37543CF6"/>
    <w:rsid w:val="37704489"/>
    <w:rsid w:val="37710026"/>
    <w:rsid w:val="37731B16"/>
    <w:rsid w:val="37925427"/>
    <w:rsid w:val="37A01319"/>
    <w:rsid w:val="37A55DCC"/>
    <w:rsid w:val="37C075FB"/>
    <w:rsid w:val="37CA04FF"/>
    <w:rsid w:val="37D30771"/>
    <w:rsid w:val="37E3512E"/>
    <w:rsid w:val="37EC0BB8"/>
    <w:rsid w:val="382F75E3"/>
    <w:rsid w:val="38371ACC"/>
    <w:rsid w:val="38665479"/>
    <w:rsid w:val="389205E6"/>
    <w:rsid w:val="38A748FD"/>
    <w:rsid w:val="38D53666"/>
    <w:rsid w:val="38E70932"/>
    <w:rsid w:val="38FF39F5"/>
    <w:rsid w:val="394C68A5"/>
    <w:rsid w:val="3952462B"/>
    <w:rsid w:val="395E479A"/>
    <w:rsid w:val="39675804"/>
    <w:rsid w:val="3988749C"/>
    <w:rsid w:val="398A60A0"/>
    <w:rsid w:val="39A36C2D"/>
    <w:rsid w:val="39AA29B9"/>
    <w:rsid w:val="39AE63D1"/>
    <w:rsid w:val="39D7D99B"/>
    <w:rsid w:val="39E71AEC"/>
    <w:rsid w:val="39F60058"/>
    <w:rsid w:val="3A104089"/>
    <w:rsid w:val="3A190FBF"/>
    <w:rsid w:val="3A1A692D"/>
    <w:rsid w:val="3A1E783F"/>
    <w:rsid w:val="3A2B31D2"/>
    <w:rsid w:val="3A8217DE"/>
    <w:rsid w:val="3A822B01"/>
    <w:rsid w:val="3A8D375B"/>
    <w:rsid w:val="3AB8426E"/>
    <w:rsid w:val="3ABD5DEE"/>
    <w:rsid w:val="3ACF765C"/>
    <w:rsid w:val="3AD278CD"/>
    <w:rsid w:val="3AFA4BE5"/>
    <w:rsid w:val="3B046CCA"/>
    <w:rsid w:val="3B196D9D"/>
    <w:rsid w:val="3B2A44B8"/>
    <w:rsid w:val="3B2B6476"/>
    <w:rsid w:val="3BA0301A"/>
    <w:rsid w:val="3BAF3CA2"/>
    <w:rsid w:val="3BBC038E"/>
    <w:rsid w:val="3BD6104E"/>
    <w:rsid w:val="3BF72351"/>
    <w:rsid w:val="3BFE3F02"/>
    <w:rsid w:val="3C2972FD"/>
    <w:rsid w:val="3C3261E8"/>
    <w:rsid w:val="3C524EFE"/>
    <w:rsid w:val="3C53008C"/>
    <w:rsid w:val="3C5B4444"/>
    <w:rsid w:val="3C852047"/>
    <w:rsid w:val="3C896BEF"/>
    <w:rsid w:val="3C97F720"/>
    <w:rsid w:val="3CA13116"/>
    <w:rsid w:val="3CA925AE"/>
    <w:rsid w:val="3CC13485"/>
    <w:rsid w:val="3CCF4FA4"/>
    <w:rsid w:val="3CF877AB"/>
    <w:rsid w:val="3D306CB2"/>
    <w:rsid w:val="3D32729D"/>
    <w:rsid w:val="3D485E54"/>
    <w:rsid w:val="3D62504C"/>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62C89"/>
    <w:rsid w:val="3E9D9EE9"/>
    <w:rsid w:val="3EA27573"/>
    <w:rsid w:val="3EA72ABE"/>
    <w:rsid w:val="3EAD4174"/>
    <w:rsid w:val="3EAD7F9C"/>
    <w:rsid w:val="3EB32892"/>
    <w:rsid w:val="3EBC3336"/>
    <w:rsid w:val="3EDE79C6"/>
    <w:rsid w:val="3EF60080"/>
    <w:rsid w:val="3EF65530"/>
    <w:rsid w:val="3EFEC654"/>
    <w:rsid w:val="3F064AE9"/>
    <w:rsid w:val="3F3B0C43"/>
    <w:rsid w:val="3F4C62B0"/>
    <w:rsid w:val="3F585F31"/>
    <w:rsid w:val="3F6A4BE4"/>
    <w:rsid w:val="3F7279F0"/>
    <w:rsid w:val="3F7C65CA"/>
    <w:rsid w:val="3F7F0FB6"/>
    <w:rsid w:val="3F9717D1"/>
    <w:rsid w:val="3F9B13A5"/>
    <w:rsid w:val="3FB2485B"/>
    <w:rsid w:val="3FBD3AE8"/>
    <w:rsid w:val="3FEE166B"/>
    <w:rsid w:val="3FFEE24B"/>
    <w:rsid w:val="402A34B8"/>
    <w:rsid w:val="402C4889"/>
    <w:rsid w:val="40360CD1"/>
    <w:rsid w:val="40361D66"/>
    <w:rsid w:val="404C1EBB"/>
    <w:rsid w:val="405214DD"/>
    <w:rsid w:val="406060C3"/>
    <w:rsid w:val="40613E30"/>
    <w:rsid w:val="40736573"/>
    <w:rsid w:val="407D7357"/>
    <w:rsid w:val="40860A30"/>
    <w:rsid w:val="408D0A8F"/>
    <w:rsid w:val="409B4A07"/>
    <w:rsid w:val="40BF6E39"/>
    <w:rsid w:val="40C25B7F"/>
    <w:rsid w:val="40C73A02"/>
    <w:rsid w:val="40E02BC9"/>
    <w:rsid w:val="40F66678"/>
    <w:rsid w:val="40FA12EB"/>
    <w:rsid w:val="410A16AB"/>
    <w:rsid w:val="410E1C56"/>
    <w:rsid w:val="4120577A"/>
    <w:rsid w:val="41603084"/>
    <w:rsid w:val="41686388"/>
    <w:rsid w:val="416C142E"/>
    <w:rsid w:val="41886C7C"/>
    <w:rsid w:val="41E677EA"/>
    <w:rsid w:val="41FD121E"/>
    <w:rsid w:val="42117A10"/>
    <w:rsid w:val="421A7627"/>
    <w:rsid w:val="4233112B"/>
    <w:rsid w:val="42401E98"/>
    <w:rsid w:val="42474F8A"/>
    <w:rsid w:val="42872311"/>
    <w:rsid w:val="428B5762"/>
    <w:rsid w:val="429F3B64"/>
    <w:rsid w:val="42B64F1C"/>
    <w:rsid w:val="42C92887"/>
    <w:rsid w:val="42D47C2B"/>
    <w:rsid w:val="42DA32B5"/>
    <w:rsid w:val="42FB45E4"/>
    <w:rsid w:val="4307713D"/>
    <w:rsid w:val="433543AC"/>
    <w:rsid w:val="43420FE8"/>
    <w:rsid w:val="434513F0"/>
    <w:rsid w:val="435475DF"/>
    <w:rsid w:val="43606D1A"/>
    <w:rsid w:val="43702851"/>
    <w:rsid w:val="437269BA"/>
    <w:rsid w:val="437F3C65"/>
    <w:rsid w:val="43B34232"/>
    <w:rsid w:val="43CA4F48"/>
    <w:rsid w:val="43FE78B1"/>
    <w:rsid w:val="440A7CA0"/>
    <w:rsid w:val="440F2351"/>
    <w:rsid w:val="441F3AB4"/>
    <w:rsid w:val="4424604A"/>
    <w:rsid w:val="442967DE"/>
    <w:rsid w:val="445014AB"/>
    <w:rsid w:val="44674A51"/>
    <w:rsid w:val="44CE660D"/>
    <w:rsid w:val="44F103C7"/>
    <w:rsid w:val="452D47A4"/>
    <w:rsid w:val="4545710C"/>
    <w:rsid w:val="454C3E11"/>
    <w:rsid w:val="454F0B76"/>
    <w:rsid w:val="45795008"/>
    <w:rsid w:val="4579514B"/>
    <w:rsid w:val="457E2BBE"/>
    <w:rsid w:val="457F72E8"/>
    <w:rsid w:val="459F05CE"/>
    <w:rsid w:val="45A24B57"/>
    <w:rsid w:val="45D72674"/>
    <w:rsid w:val="45DE083B"/>
    <w:rsid w:val="45E076C0"/>
    <w:rsid w:val="45F36067"/>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75DE7"/>
    <w:rsid w:val="46BE1A6C"/>
    <w:rsid w:val="46BE6647"/>
    <w:rsid w:val="46D0431B"/>
    <w:rsid w:val="46D35FF3"/>
    <w:rsid w:val="46EE3897"/>
    <w:rsid w:val="47140585"/>
    <w:rsid w:val="471B3499"/>
    <w:rsid w:val="4730142A"/>
    <w:rsid w:val="476870E2"/>
    <w:rsid w:val="478A0CA0"/>
    <w:rsid w:val="478E4BD2"/>
    <w:rsid w:val="47C848F5"/>
    <w:rsid w:val="47D84DCE"/>
    <w:rsid w:val="47DD756D"/>
    <w:rsid w:val="48037A8A"/>
    <w:rsid w:val="48057880"/>
    <w:rsid w:val="48150BC3"/>
    <w:rsid w:val="48377D23"/>
    <w:rsid w:val="48587199"/>
    <w:rsid w:val="486634EE"/>
    <w:rsid w:val="48807890"/>
    <w:rsid w:val="48A64B98"/>
    <w:rsid w:val="48A71804"/>
    <w:rsid w:val="48B30830"/>
    <w:rsid w:val="48BC156D"/>
    <w:rsid w:val="48DF62C3"/>
    <w:rsid w:val="48EA3B26"/>
    <w:rsid w:val="48F765BE"/>
    <w:rsid w:val="490445F2"/>
    <w:rsid w:val="49137521"/>
    <w:rsid w:val="49320F23"/>
    <w:rsid w:val="493A087A"/>
    <w:rsid w:val="49831FB1"/>
    <w:rsid w:val="49A10911"/>
    <w:rsid w:val="49CA61CE"/>
    <w:rsid w:val="49DD73AE"/>
    <w:rsid w:val="49F95BD6"/>
    <w:rsid w:val="4A0C7375"/>
    <w:rsid w:val="4A194AA5"/>
    <w:rsid w:val="4A2710F3"/>
    <w:rsid w:val="4A2B3C78"/>
    <w:rsid w:val="4A4915FD"/>
    <w:rsid w:val="4A4934DE"/>
    <w:rsid w:val="4A4D25BF"/>
    <w:rsid w:val="4A5E47CC"/>
    <w:rsid w:val="4A6E0EB3"/>
    <w:rsid w:val="4A6E7636"/>
    <w:rsid w:val="4A9106FD"/>
    <w:rsid w:val="4AA73240"/>
    <w:rsid w:val="4AB72272"/>
    <w:rsid w:val="4AC63E7C"/>
    <w:rsid w:val="4AC94650"/>
    <w:rsid w:val="4AD703A4"/>
    <w:rsid w:val="4B305E1B"/>
    <w:rsid w:val="4B4B6AFE"/>
    <w:rsid w:val="4B5D2E40"/>
    <w:rsid w:val="4B602D44"/>
    <w:rsid w:val="4B842010"/>
    <w:rsid w:val="4BB92D8E"/>
    <w:rsid w:val="4BBB7216"/>
    <w:rsid w:val="4BD07B58"/>
    <w:rsid w:val="4BE87BA5"/>
    <w:rsid w:val="4C155F10"/>
    <w:rsid w:val="4C2F7851"/>
    <w:rsid w:val="4C3176AB"/>
    <w:rsid w:val="4C324162"/>
    <w:rsid w:val="4C350E7E"/>
    <w:rsid w:val="4C3C12ED"/>
    <w:rsid w:val="4C415DC1"/>
    <w:rsid w:val="4C5310F0"/>
    <w:rsid w:val="4C571AC7"/>
    <w:rsid w:val="4C6E278E"/>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C68C1"/>
    <w:rsid w:val="4EFE6975"/>
    <w:rsid w:val="4F047E0A"/>
    <w:rsid w:val="4F3A59E7"/>
    <w:rsid w:val="4F477F24"/>
    <w:rsid w:val="4F87600D"/>
    <w:rsid w:val="4FA91AAC"/>
    <w:rsid w:val="4FBD0FF5"/>
    <w:rsid w:val="4FC854D7"/>
    <w:rsid w:val="50142DE1"/>
    <w:rsid w:val="5015687B"/>
    <w:rsid w:val="501926CA"/>
    <w:rsid w:val="503109FF"/>
    <w:rsid w:val="503E7F87"/>
    <w:rsid w:val="504544C8"/>
    <w:rsid w:val="505E3D68"/>
    <w:rsid w:val="505F4DFA"/>
    <w:rsid w:val="505F5918"/>
    <w:rsid w:val="506F5953"/>
    <w:rsid w:val="507A0E74"/>
    <w:rsid w:val="50A218B6"/>
    <w:rsid w:val="50AD2009"/>
    <w:rsid w:val="50C2531E"/>
    <w:rsid w:val="50D13748"/>
    <w:rsid w:val="50D43A3A"/>
    <w:rsid w:val="510A120A"/>
    <w:rsid w:val="512E16EC"/>
    <w:rsid w:val="51426BF5"/>
    <w:rsid w:val="515720D8"/>
    <w:rsid w:val="516A440A"/>
    <w:rsid w:val="51B053DC"/>
    <w:rsid w:val="51BA5A6F"/>
    <w:rsid w:val="51C42E16"/>
    <w:rsid w:val="51E5538B"/>
    <w:rsid w:val="52000D12"/>
    <w:rsid w:val="520D6221"/>
    <w:rsid w:val="5244074B"/>
    <w:rsid w:val="525351F4"/>
    <w:rsid w:val="525A6FBC"/>
    <w:rsid w:val="526C0997"/>
    <w:rsid w:val="5277467D"/>
    <w:rsid w:val="52855A65"/>
    <w:rsid w:val="52E11882"/>
    <w:rsid w:val="52E44E05"/>
    <w:rsid w:val="52F862D1"/>
    <w:rsid w:val="530B071F"/>
    <w:rsid w:val="53311AB3"/>
    <w:rsid w:val="53317F44"/>
    <w:rsid w:val="533D33D1"/>
    <w:rsid w:val="53511F1B"/>
    <w:rsid w:val="5353295D"/>
    <w:rsid w:val="53670B33"/>
    <w:rsid w:val="537735FB"/>
    <w:rsid w:val="53775B6A"/>
    <w:rsid w:val="538F5737"/>
    <w:rsid w:val="53CA0B91"/>
    <w:rsid w:val="53D43855"/>
    <w:rsid w:val="53D6214F"/>
    <w:rsid w:val="53EE1101"/>
    <w:rsid w:val="53FC4E8E"/>
    <w:rsid w:val="54111ADD"/>
    <w:rsid w:val="541717DC"/>
    <w:rsid w:val="54271D5C"/>
    <w:rsid w:val="5427740E"/>
    <w:rsid w:val="542B571F"/>
    <w:rsid w:val="54976AA9"/>
    <w:rsid w:val="549A3F89"/>
    <w:rsid w:val="54A022DD"/>
    <w:rsid w:val="54AA7049"/>
    <w:rsid w:val="54CF639A"/>
    <w:rsid w:val="54DE0134"/>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6535A8"/>
    <w:rsid w:val="567E0FA3"/>
    <w:rsid w:val="56A6131D"/>
    <w:rsid w:val="56A82B00"/>
    <w:rsid w:val="56BC5AD0"/>
    <w:rsid w:val="56D00C68"/>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7FDBEDD"/>
    <w:rsid w:val="58466FCB"/>
    <w:rsid w:val="58750691"/>
    <w:rsid w:val="58AB575D"/>
    <w:rsid w:val="58AD0DF8"/>
    <w:rsid w:val="58BC728D"/>
    <w:rsid w:val="58BD4DB3"/>
    <w:rsid w:val="58D22E69"/>
    <w:rsid w:val="58DD0763"/>
    <w:rsid w:val="58EA22FF"/>
    <w:rsid w:val="58EB59C1"/>
    <w:rsid w:val="59445F91"/>
    <w:rsid w:val="596A4F3B"/>
    <w:rsid w:val="59815208"/>
    <w:rsid w:val="5993057B"/>
    <w:rsid w:val="59A43D8B"/>
    <w:rsid w:val="59A64B68"/>
    <w:rsid w:val="59CC3500"/>
    <w:rsid w:val="59E84D0D"/>
    <w:rsid w:val="59F001A4"/>
    <w:rsid w:val="5A1E2DE7"/>
    <w:rsid w:val="5A20427A"/>
    <w:rsid w:val="5A331DE9"/>
    <w:rsid w:val="5A395FB6"/>
    <w:rsid w:val="5A436A2D"/>
    <w:rsid w:val="5A5D05FC"/>
    <w:rsid w:val="5A9833A8"/>
    <w:rsid w:val="5AAC047B"/>
    <w:rsid w:val="5AC95404"/>
    <w:rsid w:val="5AD370A1"/>
    <w:rsid w:val="5B0A066E"/>
    <w:rsid w:val="5B123FA7"/>
    <w:rsid w:val="5B1D0885"/>
    <w:rsid w:val="5B5E18A4"/>
    <w:rsid w:val="5B613C0E"/>
    <w:rsid w:val="5B8B4AEE"/>
    <w:rsid w:val="5B955E96"/>
    <w:rsid w:val="5B9B3675"/>
    <w:rsid w:val="5BA26571"/>
    <w:rsid w:val="5BAD110F"/>
    <w:rsid w:val="5BCA6564"/>
    <w:rsid w:val="5BD66D67"/>
    <w:rsid w:val="5BFE7E52"/>
    <w:rsid w:val="5C107D40"/>
    <w:rsid w:val="5C107FF0"/>
    <w:rsid w:val="5C1D1988"/>
    <w:rsid w:val="5C1E3775"/>
    <w:rsid w:val="5C381264"/>
    <w:rsid w:val="5C3D27FC"/>
    <w:rsid w:val="5C5E6BE8"/>
    <w:rsid w:val="5C672644"/>
    <w:rsid w:val="5C8132C7"/>
    <w:rsid w:val="5CA23A25"/>
    <w:rsid w:val="5CC26330"/>
    <w:rsid w:val="5CD67F41"/>
    <w:rsid w:val="5CDF760E"/>
    <w:rsid w:val="5CE07ABA"/>
    <w:rsid w:val="5CF00F5E"/>
    <w:rsid w:val="5CF35248"/>
    <w:rsid w:val="5D017C51"/>
    <w:rsid w:val="5D141BA6"/>
    <w:rsid w:val="5D4165A3"/>
    <w:rsid w:val="5D463591"/>
    <w:rsid w:val="5D4F2A78"/>
    <w:rsid w:val="5D570A59"/>
    <w:rsid w:val="5D792AE4"/>
    <w:rsid w:val="5DC25C67"/>
    <w:rsid w:val="5DCA711D"/>
    <w:rsid w:val="5DD97571"/>
    <w:rsid w:val="5DDA1D04"/>
    <w:rsid w:val="5DE22BD1"/>
    <w:rsid w:val="5E101ABB"/>
    <w:rsid w:val="5E2F58D3"/>
    <w:rsid w:val="5E5A06FD"/>
    <w:rsid w:val="5E6C6385"/>
    <w:rsid w:val="5E8A56FD"/>
    <w:rsid w:val="5E9342EC"/>
    <w:rsid w:val="5EA27CF7"/>
    <w:rsid w:val="5EBC3C1E"/>
    <w:rsid w:val="5EEE45E3"/>
    <w:rsid w:val="5EF17565"/>
    <w:rsid w:val="5F3815EE"/>
    <w:rsid w:val="5F5C32D6"/>
    <w:rsid w:val="5FB10E83"/>
    <w:rsid w:val="5FDC6467"/>
    <w:rsid w:val="5FFD96AC"/>
    <w:rsid w:val="600E788A"/>
    <w:rsid w:val="60173C67"/>
    <w:rsid w:val="60206354"/>
    <w:rsid w:val="603911C4"/>
    <w:rsid w:val="604130CF"/>
    <w:rsid w:val="60572C99"/>
    <w:rsid w:val="60663C94"/>
    <w:rsid w:val="60794FD4"/>
    <w:rsid w:val="60814FEF"/>
    <w:rsid w:val="60946411"/>
    <w:rsid w:val="60AE4E89"/>
    <w:rsid w:val="60CD4AC4"/>
    <w:rsid w:val="60D32F5A"/>
    <w:rsid w:val="61001CE1"/>
    <w:rsid w:val="610E2B4C"/>
    <w:rsid w:val="61276800"/>
    <w:rsid w:val="613E3956"/>
    <w:rsid w:val="6151253D"/>
    <w:rsid w:val="617F0AF7"/>
    <w:rsid w:val="619945D7"/>
    <w:rsid w:val="61A13C09"/>
    <w:rsid w:val="61C210E3"/>
    <w:rsid w:val="61C24BFD"/>
    <w:rsid w:val="61DE43D4"/>
    <w:rsid w:val="61E06967"/>
    <w:rsid w:val="61ED083B"/>
    <w:rsid w:val="61ED26C8"/>
    <w:rsid w:val="61FB2295"/>
    <w:rsid w:val="62184EFE"/>
    <w:rsid w:val="622F0AD0"/>
    <w:rsid w:val="623438B9"/>
    <w:rsid w:val="624216A0"/>
    <w:rsid w:val="626343A0"/>
    <w:rsid w:val="626736F9"/>
    <w:rsid w:val="626B4082"/>
    <w:rsid w:val="626B6B00"/>
    <w:rsid w:val="626C251B"/>
    <w:rsid w:val="628E1BE9"/>
    <w:rsid w:val="62A3326C"/>
    <w:rsid w:val="62C126EC"/>
    <w:rsid w:val="62CF1703"/>
    <w:rsid w:val="62D06FF9"/>
    <w:rsid w:val="62D358FF"/>
    <w:rsid w:val="62D765EB"/>
    <w:rsid w:val="62E16861"/>
    <w:rsid w:val="630A329F"/>
    <w:rsid w:val="636B22CC"/>
    <w:rsid w:val="636C198B"/>
    <w:rsid w:val="63B65AC7"/>
    <w:rsid w:val="63D7428B"/>
    <w:rsid w:val="64002DAD"/>
    <w:rsid w:val="640C4C0D"/>
    <w:rsid w:val="642D56F7"/>
    <w:rsid w:val="643B5584"/>
    <w:rsid w:val="64550596"/>
    <w:rsid w:val="645830D7"/>
    <w:rsid w:val="64645BC9"/>
    <w:rsid w:val="64675414"/>
    <w:rsid w:val="646D58E0"/>
    <w:rsid w:val="647258C3"/>
    <w:rsid w:val="64763CBE"/>
    <w:rsid w:val="647F41B9"/>
    <w:rsid w:val="648F5856"/>
    <w:rsid w:val="649C452B"/>
    <w:rsid w:val="64AA2E73"/>
    <w:rsid w:val="64B8434A"/>
    <w:rsid w:val="64BD6867"/>
    <w:rsid w:val="64C5008F"/>
    <w:rsid w:val="64CF4D38"/>
    <w:rsid w:val="64E8446E"/>
    <w:rsid w:val="64E959FD"/>
    <w:rsid w:val="64F9CCE6"/>
    <w:rsid w:val="651B5828"/>
    <w:rsid w:val="6530087B"/>
    <w:rsid w:val="65376B47"/>
    <w:rsid w:val="654042F5"/>
    <w:rsid w:val="65AB2B63"/>
    <w:rsid w:val="65E44DFA"/>
    <w:rsid w:val="65E63B9C"/>
    <w:rsid w:val="65ED2DCA"/>
    <w:rsid w:val="65F37088"/>
    <w:rsid w:val="65F66C79"/>
    <w:rsid w:val="660447CA"/>
    <w:rsid w:val="662B5A52"/>
    <w:rsid w:val="665622BC"/>
    <w:rsid w:val="66644AC0"/>
    <w:rsid w:val="66653739"/>
    <w:rsid w:val="666C4EE6"/>
    <w:rsid w:val="66792487"/>
    <w:rsid w:val="66D470E6"/>
    <w:rsid w:val="66ED2CA0"/>
    <w:rsid w:val="66F722EC"/>
    <w:rsid w:val="66FB0FDC"/>
    <w:rsid w:val="66FC5AFF"/>
    <w:rsid w:val="6709462E"/>
    <w:rsid w:val="676C49AE"/>
    <w:rsid w:val="6777196F"/>
    <w:rsid w:val="67825F62"/>
    <w:rsid w:val="678A1ED0"/>
    <w:rsid w:val="67AB61F8"/>
    <w:rsid w:val="67BA7741"/>
    <w:rsid w:val="67CEDCD6"/>
    <w:rsid w:val="67E6170C"/>
    <w:rsid w:val="67ED1BBE"/>
    <w:rsid w:val="67ED7463"/>
    <w:rsid w:val="67FD51CC"/>
    <w:rsid w:val="680D0CA5"/>
    <w:rsid w:val="684D7F02"/>
    <w:rsid w:val="686C7F9F"/>
    <w:rsid w:val="68A45648"/>
    <w:rsid w:val="68A5668C"/>
    <w:rsid w:val="68BD44C2"/>
    <w:rsid w:val="68D27297"/>
    <w:rsid w:val="68F42855"/>
    <w:rsid w:val="6911241F"/>
    <w:rsid w:val="6922138F"/>
    <w:rsid w:val="69232A11"/>
    <w:rsid w:val="69586B5E"/>
    <w:rsid w:val="69B55D5F"/>
    <w:rsid w:val="69B67115"/>
    <w:rsid w:val="69B82DF4"/>
    <w:rsid w:val="69EF53B4"/>
    <w:rsid w:val="69FB8724"/>
    <w:rsid w:val="6A126DD2"/>
    <w:rsid w:val="6A2B4273"/>
    <w:rsid w:val="6A3D3FA6"/>
    <w:rsid w:val="6A420E56"/>
    <w:rsid w:val="6A924E32"/>
    <w:rsid w:val="6A94008C"/>
    <w:rsid w:val="6AC635A8"/>
    <w:rsid w:val="6AC83B0F"/>
    <w:rsid w:val="6AE60947"/>
    <w:rsid w:val="6AEB2722"/>
    <w:rsid w:val="6AEF6EB8"/>
    <w:rsid w:val="6AFB7996"/>
    <w:rsid w:val="6AFD0629"/>
    <w:rsid w:val="6B0B374F"/>
    <w:rsid w:val="6B0E6D92"/>
    <w:rsid w:val="6B17074E"/>
    <w:rsid w:val="6B1F0CCB"/>
    <w:rsid w:val="6B285847"/>
    <w:rsid w:val="6B541A99"/>
    <w:rsid w:val="6B5F1CFB"/>
    <w:rsid w:val="6B6234E5"/>
    <w:rsid w:val="6B711708"/>
    <w:rsid w:val="6B980A95"/>
    <w:rsid w:val="6BA67A32"/>
    <w:rsid w:val="6BBD11F5"/>
    <w:rsid w:val="6BCE1834"/>
    <w:rsid w:val="6BD12800"/>
    <w:rsid w:val="6BF44877"/>
    <w:rsid w:val="6C022DB1"/>
    <w:rsid w:val="6C172034"/>
    <w:rsid w:val="6C1B1096"/>
    <w:rsid w:val="6C5E02FC"/>
    <w:rsid w:val="6C611966"/>
    <w:rsid w:val="6C721812"/>
    <w:rsid w:val="6C8B0F52"/>
    <w:rsid w:val="6CA63155"/>
    <w:rsid w:val="6CC73E80"/>
    <w:rsid w:val="6CDD0DD0"/>
    <w:rsid w:val="6CFA7DB1"/>
    <w:rsid w:val="6D0127E4"/>
    <w:rsid w:val="6D135E16"/>
    <w:rsid w:val="6D1C168A"/>
    <w:rsid w:val="6D2154B9"/>
    <w:rsid w:val="6D347A31"/>
    <w:rsid w:val="6D3668DD"/>
    <w:rsid w:val="6D471CAB"/>
    <w:rsid w:val="6D70425D"/>
    <w:rsid w:val="6D986796"/>
    <w:rsid w:val="6DAC0977"/>
    <w:rsid w:val="6DB941BD"/>
    <w:rsid w:val="6DC60F63"/>
    <w:rsid w:val="6DED6545"/>
    <w:rsid w:val="6DF11063"/>
    <w:rsid w:val="6E3B32BE"/>
    <w:rsid w:val="6E4C770B"/>
    <w:rsid w:val="6E5F1098"/>
    <w:rsid w:val="6E6F2793"/>
    <w:rsid w:val="6E703D8E"/>
    <w:rsid w:val="6E7F1EDE"/>
    <w:rsid w:val="6E84323D"/>
    <w:rsid w:val="6E942A76"/>
    <w:rsid w:val="6EA41FA2"/>
    <w:rsid w:val="6EB44AD4"/>
    <w:rsid w:val="6EBA69C8"/>
    <w:rsid w:val="6F2463D6"/>
    <w:rsid w:val="6F265009"/>
    <w:rsid w:val="6F313FE8"/>
    <w:rsid w:val="6F381CAC"/>
    <w:rsid w:val="6F6128C1"/>
    <w:rsid w:val="6F723264"/>
    <w:rsid w:val="6F9C6902"/>
    <w:rsid w:val="6F9E6156"/>
    <w:rsid w:val="6FA06B69"/>
    <w:rsid w:val="6FA0729C"/>
    <w:rsid w:val="6FBF6C0D"/>
    <w:rsid w:val="6FFB3E16"/>
    <w:rsid w:val="70100CA2"/>
    <w:rsid w:val="70393572"/>
    <w:rsid w:val="706E27A1"/>
    <w:rsid w:val="706F0977"/>
    <w:rsid w:val="707263F3"/>
    <w:rsid w:val="70880108"/>
    <w:rsid w:val="70A13280"/>
    <w:rsid w:val="70A24D48"/>
    <w:rsid w:val="70B07280"/>
    <w:rsid w:val="70BA64EF"/>
    <w:rsid w:val="70C42D2B"/>
    <w:rsid w:val="70C900DF"/>
    <w:rsid w:val="70EFD498"/>
    <w:rsid w:val="70F80524"/>
    <w:rsid w:val="710A2419"/>
    <w:rsid w:val="710E65A0"/>
    <w:rsid w:val="71326D32"/>
    <w:rsid w:val="71347EB1"/>
    <w:rsid w:val="71451751"/>
    <w:rsid w:val="71453598"/>
    <w:rsid w:val="714C2CD0"/>
    <w:rsid w:val="715A596A"/>
    <w:rsid w:val="717C247D"/>
    <w:rsid w:val="717F26E4"/>
    <w:rsid w:val="71816B8E"/>
    <w:rsid w:val="71832D29"/>
    <w:rsid w:val="71907818"/>
    <w:rsid w:val="719B609A"/>
    <w:rsid w:val="71B252F9"/>
    <w:rsid w:val="71DE7E1D"/>
    <w:rsid w:val="71E95916"/>
    <w:rsid w:val="71EB1F0E"/>
    <w:rsid w:val="7203413E"/>
    <w:rsid w:val="72191ED0"/>
    <w:rsid w:val="721C3014"/>
    <w:rsid w:val="721D0BFB"/>
    <w:rsid w:val="7250588C"/>
    <w:rsid w:val="726F5278"/>
    <w:rsid w:val="727E786A"/>
    <w:rsid w:val="72887FD4"/>
    <w:rsid w:val="72BD0544"/>
    <w:rsid w:val="72C0472D"/>
    <w:rsid w:val="72CB03A1"/>
    <w:rsid w:val="72D11D5C"/>
    <w:rsid w:val="72DC3720"/>
    <w:rsid w:val="72DC4121"/>
    <w:rsid w:val="72E4193A"/>
    <w:rsid w:val="72E85DAD"/>
    <w:rsid w:val="73133AF6"/>
    <w:rsid w:val="732303D9"/>
    <w:rsid w:val="7344428A"/>
    <w:rsid w:val="734979C3"/>
    <w:rsid w:val="73532CC9"/>
    <w:rsid w:val="735C549D"/>
    <w:rsid w:val="736F7373"/>
    <w:rsid w:val="738F6C61"/>
    <w:rsid w:val="7392343A"/>
    <w:rsid w:val="73B060B2"/>
    <w:rsid w:val="73D223F2"/>
    <w:rsid w:val="73D73D11"/>
    <w:rsid w:val="73E95EE8"/>
    <w:rsid w:val="744975DD"/>
    <w:rsid w:val="74610332"/>
    <w:rsid w:val="746920A5"/>
    <w:rsid w:val="749C24F1"/>
    <w:rsid w:val="74AD6F4A"/>
    <w:rsid w:val="74AE06FF"/>
    <w:rsid w:val="74CB1EDB"/>
    <w:rsid w:val="74DE73F5"/>
    <w:rsid w:val="750E239F"/>
    <w:rsid w:val="7517095A"/>
    <w:rsid w:val="751E77AF"/>
    <w:rsid w:val="75474541"/>
    <w:rsid w:val="75702156"/>
    <w:rsid w:val="757A6A57"/>
    <w:rsid w:val="75D07F8B"/>
    <w:rsid w:val="75EE5669"/>
    <w:rsid w:val="763711C0"/>
    <w:rsid w:val="76957051"/>
    <w:rsid w:val="76BD4232"/>
    <w:rsid w:val="76C10199"/>
    <w:rsid w:val="76C57BCB"/>
    <w:rsid w:val="76D474B3"/>
    <w:rsid w:val="76DF91DD"/>
    <w:rsid w:val="76E708BB"/>
    <w:rsid w:val="76EF6DD7"/>
    <w:rsid w:val="76F927CD"/>
    <w:rsid w:val="772F78A5"/>
    <w:rsid w:val="77356D17"/>
    <w:rsid w:val="773B2934"/>
    <w:rsid w:val="773E064E"/>
    <w:rsid w:val="774E1211"/>
    <w:rsid w:val="7767181A"/>
    <w:rsid w:val="777B71D8"/>
    <w:rsid w:val="77842F01"/>
    <w:rsid w:val="77A54D53"/>
    <w:rsid w:val="77AB25AD"/>
    <w:rsid w:val="77D75F2B"/>
    <w:rsid w:val="77FC6767"/>
    <w:rsid w:val="781A0BEC"/>
    <w:rsid w:val="78202415"/>
    <w:rsid w:val="78213FC9"/>
    <w:rsid w:val="78572B59"/>
    <w:rsid w:val="786FD340"/>
    <w:rsid w:val="78701D9C"/>
    <w:rsid w:val="78741C81"/>
    <w:rsid w:val="788952CC"/>
    <w:rsid w:val="7899537E"/>
    <w:rsid w:val="78F9F6D3"/>
    <w:rsid w:val="78FA0671"/>
    <w:rsid w:val="79393B8B"/>
    <w:rsid w:val="793A634F"/>
    <w:rsid w:val="795A4F33"/>
    <w:rsid w:val="79744F1D"/>
    <w:rsid w:val="79785617"/>
    <w:rsid w:val="797A5A56"/>
    <w:rsid w:val="797BA803"/>
    <w:rsid w:val="798635EB"/>
    <w:rsid w:val="79A5750A"/>
    <w:rsid w:val="79CF368F"/>
    <w:rsid w:val="79D476A9"/>
    <w:rsid w:val="79EB2FD6"/>
    <w:rsid w:val="79ECAB6F"/>
    <w:rsid w:val="79ED0DA8"/>
    <w:rsid w:val="7A0C1011"/>
    <w:rsid w:val="7A0E7A81"/>
    <w:rsid w:val="7A17211E"/>
    <w:rsid w:val="7A321CDB"/>
    <w:rsid w:val="7A4B626B"/>
    <w:rsid w:val="7A567B6E"/>
    <w:rsid w:val="7A6E32C8"/>
    <w:rsid w:val="7AA5772A"/>
    <w:rsid w:val="7AB0113D"/>
    <w:rsid w:val="7AC900CF"/>
    <w:rsid w:val="7B052FBD"/>
    <w:rsid w:val="7B2F54B5"/>
    <w:rsid w:val="7B48416D"/>
    <w:rsid w:val="7B5A5A6C"/>
    <w:rsid w:val="7B5C250E"/>
    <w:rsid w:val="7B5C3BBA"/>
    <w:rsid w:val="7B63305F"/>
    <w:rsid w:val="7B6D0F87"/>
    <w:rsid w:val="7B72691F"/>
    <w:rsid w:val="7B783FD8"/>
    <w:rsid w:val="7B9A3DB8"/>
    <w:rsid w:val="7BA113AB"/>
    <w:rsid w:val="7BA67BFD"/>
    <w:rsid w:val="7BAC4AE8"/>
    <w:rsid w:val="7BD52290"/>
    <w:rsid w:val="7BD568A0"/>
    <w:rsid w:val="7BD99402"/>
    <w:rsid w:val="7BE22960"/>
    <w:rsid w:val="7BF20E1E"/>
    <w:rsid w:val="7BFC01F8"/>
    <w:rsid w:val="7BFF6BBF"/>
    <w:rsid w:val="7BFF70BE"/>
    <w:rsid w:val="7C120F4C"/>
    <w:rsid w:val="7C1B29E5"/>
    <w:rsid w:val="7C5728ED"/>
    <w:rsid w:val="7C574A54"/>
    <w:rsid w:val="7C686BCF"/>
    <w:rsid w:val="7C9408F4"/>
    <w:rsid w:val="7CA76EC6"/>
    <w:rsid w:val="7CB83597"/>
    <w:rsid w:val="7CB90CC2"/>
    <w:rsid w:val="7CC752E0"/>
    <w:rsid w:val="7CFB2CE9"/>
    <w:rsid w:val="7CFBCE9D"/>
    <w:rsid w:val="7D0C34C4"/>
    <w:rsid w:val="7D1E71EA"/>
    <w:rsid w:val="7D212CA5"/>
    <w:rsid w:val="7D255EE2"/>
    <w:rsid w:val="7D26D855"/>
    <w:rsid w:val="7D293184"/>
    <w:rsid w:val="7D2B742D"/>
    <w:rsid w:val="7D4B3EE6"/>
    <w:rsid w:val="7D4B572C"/>
    <w:rsid w:val="7D6112EF"/>
    <w:rsid w:val="7D68620F"/>
    <w:rsid w:val="7D69777E"/>
    <w:rsid w:val="7D6FB106"/>
    <w:rsid w:val="7D752C5B"/>
    <w:rsid w:val="7D927DC0"/>
    <w:rsid w:val="7D9F12B2"/>
    <w:rsid w:val="7DB34706"/>
    <w:rsid w:val="7DFE1ABC"/>
    <w:rsid w:val="7E1A0A9F"/>
    <w:rsid w:val="7E2327E1"/>
    <w:rsid w:val="7E3C401A"/>
    <w:rsid w:val="7E641213"/>
    <w:rsid w:val="7E7BB322"/>
    <w:rsid w:val="7EA7EB6C"/>
    <w:rsid w:val="7EAD3628"/>
    <w:rsid w:val="7EB859C9"/>
    <w:rsid w:val="7ECB4935"/>
    <w:rsid w:val="7EE33139"/>
    <w:rsid w:val="7EEBD690"/>
    <w:rsid w:val="7EF34773"/>
    <w:rsid w:val="7EF931C4"/>
    <w:rsid w:val="7F0200B0"/>
    <w:rsid w:val="7F0D08DC"/>
    <w:rsid w:val="7F173D26"/>
    <w:rsid w:val="7F3DC597"/>
    <w:rsid w:val="7F457705"/>
    <w:rsid w:val="7F567E20"/>
    <w:rsid w:val="7F666017"/>
    <w:rsid w:val="7F6FBE70"/>
    <w:rsid w:val="7F714EE5"/>
    <w:rsid w:val="7F765549"/>
    <w:rsid w:val="7F7F2734"/>
    <w:rsid w:val="7F9B10FB"/>
    <w:rsid w:val="7FA63F96"/>
    <w:rsid w:val="7FB7DF21"/>
    <w:rsid w:val="7FB9287C"/>
    <w:rsid w:val="7FC32F20"/>
    <w:rsid w:val="7FCB2760"/>
    <w:rsid w:val="7FCC47FD"/>
    <w:rsid w:val="7FD31973"/>
    <w:rsid w:val="7FE15B01"/>
    <w:rsid w:val="7FFB1B6E"/>
    <w:rsid w:val="8573C5B4"/>
    <w:rsid w:val="A9F77D42"/>
    <w:rsid w:val="AEFF7266"/>
    <w:rsid w:val="BAF7CE3F"/>
    <w:rsid w:val="C6F5E4F8"/>
    <w:rsid w:val="CDFFBC69"/>
    <w:rsid w:val="DCE705B6"/>
    <w:rsid w:val="DE35E862"/>
    <w:rsid w:val="DF77D5E2"/>
    <w:rsid w:val="DFE64E7C"/>
    <w:rsid w:val="F1FE2398"/>
    <w:rsid w:val="F76F081C"/>
    <w:rsid w:val="F7760AF3"/>
    <w:rsid w:val="F7B3F097"/>
    <w:rsid w:val="F7BF1B7E"/>
    <w:rsid w:val="F7E80245"/>
    <w:rsid w:val="F927801E"/>
    <w:rsid w:val="FA5F277E"/>
    <w:rsid w:val="FB6B5221"/>
    <w:rsid w:val="FBB6A2A8"/>
    <w:rsid w:val="FDDE9CAC"/>
    <w:rsid w:val="FDDF84D4"/>
    <w:rsid w:val="FF4B3213"/>
    <w:rsid w:val="FFCB6B60"/>
    <w:rsid w:val="FFFB3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 w:type="paragraph" w:customStyle="1" w:styleId="170">
    <w:name w:val="符号列表"/>
    <w:basedOn w:val="1"/>
    <w:next w:val="171"/>
    <w:qFormat/>
    <w:uiPriority w:val="34"/>
    <w:pPr>
      <w:spacing w:beforeLines="50"/>
      <w:ind w:firstLine="420" w:firstLineChars="200"/>
    </w:pPr>
    <w:rPr>
      <w:rFonts w:ascii="Calibri" w:hAnsi="Calibri"/>
      <w:sz w:val="24"/>
      <w:szCs w:val="22"/>
      <w:lang w:val="zh-CN"/>
    </w:rPr>
  </w:style>
  <w:style w:type="paragraph" w:customStyle="1" w:styleId="171">
    <w:name w:val="列出段落11"/>
    <w:basedOn w:val="1"/>
    <w:qFormat/>
    <w:uiPriority w:val="99"/>
    <w:pPr>
      <w:ind w:firstLine="420"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40</Pages>
  <Words>14328</Words>
  <Characters>14935</Characters>
  <Lines>1</Lines>
  <Paragraphs>1</Paragraphs>
  <TotalTime>16</TotalTime>
  <ScaleCrop>false</ScaleCrop>
  <LinksUpToDate>false</LinksUpToDate>
  <CharactersWithSpaces>15932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2020-05-05T08:16:00Z</dcterms:created>
  <dc:creator>陈桂兰</dc:creator>
  <cp:lastModifiedBy>Kevin</cp:lastModifiedBy>
  <cp:lastPrinted>2023-10-21T10:24:00Z</cp:lastPrinted>
  <dcterms:modified xsi:type="dcterms:W3CDTF">2024-08-15T07:18:42Z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E01176138CD84CD8A283B7FD24ECA390</vt:lpwstr>
  </property>
  <property fmtid="{D5CDD505-2E9C-101B-9397-08002B2CF9AE}" pid="4" name="commondata">
    <vt:lpwstr>eyJoZGlkIjoiNmI0YzI4NGJiMjg2ZWZlN2MzZDcyYzg5ZDEwYzBhZDAifQ==</vt:lpwstr>
  </property>
</Properties>
</file>