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963D8C">
      <w:pPr>
        <w:spacing w:line="360" w:lineRule="auto"/>
        <w:jc w:val="both"/>
        <w:rPr>
          <w:rFonts w:hint="eastAsia" w:ascii="宋体" w:hAnsi="宋体" w:eastAsia="宋体" w:cs="宋体"/>
          <w:color w:val="auto"/>
          <w:kern w:val="0"/>
          <w:sz w:val="32"/>
          <w:szCs w:val="32"/>
          <w:highlight w:val="none"/>
          <w:u w:val="none"/>
          <w:lang w:eastAsia="zh-CN"/>
        </w:rPr>
      </w:pPr>
      <w:bookmarkStart w:id="0" w:name="_Toc509218549"/>
      <w:bookmarkStart w:id="1" w:name="_Toc536621766"/>
      <w:bookmarkStart w:id="2" w:name="_Toc536628229"/>
      <w:bookmarkStart w:id="3" w:name="_Toc28400"/>
      <w:bookmarkStart w:id="4" w:name="_Toc536800622"/>
      <w:bookmarkStart w:id="5" w:name="_Toc536782092"/>
      <w:bookmarkStart w:id="6" w:name="_Toc536781693"/>
      <w:bookmarkStart w:id="7" w:name="_Toc43278824"/>
      <w:bookmarkStart w:id="8" w:name="_Toc37531048"/>
      <w:bookmarkStart w:id="9" w:name="_Toc287620665"/>
      <w:r>
        <w:rPr>
          <w:rFonts w:hint="eastAsia" w:ascii="宋体" w:hAnsi="宋体" w:cs="宋体"/>
          <w:color w:val="auto"/>
          <w:kern w:val="0"/>
          <w:sz w:val="32"/>
          <w:szCs w:val="32"/>
          <w:highlight w:val="none"/>
          <w:u w:val="none"/>
          <w:lang w:eastAsia="zh-CN"/>
        </w:rPr>
        <w:t>巫溪至开州高速公路项目机电工程高压外电接入施工专项分包</w:t>
      </w:r>
    </w:p>
    <w:p w14:paraId="0321BB7F">
      <w:pPr>
        <w:spacing w:line="360" w:lineRule="auto"/>
        <w:jc w:val="both"/>
        <w:rPr>
          <w:rFonts w:hint="eastAsia" w:ascii="宋体" w:hAnsi="宋体" w:eastAsia="宋体" w:cs="宋体"/>
          <w:color w:val="auto"/>
          <w:kern w:val="0"/>
          <w:sz w:val="32"/>
          <w:szCs w:val="32"/>
          <w:highlight w:val="none"/>
          <w:u w:val="single"/>
          <w:lang w:eastAsia="zh-CN"/>
        </w:rPr>
      </w:pPr>
    </w:p>
    <w:p w14:paraId="2C80B4D1">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14:paraId="3DB0739D">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14:paraId="59445390">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14:paraId="404CF1EF">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14:paraId="12E4C4B9">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14:paraId="45257A27">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14:paraId="0B4F6581">
      <w:pPr>
        <w:autoSpaceDE w:val="0"/>
        <w:autoSpaceDN w:val="0"/>
        <w:adjustRightInd w:val="0"/>
        <w:snapToGrid w:val="0"/>
        <w:spacing w:line="360" w:lineRule="auto"/>
        <w:jc w:val="center"/>
        <w:rPr>
          <w:rFonts w:hint="eastAsia" w:ascii="宋体" w:hAnsi="宋体" w:eastAsia="宋体" w:cs="宋体"/>
          <w:color w:val="auto"/>
          <w:kern w:val="0"/>
          <w:sz w:val="72"/>
          <w:szCs w:val="72"/>
          <w:highlight w:val="none"/>
        </w:rPr>
      </w:pPr>
      <w:r>
        <w:rPr>
          <w:rFonts w:hint="eastAsia" w:ascii="宋体" w:hAnsi="宋体" w:eastAsia="宋体" w:cs="宋体"/>
          <w:color w:val="auto"/>
          <w:kern w:val="0"/>
          <w:sz w:val="72"/>
          <w:szCs w:val="72"/>
          <w:highlight w:val="none"/>
        </w:rPr>
        <w:t>招 标 文 件</w:t>
      </w:r>
    </w:p>
    <w:p w14:paraId="10B12CA8">
      <w:pPr>
        <w:autoSpaceDE w:val="0"/>
        <w:autoSpaceDN w:val="0"/>
        <w:adjustRightInd w:val="0"/>
        <w:snapToGrid w:val="0"/>
        <w:spacing w:line="360" w:lineRule="auto"/>
        <w:jc w:val="left"/>
        <w:rPr>
          <w:rFonts w:hint="eastAsia" w:ascii="宋体" w:hAnsi="宋体" w:eastAsia="宋体" w:cs="宋体"/>
          <w:color w:val="auto"/>
          <w:kern w:val="0"/>
          <w:sz w:val="10"/>
          <w:szCs w:val="10"/>
          <w:highlight w:val="none"/>
        </w:rPr>
      </w:pPr>
    </w:p>
    <w:p w14:paraId="5550D86F">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14:paraId="4BA72F33">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14:paraId="43E48763">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14:paraId="322D918B">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14:paraId="4DBE9C25">
      <w:pPr>
        <w:pStyle w:val="2"/>
        <w:rPr>
          <w:rFonts w:hint="eastAsia" w:ascii="宋体" w:hAnsi="宋体" w:eastAsia="宋体" w:cs="宋体"/>
        </w:rPr>
      </w:pPr>
    </w:p>
    <w:p w14:paraId="105B2E8A">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14:paraId="3DA5E9B6">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14:paraId="62A835B6">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14:paraId="48477FE4">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14:paraId="5E4BE288">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14:paraId="2B98F6BE">
      <w:pPr>
        <w:pStyle w:val="2"/>
        <w:rPr>
          <w:rFonts w:hint="eastAsia" w:ascii="宋体" w:hAnsi="宋体" w:eastAsia="宋体" w:cs="宋体"/>
          <w:color w:val="auto"/>
          <w:kern w:val="0"/>
          <w:sz w:val="20"/>
          <w:szCs w:val="20"/>
          <w:highlight w:val="none"/>
        </w:rPr>
      </w:pPr>
    </w:p>
    <w:p w14:paraId="0AE10432">
      <w:pPr>
        <w:rPr>
          <w:rFonts w:hint="eastAsia" w:ascii="宋体" w:hAnsi="宋体" w:eastAsia="宋体" w:cs="宋体"/>
        </w:rPr>
      </w:pPr>
    </w:p>
    <w:p w14:paraId="669449A3">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14:paraId="589C15B4">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14:paraId="50BE11CF">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14:paraId="7E6DAC88">
      <w:pPr>
        <w:tabs>
          <w:tab w:val="left" w:pos="6219"/>
        </w:tabs>
        <w:autoSpaceDE w:val="0"/>
        <w:autoSpaceDN w:val="0"/>
        <w:adjustRightInd w:val="0"/>
        <w:snapToGrid w:val="0"/>
        <w:spacing w:line="360" w:lineRule="auto"/>
        <w:jc w:val="center"/>
        <w:rPr>
          <w:rFonts w:hint="eastAsia" w:ascii="宋体" w:hAnsi="宋体" w:eastAsia="宋体" w:cs="宋体"/>
          <w:b/>
          <w:color w:val="auto"/>
          <w:w w:val="99"/>
          <w:kern w:val="0"/>
          <w:sz w:val="28"/>
          <w:szCs w:val="28"/>
          <w:highlight w:val="none"/>
        </w:rPr>
      </w:pPr>
      <w:r>
        <w:rPr>
          <w:rFonts w:hint="eastAsia" w:ascii="宋体" w:hAnsi="宋体" w:eastAsia="宋体" w:cs="宋体"/>
          <w:b/>
          <w:color w:val="auto"/>
          <w:w w:val="99"/>
          <w:kern w:val="0"/>
          <w:sz w:val="28"/>
          <w:szCs w:val="28"/>
          <w:highlight w:val="none"/>
        </w:rPr>
        <w:t>招　　标　 人：</w:t>
      </w:r>
      <w:r>
        <w:rPr>
          <w:rFonts w:hint="eastAsia" w:ascii="宋体" w:hAnsi="宋体" w:eastAsia="宋体" w:cs="宋体"/>
          <w:b/>
          <w:color w:val="auto"/>
          <w:w w:val="99"/>
          <w:kern w:val="0"/>
          <w:sz w:val="28"/>
          <w:szCs w:val="28"/>
          <w:highlight w:val="none"/>
          <w:u w:val="single"/>
          <w:lang w:val="en-US" w:eastAsia="zh-CN"/>
        </w:rPr>
        <w:t>重庆首讯科技股份有限公司</w:t>
      </w:r>
    </w:p>
    <w:p w14:paraId="4288BF7D">
      <w:pPr>
        <w:keepNext w:val="0"/>
        <w:keepLines w:val="0"/>
        <w:widowControl w:val="0"/>
        <w:suppressLineNumbers w:val="0"/>
        <w:tabs>
          <w:tab w:val="left" w:pos="6252"/>
        </w:tabs>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b/>
          <w:color w:val="auto"/>
          <w:w w:val="99"/>
          <w:kern w:val="0"/>
          <w:sz w:val="28"/>
          <w:szCs w:val="28"/>
          <w:highlight w:val="none"/>
        </w:rPr>
      </w:pPr>
      <w:r>
        <w:rPr>
          <w:rFonts w:hint="eastAsia" w:ascii="宋体" w:hAnsi="宋体" w:eastAsia="宋体" w:cs="宋体"/>
          <w:b/>
          <w:color w:val="auto"/>
          <w:spacing w:val="8"/>
          <w:kern w:val="0"/>
          <w:sz w:val="28"/>
          <w:szCs w:val="28"/>
          <w:highlight w:val="none"/>
        </w:rPr>
        <w:t xml:space="preserve"> </w:t>
      </w:r>
      <w:r>
        <w:rPr>
          <w:rFonts w:hint="eastAsia" w:ascii="宋体" w:hAnsi="宋体" w:eastAsia="宋体" w:cs="宋体"/>
          <w:b/>
          <w:color w:val="auto"/>
          <w:spacing w:val="8"/>
          <w:kern w:val="0"/>
          <w:sz w:val="28"/>
          <w:szCs w:val="28"/>
          <w:highlight w:val="none"/>
          <w:lang w:val="en-US" w:eastAsia="zh-CN"/>
        </w:rPr>
        <w:t xml:space="preserve">    </w:t>
      </w:r>
      <w:r>
        <w:rPr>
          <w:rFonts w:hint="eastAsia" w:ascii="宋体" w:hAnsi="宋体" w:eastAsia="宋体" w:cs="宋体"/>
          <w:b/>
          <w:color w:val="auto"/>
          <w:spacing w:val="8"/>
          <w:kern w:val="0"/>
          <w:sz w:val="28"/>
          <w:szCs w:val="28"/>
          <w:highlight w:val="none"/>
        </w:rPr>
        <w:t xml:space="preserve"> </w:t>
      </w:r>
    </w:p>
    <w:p w14:paraId="38825243">
      <w:pPr>
        <w:autoSpaceDE w:val="0"/>
        <w:autoSpaceDN w:val="0"/>
        <w:adjustRightInd w:val="0"/>
        <w:snapToGrid w:val="0"/>
        <w:spacing w:line="360" w:lineRule="auto"/>
        <w:jc w:val="center"/>
        <w:rPr>
          <w:rFonts w:hint="eastAsia" w:ascii="宋体" w:hAnsi="宋体" w:eastAsia="宋体" w:cs="宋体"/>
          <w:b/>
          <w:color w:val="auto"/>
          <w:kern w:val="0"/>
          <w:sz w:val="28"/>
          <w:szCs w:val="28"/>
          <w:highlight w:val="none"/>
        </w:rPr>
      </w:pPr>
    </w:p>
    <w:p w14:paraId="3D80D36D">
      <w:pPr>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u w:val="single"/>
          <w:lang w:val="en-US" w:eastAsia="zh-CN"/>
        </w:rPr>
        <w:t>202</w:t>
      </w:r>
      <w:r>
        <w:rPr>
          <w:rFonts w:hint="eastAsia" w:ascii="宋体" w:hAnsi="宋体" w:cs="宋体"/>
          <w:b/>
          <w:bCs/>
          <w:color w:val="auto"/>
          <w:sz w:val="24"/>
          <w:highlight w:val="none"/>
          <w:u w:val="single"/>
          <w:lang w:val="en-US" w:eastAsia="zh-CN"/>
        </w:rPr>
        <w:t>4</w:t>
      </w:r>
      <w:r>
        <w:rPr>
          <w:rFonts w:hint="eastAsia" w:ascii="宋体" w:hAnsi="宋体" w:eastAsia="宋体" w:cs="宋体"/>
          <w:b/>
          <w:bCs/>
          <w:color w:val="auto"/>
          <w:sz w:val="24"/>
          <w:highlight w:val="none"/>
        </w:rPr>
        <w:t>年</w:t>
      </w:r>
      <w:r>
        <w:rPr>
          <w:rFonts w:hint="eastAsia" w:ascii="宋体" w:hAnsi="宋体" w:cs="宋体"/>
          <w:b/>
          <w:bCs/>
          <w:color w:val="auto"/>
          <w:sz w:val="24"/>
          <w:highlight w:val="none"/>
          <w:u w:val="single"/>
          <w:lang w:val="en-US" w:eastAsia="zh-CN"/>
        </w:rPr>
        <w:t>8</w:t>
      </w:r>
      <w:r>
        <w:rPr>
          <w:rFonts w:hint="eastAsia" w:ascii="宋体" w:hAnsi="宋体" w:eastAsia="宋体" w:cs="宋体"/>
          <w:b/>
          <w:bCs/>
          <w:color w:val="auto"/>
          <w:sz w:val="24"/>
          <w:highlight w:val="none"/>
        </w:rPr>
        <w:t>月</w:t>
      </w:r>
      <w:bookmarkEnd w:id="0"/>
      <w:bookmarkEnd w:id="1"/>
      <w:bookmarkEnd w:id="2"/>
      <w:bookmarkEnd w:id="3"/>
      <w:bookmarkEnd w:id="4"/>
      <w:bookmarkEnd w:id="5"/>
      <w:bookmarkEnd w:id="6"/>
      <w:bookmarkEnd w:id="7"/>
      <w:bookmarkEnd w:id="8"/>
    </w:p>
    <w:p w14:paraId="12A84DBD">
      <w:pPr>
        <w:autoSpaceDE w:val="0"/>
        <w:autoSpaceDN w:val="0"/>
        <w:adjustRightInd w:val="0"/>
        <w:snapToGrid w:val="0"/>
        <w:spacing w:line="360" w:lineRule="auto"/>
        <w:jc w:val="center"/>
        <w:rPr>
          <w:rFonts w:hint="eastAsia" w:ascii="宋体" w:hAnsi="宋体" w:eastAsia="宋体" w:cs="宋体"/>
          <w:b/>
          <w:color w:val="auto"/>
          <w:kern w:val="0"/>
          <w:sz w:val="20"/>
          <w:szCs w:val="20"/>
          <w:highlight w:val="none"/>
        </w:rPr>
      </w:pPr>
    </w:p>
    <w:p w14:paraId="6B0EE4A0">
      <w:pPr>
        <w:pStyle w:val="3"/>
        <w:spacing w:line="360" w:lineRule="auto"/>
        <w:rPr>
          <w:rFonts w:hint="eastAsia" w:ascii="宋体" w:hAnsi="宋体" w:eastAsia="宋体" w:cs="宋体"/>
          <w:color w:val="auto"/>
          <w:spacing w:val="8"/>
          <w:kern w:val="0"/>
          <w:sz w:val="28"/>
          <w:szCs w:val="28"/>
          <w:highlight w:val="none"/>
          <w:u w:val="single"/>
        </w:rPr>
        <w:sectPr>
          <w:headerReference r:id="rId3" w:type="default"/>
          <w:footerReference r:id="rId4" w:type="default"/>
          <w:pgSz w:w="11907" w:h="16840"/>
          <w:pgMar w:top="1304" w:right="1134" w:bottom="1304" w:left="1304" w:header="851" w:footer="992" w:gutter="0"/>
          <w:pgNumType w:start="1"/>
          <w:cols w:space="720" w:num="1"/>
          <w:docGrid w:linePitch="312" w:charSpace="0"/>
        </w:sectPr>
      </w:pPr>
    </w:p>
    <w:bookmarkEnd w:id="9"/>
    <w:p w14:paraId="034DE6B5">
      <w:pPr>
        <w:pStyle w:val="44"/>
        <w:jc w:val="center"/>
        <w:rPr>
          <w:rFonts w:hint="eastAsia" w:ascii="宋体" w:hAnsi="宋体" w:eastAsia="宋体" w:cs="宋体"/>
          <w:color w:val="auto"/>
          <w:sz w:val="44"/>
          <w:szCs w:val="44"/>
          <w:highlight w:val="none"/>
        </w:rPr>
      </w:pPr>
      <w:bookmarkStart w:id="10" w:name="_Toc430530414"/>
      <w:r>
        <w:rPr>
          <w:rFonts w:hint="eastAsia" w:ascii="宋体" w:hAnsi="宋体" w:eastAsia="宋体" w:cs="宋体"/>
          <w:color w:val="auto"/>
          <w:sz w:val="44"/>
          <w:szCs w:val="44"/>
          <w:highlight w:val="none"/>
          <w:lang w:val="zh-CN"/>
        </w:rPr>
        <w:t>目</w:t>
      </w:r>
      <w:r>
        <w:rPr>
          <w:rFonts w:hint="eastAsia" w:ascii="宋体" w:hAnsi="宋体" w:eastAsia="宋体" w:cs="宋体"/>
          <w:color w:val="auto"/>
          <w:sz w:val="44"/>
          <w:szCs w:val="44"/>
          <w:highlight w:val="none"/>
        </w:rPr>
        <w:t xml:space="preserve"> </w:t>
      </w:r>
      <w:r>
        <w:rPr>
          <w:rFonts w:hint="eastAsia" w:ascii="宋体" w:hAnsi="宋体" w:eastAsia="宋体" w:cs="宋体"/>
          <w:color w:val="auto"/>
          <w:sz w:val="44"/>
          <w:szCs w:val="44"/>
          <w:highlight w:val="none"/>
          <w:lang w:val="zh-CN"/>
        </w:rPr>
        <w:t>录</w:t>
      </w:r>
    </w:p>
    <w:p w14:paraId="63687533">
      <w:pPr>
        <w:pStyle w:val="24"/>
        <w:tabs>
          <w:tab w:val="right" w:leader="dot" w:pos="9469"/>
        </w:tabs>
      </w:pP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 TOC \o "1-3" \h \z \u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Cs w:val="21"/>
          <w:highlight w:val="none"/>
        </w:rPr>
        <w:fldChar w:fldCharType="begin"/>
      </w:r>
      <w:r>
        <w:rPr>
          <w:rFonts w:hint="eastAsia" w:ascii="宋体" w:hAnsi="宋体" w:eastAsia="宋体" w:cs="宋体"/>
          <w:szCs w:val="21"/>
          <w:highlight w:val="none"/>
        </w:rPr>
        <w:instrText xml:space="preserve"> HYPERLINK \l _Toc5207 </w:instrText>
      </w:r>
      <w:r>
        <w:rPr>
          <w:rFonts w:hint="eastAsia" w:ascii="宋体" w:hAnsi="宋体" w:eastAsia="宋体" w:cs="宋体"/>
          <w:szCs w:val="21"/>
          <w:highlight w:val="none"/>
        </w:rPr>
        <w:fldChar w:fldCharType="separate"/>
      </w:r>
      <w:r>
        <w:rPr>
          <w:rFonts w:hint="eastAsia" w:ascii="宋体" w:hAnsi="宋体" w:eastAsia="宋体" w:cs="宋体"/>
          <w:szCs w:val="52"/>
          <w:highlight w:val="none"/>
        </w:rPr>
        <w:t>第 一 卷</w:t>
      </w:r>
      <w:r>
        <w:tab/>
      </w:r>
      <w:r>
        <w:fldChar w:fldCharType="begin"/>
      </w:r>
      <w:r>
        <w:instrText xml:space="preserve"> PAGEREF _Toc5207 \h </w:instrText>
      </w:r>
      <w:r>
        <w:fldChar w:fldCharType="separate"/>
      </w:r>
      <w:r>
        <w:t>4</w:t>
      </w:r>
      <w:r>
        <w:fldChar w:fldCharType="end"/>
      </w:r>
      <w:r>
        <w:rPr>
          <w:rFonts w:hint="eastAsia" w:ascii="宋体" w:hAnsi="宋体" w:eastAsia="宋体" w:cs="宋体"/>
          <w:color w:val="auto"/>
          <w:szCs w:val="21"/>
          <w:highlight w:val="none"/>
        </w:rPr>
        <w:fldChar w:fldCharType="end"/>
      </w:r>
    </w:p>
    <w:p w14:paraId="3F0E1D27">
      <w:pPr>
        <w:pStyle w:val="24"/>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_Toc25106 </w:instrText>
      </w:r>
      <w:r>
        <w:rPr>
          <w:rFonts w:hint="eastAsia" w:ascii="宋体" w:hAnsi="宋体" w:eastAsia="宋体" w:cs="宋体"/>
          <w:bCs/>
          <w:szCs w:val="21"/>
          <w:highlight w:val="none"/>
          <w:lang w:val="zh-CN"/>
        </w:rPr>
        <w:fldChar w:fldCharType="separate"/>
      </w:r>
      <w:r>
        <w:rPr>
          <w:rFonts w:hint="eastAsia" w:ascii="宋体" w:hAnsi="宋体" w:eastAsia="宋体" w:cs="宋体"/>
          <w:snapToGrid w:val="0"/>
          <w:kern w:val="0"/>
          <w:highlight w:val="none"/>
        </w:rPr>
        <w:t>第一章  招标公告</w:t>
      </w:r>
      <w:r>
        <w:tab/>
      </w:r>
      <w:r>
        <w:fldChar w:fldCharType="begin"/>
      </w:r>
      <w:r>
        <w:instrText xml:space="preserve"> PAGEREF _Toc25106 \h </w:instrText>
      </w:r>
      <w:r>
        <w:fldChar w:fldCharType="separate"/>
      </w:r>
      <w:r>
        <w:t>5</w:t>
      </w:r>
      <w:r>
        <w:fldChar w:fldCharType="end"/>
      </w:r>
      <w:r>
        <w:rPr>
          <w:rFonts w:hint="eastAsia" w:ascii="宋体" w:hAnsi="宋体" w:eastAsia="宋体" w:cs="宋体"/>
          <w:bCs/>
          <w:color w:val="auto"/>
          <w:szCs w:val="21"/>
          <w:highlight w:val="none"/>
          <w:lang w:val="zh-CN"/>
        </w:rPr>
        <w:fldChar w:fldCharType="end"/>
      </w:r>
    </w:p>
    <w:p w14:paraId="5673139D">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_Toc14110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snapToGrid w:val="0"/>
          <w:szCs w:val="24"/>
          <w:highlight w:val="none"/>
        </w:rPr>
        <w:t>1. 招标条件</w:t>
      </w:r>
      <w:r>
        <w:tab/>
      </w:r>
      <w:r>
        <w:fldChar w:fldCharType="begin"/>
      </w:r>
      <w:r>
        <w:instrText xml:space="preserve"> PAGEREF _Toc14110 \h </w:instrText>
      </w:r>
      <w:r>
        <w:fldChar w:fldCharType="separate"/>
      </w:r>
      <w:r>
        <w:t>5</w:t>
      </w:r>
      <w:r>
        <w:fldChar w:fldCharType="end"/>
      </w:r>
      <w:r>
        <w:rPr>
          <w:rFonts w:hint="eastAsia" w:ascii="宋体" w:hAnsi="宋体" w:eastAsia="宋体" w:cs="宋体"/>
          <w:bCs/>
          <w:color w:val="auto"/>
          <w:szCs w:val="21"/>
          <w:highlight w:val="none"/>
          <w:lang w:val="zh-CN"/>
        </w:rPr>
        <w:fldChar w:fldCharType="end"/>
      </w:r>
    </w:p>
    <w:p w14:paraId="0CBAE1B0">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_Toc14641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snapToGrid w:val="0"/>
          <w:szCs w:val="24"/>
          <w:highlight w:val="none"/>
        </w:rPr>
        <w:t>2. 项目概况与招标范围</w:t>
      </w:r>
      <w:r>
        <w:tab/>
      </w:r>
      <w:r>
        <w:fldChar w:fldCharType="begin"/>
      </w:r>
      <w:r>
        <w:instrText xml:space="preserve"> PAGEREF _Toc14641 \h </w:instrText>
      </w:r>
      <w:r>
        <w:fldChar w:fldCharType="separate"/>
      </w:r>
      <w:r>
        <w:t>5</w:t>
      </w:r>
      <w:r>
        <w:fldChar w:fldCharType="end"/>
      </w:r>
      <w:r>
        <w:rPr>
          <w:rFonts w:hint="eastAsia" w:ascii="宋体" w:hAnsi="宋体" w:eastAsia="宋体" w:cs="宋体"/>
          <w:bCs/>
          <w:color w:val="auto"/>
          <w:szCs w:val="21"/>
          <w:highlight w:val="none"/>
          <w:lang w:val="zh-CN"/>
        </w:rPr>
        <w:fldChar w:fldCharType="end"/>
      </w:r>
    </w:p>
    <w:p w14:paraId="4BB29E69">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_Toc15239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snapToGrid w:val="0"/>
          <w:szCs w:val="24"/>
          <w:highlight w:val="none"/>
        </w:rPr>
        <w:t>3. 投标人资格要求</w:t>
      </w:r>
      <w:r>
        <w:tab/>
      </w:r>
      <w:r>
        <w:fldChar w:fldCharType="begin"/>
      </w:r>
      <w:r>
        <w:instrText xml:space="preserve"> PAGEREF _Toc15239 \h </w:instrText>
      </w:r>
      <w:r>
        <w:fldChar w:fldCharType="separate"/>
      </w:r>
      <w:r>
        <w:t>5</w:t>
      </w:r>
      <w:r>
        <w:fldChar w:fldCharType="end"/>
      </w:r>
      <w:r>
        <w:rPr>
          <w:rFonts w:hint="eastAsia" w:ascii="宋体" w:hAnsi="宋体" w:eastAsia="宋体" w:cs="宋体"/>
          <w:bCs/>
          <w:color w:val="auto"/>
          <w:szCs w:val="21"/>
          <w:highlight w:val="none"/>
          <w:lang w:val="zh-CN"/>
        </w:rPr>
        <w:fldChar w:fldCharType="end"/>
      </w:r>
    </w:p>
    <w:p w14:paraId="0C2FDDC9">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_Toc13892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snapToGrid w:val="0"/>
          <w:szCs w:val="24"/>
          <w:highlight w:val="none"/>
        </w:rPr>
        <w:t>4.评标办法</w:t>
      </w:r>
      <w:r>
        <w:tab/>
      </w:r>
      <w:r>
        <w:fldChar w:fldCharType="begin"/>
      </w:r>
      <w:r>
        <w:instrText xml:space="preserve"> PAGEREF _Toc13892 \h </w:instrText>
      </w:r>
      <w:r>
        <w:fldChar w:fldCharType="separate"/>
      </w:r>
      <w:r>
        <w:t>6</w:t>
      </w:r>
      <w:r>
        <w:fldChar w:fldCharType="end"/>
      </w:r>
      <w:r>
        <w:rPr>
          <w:rFonts w:hint="eastAsia" w:ascii="宋体" w:hAnsi="宋体" w:eastAsia="宋体" w:cs="宋体"/>
          <w:bCs/>
          <w:color w:val="auto"/>
          <w:szCs w:val="21"/>
          <w:highlight w:val="none"/>
          <w:lang w:val="zh-CN"/>
        </w:rPr>
        <w:fldChar w:fldCharType="end"/>
      </w:r>
    </w:p>
    <w:p w14:paraId="2DA34685">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_Toc11902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snapToGrid w:val="0"/>
          <w:szCs w:val="24"/>
          <w:highlight w:val="none"/>
          <w:lang w:val="en-US" w:eastAsia="zh-CN"/>
        </w:rPr>
        <w:t>5.</w:t>
      </w:r>
      <w:r>
        <w:rPr>
          <w:rFonts w:hint="eastAsia" w:ascii="宋体" w:hAnsi="宋体" w:eastAsia="宋体" w:cs="宋体"/>
          <w:bCs w:val="0"/>
          <w:snapToGrid w:val="0"/>
          <w:szCs w:val="24"/>
          <w:highlight w:val="none"/>
        </w:rPr>
        <w:t>招标文件的获取</w:t>
      </w:r>
      <w:r>
        <w:tab/>
      </w:r>
      <w:r>
        <w:fldChar w:fldCharType="begin"/>
      </w:r>
      <w:r>
        <w:instrText xml:space="preserve"> PAGEREF _Toc11902 \h </w:instrText>
      </w:r>
      <w:r>
        <w:fldChar w:fldCharType="separate"/>
      </w:r>
      <w:r>
        <w:t>6</w:t>
      </w:r>
      <w:r>
        <w:fldChar w:fldCharType="end"/>
      </w:r>
      <w:r>
        <w:rPr>
          <w:rFonts w:hint="eastAsia" w:ascii="宋体" w:hAnsi="宋体" w:eastAsia="宋体" w:cs="宋体"/>
          <w:bCs/>
          <w:color w:val="auto"/>
          <w:szCs w:val="21"/>
          <w:highlight w:val="none"/>
          <w:lang w:val="zh-CN"/>
        </w:rPr>
        <w:fldChar w:fldCharType="end"/>
      </w:r>
    </w:p>
    <w:p w14:paraId="5478B724">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_Toc878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snapToGrid w:val="0"/>
          <w:szCs w:val="24"/>
          <w:highlight w:val="none"/>
          <w:lang w:val="en-US" w:eastAsia="zh-CN"/>
        </w:rPr>
        <w:t>6</w:t>
      </w:r>
      <w:r>
        <w:rPr>
          <w:rFonts w:hint="eastAsia" w:ascii="宋体" w:hAnsi="宋体" w:eastAsia="宋体" w:cs="宋体"/>
          <w:bCs w:val="0"/>
          <w:snapToGrid w:val="0"/>
          <w:szCs w:val="24"/>
          <w:highlight w:val="none"/>
        </w:rPr>
        <w:t>. 投标文件的递交</w:t>
      </w:r>
      <w:r>
        <w:tab/>
      </w:r>
      <w:r>
        <w:fldChar w:fldCharType="begin"/>
      </w:r>
      <w:r>
        <w:instrText xml:space="preserve"> PAGEREF _Toc878 \h </w:instrText>
      </w:r>
      <w:r>
        <w:fldChar w:fldCharType="separate"/>
      </w:r>
      <w:r>
        <w:t>6</w:t>
      </w:r>
      <w:r>
        <w:fldChar w:fldCharType="end"/>
      </w:r>
      <w:r>
        <w:rPr>
          <w:rFonts w:hint="eastAsia" w:ascii="宋体" w:hAnsi="宋体" w:eastAsia="宋体" w:cs="宋体"/>
          <w:bCs/>
          <w:color w:val="auto"/>
          <w:szCs w:val="21"/>
          <w:highlight w:val="none"/>
          <w:lang w:val="zh-CN"/>
        </w:rPr>
        <w:fldChar w:fldCharType="end"/>
      </w:r>
    </w:p>
    <w:p w14:paraId="6FA47EE6">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_Toc9976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snapToGrid w:val="0"/>
          <w:szCs w:val="24"/>
          <w:highlight w:val="none"/>
          <w:lang w:val="en-US" w:eastAsia="zh-CN"/>
        </w:rPr>
        <w:t>7</w:t>
      </w:r>
      <w:r>
        <w:rPr>
          <w:rFonts w:hint="eastAsia" w:ascii="宋体" w:hAnsi="宋体" w:eastAsia="宋体" w:cs="宋体"/>
          <w:bCs w:val="0"/>
          <w:snapToGrid w:val="0"/>
          <w:szCs w:val="24"/>
          <w:highlight w:val="none"/>
        </w:rPr>
        <w:t>. 发布公告的媒介</w:t>
      </w:r>
      <w:r>
        <w:tab/>
      </w:r>
      <w:r>
        <w:fldChar w:fldCharType="begin"/>
      </w:r>
      <w:r>
        <w:instrText xml:space="preserve"> PAGEREF _Toc9976 \h </w:instrText>
      </w:r>
      <w:r>
        <w:fldChar w:fldCharType="separate"/>
      </w:r>
      <w:r>
        <w:t>6</w:t>
      </w:r>
      <w:r>
        <w:fldChar w:fldCharType="end"/>
      </w:r>
      <w:r>
        <w:rPr>
          <w:rFonts w:hint="eastAsia" w:ascii="宋体" w:hAnsi="宋体" w:eastAsia="宋体" w:cs="宋体"/>
          <w:bCs/>
          <w:color w:val="auto"/>
          <w:szCs w:val="21"/>
          <w:highlight w:val="none"/>
          <w:lang w:val="zh-CN"/>
        </w:rPr>
        <w:fldChar w:fldCharType="end"/>
      </w:r>
    </w:p>
    <w:p w14:paraId="1674ED19">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_Toc959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snapToGrid w:val="0"/>
          <w:szCs w:val="24"/>
          <w:highlight w:val="none"/>
          <w:lang w:val="en-US" w:eastAsia="zh-CN"/>
        </w:rPr>
        <w:t>8.联系方式</w:t>
      </w:r>
      <w:r>
        <w:tab/>
      </w:r>
      <w:r>
        <w:fldChar w:fldCharType="begin"/>
      </w:r>
      <w:r>
        <w:instrText xml:space="preserve"> PAGEREF _Toc959 \h </w:instrText>
      </w:r>
      <w:r>
        <w:fldChar w:fldCharType="separate"/>
      </w:r>
      <w:r>
        <w:t>6</w:t>
      </w:r>
      <w:r>
        <w:fldChar w:fldCharType="end"/>
      </w:r>
      <w:r>
        <w:rPr>
          <w:rFonts w:hint="eastAsia" w:ascii="宋体" w:hAnsi="宋体" w:eastAsia="宋体" w:cs="宋体"/>
          <w:bCs/>
          <w:color w:val="auto"/>
          <w:szCs w:val="21"/>
          <w:highlight w:val="none"/>
          <w:lang w:val="zh-CN"/>
        </w:rPr>
        <w:fldChar w:fldCharType="end"/>
      </w:r>
    </w:p>
    <w:p w14:paraId="505F6FFB">
      <w:pPr>
        <w:pStyle w:val="24"/>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_Toc19432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snapToGrid w:val="0"/>
          <w:highlight w:val="none"/>
        </w:rPr>
        <w:t>第二章  投标人须知</w:t>
      </w:r>
      <w:r>
        <w:tab/>
      </w:r>
      <w:r>
        <w:fldChar w:fldCharType="begin"/>
      </w:r>
      <w:r>
        <w:instrText xml:space="preserve"> PAGEREF _Toc19432 \h </w:instrText>
      </w:r>
      <w:r>
        <w:fldChar w:fldCharType="separate"/>
      </w:r>
      <w:r>
        <w:t>8</w:t>
      </w:r>
      <w:r>
        <w:fldChar w:fldCharType="end"/>
      </w:r>
      <w:r>
        <w:rPr>
          <w:rFonts w:hint="eastAsia" w:ascii="宋体" w:hAnsi="宋体" w:eastAsia="宋体" w:cs="宋体"/>
          <w:bCs/>
          <w:color w:val="auto"/>
          <w:szCs w:val="21"/>
          <w:highlight w:val="none"/>
          <w:lang w:val="zh-CN"/>
        </w:rPr>
        <w:fldChar w:fldCharType="end"/>
      </w:r>
    </w:p>
    <w:p w14:paraId="05013A94">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_Toc31199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szCs w:val="28"/>
          <w:highlight w:val="none"/>
        </w:rPr>
        <w:t>投标人须知前附表</w:t>
      </w:r>
      <w:r>
        <w:tab/>
      </w:r>
      <w:r>
        <w:fldChar w:fldCharType="begin"/>
      </w:r>
      <w:r>
        <w:instrText xml:space="preserve"> PAGEREF _Toc31199 \h </w:instrText>
      </w:r>
      <w:r>
        <w:fldChar w:fldCharType="separate"/>
      </w:r>
      <w:r>
        <w:t>8</w:t>
      </w:r>
      <w:r>
        <w:fldChar w:fldCharType="end"/>
      </w:r>
      <w:r>
        <w:rPr>
          <w:rFonts w:hint="eastAsia" w:ascii="宋体" w:hAnsi="宋体" w:eastAsia="宋体" w:cs="宋体"/>
          <w:bCs/>
          <w:color w:val="auto"/>
          <w:szCs w:val="21"/>
          <w:highlight w:val="none"/>
          <w:lang w:val="zh-CN"/>
        </w:rPr>
        <w:fldChar w:fldCharType="end"/>
      </w:r>
    </w:p>
    <w:p w14:paraId="640BDE51">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_Toc14038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8"/>
          <w:highlight w:val="none"/>
        </w:rPr>
        <w:t>1. 总则</w:t>
      </w:r>
      <w:r>
        <w:tab/>
      </w:r>
      <w:r>
        <w:fldChar w:fldCharType="begin"/>
      </w:r>
      <w:r>
        <w:instrText xml:space="preserve"> PAGEREF _Toc14038 \h </w:instrText>
      </w:r>
      <w:r>
        <w:fldChar w:fldCharType="separate"/>
      </w:r>
      <w:r>
        <w:t>24</w:t>
      </w:r>
      <w:r>
        <w:fldChar w:fldCharType="end"/>
      </w:r>
      <w:r>
        <w:rPr>
          <w:rFonts w:hint="eastAsia" w:ascii="宋体" w:hAnsi="宋体" w:eastAsia="宋体" w:cs="宋体"/>
          <w:bCs/>
          <w:color w:val="auto"/>
          <w:szCs w:val="21"/>
          <w:highlight w:val="none"/>
          <w:lang w:val="zh-CN"/>
        </w:rPr>
        <w:fldChar w:fldCharType="end"/>
      </w:r>
    </w:p>
    <w:p w14:paraId="37DCE732">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_Toc23752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1.1 项目概况</w:t>
      </w:r>
      <w:r>
        <w:tab/>
      </w:r>
      <w:r>
        <w:fldChar w:fldCharType="begin"/>
      </w:r>
      <w:r>
        <w:instrText xml:space="preserve"> PAGEREF _Toc23752 \h </w:instrText>
      </w:r>
      <w:r>
        <w:fldChar w:fldCharType="separate"/>
      </w:r>
      <w:r>
        <w:t>24</w:t>
      </w:r>
      <w:r>
        <w:fldChar w:fldCharType="end"/>
      </w:r>
      <w:r>
        <w:rPr>
          <w:rFonts w:hint="eastAsia" w:ascii="宋体" w:hAnsi="宋体" w:eastAsia="宋体" w:cs="宋体"/>
          <w:bCs/>
          <w:color w:val="auto"/>
          <w:szCs w:val="21"/>
          <w:highlight w:val="none"/>
          <w:lang w:val="zh-CN"/>
        </w:rPr>
        <w:fldChar w:fldCharType="end"/>
      </w:r>
    </w:p>
    <w:p w14:paraId="0D6D5F0F">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_Toc29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1.2 招标项目的资金来源和落实情况</w:t>
      </w:r>
      <w:r>
        <w:tab/>
      </w:r>
      <w:r>
        <w:fldChar w:fldCharType="begin"/>
      </w:r>
      <w:r>
        <w:instrText xml:space="preserve"> PAGEREF _Toc29 \h </w:instrText>
      </w:r>
      <w:r>
        <w:fldChar w:fldCharType="separate"/>
      </w:r>
      <w:r>
        <w:t>24</w:t>
      </w:r>
      <w:r>
        <w:fldChar w:fldCharType="end"/>
      </w:r>
      <w:r>
        <w:rPr>
          <w:rFonts w:hint="eastAsia" w:ascii="宋体" w:hAnsi="宋体" w:eastAsia="宋体" w:cs="宋体"/>
          <w:bCs/>
          <w:color w:val="auto"/>
          <w:szCs w:val="21"/>
          <w:highlight w:val="none"/>
          <w:lang w:val="zh-CN"/>
        </w:rPr>
        <w:fldChar w:fldCharType="end"/>
      </w:r>
    </w:p>
    <w:p w14:paraId="451F18E9">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_Toc5007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1.3 招标范围、计划工期、质量要求和安全目标</w:t>
      </w:r>
      <w:r>
        <w:tab/>
      </w:r>
      <w:r>
        <w:fldChar w:fldCharType="begin"/>
      </w:r>
      <w:r>
        <w:instrText xml:space="preserve"> PAGEREF _Toc5007 \h </w:instrText>
      </w:r>
      <w:r>
        <w:fldChar w:fldCharType="separate"/>
      </w:r>
      <w:r>
        <w:t>24</w:t>
      </w:r>
      <w:r>
        <w:fldChar w:fldCharType="end"/>
      </w:r>
      <w:r>
        <w:rPr>
          <w:rFonts w:hint="eastAsia" w:ascii="宋体" w:hAnsi="宋体" w:eastAsia="宋体" w:cs="宋体"/>
          <w:bCs/>
          <w:color w:val="auto"/>
          <w:szCs w:val="21"/>
          <w:highlight w:val="none"/>
          <w:lang w:val="zh-CN"/>
        </w:rPr>
        <w:fldChar w:fldCharType="end"/>
      </w:r>
    </w:p>
    <w:p w14:paraId="339AFC8E">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_Toc27158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1.4 投标人资格要求（适用于已进行资格预审的）</w:t>
      </w:r>
      <w:r>
        <w:tab/>
      </w:r>
      <w:r>
        <w:fldChar w:fldCharType="begin"/>
      </w:r>
      <w:r>
        <w:instrText xml:space="preserve"> PAGEREF _Toc27158 \h </w:instrText>
      </w:r>
      <w:r>
        <w:fldChar w:fldCharType="separate"/>
      </w:r>
      <w:r>
        <w:t>24</w:t>
      </w:r>
      <w:r>
        <w:fldChar w:fldCharType="end"/>
      </w:r>
      <w:r>
        <w:rPr>
          <w:rFonts w:hint="eastAsia" w:ascii="宋体" w:hAnsi="宋体" w:eastAsia="宋体" w:cs="宋体"/>
          <w:bCs/>
          <w:color w:val="auto"/>
          <w:szCs w:val="21"/>
          <w:highlight w:val="none"/>
          <w:lang w:val="zh-CN"/>
        </w:rPr>
        <w:fldChar w:fldCharType="end"/>
      </w:r>
    </w:p>
    <w:p w14:paraId="14A4FF12">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_Toc22615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1.4 投标人资格要求（适用于未进行资格预审的）</w:t>
      </w:r>
      <w:r>
        <w:tab/>
      </w:r>
      <w:r>
        <w:fldChar w:fldCharType="begin"/>
      </w:r>
      <w:r>
        <w:instrText xml:space="preserve"> PAGEREF _Toc22615 \h </w:instrText>
      </w:r>
      <w:r>
        <w:fldChar w:fldCharType="separate"/>
      </w:r>
      <w:r>
        <w:t>24</w:t>
      </w:r>
      <w:r>
        <w:fldChar w:fldCharType="end"/>
      </w:r>
      <w:r>
        <w:rPr>
          <w:rFonts w:hint="eastAsia" w:ascii="宋体" w:hAnsi="宋体" w:eastAsia="宋体" w:cs="宋体"/>
          <w:bCs/>
          <w:color w:val="auto"/>
          <w:szCs w:val="21"/>
          <w:highlight w:val="none"/>
          <w:lang w:val="zh-CN"/>
        </w:rPr>
        <w:fldChar w:fldCharType="end"/>
      </w:r>
    </w:p>
    <w:p w14:paraId="6B833464">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_Toc2758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1.5 费用承担</w:t>
      </w:r>
      <w:r>
        <w:tab/>
      </w:r>
      <w:r>
        <w:fldChar w:fldCharType="begin"/>
      </w:r>
      <w:r>
        <w:instrText xml:space="preserve"> PAGEREF _Toc2758 \h </w:instrText>
      </w:r>
      <w:r>
        <w:fldChar w:fldCharType="separate"/>
      </w:r>
      <w:r>
        <w:t>25</w:t>
      </w:r>
      <w:r>
        <w:fldChar w:fldCharType="end"/>
      </w:r>
      <w:r>
        <w:rPr>
          <w:rFonts w:hint="eastAsia" w:ascii="宋体" w:hAnsi="宋体" w:eastAsia="宋体" w:cs="宋体"/>
          <w:bCs/>
          <w:color w:val="auto"/>
          <w:szCs w:val="21"/>
          <w:highlight w:val="none"/>
          <w:lang w:val="zh-CN"/>
        </w:rPr>
        <w:fldChar w:fldCharType="end"/>
      </w:r>
    </w:p>
    <w:p w14:paraId="24D773D8">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_Toc17365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1.6 保密</w:t>
      </w:r>
      <w:r>
        <w:tab/>
      </w:r>
      <w:r>
        <w:fldChar w:fldCharType="begin"/>
      </w:r>
      <w:r>
        <w:instrText xml:space="preserve"> PAGEREF _Toc17365 \h </w:instrText>
      </w:r>
      <w:r>
        <w:fldChar w:fldCharType="separate"/>
      </w:r>
      <w:r>
        <w:t>25</w:t>
      </w:r>
      <w:r>
        <w:fldChar w:fldCharType="end"/>
      </w:r>
      <w:r>
        <w:rPr>
          <w:rFonts w:hint="eastAsia" w:ascii="宋体" w:hAnsi="宋体" w:eastAsia="宋体" w:cs="宋体"/>
          <w:bCs/>
          <w:color w:val="auto"/>
          <w:szCs w:val="21"/>
          <w:highlight w:val="none"/>
          <w:lang w:val="zh-CN"/>
        </w:rPr>
        <w:fldChar w:fldCharType="end"/>
      </w:r>
    </w:p>
    <w:p w14:paraId="75864F2A">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_Toc4034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1.7 语言文字</w:t>
      </w:r>
      <w:r>
        <w:tab/>
      </w:r>
      <w:r>
        <w:fldChar w:fldCharType="begin"/>
      </w:r>
      <w:r>
        <w:instrText xml:space="preserve"> PAGEREF _Toc4034 \h </w:instrText>
      </w:r>
      <w:r>
        <w:fldChar w:fldCharType="separate"/>
      </w:r>
      <w:r>
        <w:t>26</w:t>
      </w:r>
      <w:r>
        <w:fldChar w:fldCharType="end"/>
      </w:r>
      <w:r>
        <w:rPr>
          <w:rFonts w:hint="eastAsia" w:ascii="宋体" w:hAnsi="宋体" w:eastAsia="宋体" w:cs="宋体"/>
          <w:bCs/>
          <w:color w:val="auto"/>
          <w:szCs w:val="21"/>
          <w:highlight w:val="none"/>
          <w:lang w:val="zh-CN"/>
        </w:rPr>
        <w:fldChar w:fldCharType="end"/>
      </w:r>
    </w:p>
    <w:p w14:paraId="26F7EBEF">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_Toc19995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1.8 计量单位</w:t>
      </w:r>
      <w:r>
        <w:tab/>
      </w:r>
      <w:r>
        <w:fldChar w:fldCharType="begin"/>
      </w:r>
      <w:r>
        <w:instrText xml:space="preserve"> PAGEREF _Toc19995 \h </w:instrText>
      </w:r>
      <w:r>
        <w:fldChar w:fldCharType="separate"/>
      </w:r>
      <w:r>
        <w:t>26</w:t>
      </w:r>
      <w:r>
        <w:fldChar w:fldCharType="end"/>
      </w:r>
      <w:r>
        <w:rPr>
          <w:rFonts w:hint="eastAsia" w:ascii="宋体" w:hAnsi="宋体" w:eastAsia="宋体" w:cs="宋体"/>
          <w:bCs/>
          <w:color w:val="auto"/>
          <w:szCs w:val="21"/>
          <w:highlight w:val="none"/>
          <w:lang w:val="zh-CN"/>
        </w:rPr>
        <w:fldChar w:fldCharType="end"/>
      </w:r>
    </w:p>
    <w:p w14:paraId="32E20A44">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_Toc22117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1.9 踏勘现场</w:t>
      </w:r>
      <w:r>
        <w:tab/>
      </w:r>
      <w:r>
        <w:fldChar w:fldCharType="begin"/>
      </w:r>
      <w:r>
        <w:instrText xml:space="preserve"> PAGEREF _Toc22117 \h </w:instrText>
      </w:r>
      <w:r>
        <w:fldChar w:fldCharType="separate"/>
      </w:r>
      <w:r>
        <w:t>26</w:t>
      </w:r>
      <w:r>
        <w:fldChar w:fldCharType="end"/>
      </w:r>
      <w:r>
        <w:rPr>
          <w:rFonts w:hint="eastAsia" w:ascii="宋体" w:hAnsi="宋体" w:eastAsia="宋体" w:cs="宋体"/>
          <w:bCs/>
          <w:color w:val="auto"/>
          <w:szCs w:val="21"/>
          <w:highlight w:val="none"/>
          <w:lang w:val="zh-CN"/>
        </w:rPr>
        <w:fldChar w:fldCharType="end"/>
      </w:r>
    </w:p>
    <w:p w14:paraId="526E0217">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_Toc13945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1.10 投标预备会</w:t>
      </w:r>
      <w:r>
        <w:tab/>
      </w:r>
      <w:r>
        <w:fldChar w:fldCharType="begin"/>
      </w:r>
      <w:r>
        <w:instrText xml:space="preserve"> PAGEREF _Toc13945 \h </w:instrText>
      </w:r>
      <w:r>
        <w:fldChar w:fldCharType="separate"/>
      </w:r>
      <w:r>
        <w:t>26</w:t>
      </w:r>
      <w:r>
        <w:fldChar w:fldCharType="end"/>
      </w:r>
      <w:r>
        <w:rPr>
          <w:rFonts w:hint="eastAsia" w:ascii="宋体" w:hAnsi="宋体" w:eastAsia="宋体" w:cs="宋体"/>
          <w:bCs/>
          <w:color w:val="auto"/>
          <w:szCs w:val="21"/>
          <w:highlight w:val="none"/>
          <w:lang w:val="zh-CN"/>
        </w:rPr>
        <w:fldChar w:fldCharType="end"/>
      </w:r>
    </w:p>
    <w:p w14:paraId="094BD1D7">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_Toc8849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1.11 分包</w:t>
      </w:r>
      <w:r>
        <w:tab/>
      </w:r>
      <w:r>
        <w:fldChar w:fldCharType="begin"/>
      </w:r>
      <w:r>
        <w:instrText xml:space="preserve"> PAGEREF _Toc8849 \h </w:instrText>
      </w:r>
      <w:r>
        <w:fldChar w:fldCharType="separate"/>
      </w:r>
      <w:r>
        <w:t>26</w:t>
      </w:r>
      <w:r>
        <w:fldChar w:fldCharType="end"/>
      </w:r>
      <w:r>
        <w:rPr>
          <w:rFonts w:hint="eastAsia" w:ascii="宋体" w:hAnsi="宋体" w:eastAsia="宋体" w:cs="宋体"/>
          <w:bCs/>
          <w:color w:val="auto"/>
          <w:szCs w:val="21"/>
          <w:highlight w:val="none"/>
          <w:lang w:val="zh-CN"/>
        </w:rPr>
        <w:fldChar w:fldCharType="end"/>
      </w:r>
    </w:p>
    <w:p w14:paraId="7EFB62C5">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_Toc5053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1.12 响应和偏差</w:t>
      </w:r>
      <w:r>
        <w:tab/>
      </w:r>
      <w:r>
        <w:fldChar w:fldCharType="begin"/>
      </w:r>
      <w:r>
        <w:instrText xml:space="preserve"> PAGEREF _Toc5053 \h </w:instrText>
      </w:r>
      <w:r>
        <w:fldChar w:fldCharType="separate"/>
      </w:r>
      <w:r>
        <w:t>27</w:t>
      </w:r>
      <w:r>
        <w:fldChar w:fldCharType="end"/>
      </w:r>
      <w:r>
        <w:rPr>
          <w:rFonts w:hint="eastAsia" w:ascii="宋体" w:hAnsi="宋体" w:eastAsia="宋体" w:cs="宋体"/>
          <w:bCs/>
          <w:color w:val="auto"/>
          <w:szCs w:val="21"/>
          <w:highlight w:val="none"/>
          <w:lang w:val="zh-CN"/>
        </w:rPr>
        <w:fldChar w:fldCharType="end"/>
      </w:r>
    </w:p>
    <w:p w14:paraId="00CE89BB">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_Toc20620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8"/>
          <w:highlight w:val="none"/>
        </w:rPr>
        <w:t>2. 招标文件</w:t>
      </w:r>
      <w:r>
        <w:tab/>
      </w:r>
      <w:r>
        <w:fldChar w:fldCharType="begin"/>
      </w:r>
      <w:r>
        <w:instrText xml:space="preserve"> PAGEREF _Toc20620 \h </w:instrText>
      </w:r>
      <w:r>
        <w:fldChar w:fldCharType="separate"/>
      </w:r>
      <w:r>
        <w:t>27</w:t>
      </w:r>
      <w:r>
        <w:fldChar w:fldCharType="end"/>
      </w:r>
      <w:r>
        <w:rPr>
          <w:rFonts w:hint="eastAsia" w:ascii="宋体" w:hAnsi="宋体" w:eastAsia="宋体" w:cs="宋体"/>
          <w:bCs/>
          <w:color w:val="auto"/>
          <w:szCs w:val="21"/>
          <w:highlight w:val="none"/>
          <w:lang w:val="zh-CN"/>
        </w:rPr>
        <w:fldChar w:fldCharType="end"/>
      </w:r>
    </w:p>
    <w:p w14:paraId="0D16FD2D">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_Toc5912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2.1 招标文件的组成</w:t>
      </w:r>
      <w:r>
        <w:tab/>
      </w:r>
      <w:r>
        <w:fldChar w:fldCharType="begin"/>
      </w:r>
      <w:r>
        <w:instrText xml:space="preserve"> PAGEREF _Toc5912 \h </w:instrText>
      </w:r>
      <w:r>
        <w:fldChar w:fldCharType="separate"/>
      </w:r>
      <w:r>
        <w:t>27</w:t>
      </w:r>
      <w:r>
        <w:fldChar w:fldCharType="end"/>
      </w:r>
      <w:r>
        <w:rPr>
          <w:rFonts w:hint="eastAsia" w:ascii="宋体" w:hAnsi="宋体" w:eastAsia="宋体" w:cs="宋体"/>
          <w:bCs/>
          <w:color w:val="auto"/>
          <w:szCs w:val="21"/>
          <w:highlight w:val="none"/>
          <w:lang w:val="zh-CN"/>
        </w:rPr>
        <w:fldChar w:fldCharType="end"/>
      </w:r>
    </w:p>
    <w:p w14:paraId="0DF8FD0E">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_Toc699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2.2 招标文件的澄清</w:t>
      </w:r>
      <w:r>
        <w:tab/>
      </w:r>
      <w:r>
        <w:fldChar w:fldCharType="begin"/>
      </w:r>
      <w:r>
        <w:instrText xml:space="preserve"> PAGEREF _Toc699 \h </w:instrText>
      </w:r>
      <w:r>
        <w:fldChar w:fldCharType="separate"/>
      </w:r>
      <w:r>
        <w:t>28</w:t>
      </w:r>
      <w:r>
        <w:fldChar w:fldCharType="end"/>
      </w:r>
      <w:r>
        <w:rPr>
          <w:rFonts w:hint="eastAsia" w:ascii="宋体" w:hAnsi="宋体" w:eastAsia="宋体" w:cs="宋体"/>
          <w:bCs/>
          <w:color w:val="auto"/>
          <w:szCs w:val="21"/>
          <w:highlight w:val="none"/>
          <w:lang w:val="zh-CN"/>
        </w:rPr>
        <w:fldChar w:fldCharType="end"/>
      </w:r>
    </w:p>
    <w:p w14:paraId="215AAB8F">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_Toc8041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2.3 招标文件的修改</w:t>
      </w:r>
      <w:r>
        <w:tab/>
      </w:r>
      <w:r>
        <w:fldChar w:fldCharType="begin"/>
      </w:r>
      <w:r>
        <w:instrText xml:space="preserve"> PAGEREF _Toc8041 \h </w:instrText>
      </w:r>
      <w:r>
        <w:fldChar w:fldCharType="separate"/>
      </w:r>
      <w:r>
        <w:t>28</w:t>
      </w:r>
      <w:r>
        <w:fldChar w:fldCharType="end"/>
      </w:r>
      <w:r>
        <w:rPr>
          <w:rFonts w:hint="eastAsia" w:ascii="宋体" w:hAnsi="宋体" w:eastAsia="宋体" w:cs="宋体"/>
          <w:bCs/>
          <w:color w:val="auto"/>
          <w:szCs w:val="21"/>
          <w:highlight w:val="none"/>
          <w:lang w:val="zh-CN"/>
        </w:rPr>
        <w:fldChar w:fldCharType="end"/>
      </w:r>
    </w:p>
    <w:p w14:paraId="68623BA2">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_Toc4685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8"/>
          <w:highlight w:val="none"/>
        </w:rPr>
        <w:t>3. 投标文件</w:t>
      </w:r>
      <w:r>
        <w:tab/>
      </w:r>
      <w:r>
        <w:fldChar w:fldCharType="begin"/>
      </w:r>
      <w:r>
        <w:instrText xml:space="preserve"> PAGEREF _Toc4685 \h </w:instrText>
      </w:r>
      <w:r>
        <w:fldChar w:fldCharType="separate"/>
      </w:r>
      <w:r>
        <w:t>28</w:t>
      </w:r>
      <w:r>
        <w:fldChar w:fldCharType="end"/>
      </w:r>
      <w:r>
        <w:rPr>
          <w:rFonts w:hint="eastAsia" w:ascii="宋体" w:hAnsi="宋体" w:eastAsia="宋体" w:cs="宋体"/>
          <w:bCs/>
          <w:color w:val="auto"/>
          <w:szCs w:val="21"/>
          <w:highlight w:val="none"/>
          <w:lang w:val="zh-CN"/>
        </w:rPr>
        <w:fldChar w:fldCharType="end"/>
      </w:r>
    </w:p>
    <w:p w14:paraId="49170F7B">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_Toc26570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3.1投标文件的组成</w:t>
      </w:r>
      <w:r>
        <w:tab/>
      </w:r>
      <w:r>
        <w:fldChar w:fldCharType="begin"/>
      </w:r>
      <w:r>
        <w:instrText xml:space="preserve"> PAGEREF _Toc26570 \h </w:instrText>
      </w:r>
      <w:r>
        <w:fldChar w:fldCharType="separate"/>
      </w:r>
      <w:r>
        <w:t>28</w:t>
      </w:r>
      <w:r>
        <w:fldChar w:fldCharType="end"/>
      </w:r>
      <w:r>
        <w:rPr>
          <w:rFonts w:hint="eastAsia" w:ascii="宋体" w:hAnsi="宋体" w:eastAsia="宋体" w:cs="宋体"/>
          <w:bCs/>
          <w:color w:val="auto"/>
          <w:szCs w:val="21"/>
          <w:highlight w:val="none"/>
          <w:lang w:val="zh-CN"/>
        </w:rPr>
        <w:fldChar w:fldCharType="end"/>
      </w:r>
    </w:p>
    <w:p w14:paraId="5A517EE2">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_Toc523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3.2 投标报价</w:t>
      </w:r>
      <w:r>
        <w:tab/>
      </w:r>
      <w:r>
        <w:fldChar w:fldCharType="begin"/>
      </w:r>
      <w:r>
        <w:instrText xml:space="preserve"> PAGEREF _Toc523 \h </w:instrText>
      </w:r>
      <w:r>
        <w:fldChar w:fldCharType="separate"/>
      </w:r>
      <w:r>
        <w:t>29</w:t>
      </w:r>
      <w:r>
        <w:fldChar w:fldCharType="end"/>
      </w:r>
      <w:r>
        <w:rPr>
          <w:rFonts w:hint="eastAsia" w:ascii="宋体" w:hAnsi="宋体" w:eastAsia="宋体" w:cs="宋体"/>
          <w:bCs/>
          <w:color w:val="auto"/>
          <w:szCs w:val="21"/>
          <w:highlight w:val="none"/>
          <w:lang w:val="zh-CN"/>
        </w:rPr>
        <w:fldChar w:fldCharType="end"/>
      </w:r>
    </w:p>
    <w:p w14:paraId="6E8490FF">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_Toc13195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3.3投标有效期</w:t>
      </w:r>
      <w:r>
        <w:tab/>
      </w:r>
      <w:r>
        <w:fldChar w:fldCharType="begin"/>
      </w:r>
      <w:r>
        <w:instrText xml:space="preserve"> PAGEREF _Toc13195 \h </w:instrText>
      </w:r>
      <w:r>
        <w:fldChar w:fldCharType="separate"/>
      </w:r>
      <w:r>
        <w:t>29</w:t>
      </w:r>
      <w:r>
        <w:fldChar w:fldCharType="end"/>
      </w:r>
      <w:r>
        <w:rPr>
          <w:rFonts w:hint="eastAsia" w:ascii="宋体" w:hAnsi="宋体" w:eastAsia="宋体" w:cs="宋体"/>
          <w:bCs/>
          <w:color w:val="auto"/>
          <w:szCs w:val="21"/>
          <w:highlight w:val="none"/>
          <w:lang w:val="zh-CN"/>
        </w:rPr>
        <w:fldChar w:fldCharType="end"/>
      </w:r>
    </w:p>
    <w:p w14:paraId="676B0C0E">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_Toc27889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3.4 投标保证金</w:t>
      </w:r>
      <w:r>
        <w:tab/>
      </w:r>
      <w:r>
        <w:fldChar w:fldCharType="begin"/>
      </w:r>
      <w:r>
        <w:instrText xml:space="preserve"> PAGEREF _Toc27889 \h </w:instrText>
      </w:r>
      <w:r>
        <w:fldChar w:fldCharType="separate"/>
      </w:r>
      <w:r>
        <w:t>30</w:t>
      </w:r>
      <w:r>
        <w:fldChar w:fldCharType="end"/>
      </w:r>
      <w:r>
        <w:rPr>
          <w:rFonts w:hint="eastAsia" w:ascii="宋体" w:hAnsi="宋体" w:eastAsia="宋体" w:cs="宋体"/>
          <w:bCs/>
          <w:color w:val="auto"/>
          <w:szCs w:val="21"/>
          <w:highlight w:val="none"/>
          <w:lang w:val="zh-CN"/>
        </w:rPr>
        <w:fldChar w:fldCharType="end"/>
      </w:r>
    </w:p>
    <w:p w14:paraId="72E7DE48">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_Toc11009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3.5 资格审查资料（适用于已进行资格预审的）</w:t>
      </w:r>
      <w:r>
        <w:tab/>
      </w:r>
      <w:r>
        <w:fldChar w:fldCharType="begin"/>
      </w:r>
      <w:r>
        <w:instrText xml:space="preserve"> PAGEREF _Toc11009 \h </w:instrText>
      </w:r>
      <w:r>
        <w:fldChar w:fldCharType="separate"/>
      </w:r>
      <w:r>
        <w:t>30</w:t>
      </w:r>
      <w:r>
        <w:fldChar w:fldCharType="end"/>
      </w:r>
      <w:r>
        <w:rPr>
          <w:rFonts w:hint="eastAsia" w:ascii="宋体" w:hAnsi="宋体" w:eastAsia="宋体" w:cs="宋体"/>
          <w:bCs/>
          <w:color w:val="auto"/>
          <w:szCs w:val="21"/>
          <w:highlight w:val="none"/>
          <w:lang w:val="zh-CN"/>
        </w:rPr>
        <w:fldChar w:fldCharType="end"/>
      </w:r>
    </w:p>
    <w:p w14:paraId="3E7AD0AA">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_Toc30678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3.5资格审查资料（适用于</w:t>
      </w:r>
      <w:r>
        <w:rPr>
          <w:rFonts w:hint="eastAsia" w:ascii="宋体" w:hAnsi="宋体" w:eastAsia="宋体" w:cs="宋体"/>
          <w:szCs w:val="21"/>
          <w:highlight w:val="none"/>
          <w:lang w:val="en-US" w:eastAsia="zh-CN"/>
        </w:rPr>
        <w:t>未</w:t>
      </w:r>
      <w:r>
        <w:rPr>
          <w:rFonts w:hint="eastAsia" w:ascii="宋体" w:hAnsi="宋体" w:eastAsia="宋体" w:cs="宋体"/>
          <w:szCs w:val="21"/>
          <w:highlight w:val="none"/>
        </w:rPr>
        <w:t>进行资格预审的）</w:t>
      </w:r>
      <w:r>
        <w:tab/>
      </w:r>
      <w:r>
        <w:fldChar w:fldCharType="begin"/>
      </w:r>
      <w:r>
        <w:instrText xml:space="preserve"> PAGEREF _Toc30678 \h </w:instrText>
      </w:r>
      <w:r>
        <w:fldChar w:fldCharType="separate"/>
      </w:r>
      <w:r>
        <w:t>31</w:t>
      </w:r>
      <w:r>
        <w:fldChar w:fldCharType="end"/>
      </w:r>
      <w:r>
        <w:rPr>
          <w:rFonts w:hint="eastAsia" w:ascii="宋体" w:hAnsi="宋体" w:eastAsia="宋体" w:cs="宋体"/>
          <w:bCs/>
          <w:color w:val="auto"/>
          <w:szCs w:val="21"/>
          <w:highlight w:val="none"/>
          <w:lang w:val="zh-CN"/>
        </w:rPr>
        <w:fldChar w:fldCharType="end"/>
      </w:r>
    </w:p>
    <w:p w14:paraId="4BA93B6C">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_Toc12012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3.6 备选投标方案</w:t>
      </w:r>
      <w:r>
        <w:tab/>
      </w:r>
      <w:r>
        <w:fldChar w:fldCharType="begin"/>
      </w:r>
      <w:r>
        <w:instrText xml:space="preserve"> PAGEREF _Toc12012 \h </w:instrText>
      </w:r>
      <w:r>
        <w:fldChar w:fldCharType="separate"/>
      </w:r>
      <w:r>
        <w:t>32</w:t>
      </w:r>
      <w:r>
        <w:fldChar w:fldCharType="end"/>
      </w:r>
      <w:r>
        <w:rPr>
          <w:rFonts w:hint="eastAsia" w:ascii="宋体" w:hAnsi="宋体" w:eastAsia="宋体" w:cs="宋体"/>
          <w:bCs/>
          <w:color w:val="auto"/>
          <w:szCs w:val="21"/>
          <w:highlight w:val="none"/>
          <w:lang w:val="zh-CN"/>
        </w:rPr>
        <w:fldChar w:fldCharType="end"/>
      </w:r>
    </w:p>
    <w:p w14:paraId="0FE91DF0">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_Toc25781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3.7 投标文件的编制</w:t>
      </w:r>
      <w:r>
        <w:tab/>
      </w:r>
      <w:r>
        <w:fldChar w:fldCharType="begin"/>
      </w:r>
      <w:r>
        <w:instrText xml:space="preserve"> PAGEREF _Toc25781 \h </w:instrText>
      </w:r>
      <w:r>
        <w:fldChar w:fldCharType="separate"/>
      </w:r>
      <w:r>
        <w:t>33</w:t>
      </w:r>
      <w:r>
        <w:fldChar w:fldCharType="end"/>
      </w:r>
      <w:r>
        <w:rPr>
          <w:rFonts w:hint="eastAsia" w:ascii="宋体" w:hAnsi="宋体" w:eastAsia="宋体" w:cs="宋体"/>
          <w:bCs/>
          <w:color w:val="auto"/>
          <w:szCs w:val="21"/>
          <w:highlight w:val="none"/>
          <w:lang w:val="zh-CN"/>
        </w:rPr>
        <w:fldChar w:fldCharType="end"/>
      </w:r>
    </w:p>
    <w:p w14:paraId="7D05A8BD">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_Toc17771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8"/>
          <w:highlight w:val="none"/>
        </w:rPr>
        <w:t>4. 投标</w:t>
      </w:r>
      <w:r>
        <w:tab/>
      </w:r>
      <w:r>
        <w:fldChar w:fldCharType="begin"/>
      </w:r>
      <w:r>
        <w:instrText xml:space="preserve"> PAGEREF _Toc17771 \h </w:instrText>
      </w:r>
      <w:r>
        <w:fldChar w:fldCharType="separate"/>
      </w:r>
      <w:r>
        <w:t>33</w:t>
      </w:r>
      <w:r>
        <w:fldChar w:fldCharType="end"/>
      </w:r>
      <w:r>
        <w:rPr>
          <w:rFonts w:hint="eastAsia" w:ascii="宋体" w:hAnsi="宋体" w:eastAsia="宋体" w:cs="宋体"/>
          <w:bCs/>
          <w:color w:val="auto"/>
          <w:szCs w:val="21"/>
          <w:highlight w:val="none"/>
          <w:lang w:val="zh-CN"/>
        </w:rPr>
        <w:fldChar w:fldCharType="end"/>
      </w:r>
    </w:p>
    <w:p w14:paraId="0E2FA3D5">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_Toc9099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4.1 投标文件的密封和标识</w:t>
      </w:r>
      <w:r>
        <w:tab/>
      </w:r>
      <w:r>
        <w:fldChar w:fldCharType="begin"/>
      </w:r>
      <w:r>
        <w:instrText xml:space="preserve"> PAGEREF _Toc9099 \h </w:instrText>
      </w:r>
      <w:r>
        <w:fldChar w:fldCharType="separate"/>
      </w:r>
      <w:r>
        <w:t>33</w:t>
      </w:r>
      <w:r>
        <w:fldChar w:fldCharType="end"/>
      </w:r>
      <w:r>
        <w:rPr>
          <w:rFonts w:hint="eastAsia" w:ascii="宋体" w:hAnsi="宋体" w:eastAsia="宋体" w:cs="宋体"/>
          <w:bCs/>
          <w:color w:val="auto"/>
          <w:szCs w:val="21"/>
          <w:highlight w:val="none"/>
          <w:lang w:val="zh-CN"/>
        </w:rPr>
        <w:fldChar w:fldCharType="end"/>
      </w:r>
    </w:p>
    <w:p w14:paraId="277D6221">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_Toc13585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4.2投标文件的递交</w:t>
      </w:r>
      <w:r>
        <w:tab/>
      </w:r>
      <w:r>
        <w:fldChar w:fldCharType="begin"/>
      </w:r>
      <w:r>
        <w:instrText xml:space="preserve"> PAGEREF _Toc13585 \h </w:instrText>
      </w:r>
      <w:r>
        <w:fldChar w:fldCharType="separate"/>
      </w:r>
      <w:r>
        <w:t>33</w:t>
      </w:r>
      <w:r>
        <w:fldChar w:fldCharType="end"/>
      </w:r>
      <w:r>
        <w:rPr>
          <w:rFonts w:hint="eastAsia" w:ascii="宋体" w:hAnsi="宋体" w:eastAsia="宋体" w:cs="宋体"/>
          <w:bCs/>
          <w:color w:val="auto"/>
          <w:szCs w:val="21"/>
          <w:highlight w:val="none"/>
          <w:lang w:val="zh-CN"/>
        </w:rPr>
        <w:fldChar w:fldCharType="end"/>
      </w:r>
    </w:p>
    <w:p w14:paraId="2B7C2FE8">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_Toc14014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4.3 投标文件的修改与撤回</w:t>
      </w:r>
      <w:r>
        <w:tab/>
      </w:r>
      <w:r>
        <w:fldChar w:fldCharType="begin"/>
      </w:r>
      <w:r>
        <w:instrText xml:space="preserve"> PAGEREF _Toc14014 \h </w:instrText>
      </w:r>
      <w:r>
        <w:fldChar w:fldCharType="separate"/>
      </w:r>
      <w:r>
        <w:t>33</w:t>
      </w:r>
      <w:r>
        <w:fldChar w:fldCharType="end"/>
      </w:r>
      <w:r>
        <w:rPr>
          <w:rFonts w:hint="eastAsia" w:ascii="宋体" w:hAnsi="宋体" w:eastAsia="宋体" w:cs="宋体"/>
          <w:bCs/>
          <w:color w:val="auto"/>
          <w:szCs w:val="21"/>
          <w:highlight w:val="none"/>
          <w:lang w:val="zh-CN"/>
        </w:rPr>
        <w:fldChar w:fldCharType="end"/>
      </w:r>
    </w:p>
    <w:p w14:paraId="05CCDBD9">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_Toc8491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8"/>
          <w:highlight w:val="none"/>
        </w:rPr>
        <w:t>5. 开标</w:t>
      </w:r>
      <w:r>
        <w:tab/>
      </w:r>
      <w:r>
        <w:fldChar w:fldCharType="begin"/>
      </w:r>
      <w:r>
        <w:instrText xml:space="preserve"> PAGEREF _Toc8491 \h </w:instrText>
      </w:r>
      <w:r>
        <w:fldChar w:fldCharType="separate"/>
      </w:r>
      <w:r>
        <w:t>34</w:t>
      </w:r>
      <w:r>
        <w:fldChar w:fldCharType="end"/>
      </w:r>
      <w:r>
        <w:rPr>
          <w:rFonts w:hint="eastAsia" w:ascii="宋体" w:hAnsi="宋体" w:eastAsia="宋体" w:cs="宋体"/>
          <w:bCs/>
          <w:color w:val="auto"/>
          <w:szCs w:val="21"/>
          <w:highlight w:val="none"/>
          <w:lang w:val="zh-CN"/>
        </w:rPr>
        <w:fldChar w:fldCharType="end"/>
      </w:r>
    </w:p>
    <w:p w14:paraId="7BB685AC">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_Toc7416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5.1 开标时间和地点</w:t>
      </w:r>
      <w:r>
        <w:tab/>
      </w:r>
      <w:r>
        <w:fldChar w:fldCharType="begin"/>
      </w:r>
      <w:r>
        <w:instrText xml:space="preserve"> PAGEREF _Toc7416 \h </w:instrText>
      </w:r>
      <w:r>
        <w:fldChar w:fldCharType="separate"/>
      </w:r>
      <w:r>
        <w:t>34</w:t>
      </w:r>
      <w:r>
        <w:fldChar w:fldCharType="end"/>
      </w:r>
      <w:r>
        <w:rPr>
          <w:rFonts w:hint="eastAsia" w:ascii="宋体" w:hAnsi="宋体" w:eastAsia="宋体" w:cs="宋体"/>
          <w:bCs/>
          <w:color w:val="auto"/>
          <w:szCs w:val="21"/>
          <w:highlight w:val="none"/>
          <w:lang w:val="zh-CN"/>
        </w:rPr>
        <w:fldChar w:fldCharType="end"/>
      </w:r>
    </w:p>
    <w:p w14:paraId="16C9E240">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_Toc7171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5.2开标程序</w:t>
      </w:r>
      <w:r>
        <w:tab/>
      </w:r>
      <w:r>
        <w:fldChar w:fldCharType="begin"/>
      </w:r>
      <w:r>
        <w:instrText xml:space="preserve"> PAGEREF _Toc7171 \h </w:instrText>
      </w:r>
      <w:r>
        <w:fldChar w:fldCharType="separate"/>
      </w:r>
      <w:r>
        <w:t>34</w:t>
      </w:r>
      <w:r>
        <w:fldChar w:fldCharType="end"/>
      </w:r>
      <w:r>
        <w:rPr>
          <w:rFonts w:hint="eastAsia" w:ascii="宋体" w:hAnsi="宋体" w:eastAsia="宋体" w:cs="宋体"/>
          <w:bCs/>
          <w:color w:val="auto"/>
          <w:szCs w:val="21"/>
          <w:highlight w:val="none"/>
          <w:lang w:val="zh-CN"/>
        </w:rPr>
        <w:fldChar w:fldCharType="end"/>
      </w:r>
    </w:p>
    <w:p w14:paraId="24BEC9CF">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_Toc7297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5.3 开标异议</w:t>
      </w:r>
      <w:r>
        <w:tab/>
      </w:r>
      <w:r>
        <w:fldChar w:fldCharType="begin"/>
      </w:r>
      <w:r>
        <w:instrText xml:space="preserve"> PAGEREF _Toc7297 \h </w:instrText>
      </w:r>
      <w:r>
        <w:fldChar w:fldCharType="separate"/>
      </w:r>
      <w:r>
        <w:t>34</w:t>
      </w:r>
      <w:r>
        <w:fldChar w:fldCharType="end"/>
      </w:r>
      <w:r>
        <w:rPr>
          <w:rFonts w:hint="eastAsia" w:ascii="宋体" w:hAnsi="宋体" w:eastAsia="宋体" w:cs="宋体"/>
          <w:bCs/>
          <w:color w:val="auto"/>
          <w:szCs w:val="21"/>
          <w:highlight w:val="none"/>
          <w:lang w:val="zh-CN"/>
        </w:rPr>
        <w:fldChar w:fldCharType="end"/>
      </w:r>
    </w:p>
    <w:p w14:paraId="6B544446">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_Toc25435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8"/>
          <w:highlight w:val="none"/>
        </w:rPr>
        <w:t>6. 评标</w:t>
      </w:r>
      <w:r>
        <w:tab/>
      </w:r>
      <w:r>
        <w:fldChar w:fldCharType="begin"/>
      </w:r>
      <w:r>
        <w:instrText xml:space="preserve"> PAGEREF _Toc25435 \h </w:instrText>
      </w:r>
      <w:r>
        <w:fldChar w:fldCharType="separate"/>
      </w:r>
      <w:r>
        <w:t>34</w:t>
      </w:r>
      <w:r>
        <w:fldChar w:fldCharType="end"/>
      </w:r>
      <w:r>
        <w:rPr>
          <w:rFonts w:hint="eastAsia" w:ascii="宋体" w:hAnsi="宋体" w:eastAsia="宋体" w:cs="宋体"/>
          <w:bCs/>
          <w:color w:val="auto"/>
          <w:szCs w:val="21"/>
          <w:highlight w:val="none"/>
          <w:lang w:val="zh-CN"/>
        </w:rPr>
        <w:fldChar w:fldCharType="end"/>
      </w:r>
    </w:p>
    <w:p w14:paraId="53722D07">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_Toc12863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6.1 评标委员会</w:t>
      </w:r>
      <w:r>
        <w:tab/>
      </w:r>
      <w:r>
        <w:fldChar w:fldCharType="begin"/>
      </w:r>
      <w:r>
        <w:instrText xml:space="preserve"> PAGEREF _Toc12863 \h </w:instrText>
      </w:r>
      <w:r>
        <w:fldChar w:fldCharType="separate"/>
      </w:r>
      <w:r>
        <w:t>34</w:t>
      </w:r>
      <w:r>
        <w:fldChar w:fldCharType="end"/>
      </w:r>
      <w:r>
        <w:rPr>
          <w:rFonts w:hint="eastAsia" w:ascii="宋体" w:hAnsi="宋体" w:eastAsia="宋体" w:cs="宋体"/>
          <w:bCs/>
          <w:color w:val="auto"/>
          <w:szCs w:val="21"/>
          <w:highlight w:val="none"/>
          <w:lang w:val="zh-CN"/>
        </w:rPr>
        <w:fldChar w:fldCharType="end"/>
      </w:r>
    </w:p>
    <w:p w14:paraId="46475FD3">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_Toc9708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6.2 评标原则</w:t>
      </w:r>
      <w:r>
        <w:tab/>
      </w:r>
      <w:r>
        <w:fldChar w:fldCharType="begin"/>
      </w:r>
      <w:r>
        <w:instrText xml:space="preserve"> PAGEREF _Toc9708 \h </w:instrText>
      </w:r>
      <w:r>
        <w:fldChar w:fldCharType="separate"/>
      </w:r>
      <w:r>
        <w:t>34</w:t>
      </w:r>
      <w:r>
        <w:fldChar w:fldCharType="end"/>
      </w:r>
      <w:r>
        <w:rPr>
          <w:rFonts w:hint="eastAsia" w:ascii="宋体" w:hAnsi="宋体" w:eastAsia="宋体" w:cs="宋体"/>
          <w:bCs/>
          <w:color w:val="auto"/>
          <w:szCs w:val="21"/>
          <w:highlight w:val="none"/>
          <w:lang w:val="zh-CN"/>
        </w:rPr>
        <w:fldChar w:fldCharType="end"/>
      </w:r>
    </w:p>
    <w:p w14:paraId="6CD87B9F">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_Toc2510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6.3 评标</w:t>
      </w:r>
      <w:r>
        <w:tab/>
      </w:r>
      <w:r>
        <w:fldChar w:fldCharType="begin"/>
      </w:r>
      <w:r>
        <w:instrText xml:space="preserve"> PAGEREF _Toc2510 \h </w:instrText>
      </w:r>
      <w:r>
        <w:fldChar w:fldCharType="separate"/>
      </w:r>
      <w:r>
        <w:t>35</w:t>
      </w:r>
      <w:r>
        <w:fldChar w:fldCharType="end"/>
      </w:r>
      <w:r>
        <w:rPr>
          <w:rFonts w:hint="eastAsia" w:ascii="宋体" w:hAnsi="宋体" w:eastAsia="宋体" w:cs="宋体"/>
          <w:bCs/>
          <w:color w:val="auto"/>
          <w:szCs w:val="21"/>
          <w:highlight w:val="none"/>
          <w:lang w:val="zh-CN"/>
        </w:rPr>
        <w:fldChar w:fldCharType="end"/>
      </w:r>
    </w:p>
    <w:p w14:paraId="553201FF">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_Toc16792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8"/>
          <w:highlight w:val="none"/>
        </w:rPr>
        <w:t>7. 合同授予</w:t>
      </w:r>
      <w:r>
        <w:tab/>
      </w:r>
      <w:r>
        <w:fldChar w:fldCharType="begin"/>
      </w:r>
      <w:r>
        <w:instrText xml:space="preserve"> PAGEREF _Toc16792 \h </w:instrText>
      </w:r>
      <w:r>
        <w:fldChar w:fldCharType="separate"/>
      </w:r>
      <w:r>
        <w:t>35</w:t>
      </w:r>
      <w:r>
        <w:fldChar w:fldCharType="end"/>
      </w:r>
      <w:r>
        <w:rPr>
          <w:rFonts w:hint="eastAsia" w:ascii="宋体" w:hAnsi="宋体" w:eastAsia="宋体" w:cs="宋体"/>
          <w:bCs/>
          <w:color w:val="auto"/>
          <w:szCs w:val="21"/>
          <w:highlight w:val="none"/>
          <w:lang w:val="zh-CN"/>
        </w:rPr>
        <w:fldChar w:fldCharType="end"/>
      </w:r>
    </w:p>
    <w:p w14:paraId="1315C6F5">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_Toc20312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7.1 中标候选人公示</w:t>
      </w:r>
      <w:r>
        <w:tab/>
      </w:r>
      <w:r>
        <w:fldChar w:fldCharType="begin"/>
      </w:r>
      <w:r>
        <w:instrText xml:space="preserve"> PAGEREF _Toc20312 \h </w:instrText>
      </w:r>
      <w:r>
        <w:fldChar w:fldCharType="separate"/>
      </w:r>
      <w:r>
        <w:t>35</w:t>
      </w:r>
      <w:r>
        <w:fldChar w:fldCharType="end"/>
      </w:r>
      <w:r>
        <w:rPr>
          <w:rFonts w:hint="eastAsia" w:ascii="宋体" w:hAnsi="宋体" w:eastAsia="宋体" w:cs="宋体"/>
          <w:bCs/>
          <w:color w:val="auto"/>
          <w:szCs w:val="21"/>
          <w:highlight w:val="none"/>
          <w:lang w:val="zh-CN"/>
        </w:rPr>
        <w:fldChar w:fldCharType="end"/>
      </w:r>
    </w:p>
    <w:p w14:paraId="308AB0AE">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_Toc10353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7.2 评标结果异议</w:t>
      </w:r>
      <w:r>
        <w:tab/>
      </w:r>
      <w:r>
        <w:fldChar w:fldCharType="begin"/>
      </w:r>
      <w:r>
        <w:instrText xml:space="preserve"> PAGEREF _Toc10353 \h </w:instrText>
      </w:r>
      <w:r>
        <w:fldChar w:fldCharType="separate"/>
      </w:r>
      <w:r>
        <w:t>35</w:t>
      </w:r>
      <w:r>
        <w:fldChar w:fldCharType="end"/>
      </w:r>
      <w:r>
        <w:rPr>
          <w:rFonts w:hint="eastAsia" w:ascii="宋体" w:hAnsi="宋体" w:eastAsia="宋体" w:cs="宋体"/>
          <w:bCs/>
          <w:color w:val="auto"/>
          <w:szCs w:val="21"/>
          <w:highlight w:val="none"/>
          <w:lang w:val="zh-CN"/>
        </w:rPr>
        <w:fldChar w:fldCharType="end"/>
      </w:r>
    </w:p>
    <w:p w14:paraId="13B26977">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_Toc28937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7.3 中标候选人履约能力审查</w:t>
      </w:r>
      <w:r>
        <w:tab/>
      </w:r>
      <w:r>
        <w:fldChar w:fldCharType="begin"/>
      </w:r>
      <w:r>
        <w:instrText xml:space="preserve"> PAGEREF _Toc28937 \h </w:instrText>
      </w:r>
      <w:r>
        <w:fldChar w:fldCharType="separate"/>
      </w:r>
      <w:r>
        <w:t>35</w:t>
      </w:r>
      <w:r>
        <w:fldChar w:fldCharType="end"/>
      </w:r>
      <w:r>
        <w:rPr>
          <w:rFonts w:hint="eastAsia" w:ascii="宋体" w:hAnsi="宋体" w:eastAsia="宋体" w:cs="宋体"/>
          <w:bCs/>
          <w:color w:val="auto"/>
          <w:szCs w:val="21"/>
          <w:highlight w:val="none"/>
          <w:lang w:val="zh-CN"/>
        </w:rPr>
        <w:fldChar w:fldCharType="end"/>
      </w:r>
    </w:p>
    <w:p w14:paraId="065CDF98">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_Toc19146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7.4 定标</w:t>
      </w:r>
      <w:r>
        <w:tab/>
      </w:r>
      <w:r>
        <w:fldChar w:fldCharType="begin"/>
      </w:r>
      <w:r>
        <w:instrText xml:space="preserve"> PAGEREF _Toc19146 \h </w:instrText>
      </w:r>
      <w:r>
        <w:fldChar w:fldCharType="separate"/>
      </w:r>
      <w:r>
        <w:t>35</w:t>
      </w:r>
      <w:r>
        <w:fldChar w:fldCharType="end"/>
      </w:r>
      <w:r>
        <w:rPr>
          <w:rFonts w:hint="eastAsia" w:ascii="宋体" w:hAnsi="宋体" w:eastAsia="宋体" w:cs="宋体"/>
          <w:bCs/>
          <w:color w:val="auto"/>
          <w:szCs w:val="21"/>
          <w:highlight w:val="none"/>
          <w:lang w:val="zh-CN"/>
        </w:rPr>
        <w:fldChar w:fldCharType="end"/>
      </w:r>
    </w:p>
    <w:p w14:paraId="3823495E">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_Toc21849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7.5 中标通知</w:t>
      </w:r>
      <w:r>
        <w:tab/>
      </w:r>
      <w:r>
        <w:fldChar w:fldCharType="begin"/>
      </w:r>
      <w:r>
        <w:instrText xml:space="preserve"> PAGEREF _Toc21849 \h </w:instrText>
      </w:r>
      <w:r>
        <w:fldChar w:fldCharType="separate"/>
      </w:r>
      <w:r>
        <w:t>35</w:t>
      </w:r>
      <w:r>
        <w:fldChar w:fldCharType="end"/>
      </w:r>
      <w:r>
        <w:rPr>
          <w:rFonts w:hint="eastAsia" w:ascii="宋体" w:hAnsi="宋体" w:eastAsia="宋体" w:cs="宋体"/>
          <w:bCs/>
          <w:color w:val="auto"/>
          <w:szCs w:val="21"/>
          <w:highlight w:val="none"/>
          <w:lang w:val="zh-CN"/>
        </w:rPr>
        <w:fldChar w:fldCharType="end"/>
      </w:r>
    </w:p>
    <w:p w14:paraId="1EC8EB62">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_Toc5861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7.6 中标结果公告</w:t>
      </w:r>
      <w:r>
        <w:tab/>
      </w:r>
      <w:r>
        <w:fldChar w:fldCharType="begin"/>
      </w:r>
      <w:r>
        <w:instrText xml:space="preserve"> PAGEREF _Toc5861 \h </w:instrText>
      </w:r>
      <w:r>
        <w:fldChar w:fldCharType="separate"/>
      </w:r>
      <w:r>
        <w:t>35</w:t>
      </w:r>
      <w:r>
        <w:fldChar w:fldCharType="end"/>
      </w:r>
      <w:r>
        <w:rPr>
          <w:rFonts w:hint="eastAsia" w:ascii="宋体" w:hAnsi="宋体" w:eastAsia="宋体" w:cs="宋体"/>
          <w:bCs/>
          <w:color w:val="auto"/>
          <w:szCs w:val="21"/>
          <w:highlight w:val="none"/>
          <w:lang w:val="zh-CN"/>
        </w:rPr>
        <w:fldChar w:fldCharType="end"/>
      </w:r>
    </w:p>
    <w:p w14:paraId="14AA3D4C">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_Toc29832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7.7 履约保证金</w:t>
      </w:r>
      <w:r>
        <w:tab/>
      </w:r>
      <w:r>
        <w:fldChar w:fldCharType="begin"/>
      </w:r>
      <w:r>
        <w:instrText xml:space="preserve"> PAGEREF _Toc29832 \h </w:instrText>
      </w:r>
      <w:r>
        <w:fldChar w:fldCharType="separate"/>
      </w:r>
      <w:r>
        <w:t>35</w:t>
      </w:r>
      <w:r>
        <w:fldChar w:fldCharType="end"/>
      </w:r>
      <w:r>
        <w:rPr>
          <w:rFonts w:hint="eastAsia" w:ascii="宋体" w:hAnsi="宋体" w:eastAsia="宋体" w:cs="宋体"/>
          <w:bCs/>
          <w:color w:val="auto"/>
          <w:szCs w:val="21"/>
          <w:highlight w:val="none"/>
          <w:lang w:val="zh-CN"/>
        </w:rPr>
        <w:fldChar w:fldCharType="end"/>
      </w:r>
    </w:p>
    <w:p w14:paraId="56517EED">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_Toc25340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7.8 签订合同</w:t>
      </w:r>
      <w:r>
        <w:tab/>
      </w:r>
      <w:r>
        <w:fldChar w:fldCharType="begin"/>
      </w:r>
      <w:r>
        <w:instrText xml:space="preserve"> PAGEREF _Toc25340 \h </w:instrText>
      </w:r>
      <w:r>
        <w:fldChar w:fldCharType="separate"/>
      </w:r>
      <w:r>
        <w:t>36</w:t>
      </w:r>
      <w:r>
        <w:fldChar w:fldCharType="end"/>
      </w:r>
      <w:r>
        <w:rPr>
          <w:rFonts w:hint="eastAsia" w:ascii="宋体" w:hAnsi="宋体" w:eastAsia="宋体" w:cs="宋体"/>
          <w:bCs/>
          <w:color w:val="auto"/>
          <w:szCs w:val="21"/>
          <w:highlight w:val="none"/>
          <w:lang w:val="zh-CN"/>
        </w:rPr>
        <w:fldChar w:fldCharType="end"/>
      </w:r>
    </w:p>
    <w:p w14:paraId="7BA69386">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_Toc30453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8"/>
          <w:highlight w:val="none"/>
        </w:rPr>
        <w:t>8. 纪律和监督</w:t>
      </w:r>
      <w:r>
        <w:tab/>
      </w:r>
      <w:r>
        <w:fldChar w:fldCharType="begin"/>
      </w:r>
      <w:r>
        <w:instrText xml:space="preserve"> PAGEREF _Toc30453 \h </w:instrText>
      </w:r>
      <w:r>
        <w:fldChar w:fldCharType="separate"/>
      </w:r>
      <w:r>
        <w:t>36</w:t>
      </w:r>
      <w:r>
        <w:fldChar w:fldCharType="end"/>
      </w:r>
      <w:r>
        <w:rPr>
          <w:rFonts w:hint="eastAsia" w:ascii="宋体" w:hAnsi="宋体" w:eastAsia="宋体" w:cs="宋体"/>
          <w:bCs/>
          <w:color w:val="auto"/>
          <w:szCs w:val="21"/>
          <w:highlight w:val="none"/>
          <w:lang w:val="zh-CN"/>
        </w:rPr>
        <w:fldChar w:fldCharType="end"/>
      </w:r>
    </w:p>
    <w:p w14:paraId="4C1ABADB">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_Toc31932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8.1 对招标人的纪律要求</w:t>
      </w:r>
      <w:r>
        <w:tab/>
      </w:r>
      <w:r>
        <w:fldChar w:fldCharType="begin"/>
      </w:r>
      <w:r>
        <w:instrText xml:space="preserve"> PAGEREF _Toc31932 \h </w:instrText>
      </w:r>
      <w:r>
        <w:fldChar w:fldCharType="separate"/>
      </w:r>
      <w:r>
        <w:t>36</w:t>
      </w:r>
      <w:r>
        <w:fldChar w:fldCharType="end"/>
      </w:r>
      <w:r>
        <w:rPr>
          <w:rFonts w:hint="eastAsia" w:ascii="宋体" w:hAnsi="宋体" w:eastAsia="宋体" w:cs="宋体"/>
          <w:bCs/>
          <w:color w:val="auto"/>
          <w:szCs w:val="21"/>
          <w:highlight w:val="none"/>
          <w:lang w:val="zh-CN"/>
        </w:rPr>
        <w:fldChar w:fldCharType="end"/>
      </w:r>
    </w:p>
    <w:p w14:paraId="5347B1EF">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_Toc18237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8.2 对投标人的纪律要求</w:t>
      </w:r>
      <w:r>
        <w:tab/>
      </w:r>
      <w:r>
        <w:fldChar w:fldCharType="begin"/>
      </w:r>
      <w:r>
        <w:instrText xml:space="preserve"> PAGEREF _Toc18237 \h </w:instrText>
      </w:r>
      <w:r>
        <w:fldChar w:fldCharType="separate"/>
      </w:r>
      <w:r>
        <w:t>37</w:t>
      </w:r>
      <w:r>
        <w:fldChar w:fldCharType="end"/>
      </w:r>
      <w:r>
        <w:rPr>
          <w:rFonts w:hint="eastAsia" w:ascii="宋体" w:hAnsi="宋体" w:eastAsia="宋体" w:cs="宋体"/>
          <w:bCs/>
          <w:color w:val="auto"/>
          <w:szCs w:val="21"/>
          <w:highlight w:val="none"/>
          <w:lang w:val="zh-CN"/>
        </w:rPr>
        <w:fldChar w:fldCharType="end"/>
      </w:r>
    </w:p>
    <w:p w14:paraId="038D9142">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_Toc12651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8.3 对评标委员会成员的纪律要求</w:t>
      </w:r>
      <w:r>
        <w:tab/>
      </w:r>
      <w:r>
        <w:fldChar w:fldCharType="begin"/>
      </w:r>
      <w:r>
        <w:instrText xml:space="preserve"> PAGEREF _Toc12651 \h </w:instrText>
      </w:r>
      <w:r>
        <w:fldChar w:fldCharType="separate"/>
      </w:r>
      <w:r>
        <w:t>37</w:t>
      </w:r>
      <w:r>
        <w:fldChar w:fldCharType="end"/>
      </w:r>
      <w:r>
        <w:rPr>
          <w:rFonts w:hint="eastAsia" w:ascii="宋体" w:hAnsi="宋体" w:eastAsia="宋体" w:cs="宋体"/>
          <w:bCs/>
          <w:color w:val="auto"/>
          <w:szCs w:val="21"/>
          <w:highlight w:val="none"/>
          <w:lang w:val="zh-CN"/>
        </w:rPr>
        <w:fldChar w:fldCharType="end"/>
      </w:r>
    </w:p>
    <w:p w14:paraId="6A9221F4">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_Toc15939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8.4 对与评标活动有关的工作人员的纪律要求</w:t>
      </w:r>
      <w:r>
        <w:tab/>
      </w:r>
      <w:r>
        <w:fldChar w:fldCharType="begin"/>
      </w:r>
      <w:r>
        <w:instrText xml:space="preserve"> PAGEREF _Toc15939 \h </w:instrText>
      </w:r>
      <w:r>
        <w:fldChar w:fldCharType="separate"/>
      </w:r>
      <w:r>
        <w:t>38</w:t>
      </w:r>
      <w:r>
        <w:fldChar w:fldCharType="end"/>
      </w:r>
      <w:r>
        <w:rPr>
          <w:rFonts w:hint="eastAsia" w:ascii="宋体" w:hAnsi="宋体" w:eastAsia="宋体" w:cs="宋体"/>
          <w:bCs/>
          <w:color w:val="auto"/>
          <w:szCs w:val="21"/>
          <w:highlight w:val="none"/>
          <w:lang w:val="zh-CN"/>
        </w:rPr>
        <w:fldChar w:fldCharType="end"/>
      </w:r>
    </w:p>
    <w:p w14:paraId="0030C5C3">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_Toc31811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8.5 投诉</w:t>
      </w:r>
      <w:r>
        <w:tab/>
      </w:r>
      <w:r>
        <w:fldChar w:fldCharType="begin"/>
      </w:r>
      <w:r>
        <w:instrText xml:space="preserve"> PAGEREF _Toc31811 \h </w:instrText>
      </w:r>
      <w:r>
        <w:fldChar w:fldCharType="separate"/>
      </w:r>
      <w:r>
        <w:t>38</w:t>
      </w:r>
      <w:r>
        <w:fldChar w:fldCharType="end"/>
      </w:r>
      <w:r>
        <w:rPr>
          <w:rFonts w:hint="eastAsia" w:ascii="宋体" w:hAnsi="宋体" w:eastAsia="宋体" w:cs="宋体"/>
          <w:bCs/>
          <w:color w:val="auto"/>
          <w:szCs w:val="21"/>
          <w:highlight w:val="none"/>
          <w:lang w:val="zh-CN"/>
        </w:rPr>
        <w:fldChar w:fldCharType="end"/>
      </w:r>
    </w:p>
    <w:p w14:paraId="1637455C">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_Toc149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8"/>
          <w:highlight w:val="none"/>
        </w:rPr>
        <w:t>9. 是否采用电子招标投标</w:t>
      </w:r>
      <w:r>
        <w:tab/>
      </w:r>
      <w:r>
        <w:fldChar w:fldCharType="begin"/>
      </w:r>
      <w:r>
        <w:instrText xml:space="preserve"> PAGEREF _Toc149 \h </w:instrText>
      </w:r>
      <w:r>
        <w:fldChar w:fldCharType="separate"/>
      </w:r>
      <w:r>
        <w:t>38</w:t>
      </w:r>
      <w:r>
        <w:fldChar w:fldCharType="end"/>
      </w:r>
      <w:r>
        <w:rPr>
          <w:rFonts w:hint="eastAsia" w:ascii="宋体" w:hAnsi="宋体" w:eastAsia="宋体" w:cs="宋体"/>
          <w:bCs/>
          <w:color w:val="auto"/>
          <w:szCs w:val="21"/>
          <w:highlight w:val="none"/>
          <w:lang w:val="zh-CN"/>
        </w:rPr>
        <w:fldChar w:fldCharType="end"/>
      </w:r>
    </w:p>
    <w:p w14:paraId="63BF0183">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_Toc13532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8"/>
          <w:highlight w:val="none"/>
        </w:rPr>
        <w:t>10. 需要补充的其他内容</w:t>
      </w:r>
      <w:r>
        <w:tab/>
      </w:r>
      <w:r>
        <w:fldChar w:fldCharType="begin"/>
      </w:r>
      <w:r>
        <w:instrText xml:space="preserve"> PAGEREF _Toc13532 \h </w:instrText>
      </w:r>
      <w:r>
        <w:fldChar w:fldCharType="separate"/>
      </w:r>
      <w:r>
        <w:t>38</w:t>
      </w:r>
      <w:r>
        <w:fldChar w:fldCharType="end"/>
      </w:r>
      <w:r>
        <w:rPr>
          <w:rFonts w:hint="eastAsia" w:ascii="宋体" w:hAnsi="宋体" w:eastAsia="宋体" w:cs="宋体"/>
          <w:bCs/>
          <w:color w:val="auto"/>
          <w:szCs w:val="21"/>
          <w:highlight w:val="none"/>
          <w:lang w:val="zh-CN"/>
        </w:rPr>
        <w:fldChar w:fldCharType="end"/>
      </w:r>
    </w:p>
    <w:p w14:paraId="622A2014">
      <w:pPr>
        <w:pStyle w:val="24"/>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_Toc8129 </w:instrText>
      </w:r>
      <w:r>
        <w:rPr>
          <w:rFonts w:hint="eastAsia" w:ascii="宋体" w:hAnsi="宋体" w:eastAsia="宋体" w:cs="宋体"/>
          <w:bCs/>
          <w:szCs w:val="21"/>
          <w:highlight w:val="none"/>
          <w:lang w:val="zh-CN"/>
        </w:rPr>
        <w:fldChar w:fldCharType="separate"/>
      </w:r>
      <w:r>
        <w:rPr>
          <w:rFonts w:hint="eastAsia" w:ascii="宋体" w:hAnsi="宋体" w:eastAsia="宋体" w:cs="宋体"/>
          <w:highlight w:val="none"/>
        </w:rPr>
        <w:t>第三章  评标办法（综合评估法）</w:t>
      </w:r>
      <w:r>
        <w:tab/>
      </w:r>
      <w:r>
        <w:fldChar w:fldCharType="begin"/>
      </w:r>
      <w:r>
        <w:instrText xml:space="preserve"> PAGEREF _Toc8129 \h </w:instrText>
      </w:r>
      <w:r>
        <w:fldChar w:fldCharType="separate"/>
      </w:r>
      <w:r>
        <w:t>44</w:t>
      </w:r>
      <w:r>
        <w:fldChar w:fldCharType="end"/>
      </w:r>
      <w:r>
        <w:rPr>
          <w:rFonts w:hint="eastAsia" w:ascii="宋体" w:hAnsi="宋体" w:eastAsia="宋体" w:cs="宋体"/>
          <w:bCs/>
          <w:color w:val="auto"/>
          <w:szCs w:val="21"/>
          <w:highlight w:val="none"/>
          <w:lang w:val="zh-CN"/>
        </w:rPr>
        <w:fldChar w:fldCharType="end"/>
      </w:r>
    </w:p>
    <w:p w14:paraId="61B0C288">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_Toc9615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szCs w:val="28"/>
          <w:highlight w:val="none"/>
        </w:rPr>
        <w:t>评标办法前附表</w:t>
      </w:r>
      <w:r>
        <w:tab/>
      </w:r>
      <w:r>
        <w:fldChar w:fldCharType="begin"/>
      </w:r>
      <w:r>
        <w:instrText xml:space="preserve"> PAGEREF _Toc9615 \h </w:instrText>
      </w:r>
      <w:r>
        <w:fldChar w:fldCharType="separate"/>
      </w:r>
      <w:r>
        <w:t>44</w:t>
      </w:r>
      <w:r>
        <w:fldChar w:fldCharType="end"/>
      </w:r>
      <w:r>
        <w:rPr>
          <w:rFonts w:hint="eastAsia" w:ascii="宋体" w:hAnsi="宋体" w:eastAsia="宋体" w:cs="宋体"/>
          <w:bCs/>
          <w:color w:val="auto"/>
          <w:szCs w:val="21"/>
          <w:highlight w:val="none"/>
          <w:lang w:val="zh-CN"/>
        </w:rPr>
        <w:fldChar w:fldCharType="end"/>
      </w:r>
    </w:p>
    <w:p w14:paraId="2C05100C">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_Toc26527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8"/>
          <w:highlight w:val="none"/>
        </w:rPr>
        <w:t>1. 评标方法</w:t>
      </w:r>
      <w:r>
        <w:tab/>
      </w:r>
      <w:r>
        <w:fldChar w:fldCharType="begin"/>
      </w:r>
      <w:r>
        <w:instrText xml:space="preserve"> PAGEREF _Toc26527 \h </w:instrText>
      </w:r>
      <w:r>
        <w:fldChar w:fldCharType="separate"/>
      </w:r>
      <w:r>
        <w:t>49</w:t>
      </w:r>
      <w:r>
        <w:fldChar w:fldCharType="end"/>
      </w:r>
      <w:r>
        <w:rPr>
          <w:rFonts w:hint="eastAsia" w:ascii="宋体" w:hAnsi="宋体" w:eastAsia="宋体" w:cs="宋体"/>
          <w:bCs/>
          <w:color w:val="auto"/>
          <w:szCs w:val="21"/>
          <w:highlight w:val="none"/>
          <w:lang w:val="zh-CN"/>
        </w:rPr>
        <w:fldChar w:fldCharType="end"/>
      </w:r>
    </w:p>
    <w:p w14:paraId="119F02A2">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_Toc29235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8"/>
          <w:highlight w:val="none"/>
        </w:rPr>
        <w:t>2. 评审标准</w:t>
      </w:r>
      <w:r>
        <w:tab/>
      </w:r>
      <w:r>
        <w:fldChar w:fldCharType="begin"/>
      </w:r>
      <w:r>
        <w:instrText xml:space="preserve"> PAGEREF _Toc29235 \h </w:instrText>
      </w:r>
      <w:r>
        <w:fldChar w:fldCharType="separate"/>
      </w:r>
      <w:r>
        <w:t>49</w:t>
      </w:r>
      <w:r>
        <w:fldChar w:fldCharType="end"/>
      </w:r>
      <w:r>
        <w:rPr>
          <w:rFonts w:hint="eastAsia" w:ascii="宋体" w:hAnsi="宋体" w:eastAsia="宋体" w:cs="宋体"/>
          <w:bCs/>
          <w:color w:val="auto"/>
          <w:szCs w:val="21"/>
          <w:highlight w:val="none"/>
          <w:lang w:val="zh-CN"/>
        </w:rPr>
        <w:fldChar w:fldCharType="end"/>
      </w:r>
    </w:p>
    <w:p w14:paraId="1FB76E4B">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_Toc16025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2.1 初步评审标准</w:t>
      </w:r>
      <w:r>
        <w:tab/>
      </w:r>
      <w:r>
        <w:fldChar w:fldCharType="begin"/>
      </w:r>
      <w:r>
        <w:instrText xml:space="preserve"> PAGEREF _Toc16025 \h </w:instrText>
      </w:r>
      <w:r>
        <w:fldChar w:fldCharType="separate"/>
      </w:r>
      <w:r>
        <w:t>49</w:t>
      </w:r>
      <w:r>
        <w:fldChar w:fldCharType="end"/>
      </w:r>
      <w:r>
        <w:rPr>
          <w:rFonts w:hint="eastAsia" w:ascii="宋体" w:hAnsi="宋体" w:eastAsia="宋体" w:cs="宋体"/>
          <w:bCs/>
          <w:color w:val="auto"/>
          <w:szCs w:val="21"/>
          <w:highlight w:val="none"/>
          <w:lang w:val="zh-CN"/>
        </w:rPr>
        <w:fldChar w:fldCharType="end"/>
      </w:r>
    </w:p>
    <w:p w14:paraId="05664214">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_Toc14771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2.2 分值构成与评分标准</w:t>
      </w:r>
      <w:r>
        <w:tab/>
      </w:r>
      <w:r>
        <w:fldChar w:fldCharType="begin"/>
      </w:r>
      <w:r>
        <w:instrText xml:space="preserve"> PAGEREF _Toc14771 \h </w:instrText>
      </w:r>
      <w:r>
        <w:fldChar w:fldCharType="separate"/>
      </w:r>
      <w:r>
        <w:t>49</w:t>
      </w:r>
      <w:r>
        <w:fldChar w:fldCharType="end"/>
      </w:r>
      <w:r>
        <w:rPr>
          <w:rFonts w:hint="eastAsia" w:ascii="宋体" w:hAnsi="宋体" w:eastAsia="宋体" w:cs="宋体"/>
          <w:bCs/>
          <w:color w:val="auto"/>
          <w:szCs w:val="21"/>
          <w:highlight w:val="none"/>
          <w:lang w:val="zh-CN"/>
        </w:rPr>
        <w:fldChar w:fldCharType="end"/>
      </w:r>
    </w:p>
    <w:p w14:paraId="6D27079E">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_Toc31089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8"/>
          <w:highlight w:val="none"/>
        </w:rPr>
        <w:t>3. 评标程序</w:t>
      </w:r>
      <w:r>
        <w:tab/>
      </w:r>
      <w:r>
        <w:fldChar w:fldCharType="begin"/>
      </w:r>
      <w:r>
        <w:instrText xml:space="preserve"> PAGEREF _Toc31089 \h </w:instrText>
      </w:r>
      <w:r>
        <w:fldChar w:fldCharType="separate"/>
      </w:r>
      <w:r>
        <w:t>49</w:t>
      </w:r>
      <w:r>
        <w:fldChar w:fldCharType="end"/>
      </w:r>
      <w:r>
        <w:rPr>
          <w:rFonts w:hint="eastAsia" w:ascii="宋体" w:hAnsi="宋体" w:eastAsia="宋体" w:cs="宋体"/>
          <w:bCs/>
          <w:color w:val="auto"/>
          <w:szCs w:val="21"/>
          <w:highlight w:val="none"/>
          <w:lang w:val="zh-CN"/>
        </w:rPr>
        <w:fldChar w:fldCharType="end"/>
      </w:r>
    </w:p>
    <w:p w14:paraId="1DF4EE0B">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_Toc28994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3.1 初步评审</w:t>
      </w:r>
      <w:r>
        <w:tab/>
      </w:r>
      <w:r>
        <w:fldChar w:fldCharType="begin"/>
      </w:r>
      <w:r>
        <w:instrText xml:space="preserve"> PAGEREF _Toc28994 \h </w:instrText>
      </w:r>
      <w:r>
        <w:fldChar w:fldCharType="separate"/>
      </w:r>
      <w:r>
        <w:t>49</w:t>
      </w:r>
      <w:r>
        <w:fldChar w:fldCharType="end"/>
      </w:r>
      <w:r>
        <w:rPr>
          <w:rFonts w:hint="eastAsia" w:ascii="宋体" w:hAnsi="宋体" w:eastAsia="宋体" w:cs="宋体"/>
          <w:bCs/>
          <w:color w:val="auto"/>
          <w:szCs w:val="21"/>
          <w:highlight w:val="none"/>
          <w:lang w:val="zh-CN"/>
        </w:rPr>
        <w:fldChar w:fldCharType="end"/>
      </w:r>
    </w:p>
    <w:p w14:paraId="1E03E56A">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_Toc17955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3.2 详细评审</w:t>
      </w:r>
      <w:r>
        <w:tab/>
      </w:r>
      <w:r>
        <w:fldChar w:fldCharType="begin"/>
      </w:r>
      <w:r>
        <w:instrText xml:space="preserve"> PAGEREF _Toc17955 \h </w:instrText>
      </w:r>
      <w:r>
        <w:fldChar w:fldCharType="separate"/>
      </w:r>
      <w:r>
        <w:t>50</w:t>
      </w:r>
      <w:r>
        <w:fldChar w:fldCharType="end"/>
      </w:r>
      <w:r>
        <w:rPr>
          <w:rFonts w:hint="eastAsia" w:ascii="宋体" w:hAnsi="宋体" w:eastAsia="宋体" w:cs="宋体"/>
          <w:bCs/>
          <w:color w:val="auto"/>
          <w:szCs w:val="21"/>
          <w:highlight w:val="none"/>
          <w:lang w:val="zh-CN"/>
        </w:rPr>
        <w:fldChar w:fldCharType="end"/>
      </w:r>
    </w:p>
    <w:p w14:paraId="7E58E588">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_Toc11831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3.3 投标文件的澄清和补正</w:t>
      </w:r>
      <w:r>
        <w:tab/>
      </w:r>
      <w:r>
        <w:fldChar w:fldCharType="begin"/>
      </w:r>
      <w:r>
        <w:instrText xml:space="preserve"> PAGEREF _Toc11831 \h </w:instrText>
      </w:r>
      <w:r>
        <w:fldChar w:fldCharType="separate"/>
      </w:r>
      <w:r>
        <w:t>50</w:t>
      </w:r>
      <w:r>
        <w:fldChar w:fldCharType="end"/>
      </w:r>
      <w:r>
        <w:rPr>
          <w:rFonts w:hint="eastAsia" w:ascii="宋体" w:hAnsi="宋体" w:eastAsia="宋体" w:cs="宋体"/>
          <w:bCs/>
          <w:color w:val="auto"/>
          <w:szCs w:val="21"/>
          <w:highlight w:val="none"/>
          <w:lang w:val="zh-CN"/>
        </w:rPr>
        <w:fldChar w:fldCharType="end"/>
      </w:r>
    </w:p>
    <w:p w14:paraId="0A9F05C1">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_Toc11976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21"/>
          <w:highlight w:val="none"/>
        </w:rPr>
        <w:t>3.4 评标结果</w:t>
      </w:r>
      <w:r>
        <w:tab/>
      </w:r>
      <w:r>
        <w:fldChar w:fldCharType="begin"/>
      </w:r>
      <w:r>
        <w:instrText xml:space="preserve"> PAGEREF _Toc11976 \h </w:instrText>
      </w:r>
      <w:r>
        <w:fldChar w:fldCharType="separate"/>
      </w:r>
      <w:r>
        <w:t>50</w:t>
      </w:r>
      <w:r>
        <w:fldChar w:fldCharType="end"/>
      </w:r>
      <w:r>
        <w:rPr>
          <w:rFonts w:hint="eastAsia" w:ascii="宋体" w:hAnsi="宋体" w:eastAsia="宋体" w:cs="宋体"/>
          <w:bCs/>
          <w:color w:val="auto"/>
          <w:szCs w:val="21"/>
          <w:highlight w:val="none"/>
          <w:lang w:val="zh-CN"/>
        </w:rPr>
        <w:fldChar w:fldCharType="end"/>
      </w:r>
    </w:p>
    <w:p w14:paraId="2FEC04BF">
      <w:pPr>
        <w:pStyle w:val="24"/>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_Toc31711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snapToGrid w:val="0"/>
          <w:highlight w:val="none"/>
        </w:rPr>
        <w:t>第四章  合同条款及格式</w:t>
      </w:r>
      <w:r>
        <w:tab/>
      </w:r>
      <w:r>
        <w:fldChar w:fldCharType="begin"/>
      </w:r>
      <w:r>
        <w:instrText xml:space="preserve"> PAGEREF _Toc31711 \h </w:instrText>
      </w:r>
      <w:r>
        <w:fldChar w:fldCharType="separate"/>
      </w:r>
      <w:r>
        <w:t>54</w:t>
      </w:r>
      <w:r>
        <w:fldChar w:fldCharType="end"/>
      </w:r>
      <w:r>
        <w:rPr>
          <w:rFonts w:hint="eastAsia" w:ascii="宋体" w:hAnsi="宋体" w:eastAsia="宋体" w:cs="宋体"/>
          <w:bCs/>
          <w:color w:val="auto"/>
          <w:szCs w:val="21"/>
          <w:highlight w:val="none"/>
          <w:lang w:val="zh-CN"/>
        </w:rPr>
        <w:fldChar w:fldCharType="end"/>
      </w:r>
    </w:p>
    <w:p w14:paraId="13708C46">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_Toc31914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44"/>
          <w:highlight w:val="none"/>
        </w:rPr>
        <w:t>第一部分 合同协议书</w:t>
      </w:r>
      <w:r>
        <w:tab/>
      </w:r>
      <w:r>
        <w:fldChar w:fldCharType="begin"/>
      </w:r>
      <w:r>
        <w:instrText xml:space="preserve"> PAGEREF _Toc31914 \h </w:instrText>
      </w:r>
      <w:r>
        <w:fldChar w:fldCharType="separate"/>
      </w:r>
      <w:r>
        <w:t>56</w:t>
      </w:r>
      <w:r>
        <w:fldChar w:fldCharType="end"/>
      </w:r>
      <w:r>
        <w:rPr>
          <w:rFonts w:hint="eastAsia" w:ascii="宋体" w:hAnsi="宋体" w:eastAsia="宋体" w:cs="宋体"/>
          <w:bCs/>
          <w:color w:val="auto"/>
          <w:szCs w:val="21"/>
          <w:highlight w:val="none"/>
          <w:lang w:val="zh-CN"/>
        </w:rPr>
        <w:fldChar w:fldCharType="end"/>
      </w:r>
    </w:p>
    <w:p w14:paraId="6CB3BE09">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_Toc1221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44"/>
        </w:rPr>
        <w:t xml:space="preserve">第二部分 </w:t>
      </w:r>
      <w:r>
        <w:rPr>
          <w:rFonts w:hint="eastAsia" w:ascii="宋体" w:hAnsi="宋体" w:eastAsia="宋体" w:cs="宋体"/>
          <w:szCs w:val="44"/>
          <w:highlight w:val="none"/>
        </w:rPr>
        <w:t>通用合同条款</w:t>
      </w:r>
      <w:r>
        <w:tab/>
      </w:r>
      <w:r>
        <w:fldChar w:fldCharType="begin"/>
      </w:r>
      <w:r>
        <w:instrText xml:space="preserve"> PAGEREF _Toc1221 \h </w:instrText>
      </w:r>
      <w:r>
        <w:fldChar w:fldCharType="separate"/>
      </w:r>
      <w:r>
        <w:t>59</w:t>
      </w:r>
      <w:r>
        <w:fldChar w:fldCharType="end"/>
      </w:r>
      <w:r>
        <w:rPr>
          <w:rFonts w:hint="eastAsia" w:ascii="宋体" w:hAnsi="宋体" w:eastAsia="宋体" w:cs="宋体"/>
          <w:bCs/>
          <w:color w:val="auto"/>
          <w:szCs w:val="21"/>
          <w:highlight w:val="none"/>
          <w:lang w:val="zh-CN"/>
        </w:rPr>
        <w:fldChar w:fldCharType="end"/>
      </w:r>
    </w:p>
    <w:p w14:paraId="5B89C5E0">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_Toc17646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44"/>
          <w:highlight w:val="none"/>
        </w:rPr>
        <w:t>第三部分 专用合同条款</w:t>
      </w:r>
      <w:r>
        <w:tab/>
      </w:r>
      <w:r>
        <w:fldChar w:fldCharType="begin"/>
      </w:r>
      <w:r>
        <w:instrText xml:space="preserve"> PAGEREF _Toc17646 \h </w:instrText>
      </w:r>
      <w:r>
        <w:fldChar w:fldCharType="separate"/>
      </w:r>
      <w:r>
        <w:t>60</w:t>
      </w:r>
      <w:r>
        <w:fldChar w:fldCharType="end"/>
      </w:r>
      <w:r>
        <w:rPr>
          <w:rFonts w:hint="eastAsia" w:ascii="宋体" w:hAnsi="宋体" w:eastAsia="宋体" w:cs="宋体"/>
          <w:bCs/>
          <w:color w:val="auto"/>
          <w:szCs w:val="21"/>
          <w:highlight w:val="none"/>
          <w:lang w:val="zh-CN"/>
        </w:rPr>
        <w:fldChar w:fldCharType="end"/>
      </w:r>
    </w:p>
    <w:p w14:paraId="5E6F2695">
      <w:pPr>
        <w:pStyle w:val="24"/>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_Toc9230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highlight w:val="none"/>
        </w:rPr>
        <w:t>第五章  工程量清单</w:t>
      </w:r>
      <w:r>
        <w:tab/>
      </w:r>
      <w:r>
        <w:fldChar w:fldCharType="begin"/>
      </w:r>
      <w:r>
        <w:instrText xml:space="preserve"> PAGEREF _Toc9230 \h </w:instrText>
      </w:r>
      <w:r>
        <w:fldChar w:fldCharType="separate"/>
      </w:r>
      <w:r>
        <w:t>98</w:t>
      </w:r>
      <w:r>
        <w:fldChar w:fldCharType="end"/>
      </w:r>
      <w:r>
        <w:rPr>
          <w:rFonts w:hint="eastAsia" w:ascii="宋体" w:hAnsi="宋体" w:eastAsia="宋体" w:cs="宋体"/>
          <w:bCs/>
          <w:color w:val="auto"/>
          <w:szCs w:val="21"/>
          <w:highlight w:val="none"/>
          <w:lang w:val="zh-CN"/>
        </w:rPr>
        <w:fldChar w:fldCharType="end"/>
      </w:r>
    </w:p>
    <w:p w14:paraId="0BC22765">
      <w:pPr>
        <w:pStyle w:val="24"/>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_Toc20558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52"/>
          <w:highlight w:val="none"/>
        </w:rPr>
        <w:t>第 二 卷</w:t>
      </w:r>
      <w:r>
        <w:tab/>
      </w:r>
      <w:r>
        <w:fldChar w:fldCharType="begin"/>
      </w:r>
      <w:r>
        <w:instrText xml:space="preserve"> PAGEREF _Toc20558 \h </w:instrText>
      </w:r>
      <w:r>
        <w:fldChar w:fldCharType="separate"/>
      </w:r>
      <w:r>
        <w:t>99</w:t>
      </w:r>
      <w:r>
        <w:fldChar w:fldCharType="end"/>
      </w:r>
      <w:r>
        <w:rPr>
          <w:rFonts w:hint="eastAsia" w:ascii="宋体" w:hAnsi="宋体" w:eastAsia="宋体" w:cs="宋体"/>
          <w:bCs/>
          <w:color w:val="auto"/>
          <w:szCs w:val="21"/>
          <w:highlight w:val="none"/>
          <w:lang w:val="zh-CN"/>
        </w:rPr>
        <w:fldChar w:fldCharType="end"/>
      </w:r>
    </w:p>
    <w:p w14:paraId="348346B3">
      <w:pPr>
        <w:pStyle w:val="24"/>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_Toc29302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highlight w:val="none"/>
        </w:rPr>
        <w:t>第六章  图纸</w:t>
      </w:r>
      <w:r>
        <w:tab/>
      </w:r>
      <w:r>
        <w:fldChar w:fldCharType="begin"/>
      </w:r>
      <w:r>
        <w:instrText xml:space="preserve"> PAGEREF _Toc29302 \h </w:instrText>
      </w:r>
      <w:r>
        <w:fldChar w:fldCharType="separate"/>
      </w:r>
      <w:r>
        <w:t>100</w:t>
      </w:r>
      <w:r>
        <w:fldChar w:fldCharType="end"/>
      </w:r>
      <w:r>
        <w:rPr>
          <w:rFonts w:hint="eastAsia" w:ascii="宋体" w:hAnsi="宋体" w:eastAsia="宋体" w:cs="宋体"/>
          <w:bCs/>
          <w:color w:val="auto"/>
          <w:szCs w:val="21"/>
          <w:highlight w:val="none"/>
          <w:lang w:val="zh-CN"/>
        </w:rPr>
        <w:fldChar w:fldCharType="end"/>
      </w:r>
    </w:p>
    <w:p w14:paraId="09799B66">
      <w:pPr>
        <w:pStyle w:val="24"/>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_Toc6776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52"/>
          <w:highlight w:val="none"/>
        </w:rPr>
        <w:t>第 三 卷</w:t>
      </w:r>
      <w:r>
        <w:tab/>
      </w:r>
      <w:r>
        <w:fldChar w:fldCharType="begin"/>
      </w:r>
      <w:r>
        <w:instrText xml:space="preserve"> PAGEREF _Toc6776 \h </w:instrText>
      </w:r>
      <w:r>
        <w:fldChar w:fldCharType="separate"/>
      </w:r>
      <w:r>
        <w:t>101</w:t>
      </w:r>
      <w:r>
        <w:fldChar w:fldCharType="end"/>
      </w:r>
      <w:r>
        <w:rPr>
          <w:rFonts w:hint="eastAsia" w:ascii="宋体" w:hAnsi="宋体" w:eastAsia="宋体" w:cs="宋体"/>
          <w:bCs/>
          <w:color w:val="auto"/>
          <w:szCs w:val="21"/>
          <w:highlight w:val="none"/>
          <w:lang w:val="zh-CN"/>
        </w:rPr>
        <w:fldChar w:fldCharType="end"/>
      </w:r>
    </w:p>
    <w:p w14:paraId="08D9CBAD">
      <w:pPr>
        <w:pStyle w:val="24"/>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_Toc11633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highlight w:val="none"/>
        </w:rPr>
        <w:t>第七章  技术标准和要求</w:t>
      </w:r>
      <w:r>
        <w:tab/>
      </w:r>
      <w:r>
        <w:fldChar w:fldCharType="begin"/>
      </w:r>
      <w:r>
        <w:instrText xml:space="preserve"> PAGEREF _Toc11633 \h </w:instrText>
      </w:r>
      <w:r>
        <w:fldChar w:fldCharType="separate"/>
      </w:r>
      <w:r>
        <w:t>102</w:t>
      </w:r>
      <w:r>
        <w:fldChar w:fldCharType="end"/>
      </w:r>
      <w:r>
        <w:rPr>
          <w:rFonts w:hint="eastAsia" w:ascii="宋体" w:hAnsi="宋体" w:eastAsia="宋体" w:cs="宋体"/>
          <w:bCs/>
          <w:color w:val="auto"/>
          <w:szCs w:val="21"/>
          <w:highlight w:val="none"/>
          <w:lang w:val="zh-CN"/>
        </w:rPr>
        <w:fldChar w:fldCharType="end"/>
      </w:r>
    </w:p>
    <w:p w14:paraId="22D9E806">
      <w:pPr>
        <w:pStyle w:val="24"/>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_Toc28727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highlight w:val="none"/>
        </w:rPr>
        <w:t>第八章  工程量清单计量规则</w:t>
      </w:r>
      <w:r>
        <w:tab/>
      </w:r>
      <w:r>
        <w:fldChar w:fldCharType="begin"/>
      </w:r>
      <w:r>
        <w:instrText xml:space="preserve"> PAGEREF _Toc28727 \h </w:instrText>
      </w:r>
      <w:r>
        <w:fldChar w:fldCharType="separate"/>
      </w:r>
      <w:r>
        <w:t>102</w:t>
      </w:r>
      <w:r>
        <w:fldChar w:fldCharType="end"/>
      </w:r>
      <w:r>
        <w:rPr>
          <w:rFonts w:hint="eastAsia" w:ascii="宋体" w:hAnsi="宋体" w:eastAsia="宋体" w:cs="宋体"/>
          <w:bCs/>
          <w:color w:val="auto"/>
          <w:szCs w:val="21"/>
          <w:highlight w:val="none"/>
          <w:lang w:val="zh-CN"/>
        </w:rPr>
        <w:fldChar w:fldCharType="end"/>
      </w:r>
    </w:p>
    <w:p w14:paraId="747914A1">
      <w:pPr>
        <w:pStyle w:val="24"/>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_Toc7873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52"/>
          <w:highlight w:val="none"/>
        </w:rPr>
        <w:t>第 四 卷</w:t>
      </w:r>
      <w:r>
        <w:tab/>
      </w:r>
      <w:r>
        <w:fldChar w:fldCharType="begin"/>
      </w:r>
      <w:r>
        <w:instrText xml:space="preserve"> PAGEREF _Toc7873 \h </w:instrText>
      </w:r>
      <w:r>
        <w:fldChar w:fldCharType="separate"/>
      </w:r>
      <w:r>
        <w:t>104</w:t>
      </w:r>
      <w:r>
        <w:fldChar w:fldCharType="end"/>
      </w:r>
      <w:r>
        <w:rPr>
          <w:rFonts w:hint="eastAsia" w:ascii="宋体" w:hAnsi="宋体" w:eastAsia="宋体" w:cs="宋体"/>
          <w:bCs/>
          <w:color w:val="auto"/>
          <w:szCs w:val="21"/>
          <w:highlight w:val="none"/>
          <w:lang w:val="zh-CN"/>
        </w:rPr>
        <w:fldChar w:fldCharType="end"/>
      </w:r>
    </w:p>
    <w:p w14:paraId="47AA8F85">
      <w:pPr>
        <w:pStyle w:val="24"/>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_Toc12482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highlight w:val="none"/>
        </w:rPr>
        <w:t>第九章  投标文件格式</w:t>
      </w:r>
      <w:r>
        <w:tab/>
      </w:r>
      <w:r>
        <w:fldChar w:fldCharType="begin"/>
      </w:r>
      <w:r>
        <w:instrText xml:space="preserve"> PAGEREF _Toc12482 \h </w:instrText>
      </w:r>
      <w:r>
        <w:fldChar w:fldCharType="separate"/>
      </w:r>
      <w:r>
        <w:t>105</w:t>
      </w:r>
      <w:r>
        <w:fldChar w:fldCharType="end"/>
      </w:r>
      <w:r>
        <w:rPr>
          <w:rFonts w:hint="eastAsia" w:ascii="宋体" w:hAnsi="宋体" w:eastAsia="宋体" w:cs="宋体"/>
          <w:bCs/>
          <w:color w:val="auto"/>
          <w:szCs w:val="21"/>
          <w:highlight w:val="none"/>
          <w:lang w:val="zh-CN"/>
        </w:rPr>
        <w:fldChar w:fldCharType="end"/>
      </w:r>
    </w:p>
    <w:p w14:paraId="0FD7FC9C">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_Toc22269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szCs w:val="44"/>
          <w:highlight w:val="none"/>
        </w:rPr>
        <w:t>一、投标函部分</w:t>
      </w:r>
      <w:r>
        <w:tab/>
      </w:r>
      <w:r>
        <w:fldChar w:fldCharType="begin"/>
      </w:r>
      <w:r>
        <w:instrText xml:space="preserve"> PAGEREF _Toc22269 \h </w:instrText>
      </w:r>
      <w:r>
        <w:fldChar w:fldCharType="separate"/>
      </w:r>
      <w:r>
        <w:t>108</w:t>
      </w:r>
      <w:r>
        <w:fldChar w:fldCharType="end"/>
      </w:r>
      <w:r>
        <w:rPr>
          <w:rFonts w:hint="eastAsia" w:ascii="宋体" w:hAnsi="宋体" w:eastAsia="宋体" w:cs="宋体"/>
          <w:bCs/>
          <w:color w:val="auto"/>
          <w:szCs w:val="21"/>
          <w:highlight w:val="none"/>
          <w:lang w:val="zh-CN"/>
        </w:rPr>
        <w:fldChar w:fldCharType="end"/>
      </w:r>
    </w:p>
    <w:p w14:paraId="723E8668">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_Toc16206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highlight w:val="none"/>
        </w:rPr>
        <w:t>（一）投标函</w:t>
      </w:r>
      <w:r>
        <w:tab/>
      </w:r>
      <w:r>
        <w:fldChar w:fldCharType="begin"/>
      </w:r>
      <w:r>
        <w:instrText xml:space="preserve"> PAGEREF _Toc16206 \h </w:instrText>
      </w:r>
      <w:r>
        <w:fldChar w:fldCharType="separate"/>
      </w:r>
      <w:r>
        <w:t>110</w:t>
      </w:r>
      <w:r>
        <w:fldChar w:fldCharType="end"/>
      </w:r>
      <w:r>
        <w:rPr>
          <w:rFonts w:hint="eastAsia" w:ascii="宋体" w:hAnsi="宋体" w:eastAsia="宋体" w:cs="宋体"/>
          <w:bCs/>
          <w:color w:val="auto"/>
          <w:szCs w:val="21"/>
          <w:highlight w:val="none"/>
          <w:lang w:val="zh-CN"/>
        </w:rPr>
        <w:fldChar w:fldCharType="end"/>
      </w:r>
    </w:p>
    <w:p w14:paraId="1A146B34">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_Toc27251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highlight w:val="none"/>
        </w:rPr>
        <w:t>（二）投标函附录</w:t>
      </w:r>
      <w:r>
        <w:tab/>
      </w:r>
      <w:r>
        <w:fldChar w:fldCharType="begin"/>
      </w:r>
      <w:r>
        <w:instrText xml:space="preserve"> PAGEREF _Toc27251 \h </w:instrText>
      </w:r>
      <w:r>
        <w:fldChar w:fldCharType="separate"/>
      </w:r>
      <w:r>
        <w:t>111</w:t>
      </w:r>
      <w:r>
        <w:fldChar w:fldCharType="end"/>
      </w:r>
      <w:r>
        <w:rPr>
          <w:rFonts w:hint="eastAsia" w:ascii="宋体" w:hAnsi="宋体" w:eastAsia="宋体" w:cs="宋体"/>
          <w:bCs/>
          <w:color w:val="auto"/>
          <w:szCs w:val="21"/>
          <w:highlight w:val="none"/>
          <w:lang w:val="zh-CN"/>
        </w:rPr>
        <w:fldChar w:fldCharType="end"/>
      </w:r>
    </w:p>
    <w:p w14:paraId="1D480E28">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_Toc20072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highlight w:val="none"/>
        </w:rPr>
        <w:t>（三）法定代表人身份证明或附有法定代表人身份证明的授权委托书</w:t>
      </w:r>
      <w:r>
        <w:tab/>
      </w:r>
      <w:r>
        <w:fldChar w:fldCharType="begin"/>
      </w:r>
      <w:r>
        <w:instrText xml:space="preserve"> PAGEREF _Toc20072 \h </w:instrText>
      </w:r>
      <w:r>
        <w:fldChar w:fldCharType="separate"/>
      </w:r>
      <w:r>
        <w:t>112</w:t>
      </w:r>
      <w:r>
        <w:fldChar w:fldCharType="end"/>
      </w:r>
      <w:r>
        <w:rPr>
          <w:rFonts w:hint="eastAsia" w:ascii="宋体" w:hAnsi="宋体" w:eastAsia="宋体" w:cs="宋体"/>
          <w:bCs/>
          <w:color w:val="auto"/>
          <w:szCs w:val="21"/>
          <w:highlight w:val="none"/>
          <w:lang w:val="zh-CN"/>
        </w:rPr>
        <w:fldChar w:fldCharType="end"/>
      </w:r>
    </w:p>
    <w:p w14:paraId="401836AB">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_Toc11820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szCs w:val="44"/>
          <w:highlight w:val="none"/>
        </w:rPr>
        <w:t>二、经济部分</w:t>
      </w:r>
      <w:r>
        <w:tab/>
      </w:r>
      <w:r>
        <w:fldChar w:fldCharType="begin"/>
      </w:r>
      <w:r>
        <w:instrText xml:space="preserve"> PAGEREF _Toc11820 \h </w:instrText>
      </w:r>
      <w:r>
        <w:fldChar w:fldCharType="separate"/>
      </w:r>
      <w:r>
        <w:t>114</w:t>
      </w:r>
      <w:r>
        <w:fldChar w:fldCharType="end"/>
      </w:r>
      <w:r>
        <w:rPr>
          <w:rFonts w:hint="eastAsia" w:ascii="宋体" w:hAnsi="宋体" w:eastAsia="宋体" w:cs="宋体"/>
          <w:bCs/>
          <w:color w:val="auto"/>
          <w:szCs w:val="21"/>
          <w:highlight w:val="none"/>
          <w:lang w:val="zh-CN"/>
        </w:rPr>
        <w:fldChar w:fldCharType="end"/>
      </w:r>
    </w:p>
    <w:p w14:paraId="5FE99612">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_Toc6790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highlight w:val="none"/>
        </w:rPr>
        <w:t>（一）已标价工程量清单</w:t>
      </w:r>
      <w:r>
        <w:tab/>
      </w:r>
      <w:r>
        <w:fldChar w:fldCharType="begin"/>
      </w:r>
      <w:r>
        <w:instrText xml:space="preserve"> PAGEREF _Toc6790 \h </w:instrText>
      </w:r>
      <w:r>
        <w:fldChar w:fldCharType="separate"/>
      </w:r>
      <w:r>
        <w:t>116</w:t>
      </w:r>
      <w:r>
        <w:fldChar w:fldCharType="end"/>
      </w:r>
      <w:r>
        <w:rPr>
          <w:rFonts w:hint="eastAsia" w:ascii="宋体" w:hAnsi="宋体" w:eastAsia="宋体" w:cs="宋体"/>
          <w:bCs/>
          <w:color w:val="auto"/>
          <w:szCs w:val="21"/>
          <w:highlight w:val="none"/>
          <w:lang w:val="zh-CN"/>
        </w:rPr>
        <w:fldChar w:fldCharType="end"/>
      </w:r>
    </w:p>
    <w:p w14:paraId="143A7FED">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_Toc15718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szCs w:val="44"/>
          <w:highlight w:val="none"/>
        </w:rPr>
        <w:t>三、商务部分</w:t>
      </w:r>
      <w:r>
        <w:tab/>
      </w:r>
      <w:r>
        <w:fldChar w:fldCharType="begin"/>
      </w:r>
      <w:r>
        <w:instrText xml:space="preserve"> PAGEREF _Toc15718 \h </w:instrText>
      </w:r>
      <w:r>
        <w:fldChar w:fldCharType="separate"/>
      </w:r>
      <w:r>
        <w:t>117</w:t>
      </w:r>
      <w:r>
        <w:fldChar w:fldCharType="end"/>
      </w:r>
      <w:r>
        <w:rPr>
          <w:rFonts w:hint="eastAsia" w:ascii="宋体" w:hAnsi="宋体" w:eastAsia="宋体" w:cs="宋体"/>
          <w:bCs/>
          <w:color w:val="auto"/>
          <w:szCs w:val="21"/>
          <w:highlight w:val="none"/>
          <w:lang w:val="zh-CN"/>
        </w:rPr>
        <w:fldChar w:fldCharType="end"/>
      </w:r>
    </w:p>
    <w:p w14:paraId="206EBF7F">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_Toc14100 </w:instrText>
      </w:r>
      <w:r>
        <w:rPr>
          <w:rFonts w:hint="eastAsia" w:ascii="宋体" w:hAnsi="宋体" w:eastAsia="宋体" w:cs="宋体"/>
          <w:bCs/>
          <w:szCs w:val="21"/>
          <w:highlight w:val="none"/>
          <w:lang w:val="zh-CN"/>
        </w:rPr>
        <w:fldChar w:fldCharType="separate"/>
      </w:r>
      <w:r>
        <w:rPr>
          <w:rFonts w:hint="eastAsia" w:ascii="宋体" w:hAnsi="宋体" w:eastAsia="宋体" w:cs="宋体"/>
          <w:szCs w:val="44"/>
          <w:highlight w:val="none"/>
        </w:rPr>
        <w:t>四、</w:t>
      </w:r>
      <w:r>
        <w:rPr>
          <w:rFonts w:hint="eastAsia" w:ascii="宋体" w:hAnsi="宋体" w:eastAsia="宋体" w:cs="宋体"/>
          <w:bCs w:val="0"/>
          <w:szCs w:val="44"/>
          <w:highlight w:val="none"/>
        </w:rPr>
        <w:t>技术部分</w:t>
      </w:r>
      <w:r>
        <w:tab/>
      </w:r>
      <w:r>
        <w:fldChar w:fldCharType="begin"/>
      </w:r>
      <w:r>
        <w:instrText xml:space="preserve"> PAGEREF _Toc14100 \h </w:instrText>
      </w:r>
      <w:r>
        <w:fldChar w:fldCharType="separate"/>
      </w:r>
      <w:r>
        <w:t>119</w:t>
      </w:r>
      <w:r>
        <w:fldChar w:fldCharType="end"/>
      </w:r>
      <w:r>
        <w:rPr>
          <w:rFonts w:hint="eastAsia" w:ascii="宋体" w:hAnsi="宋体" w:eastAsia="宋体" w:cs="宋体"/>
          <w:bCs/>
          <w:color w:val="auto"/>
          <w:szCs w:val="21"/>
          <w:highlight w:val="none"/>
          <w:lang w:val="zh-CN"/>
        </w:rPr>
        <w:fldChar w:fldCharType="end"/>
      </w:r>
    </w:p>
    <w:p w14:paraId="4420E4F3">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_Toc586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szCs w:val="36"/>
          <w:highlight w:val="none"/>
        </w:rPr>
        <w:t>（一）</w:t>
      </w:r>
      <w:r>
        <w:rPr>
          <w:rFonts w:hint="eastAsia" w:ascii="宋体" w:hAnsi="宋体" w:eastAsia="宋体" w:cs="宋体"/>
          <w:bCs w:val="0"/>
          <w:highlight w:val="none"/>
        </w:rPr>
        <w:t>技术方案</w:t>
      </w:r>
      <w:r>
        <w:tab/>
      </w:r>
      <w:r>
        <w:fldChar w:fldCharType="begin"/>
      </w:r>
      <w:r>
        <w:instrText xml:space="preserve"> PAGEREF _Toc586 \h </w:instrText>
      </w:r>
      <w:r>
        <w:fldChar w:fldCharType="separate"/>
      </w:r>
      <w:r>
        <w:t>121</w:t>
      </w:r>
      <w:r>
        <w:fldChar w:fldCharType="end"/>
      </w:r>
      <w:r>
        <w:rPr>
          <w:rFonts w:hint="eastAsia" w:ascii="宋体" w:hAnsi="宋体" w:eastAsia="宋体" w:cs="宋体"/>
          <w:bCs/>
          <w:color w:val="auto"/>
          <w:szCs w:val="21"/>
          <w:highlight w:val="none"/>
          <w:lang w:val="zh-CN"/>
        </w:rPr>
        <w:fldChar w:fldCharType="end"/>
      </w:r>
    </w:p>
    <w:p w14:paraId="6DFD6C3C">
      <w:pPr>
        <w:pStyle w:val="28"/>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_Toc18649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szCs w:val="44"/>
          <w:highlight w:val="none"/>
        </w:rPr>
        <w:t>五、资格审查资料</w:t>
      </w:r>
      <w:r>
        <w:tab/>
      </w:r>
      <w:r>
        <w:fldChar w:fldCharType="begin"/>
      </w:r>
      <w:r>
        <w:instrText xml:space="preserve"> PAGEREF _Toc18649 \h </w:instrText>
      </w:r>
      <w:r>
        <w:fldChar w:fldCharType="separate"/>
      </w:r>
      <w:r>
        <w:t>122</w:t>
      </w:r>
      <w:r>
        <w:fldChar w:fldCharType="end"/>
      </w:r>
      <w:r>
        <w:rPr>
          <w:rFonts w:hint="eastAsia" w:ascii="宋体" w:hAnsi="宋体" w:eastAsia="宋体" w:cs="宋体"/>
          <w:bCs/>
          <w:color w:val="auto"/>
          <w:szCs w:val="21"/>
          <w:highlight w:val="none"/>
          <w:lang w:val="zh-CN"/>
        </w:rPr>
        <w:fldChar w:fldCharType="end"/>
      </w:r>
    </w:p>
    <w:p w14:paraId="059C5477">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_Toc18889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highlight w:val="none"/>
        </w:rPr>
        <w:t>（一）法定代表人身份证明或附有法定代表人身份证明的授权委托书</w:t>
      </w:r>
      <w:r>
        <w:tab/>
      </w:r>
      <w:r>
        <w:fldChar w:fldCharType="begin"/>
      </w:r>
      <w:r>
        <w:instrText xml:space="preserve"> PAGEREF _Toc18889 \h </w:instrText>
      </w:r>
      <w:r>
        <w:fldChar w:fldCharType="separate"/>
      </w:r>
      <w:r>
        <w:t>124</w:t>
      </w:r>
      <w:r>
        <w:fldChar w:fldCharType="end"/>
      </w:r>
      <w:r>
        <w:rPr>
          <w:rFonts w:hint="eastAsia" w:ascii="宋体" w:hAnsi="宋体" w:eastAsia="宋体" w:cs="宋体"/>
          <w:bCs/>
          <w:color w:val="auto"/>
          <w:szCs w:val="21"/>
          <w:highlight w:val="none"/>
          <w:lang w:val="zh-CN"/>
        </w:rPr>
        <w:fldChar w:fldCharType="end"/>
      </w:r>
    </w:p>
    <w:p w14:paraId="13D9A8E5">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_Toc8598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highlight w:val="none"/>
          <w:lang w:eastAsia="zh-CN"/>
        </w:rPr>
        <w:t>（</w:t>
      </w:r>
      <w:r>
        <w:rPr>
          <w:rFonts w:hint="eastAsia" w:ascii="宋体" w:hAnsi="宋体" w:eastAsia="宋体" w:cs="宋体"/>
          <w:bCs w:val="0"/>
          <w:highlight w:val="none"/>
          <w:lang w:val="en-US" w:eastAsia="zh-CN"/>
        </w:rPr>
        <w:t>二</w:t>
      </w:r>
      <w:r>
        <w:rPr>
          <w:rFonts w:hint="eastAsia" w:ascii="宋体" w:hAnsi="宋体" w:eastAsia="宋体" w:cs="宋体"/>
          <w:bCs w:val="0"/>
          <w:highlight w:val="none"/>
          <w:lang w:eastAsia="zh-CN"/>
        </w:rPr>
        <w:t>）</w:t>
      </w:r>
      <w:r>
        <w:rPr>
          <w:rFonts w:hint="eastAsia" w:ascii="宋体" w:hAnsi="宋体" w:eastAsia="宋体" w:cs="宋体"/>
          <w:bCs w:val="0"/>
          <w:highlight w:val="none"/>
        </w:rPr>
        <w:t>制造商授权书</w:t>
      </w:r>
      <w:r>
        <w:tab/>
      </w:r>
      <w:r>
        <w:fldChar w:fldCharType="begin"/>
      </w:r>
      <w:r>
        <w:instrText xml:space="preserve"> PAGEREF _Toc8598 \h </w:instrText>
      </w:r>
      <w:r>
        <w:fldChar w:fldCharType="separate"/>
      </w:r>
      <w:r>
        <w:t>126</w:t>
      </w:r>
      <w:r>
        <w:fldChar w:fldCharType="end"/>
      </w:r>
      <w:r>
        <w:rPr>
          <w:rFonts w:hint="eastAsia" w:ascii="宋体" w:hAnsi="宋体" w:eastAsia="宋体" w:cs="宋体"/>
          <w:bCs/>
          <w:color w:val="auto"/>
          <w:szCs w:val="21"/>
          <w:highlight w:val="none"/>
          <w:lang w:val="zh-CN"/>
        </w:rPr>
        <w:fldChar w:fldCharType="end"/>
      </w:r>
    </w:p>
    <w:p w14:paraId="7B3506B5">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_Toc16645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highlight w:val="none"/>
        </w:rPr>
        <w:t>（三）投标人基本情况表</w:t>
      </w:r>
      <w:r>
        <w:tab/>
      </w:r>
      <w:r>
        <w:fldChar w:fldCharType="begin"/>
      </w:r>
      <w:r>
        <w:instrText xml:space="preserve"> PAGEREF _Toc16645 \h </w:instrText>
      </w:r>
      <w:r>
        <w:fldChar w:fldCharType="separate"/>
      </w:r>
      <w:r>
        <w:t>127</w:t>
      </w:r>
      <w:r>
        <w:fldChar w:fldCharType="end"/>
      </w:r>
      <w:r>
        <w:rPr>
          <w:rFonts w:hint="eastAsia" w:ascii="宋体" w:hAnsi="宋体" w:eastAsia="宋体" w:cs="宋体"/>
          <w:bCs/>
          <w:color w:val="auto"/>
          <w:szCs w:val="21"/>
          <w:highlight w:val="none"/>
          <w:lang w:val="zh-CN"/>
        </w:rPr>
        <w:fldChar w:fldCharType="end"/>
      </w:r>
    </w:p>
    <w:p w14:paraId="3C6A97C2">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_Toc2596 </w:instrText>
      </w:r>
      <w:r>
        <w:rPr>
          <w:rFonts w:hint="eastAsia" w:ascii="宋体" w:hAnsi="宋体" w:eastAsia="宋体" w:cs="宋体"/>
          <w:bCs/>
          <w:szCs w:val="21"/>
          <w:highlight w:val="none"/>
          <w:lang w:val="zh-CN"/>
        </w:rPr>
        <w:fldChar w:fldCharType="separate"/>
      </w:r>
      <w:r>
        <w:rPr>
          <w:rFonts w:hint="eastAsia" w:ascii="宋体" w:hAnsi="宋体" w:eastAsia="宋体" w:cs="宋体"/>
          <w:bCs w:val="0"/>
          <w:highlight w:val="none"/>
        </w:rPr>
        <w:t>（四）项目管理机构</w:t>
      </w:r>
      <w:r>
        <w:tab/>
      </w:r>
      <w:r>
        <w:fldChar w:fldCharType="begin"/>
      </w:r>
      <w:r>
        <w:instrText xml:space="preserve"> PAGEREF _Toc2596 \h </w:instrText>
      </w:r>
      <w:r>
        <w:fldChar w:fldCharType="separate"/>
      </w:r>
      <w:r>
        <w:t>128</w:t>
      </w:r>
      <w:r>
        <w:fldChar w:fldCharType="end"/>
      </w:r>
      <w:r>
        <w:rPr>
          <w:rFonts w:hint="eastAsia" w:ascii="宋体" w:hAnsi="宋体" w:eastAsia="宋体" w:cs="宋体"/>
          <w:bCs/>
          <w:color w:val="auto"/>
          <w:szCs w:val="21"/>
          <w:highlight w:val="none"/>
          <w:lang w:val="zh-CN"/>
        </w:rPr>
        <w:fldChar w:fldCharType="end"/>
      </w:r>
    </w:p>
    <w:p w14:paraId="5596CC1B">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_Toc9392 </w:instrText>
      </w:r>
      <w:r>
        <w:rPr>
          <w:rFonts w:hint="eastAsia" w:ascii="宋体" w:hAnsi="宋体" w:eastAsia="宋体" w:cs="宋体"/>
          <w:bCs/>
          <w:szCs w:val="21"/>
          <w:highlight w:val="none"/>
          <w:lang w:val="zh-CN"/>
        </w:rPr>
        <w:fldChar w:fldCharType="separate"/>
      </w:r>
      <w:r>
        <w:rPr>
          <w:rFonts w:hint="eastAsia" w:ascii="宋体" w:hAnsi="宋体" w:eastAsia="宋体" w:cs="宋体"/>
          <w:highlight w:val="none"/>
        </w:rPr>
        <w:t>（</w:t>
      </w:r>
      <w:r>
        <w:rPr>
          <w:rFonts w:hint="eastAsia" w:ascii="宋体" w:hAnsi="宋体" w:eastAsia="宋体" w:cs="宋体"/>
          <w:highlight w:val="none"/>
          <w:lang w:eastAsia="zh-CN"/>
        </w:rPr>
        <w:t>五</w:t>
      </w:r>
      <w:r>
        <w:rPr>
          <w:rFonts w:hint="eastAsia" w:ascii="宋体" w:hAnsi="宋体" w:eastAsia="宋体" w:cs="宋体"/>
          <w:highlight w:val="none"/>
        </w:rPr>
        <w:t>）类似项目情况表</w:t>
      </w:r>
      <w:r>
        <w:tab/>
      </w:r>
      <w:r>
        <w:fldChar w:fldCharType="begin"/>
      </w:r>
      <w:r>
        <w:instrText xml:space="preserve"> PAGEREF _Toc9392 \h </w:instrText>
      </w:r>
      <w:r>
        <w:fldChar w:fldCharType="separate"/>
      </w:r>
      <w:r>
        <w:t>130</w:t>
      </w:r>
      <w:r>
        <w:fldChar w:fldCharType="end"/>
      </w:r>
      <w:r>
        <w:rPr>
          <w:rFonts w:hint="eastAsia" w:ascii="宋体" w:hAnsi="宋体" w:eastAsia="宋体" w:cs="宋体"/>
          <w:bCs/>
          <w:color w:val="auto"/>
          <w:szCs w:val="21"/>
          <w:highlight w:val="none"/>
          <w:lang w:val="zh-CN"/>
        </w:rPr>
        <w:fldChar w:fldCharType="end"/>
      </w:r>
    </w:p>
    <w:p w14:paraId="19E3A2FA">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_Toc28356 </w:instrText>
      </w:r>
      <w:r>
        <w:rPr>
          <w:rFonts w:hint="eastAsia" w:ascii="宋体" w:hAnsi="宋体" w:eastAsia="宋体" w:cs="宋体"/>
          <w:bCs/>
          <w:szCs w:val="21"/>
          <w:highlight w:val="none"/>
          <w:lang w:val="zh-CN"/>
        </w:rPr>
        <w:fldChar w:fldCharType="separate"/>
      </w:r>
      <w:r>
        <w:rPr>
          <w:rFonts w:hint="eastAsia" w:ascii="宋体" w:hAnsi="宋体" w:eastAsia="宋体" w:cs="宋体"/>
          <w:highlight w:val="none"/>
        </w:rPr>
        <w:t>（</w:t>
      </w:r>
      <w:r>
        <w:rPr>
          <w:rFonts w:hint="eastAsia" w:ascii="宋体" w:hAnsi="宋体" w:eastAsia="宋体" w:cs="宋体"/>
          <w:highlight w:val="none"/>
          <w:lang w:eastAsia="zh-CN"/>
        </w:rPr>
        <w:t>六</w:t>
      </w:r>
      <w:r>
        <w:rPr>
          <w:rFonts w:hint="eastAsia" w:ascii="宋体" w:hAnsi="宋体" w:eastAsia="宋体" w:cs="宋体"/>
          <w:highlight w:val="none"/>
        </w:rPr>
        <w:t>）承诺</w:t>
      </w:r>
      <w:r>
        <w:tab/>
      </w:r>
      <w:r>
        <w:fldChar w:fldCharType="begin"/>
      </w:r>
      <w:r>
        <w:instrText xml:space="preserve"> PAGEREF _Toc28356 \h </w:instrText>
      </w:r>
      <w:r>
        <w:fldChar w:fldCharType="separate"/>
      </w:r>
      <w:r>
        <w:t>131</w:t>
      </w:r>
      <w:r>
        <w:fldChar w:fldCharType="end"/>
      </w:r>
      <w:r>
        <w:rPr>
          <w:rFonts w:hint="eastAsia" w:ascii="宋体" w:hAnsi="宋体" w:eastAsia="宋体" w:cs="宋体"/>
          <w:bCs/>
          <w:color w:val="auto"/>
          <w:szCs w:val="21"/>
          <w:highlight w:val="none"/>
          <w:lang w:val="zh-CN"/>
        </w:rPr>
        <w:fldChar w:fldCharType="end"/>
      </w:r>
    </w:p>
    <w:p w14:paraId="37F532EF">
      <w:pPr>
        <w:pStyle w:val="17"/>
        <w:tabs>
          <w:tab w:val="right" w:leader="dot" w:pos="9469"/>
        </w:tabs>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szCs w:val="21"/>
          <w:highlight w:val="none"/>
          <w:lang w:val="zh-CN"/>
        </w:rPr>
        <w:instrText xml:space="preserve"> HYPERLINK \l _Toc4368 </w:instrText>
      </w:r>
      <w:r>
        <w:rPr>
          <w:rFonts w:hint="eastAsia" w:ascii="宋体" w:hAnsi="宋体" w:eastAsia="宋体" w:cs="宋体"/>
          <w:bCs/>
          <w:szCs w:val="21"/>
          <w:highlight w:val="none"/>
          <w:lang w:val="zh-CN"/>
        </w:rPr>
        <w:fldChar w:fldCharType="separate"/>
      </w:r>
      <w:r>
        <w:rPr>
          <w:rFonts w:hint="eastAsia" w:ascii="宋体" w:hAnsi="宋体" w:eastAsia="宋体" w:cs="宋体"/>
          <w:highlight w:val="none"/>
        </w:rPr>
        <w:t>（</w:t>
      </w:r>
      <w:r>
        <w:rPr>
          <w:rFonts w:hint="eastAsia" w:ascii="宋体" w:hAnsi="宋体" w:eastAsia="宋体" w:cs="宋体"/>
          <w:highlight w:val="none"/>
          <w:lang w:eastAsia="zh-CN"/>
        </w:rPr>
        <w:t>七</w:t>
      </w:r>
      <w:r>
        <w:rPr>
          <w:rFonts w:hint="eastAsia" w:ascii="宋体" w:hAnsi="宋体" w:eastAsia="宋体" w:cs="宋体"/>
          <w:highlight w:val="none"/>
        </w:rPr>
        <w:t>）其他资料</w:t>
      </w:r>
      <w:r>
        <w:tab/>
      </w:r>
      <w:r>
        <w:fldChar w:fldCharType="begin"/>
      </w:r>
      <w:r>
        <w:instrText xml:space="preserve"> PAGEREF _Toc4368 \h </w:instrText>
      </w:r>
      <w:r>
        <w:fldChar w:fldCharType="separate"/>
      </w:r>
      <w:r>
        <w:t>134</w:t>
      </w:r>
      <w:r>
        <w:fldChar w:fldCharType="end"/>
      </w:r>
      <w:r>
        <w:rPr>
          <w:rFonts w:hint="eastAsia" w:ascii="宋体" w:hAnsi="宋体" w:eastAsia="宋体" w:cs="宋体"/>
          <w:bCs/>
          <w:color w:val="auto"/>
          <w:szCs w:val="21"/>
          <w:highlight w:val="none"/>
          <w:lang w:val="zh-CN"/>
        </w:rPr>
        <w:fldChar w:fldCharType="end"/>
      </w:r>
    </w:p>
    <w:p w14:paraId="682A61AE">
      <w:pPr>
        <w:spacing w:line="400" w:lineRule="exact"/>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end"/>
      </w:r>
    </w:p>
    <w:p w14:paraId="30EF6657">
      <w:pPr>
        <w:spacing w:line="20" w:lineRule="exact"/>
        <w:jc w:val="left"/>
        <w:rPr>
          <w:rFonts w:hint="eastAsia" w:ascii="宋体" w:hAnsi="宋体" w:eastAsia="宋体" w:cs="宋体"/>
          <w:color w:val="auto"/>
          <w:highlight w:val="none"/>
        </w:rPr>
        <w:sectPr>
          <w:footerReference r:id="rId5" w:type="default"/>
          <w:pgSz w:w="11907" w:h="16840"/>
          <w:pgMar w:top="1304" w:right="1134" w:bottom="1304" w:left="1304" w:header="851" w:footer="992" w:gutter="0"/>
          <w:pgNumType w:start="1"/>
          <w:cols w:space="720" w:num="1"/>
          <w:docGrid w:linePitch="312" w:charSpace="0"/>
        </w:sectPr>
      </w:pPr>
    </w:p>
    <w:bookmarkEnd w:id="10"/>
    <w:p w14:paraId="68042593">
      <w:pPr>
        <w:rPr>
          <w:rFonts w:hint="eastAsia" w:ascii="宋体" w:hAnsi="宋体" w:eastAsia="宋体" w:cs="宋体"/>
          <w:color w:val="auto"/>
          <w:highlight w:val="none"/>
        </w:rPr>
      </w:pPr>
      <w:bookmarkStart w:id="11" w:name="_Toc509218690"/>
    </w:p>
    <w:p w14:paraId="1488A8BD">
      <w:pPr>
        <w:pStyle w:val="3"/>
        <w:spacing w:before="0" w:after="0" w:line="480" w:lineRule="auto"/>
        <w:jc w:val="center"/>
        <w:rPr>
          <w:rFonts w:hint="eastAsia" w:ascii="宋体" w:hAnsi="宋体" w:eastAsia="宋体" w:cs="宋体"/>
          <w:b w:val="0"/>
          <w:bCs w:val="0"/>
          <w:color w:val="auto"/>
          <w:sz w:val="56"/>
          <w:szCs w:val="56"/>
          <w:highlight w:val="none"/>
        </w:rPr>
      </w:pPr>
      <w:bookmarkStart w:id="12" w:name="_Toc5207"/>
      <w:r>
        <w:rPr>
          <w:rFonts w:hint="eastAsia" w:ascii="宋体" w:hAnsi="宋体" w:eastAsia="宋体" w:cs="宋体"/>
          <w:color w:val="auto"/>
          <w:sz w:val="52"/>
          <w:szCs w:val="52"/>
          <w:highlight w:val="none"/>
        </w:rPr>
        <w:t>第 一 卷</w:t>
      </w:r>
      <w:bookmarkEnd w:id="11"/>
      <w:bookmarkEnd w:id="12"/>
    </w:p>
    <w:p w14:paraId="0DCD0B7B">
      <w:pPr>
        <w:pStyle w:val="3"/>
        <w:spacing w:line="360" w:lineRule="auto"/>
        <w:jc w:val="center"/>
        <w:rPr>
          <w:rFonts w:hint="eastAsia" w:ascii="宋体" w:hAnsi="宋体" w:eastAsia="宋体" w:cs="宋体"/>
          <w:b w:val="0"/>
          <w:bCs w:val="0"/>
          <w:snapToGrid w:val="0"/>
          <w:color w:val="auto"/>
          <w:kern w:val="0"/>
          <w:highlight w:val="none"/>
        </w:rPr>
      </w:pPr>
      <w:bookmarkStart w:id="13" w:name="_Toc509218691"/>
      <w:bookmarkStart w:id="14" w:name="_Toc287620666"/>
      <w:bookmarkStart w:id="15" w:name="_Toc430530415"/>
      <w:bookmarkStart w:id="16" w:name="_Toc277082535"/>
      <w:bookmarkStart w:id="17" w:name="_Toc224103298"/>
      <w:bookmarkStart w:id="18" w:name="_Toc287607727"/>
      <w:r>
        <w:rPr>
          <w:rFonts w:hint="eastAsia" w:ascii="宋体" w:hAnsi="宋体" w:eastAsia="宋体" w:cs="宋体"/>
          <w:snapToGrid w:val="0"/>
          <w:color w:val="auto"/>
          <w:kern w:val="0"/>
          <w:highlight w:val="none"/>
        </w:rPr>
        <w:br w:type="page"/>
      </w:r>
      <w:bookmarkStart w:id="19" w:name="_Toc25106"/>
      <w:r>
        <w:rPr>
          <w:rFonts w:hint="eastAsia" w:ascii="宋体" w:hAnsi="宋体" w:eastAsia="宋体" w:cs="宋体"/>
          <w:snapToGrid w:val="0"/>
          <w:color w:val="auto"/>
          <w:kern w:val="0"/>
          <w:highlight w:val="none"/>
        </w:rPr>
        <w:t>第一章  招标公告</w:t>
      </w:r>
      <w:bookmarkEnd w:id="13"/>
      <w:bookmarkEnd w:id="14"/>
      <w:bookmarkEnd w:id="15"/>
      <w:bookmarkEnd w:id="16"/>
      <w:bookmarkEnd w:id="17"/>
      <w:bookmarkEnd w:id="18"/>
      <w:bookmarkEnd w:id="19"/>
    </w:p>
    <w:p w14:paraId="25FA12AB">
      <w:pPr>
        <w:autoSpaceDE w:val="0"/>
        <w:autoSpaceDN w:val="0"/>
        <w:adjustRightInd w:val="0"/>
        <w:snapToGrid w:val="0"/>
        <w:spacing w:line="360" w:lineRule="auto"/>
        <w:jc w:val="center"/>
        <w:rPr>
          <w:rFonts w:hint="eastAsia" w:ascii="宋体" w:hAnsi="宋体" w:eastAsia="宋体" w:cs="宋体"/>
          <w:snapToGrid w:val="0"/>
          <w:color w:val="auto"/>
          <w:kern w:val="0"/>
          <w:sz w:val="10"/>
          <w:szCs w:val="10"/>
          <w:highlight w:val="none"/>
        </w:rPr>
      </w:pPr>
      <w:r>
        <w:rPr>
          <w:rFonts w:hint="eastAsia" w:ascii="宋体" w:hAnsi="宋体" w:cs="宋体"/>
          <w:snapToGrid w:val="0"/>
          <w:color w:val="auto"/>
          <w:kern w:val="0"/>
          <w:sz w:val="28"/>
          <w:szCs w:val="28"/>
          <w:highlight w:val="none"/>
          <w:u w:val="single"/>
          <w:lang w:eastAsia="zh-CN"/>
        </w:rPr>
        <w:t>巫溪至开州高速公路项目机电工程高压外电接入施工专项分包</w:t>
      </w:r>
      <w:r>
        <w:rPr>
          <w:rFonts w:hint="eastAsia" w:ascii="宋体" w:hAnsi="宋体" w:eastAsia="宋体" w:cs="宋体"/>
          <w:snapToGrid w:val="0"/>
          <w:color w:val="auto"/>
          <w:w w:val="99"/>
          <w:kern w:val="0"/>
          <w:sz w:val="28"/>
          <w:szCs w:val="28"/>
          <w:highlight w:val="none"/>
        </w:rPr>
        <w:t>招标公告</w:t>
      </w:r>
    </w:p>
    <w:p w14:paraId="5C9E45AD">
      <w:pPr>
        <w:pStyle w:val="4"/>
        <w:adjustRightInd w:val="0"/>
        <w:snapToGrid w:val="0"/>
        <w:spacing w:before="0" w:after="0" w:line="360" w:lineRule="auto"/>
        <w:rPr>
          <w:rFonts w:hint="eastAsia" w:ascii="宋体" w:hAnsi="宋体" w:eastAsia="宋体" w:cs="宋体"/>
          <w:bCs w:val="0"/>
          <w:snapToGrid w:val="0"/>
          <w:color w:val="auto"/>
          <w:sz w:val="24"/>
          <w:szCs w:val="24"/>
          <w:highlight w:val="none"/>
        </w:rPr>
      </w:pPr>
      <w:bookmarkStart w:id="20" w:name="_Toc200359238"/>
      <w:bookmarkStart w:id="21" w:name="_Toc287607728"/>
      <w:bookmarkStart w:id="22" w:name="_Toc287620667"/>
      <w:bookmarkStart w:id="23" w:name="_Toc509218692"/>
      <w:bookmarkStart w:id="24" w:name="_Toc430530416"/>
      <w:bookmarkStart w:id="25" w:name="_Toc277082536"/>
      <w:bookmarkStart w:id="26" w:name="_Toc224103299"/>
      <w:bookmarkStart w:id="27" w:name="_Toc14110"/>
      <w:bookmarkStart w:id="28" w:name="_Toc200359427"/>
      <w:r>
        <w:rPr>
          <w:rFonts w:hint="eastAsia" w:ascii="宋体" w:hAnsi="宋体" w:eastAsia="宋体" w:cs="宋体"/>
          <w:bCs w:val="0"/>
          <w:snapToGrid w:val="0"/>
          <w:color w:val="auto"/>
          <w:sz w:val="24"/>
          <w:szCs w:val="24"/>
          <w:highlight w:val="none"/>
        </w:rPr>
        <w:t>1. 招标条件</w:t>
      </w:r>
      <w:bookmarkEnd w:id="20"/>
      <w:bookmarkEnd w:id="21"/>
      <w:bookmarkEnd w:id="22"/>
      <w:bookmarkEnd w:id="23"/>
      <w:bookmarkEnd w:id="24"/>
      <w:bookmarkEnd w:id="25"/>
      <w:bookmarkEnd w:id="26"/>
      <w:bookmarkEnd w:id="27"/>
      <w:bookmarkEnd w:id="28"/>
    </w:p>
    <w:p w14:paraId="7E67FA0A">
      <w:pPr>
        <w:tabs>
          <w:tab w:val="left" w:pos="3315"/>
          <w:tab w:val="left" w:pos="3390"/>
          <w:tab w:val="left" w:pos="6120"/>
          <w:tab w:val="left" w:pos="8850"/>
        </w:tabs>
        <w:autoSpaceDE w:val="0"/>
        <w:autoSpaceDN w:val="0"/>
        <w:adjustRightInd w:val="0"/>
        <w:snapToGrid w:val="0"/>
        <w:spacing w:beforeLines="0" w:afterLines="0" w:line="360" w:lineRule="auto"/>
        <w:ind w:firstLine="420"/>
        <w:jc w:val="left"/>
        <w:rPr>
          <w:rFonts w:hint="eastAsia" w:ascii="宋体" w:hAnsi="宋体" w:eastAsia="宋体" w:cs="宋体"/>
          <w:szCs w:val="21"/>
          <w:highlight w:val="none"/>
        </w:rPr>
      </w:pPr>
      <w:bookmarkStart w:id="29" w:name="_Toc287607729"/>
      <w:bookmarkStart w:id="30" w:name="_Toc287620668"/>
      <w:bookmarkStart w:id="31" w:name="_Toc509218693"/>
      <w:bookmarkStart w:id="32" w:name="_Toc277082537"/>
      <w:bookmarkStart w:id="33" w:name="_Toc200359428"/>
      <w:bookmarkStart w:id="34" w:name="_Toc430530417"/>
      <w:bookmarkStart w:id="35" w:name="_Toc224103300"/>
      <w:bookmarkStart w:id="36" w:name="_Toc200359239"/>
      <w:r>
        <w:rPr>
          <w:rFonts w:hint="eastAsia" w:ascii="宋体" w:hAnsi="宋体" w:eastAsia="宋体" w:cs="宋体"/>
          <w:snapToGrid w:val="0"/>
          <w:color w:val="auto"/>
          <w:kern w:val="0"/>
          <w:szCs w:val="21"/>
          <w:highlight w:val="none"/>
        </w:rPr>
        <w:t>本招标项目</w:t>
      </w:r>
      <w:r>
        <w:rPr>
          <w:rFonts w:hint="eastAsia" w:ascii="宋体" w:hAnsi="宋体" w:cs="宋体"/>
          <w:snapToGrid w:val="0"/>
          <w:color w:val="auto"/>
          <w:kern w:val="0"/>
          <w:szCs w:val="21"/>
          <w:highlight w:val="none"/>
          <w:u w:val="single"/>
          <w:lang w:eastAsia="zh-CN"/>
        </w:rPr>
        <w:t>巫溪至开州高速公路项目机电工程项目</w:t>
      </w:r>
      <w:r>
        <w:rPr>
          <w:rFonts w:hint="eastAsia" w:ascii="宋体" w:hAnsi="宋体" w:eastAsia="宋体" w:cs="宋体"/>
          <w:snapToGrid w:val="0"/>
          <w:color w:val="auto"/>
          <w:kern w:val="0"/>
          <w:szCs w:val="21"/>
          <w:highlight w:val="none"/>
          <w:u w:val="none"/>
          <w:lang w:val="en-US" w:eastAsia="zh-CN"/>
        </w:rPr>
        <w:t>已具</w:t>
      </w:r>
      <w:r>
        <w:rPr>
          <w:rFonts w:hint="eastAsia" w:ascii="宋体" w:hAnsi="宋体" w:eastAsia="宋体" w:cs="宋体"/>
          <w:snapToGrid w:val="0"/>
          <w:color w:val="auto"/>
          <w:kern w:val="0"/>
          <w:szCs w:val="21"/>
          <w:highlight w:val="none"/>
          <w:lang w:val="en-US" w:eastAsia="zh-CN"/>
        </w:rPr>
        <w:t>备采购条件</w:t>
      </w:r>
      <w:r>
        <w:rPr>
          <w:rFonts w:hint="eastAsia" w:ascii="宋体" w:hAnsi="宋体" w:eastAsia="宋体" w:cs="宋体"/>
          <w:snapToGrid w:val="0"/>
          <w:color w:val="auto"/>
          <w:kern w:val="0"/>
          <w:szCs w:val="21"/>
          <w:highlight w:val="none"/>
        </w:rPr>
        <w:t>，项目业主为</w:t>
      </w:r>
      <w:r>
        <w:rPr>
          <w:rFonts w:hint="eastAsia" w:ascii="宋体" w:hAnsi="宋体" w:cs="宋体"/>
          <w:snapToGrid w:val="0"/>
          <w:color w:val="auto"/>
          <w:kern w:val="0"/>
          <w:szCs w:val="21"/>
          <w:highlight w:val="none"/>
          <w:u w:val="single"/>
          <w:lang w:val="en-US" w:eastAsia="zh-CN"/>
        </w:rPr>
        <w:t>重庆高速巫云开建设有限公司</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招标项目</w:t>
      </w:r>
      <w:r>
        <w:rPr>
          <w:rFonts w:hint="eastAsia" w:ascii="宋体" w:hAnsi="宋体" w:eastAsia="宋体" w:cs="宋体"/>
          <w:snapToGrid w:val="0"/>
          <w:color w:val="auto"/>
          <w:kern w:val="0"/>
          <w:szCs w:val="21"/>
          <w:highlight w:val="none"/>
        </w:rPr>
        <w:t>资金来自</w:t>
      </w:r>
      <w:r>
        <w:rPr>
          <w:rFonts w:hint="eastAsia" w:ascii="宋体" w:hAnsi="宋体" w:eastAsia="宋体" w:cs="宋体"/>
          <w:snapToGrid w:val="0"/>
          <w:color w:val="auto"/>
          <w:kern w:val="0"/>
          <w:szCs w:val="21"/>
          <w:highlight w:val="none"/>
          <w:u w:val="single"/>
          <w:lang w:val="en-US" w:eastAsia="zh-CN"/>
        </w:rPr>
        <w:t>业主自筹</w:t>
      </w:r>
      <w:r>
        <w:rPr>
          <w:rFonts w:hint="eastAsia" w:ascii="宋体" w:hAnsi="宋体" w:eastAsia="宋体" w:cs="宋体"/>
          <w:snapToGrid w:val="0"/>
          <w:color w:val="auto"/>
          <w:kern w:val="0"/>
          <w:szCs w:val="21"/>
          <w:highlight w:val="none"/>
        </w:rPr>
        <w:t>，项目出资比例为</w:t>
      </w:r>
      <w:r>
        <w:rPr>
          <w:rFonts w:hint="eastAsia" w:ascii="宋体" w:hAnsi="宋体" w:eastAsia="宋体" w:cs="宋体"/>
          <w:snapToGrid w:val="0"/>
          <w:color w:val="auto"/>
          <w:kern w:val="0"/>
          <w:szCs w:val="21"/>
          <w:highlight w:val="none"/>
          <w:u w:val="single"/>
          <w:lang w:val="en-US" w:eastAsia="zh-CN"/>
        </w:rPr>
        <w:t>100%</w:t>
      </w:r>
      <w:r>
        <w:rPr>
          <w:rFonts w:hint="eastAsia" w:ascii="宋体" w:hAnsi="宋体" w:eastAsia="宋体" w:cs="宋体"/>
          <w:snapToGrid w:val="0"/>
          <w:color w:val="auto"/>
          <w:kern w:val="0"/>
          <w:szCs w:val="21"/>
          <w:highlight w:val="none"/>
        </w:rPr>
        <w:t>，招标人</w:t>
      </w:r>
      <w:r>
        <w:rPr>
          <w:rFonts w:hint="eastAsia" w:ascii="宋体" w:hAnsi="宋体" w:eastAsia="宋体" w:cs="宋体"/>
          <w:snapToGrid w:val="0"/>
          <w:color w:val="auto"/>
          <w:kern w:val="0"/>
          <w:position w:val="-2"/>
          <w:szCs w:val="21"/>
          <w:highlight w:val="none"/>
        </w:rPr>
        <w:t>为</w:t>
      </w:r>
      <w:r>
        <w:rPr>
          <w:rFonts w:hint="eastAsia" w:ascii="宋体" w:hAnsi="宋体" w:eastAsia="宋体" w:cs="宋体"/>
          <w:snapToGrid w:val="0"/>
          <w:color w:val="auto"/>
          <w:kern w:val="0"/>
          <w:szCs w:val="21"/>
          <w:highlight w:val="none"/>
          <w:u w:val="single"/>
          <w:lang w:val="en-US" w:eastAsia="zh-CN"/>
        </w:rPr>
        <w:t>重庆首讯科技股份有限公司</w:t>
      </w:r>
      <w:r>
        <w:rPr>
          <w:rFonts w:hint="eastAsia" w:ascii="宋体" w:hAnsi="宋体" w:eastAsia="宋体" w:cs="宋体"/>
          <w:snapToGrid w:val="0"/>
          <w:color w:val="auto"/>
          <w:kern w:val="0"/>
          <w:position w:val="-2"/>
          <w:szCs w:val="21"/>
          <w:highlight w:val="none"/>
        </w:rPr>
        <w:t>。项目已具备招标条件，现对</w:t>
      </w:r>
      <w:r>
        <w:rPr>
          <w:rFonts w:hint="eastAsia" w:ascii="宋体" w:hAnsi="宋体" w:cs="宋体"/>
          <w:snapToGrid w:val="0"/>
          <w:color w:val="auto"/>
          <w:kern w:val="0"/>
          <w:position w:val="-2"/>
          <w:szCs w:val="21"/>
          <w:highlight w:val="none"/>
          <w:u w:val="single"/>
          <w:lang w:val="en-US" w:eastAsia="zh-CN"/>
        </w:rPr>
        <w:t>云阳段、巫溪段</w:t>
      </w:r>
      <w:r>
        <w:rPr>
          <w:rFonts w:hint="eastAsia" w:ascii="宋体" w:hAnsi="宋体" w:cs="宋体"/>
          <w:snapToGrid w:val="0"/>
          <w:color w:val="auto"/>
          <w:kern w:val="0"/>
          <w:position w:val="-2"/>
          <w:szCs w:val="21"/>
          <w:highlight w:val="none"/>
          <w:u w:val="single"/>
        </w:rPr>
        <w:t>高压外电接入施工专项分包</w:t>
      </w:r>
      <w:r>
        <w:rPr>
          <w:rFonts w:hint="eastAsia" w:ascii="宋体" w:hAnsi="宋体" w:eastAsia="宋体" w:cs="宋体"/>
          <w:snapToGrid w:val="0"/>
          <w:color w:val="auto"/>
          <w:kern w:val="0"/>
          <w:position w:val="-2"/>
          <w:szCs w:val="21"/>
          <w:highlight w:val="none"/>
        </w:rPr>
        <w:t>进行公开</w:t>
      </w:r>
      <w:r>
        <w:rPr>
          <w:rFonts w:hint="eastAsia" w:ascii="宋体" w:hAnsi="宋体" w:eastAsia="宋体" w:cs="宋体"/>
          <w:snapToGrid w:val="0"/>
          <w:color w:val="auto"/>
          <w:kern w:val="0"/>
          <w:position w:val="-2"/>
          <w:szCs w:val="21"/>
          <w:highlight w:val="none"/>
          <w:lang w:eastAsia="zh-CN"/>
        </w:rPr>
        <w:t>招标</w:t>
      </w:r>
      <w:r>
        <w:rPr>
          <w:rFonts w:hint="eastAsia" w:ascii="宋体" w:hAnsi="宋体" w:eastAsia="宋体" w:cs="宋体"/>
          <w:snapToGrid w:val="0"/>
          <w:color w:val="auto"/>
          <w:kern w:val="0"/>
          <w:position w:val="-2"/>
          <w:szCs w:val="21"/>
          <w:highlight w:val="none"/>
        </w:rPr>
        <w:t>。</w:t>
      </w:r>
    </w:p>
    <w:p w14:paraId="41D89F10">
      <w:pPr>
        <w:pStyle w:val="4"/>
        <w:adjustRightInd w:val="0"/>
        <w:snapToGrid w:val="0"/>
        <w:spacing w:before="0" w:after="0" w:line="360" w:lineRule="auto"/>
        <w:rPr>
          <w:rFonts w:hint="eastAsia" w:ascii="宋体" w:hAnsi="宋体" w:eastAsia="宋体" w:cs="宋体"/>
          <w:bCs w:val="0"/>
          <w:snapToGrid w:val="0"/>
          <w:color w:val="auto"/>
          <w:sz w:val="24"/>
          <w:szCs w:val="24"/>
          <w:highlight w:val="none"/>
        </w:rPr>
      </w:pPr>
      <w:bookmarkStart w:id="37" w:name="_Toc14641"/>
      <w:r>
        <w:rPr>
          <w:rFonts w:hint="eastAsia" w:ascii="宋体" w:hAnsi="宋体" w:eastAsia="宋体" w:cs="宋体"/>
          <w:bCs w:val="0"/>
          <w:snapToGrid w:val="0"/>
          <w:color w:val="auto"/>
          <w:sz w:val="24"/>
          <w:szCs w:val="24"/>
          <w:highlight w:val="none"/>
        </w:rPr>
        <w:t>2. 项目概况与招标范围</w:t>
      </w:r>
      <w:bookmarkEnd w:id="29"/>
      <w:bookmarkEnd w:id="30"/>
      <w:bookmarkEnd w:id="31"/>
      <w:bookmarkEnd w:id="32"/>
      <w:bookmarkEnd w:id="33"/>
      <w:bookmarkEnd w:id="34"/>
      <w:bookmarkEnd w:id="35"/>
      <w:bookmarkEnd w:id="36"/>
      <w:bookmarkEnd w:id="37"/>
      <w:bookmarkStart w:id="38" w:name="_Toc287607730"/>
      <w:bookmarkStart w:id="39" w:name="_Toc509218694"/>
      <w:bookmarkStart w:id="40" w:name="_Toc224103301"/>
      <w:bookmarkStart w:id="41" w:name="_Toc287620669"/>
      <w:bookmarkStart w:id="42" w:name="_Toc200359429"/>
      <w:bookmarkStart w:id="43" w:name="_Toc200359240"/>
      <w:bookmarkStart w:id="44" w:name="_Toc277082538"/>
      <w:bookmarkStart w:id="45" w:name="_Toc430530418"/>
    </w:p>
    <w:p w14:paraId="160AB4D2">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2.1 建设地点：</w:t>
      </w:r>
      <w:r>
        <w:rPr>
          <w:rFonts w:hint="eastAsia" w:ascii="宋体" w:hAnsi="宋体" w:eastAsia="宋体" w:cs="宋体"/>
          <w:snapToGrid w:val="0"/>
          <w:color w:val="auto"/>
          <w:kern w:val="0"/>
          <w:szCs w:val="21"/>
          <w:highlight w:val="none"/>
          <w:u w:val="single"/>
          <w:lang w:val="en-US" w:eastAsia="zh-CN"/>
        </w:rPr>
        <w:t>重庆市。</w:t>
      </w:r>
    </w:p>
    <w:p w14:paraId="5128E045">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Cs w:val="21"/>
          <w:highlight w:val="none"/>
          <w:u w:val="single"/>
          <w:lang w:eastAsia="zh-CN"/>
        </w:rPr>
      </w:pPr>
      <w:r>
        <w:rPr>
          <w:rFonts w:hint="eastAsia" w:ascii="宋体" w:hAnsi="宋体" w:eastAsia="宋体" w:cs="宋体"/>
          <w:snapToGrid w:val="0"/>
          <w:color w:val="auto"/>
          <w:kern w:val="0"/>
          <w:szCs w:val="21"/>
          <w:highlight w:val="none"/>
        </w:rPr>
        <w:t>2.2 项目概况与建设规模</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u w:val="single"/>
        </w:rPr>
        <w:t>本项目巫溪至开州高速公路位于渝东北区域中部，是同 G42 沪蓉高速公路相平行的一条地方公路，起点与 G6911 安康至来凤国家高速公路（奉节至巫溪段）相接，由巫溪县南部区域，途径凤凰、菱角、塘坊、文峰、朝阳至云阳界，再经沙市、鱼泉、江口、双龙至开州界，再经金峰至厚坝，即为本项目终点，与 G69 银川至百色国家高速公路（城口至开州段）设置枢纽互通式立交，实现路网功能转换。本项目巫溪至开州高速公路全线长约 118.608km，双向 4 车道，路基宽度 25.5m， 设计速度 80 公里/小时。</w:t>
      </w:r>
      <w:r>
        <w:rPr>
          <w:rFonts w:hint="eastAsia" w:ascii="宋体" w:hAnsi="宋体" w:cs="宋体"/>
          <w:snapToGrid w:val="0"/>
          <w:color w:val="auto"/>
          <w:kern w:val="0"/>
          <w:szCs w:val="21"/>
          <w:highlight w:val="none"/>
          <w:u w:val="single"/>
          <w:lang w:val="en-US" w:eastAsia="zh-CN"/>
        </w:rPr>
        <w:t>预计</w:t>
      </w:r>
      <w:r>
        <w:rPr>
          <w:rFonts w:hint="eastAsia" w:ascii="宋体" w:hAnsi="宋体" w:eastAsia="宋体" w:cs="宋体"/>
          <w:snapToGrid w:val="0"/>
          <w:color w:val="auto"/>
          <w:kern w:val="0"/>
          <w:szCs w:val="21"/>
          <w:highlight w:val="none"/>
          <w:u w:val="single"/>
        </w:rPr>
        <w:t>完工日期：202</w:t>
      </w:r>
      <w:r>
        <w:rPr>
          <w:rFonts w:hint="eastAsia" w:ascii="宋体" w:hAnsi="宋体" w:cs="宋体"/>
          <w:snapToGrid w:val="0"/>
          <w:color w:val="auto"/>
          <w:kern w:val="0"/>
          <w:szCs w:val="21"/>
          <w:highlight w:val="none"/>
          <w:u w:val="single"/>
          <w:lang w:val="en-US" w:eastAsia="zh-CN"/>
        </w:rPr>
        <w:t>4</w:t>
      </w:r>
      <w:r>
        <w:rPr>
          <w:rFonts w:hint="eastAsia" w:ascii="宋体" w:hAnsi="宋体" w:eastAsia="宋体" w:cs="宋体"/>
          <w:snapToGrid w:val="0"/>
          <w:color w:val="auto"/>
          <w:kern w:val="0"/>
          <w:szCs w:val="21"/>
          <w:highlight w:val="none"/>
          <w:u w:val="single"/>
        </w:rPr>
        <w:t>年1</w:t>
      </w:r>
      <w:r>
        <w:rPr>
          <w:rFonts w:hint="eastAsia" w:ascii="宋体" w:hAnsi="宋体" w:eastAsia="宋体" w:cs="宋体"/>
          <w:snapToGrid w:val="0"/>
          <w:color w:val="auto"/>
          <w:kern w:val="0"/>
          <w:szCs w:val="21"/>
          <w:highlight w:val="none"/>
          <w:u w:val="single"/>
          <w:lang w:val="en-US" w:eastAsia="zh-CN"/>
        </w:rPr>
        <w:t>2</w:t>
      </w:r>
      <w:r>
        <w:rPr>
          <w:rFonts w:hint="eastAsia" w:ascii="宋体" w:hAnsi="宋体" w:eastAsia="宋体" w:cs="宋体"/>
          <w:snapToGrid w:val="0"/>
          <w:color w:val="auto"/>
          <w:kern w:val="0"/>
          <w:szCs w:val="21"/>
          <w:highlight w:val="none"/>
          <w:u w:val="single"/>
        </w:rPr>
        <w:t>月</w:t>
      </w:r>
      <w:r>
        <w:rPr>
          <w:rFonts w:hint="eastAsia" w:ascii="宋体" w:hAnsi="宋体" w:eastAsia="宋体" w:cs="宋体"/>
          <w:snapToGrid w:val="0"/>
          <w:color w:val="auto"/>
          <w:kern w:val="0"/>
          <w:szCs w:val="21"/>
          <w:highlight w:val="none"/>
          <w:u w:val="single"/>
          <w:lang w:val="en-US" w:eastAsia="zh-CN"/>
        </w:rPr>
        <w:t>。</w:t>
      </w:r>
      <w:r>
        <w:rPr>
          <w:rFonts w:hint="eastAsia" w:ascii="宋体" w:hAnsi="宋体" w:cs="宋体"/>
          <w:snapToGrid w:val="0"/>
          <w:color w:val="auto"/>
          <w:kern w:val="0"/>
          <w:szCs w:val="21"/>
          <w:highlight w:val="none"/>
          <w:u w:val="single"/>
          <w:lang w:val="en-US" w:eastAsia="zh-CN"/>
        </w:rPr>
        <w:t>其中，</w:t>
      </w:r>
      <w:r>
        <w:rPr>
          <w:rFonts w:hint="eastAsia" w:ascii="宋体" w:hAnsi="宋体" w:eastAsia="宋体" w:cs="宋体"/>
          <w:snapToGrid w:val="0"/>
          <w:color w:val="auto"/>
          <w:kern w:val="0"/>
          <w:szCs w:val="21"/>
          <w:highlight w:val="none"/>
          <w:u w:val="single"/>
        </w:rPr>
        <w:t>沙市至开州</w:t>
      </w:r>
      <w:r>
        <w:rPr>
          <w:rFonts w:hint="eastAsia" w:ascii="宋体" w:hAnsi="宋体" w:cs="宋体"/>
          <w:snapToGrid w:val="0"/>
          <w:color w:val="auto"/>
          <w:kern w:val="0"/>
          <w:szCs w:val="21"/>
          <w:highlight w:val="none"/>
          <w:u w:val="single"/>
          <w:lang w:val="en-US" w:eastAsia="zh-CN"/>
        </w:rPr>
        <w:t>段预计完工日期2024年9月。</w:t>
      </w:r>
    </w:p>
    <w:p w14:paraId="6FB7C215">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 本次招标项目合同估算金额：</w:t>
      </w:r>
      <w:r>
        <w:rPr>
          <w:rFonts w:hint="eastAsia" w:ascii="宋体" w:hAnsi="宋体" w:cs="宋体"/>
          <w:snapToGrid w:val="0"/>
          <w:color w:val="auto"/>
          <w:kern w:val="0"/>
          <w:szCs w:val="21"/>
          <w:highlight w:val="none"/>
          <w:u w:val="single"/>
          <w:lang w:val="en-US" w:eastAsia="zh-CN"/>
        </w:rPr>
        <w:t>2542.64</w:t>
      </w:r>
      <w:r>
        <w:rPr>
          <w:rFonts w:hint="eastAsia" w:ascii="宋体" w:hAnsi="宋体" w:eastAsia="宋体" w:cs="宋体"/>
          <w:snapToGrid w:val="0"/>
          <w:color w:val="auto"/>
          <w:kern w:val="0"/>
          <w:szCs w:val="21"/>
          <w:highlight w:val="none"/>
          <w:u w:val="single"/>
        </w:rPr>
        <w:t>万元</w:t>
      </w:r>
      <w:r>
        <w:rPr>
          <w:rFonts w:hint="eastAsia" w:ascii="宋体" w:hAnsi="宋体" w:eastAsia="宋体" w:cs="宋体"/>
          <w:snapToGrid w:val="0"/>
          <w:color w:val="auto"/>
          <w:kern w:val="0"/>
          <w:szCs w:val="21"/>
          <w:highlight w:val="none"/>
          <w:u w:val="single"/>
          <w:lang w:eastAsia="zh-CN"/>
        </w:rPr>
        <w:t>。</w:t>
      </w:r>
    </w:p>
    <w:p w14:paraId="3F9922B2">
      <w:pPr>
        <w:keepNext w:val="0"/>
        <w:keepLines w:val="0"/>
        <w:pageBreakBefore w:val="0"/>
        <w:widowControl w:val="0"/>
        <w:numPr>
          <w:ilvl w:val="0"/>
          <w:numId w:val="0"/>
        </w:numPr>
        <w:kinsoku/>
        <w:wordWrap/>
        <w:overflowPunct/>
        <w:topLinePunct w:val="0"/>
        <w:autoSpaceDE/>
        <w:autoSpaceDN/>
        <w:bidi w:val="0"/>
        <w:adjustRightInd w:val="0"/>
        <w:snapToGrid w:val="0"/>
        <w:spacing w:beforeLines="0" w:afterLines="0" w:line="360" w:lineRule="auto"/>
        <w:ind w:firstLine="420" w:firstLineChars="200"/>
        <w:textAlignment w:val="auto"/>
        <w:rPr>
          <w:rFonts w:hint="eastAsia" w:ascii="宋体" w:hAnsi="宋体" w:cs="宋体"/>
          <w:snapToGrid w:val="0"/>
          <w:color w:val="auto"/>
          <w:kern w:val="0"/>
          <w:szCs w:val="21"/>
          <w:highlight w:val="none"/>
          <w:u w:val="single"/>
          <w:lang w:eastAsia="zh-CN"/>
        </w:rPr>
      </w:pPr>
      <w:r>
        <w:rPr>
          <w:rFonts w:hint="eastAsia" w:ascii="宋体" w:hAnsi="宋体" w:eastAsia="宋体" w:cs="宋体"/>
          <w:snapToGrid w:val="0"/>
          <w:color w:val="auto"/>
          <w:kern w:val="0"/>
          <w:szCs w:val="21"/>
          <w:highlight w:val="none"/>
        </w:rPr>
        <w:t>2.4 招标范围：</w:t>
      </w:r>
      <w:r>
        <w:rPr>
          <w:rFonts w:hint="eastAsia" w:ascii="宋体" w:hAnsi="宋体" w:cs="宋体"/>
          <w:snapToGrid w:val="0"/>
          <w:color w:val="auto"/>
          <w:kern w:val="0"/>
          <w:szCs w:val="21"/>
          <w:highlight w:val="none"/>
          <w:u w:val="single"/>
          <w:lang w:eastAsia="zh-CN"/>
        </w:rPr>
        <w:t>本次施工主要包括巫溪至开州高速公路项目机电工程</w:t>
      </w:r>
      <w:r>
        <w:rPr>
          <w:rFonts w:hint="eastAsia" w:ascii="宋体" w:hAnsi="宋体" w:cs="宋体"/>
          <w:snapToGrid w:val="0"/>
          <w:color w:val="auto"/>
          <w:kern w:val="0"/>
          <w:szCs w:val="21"/>
          <w:highlight w:val="none"/>
          <w:u w:val="single"/>
        </w:rPr>
        <w:t>云阳段、巫溪段范围内服务区、收费站以及隧道的外线接入施工、勘察设计、配电房内供电的深化设计以及配电房内供配电设备调试、检测、确保通电验收等一切相关工作</w:t>
      </w:r>
      <w:r>
        <w:rPr>
          <w:rFonts w:hint="eastAsia" w:ascii="宋体" w:hAnsi="宋体" w:cs="宋体"/>
          <w:snapToGrid w:val="0"/>
          <w:color w:val="auto"/>
          <w:kern w:val="0"/>
          <w:szCs w:val="21"/>
          <w:highlight w:val="none"/>
          <w:u w:val="single"/>
          <w:lang w:eastAsia="zh-CN"/>
        </w:rPr>
        <w:t>，详见工程量清单。</w:t>
      </w:r>
    </w:p>
    <w:p w14:paraId="33A5F72F">
      <w:pPr>
        <w:adjustRightInd w:val="0"/>
        <w:snapToGrid w:val="0"/>
        <w:spacing w:beforeLines="0" w:afterLines="0" w:line="360" w:lineRule="auto"/>
        <w:ind w:firstLine="420" w:firstLineChars="200"/>
        <w:rPr>
          <w:rFonts w:hint="default"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rPr>
        <w:t>2.5 工期要求：</w:t>
      </w:r>
      <w:r>
        <w:rPr>
          <w:rFonts w:hint="eastAsia" w:ascii="宋体" w:hAnsi="宋体" w:cs="宋体"/>
          <w:snapToGrid w:val="0"/>
          <w:color w:val="auto"/>
          <w:kern w:val="0"/>
          <w:szCs w:val="21"/>
          <w:highlight w:val="none"/>
          <w:u w:val="single"/>
          <w:lang w:val="en-US" w:eastAsia="zh-CN"/>
        </w:rPr>
        <w:t>计划</w:t>
      </w:r>
      <w:r>
        <w:rPr>
          <w:rFonts w:hint="eastAsia" w:ascii="宋体" w:hAnsi="宋体" w:cs="宋体"/>
          <w:snapToGrid w:val="0"/>
          <w:color w:val="auto"/>
          <w:kern w:val="0"/>
          <w:szCs w:val="21"/>
          <w:highlight w:val="none"/>
          <w:u w:val="single"/>
        </w:rPr>
        <w:t>1</w:t>
      </w:r>
      <w:r>
        <w:rPr>
          <w:rFonts w:hint="default" w:ascii="宋体" w:hAnsi="宋体" w:cs="宋体"/>
          <w:snapToGrid w:val="0"/>
          <w:color w:val="auto"/>
          <w:kern w:val="0"/>
          <w:szCs w:val="21"/>
          <w:highlight w:val="none"/>
          <w:u w:val="single"/>
        </w:rPr>
        <w:t>0</w:t>
      </w:r>
      <w:r>
        <w:rPr>
          <w:rFonts w:hint="eastAsia" w:ascii="宋体" w:hAnsi="宋体" w:cs="宋体"/>
          <w:snapToGrid w:val="0"/>
          <w:color w:val="auto"/>
          <w:kern w:val="0"/>
          <w:szCs w:val="21"/>
          <w:highlight w:val="none"/>
          <w:u w:val="single"/>
        </w:rPr>
        <w:t>月</w:t>
      </w:r>
      <w:r>
        <w:rPr>
          <w:rFonts w:hint="eastAsia" w:ascii="宋体" w:hAnsi="宋体" w:cs="宋体"/>
          <w:snapToGrid w:val="0"/>
          <w:color w:val="auto"/>
          <w:kern w:val="0"/>
          <w:szCs w:val="21"/>
          <w:highlight w:val="none"/>
          <w:u w:val="single"/>
        </w:rPr>
        <w:t>底</w:t>
      </w:r>
      <w:r>
        <w:rPr>
          <w:rFonts w:hint="eastAsia" w:ascii="宋体" w:hAnsi="宋体" w:cs="宋体"/>
          <w:snapToGrid w:val="0"/>
          <w:color w:val="auto"/>
          <w:kern w:val="0"/>
          <w:szCs w:val="21"/>
          <w:highlight w:val="none"/>
          <w:u w:val="single"/>
          <w:lang w:val="en-US" w:eastAsia="zh-CN"/>
        </w:rPr>
        <w:t xml:space="preserve">完成通电验收，其中云阳段 </w:t>
      </w:r>
      <w:r>
        <w:rPr>
          <w:rFonts w:hint="eastAsia" w:ascii="宋体" w:hAnsi="宋体" w:eastAsia="宋体" w:cs="宋体"/>
          <w:snapToGrid w:val="0"/>
          <w:color w:val="auto"/>
          <w:kern w:val="0"/>
          <w:szCs w:val="21"/>
          <w:highlight w:val="none"/>
          <w:u w:val="single"/>
        </w:rPr>
        <w:t>B2段到沙市收费站8月底</w:t>
      </w:r>
      <w:r>
        <w:rPr>
          <w:rFonts w:hint="eastAsia" w:ascii="宋体" w:hAnsi="宋体" w:cs="宋体"/>
          <w:snapToGrid w:val="0"/>
          <w:color w:val="auto"/>
          <w:kern w:val="0"/>
          <w:szCs w:val="21"/>
          <w:highlight w:val="none"/>
          <w:u w:val="single"/>
          <w:lang w:val="en-US" w:eastAsia="zh-CN"/>
        </w:rPr>
        <w:t>完成通电验收。</w:t>
      </w:r>
    </w:p>
    <w:p w14:paraId="65BF9FAA">
      <w:pPr>
        <w:adjustRightInd w:val="0"/>
        <w:snapToGrid w:val="0"/>
        <w:spacing w:beforeLines="0" w:afterLines="0"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缺陷责任期要求：</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24</w:t>
      </w:r>
      <w:r>
        <w:rPr>
          <w:rFonts w:hint="eastAsia" w:ascii="宋体" w:hAnsi="宋体" w:eastAsia="宋体" w:cs="宋体"/>
          <w:snapToGrid w:val="0"/>
          <w:color w:val="auto"/>
          <w:kern w:val="0"/>
          <w:szCs w:val="21"/>
          <w:highlight w:val="none"/>
          <w:u w:val="single"/>
        </w:rPr>
        <w:t>个月</w:t>
      </w:r>
    </w:p>
    <w:p w14:paraId="246C25CC">
      <w:pPr>
        <w:adjustRightInd w:val="0"/>
        <w:snapToGrid w:val="0"/>
        <w:spacing w:beforeLines="0" w:afterLines="0" w:line="360" w:lineRule="auto"/>
        <w:ind w:firstLine="420" w:firstLineChars="200"/>
        <w:rPr>
          <w:rFonts w:hint="default" w:ascii="宋体" w:hAnsi="宋体" w:eastAsia="宋体" w:cs="宋体"/>
          <w:snapToGrid w:val="0"/>
          <w:color w:val="auto"/>
          <w:kern w:val="0"/>
          <w:szCs w:val="21"/>
          <w:highlight w:val="none"/>
          <w:lang w:eastAsia="zh-CN"/>
        </w:rPr>
      </w:pPr>
      <w:r>
        <w:rPr>
          <w:rFonts w:hint="eastAsia" w:ascii="宋体" w:hAnsi="宋体" w:cs="宋体"/>
          <w:snapToGrid w:val="0"/>
          <w:color w:val="auto"/>
          <w:kern w:val="0"/>
          <w:szCs w:val="21"/>
          <w:highlight w:val="none"/>
          <w:u w:val="single"/>
          <w:lang w:val="en-US" w:eastAsia="zh-CN"/>
        </w:rPr>
        <w:t>2.6 标段划分：本次招标划分为两个标段，一标段：巫溪至开州高速公路项目机电工程（云阳段）高压外电接入施工专项分包，二标段：巫溪至开州高速公路项目机电工程（巫溪段）高压外电接入施工专项分包。</w:t>
      </w:r>
    </w:p>
    <w:p w14:paraId="4D7CE7C9">
      <w:pPr>
        <w:pStyle w:val="4"/>
        <w:adjustRightInd w:val="0"/>
        <w:snapToGrid w:val="0"/>
        <w:spacing w:before="0" w:after="0" w:line="360" w:lineRule="auto"/>
        <w:rPr>
          <w:rFonts w:hint="eastAsia" w:ascii="宋体" w:hAnsi="宋体" w:eastAsia="宋体" w:cs="宋体"/>
          <w:bCs w:val="0"/>
          <w:snapToGrid w:val="0"/>
          <w:color w:val="auto"/>
          <w:sz w:val="24"/>
          <w:szCs w:val="24"/>
          <w:highlight w:val="none"/>
        </w:rPr>
      </w:pPr>
      <w:bookmarkStart w:id="46" w:name="_Toc15239"/>
      <w:r>
        <w:rPr>
          <w:rFonts w:hint="eastAsia" w:ascii="宋体" w:hAnsi="宋体" w:eastAsia="宋体" w:cs="宋体"/>
          <w:bCs w:val="0"/>
          <w:snapToGrid w:val="0"/>
          <w:color w:val="auto"/>
          <w:sz w:val="24"/>
          <w:szCs w:val="24"/>
          <w:highlight w:val="none"/>
        </w:rPr>
        <w:t>3. 投标人资格要求</w:t>
      </w:r>
      <w:bookmarkEnd w:id="38"/>
      <w:bookmarkEnd w:id="39"/>
      <w:bookmarkEnd w:id="40"/>
      <w:bookmarkEnd w:id="41"/>
      <w:bookmarkEnd w:id="42"/>
      <w:bookmarkEnd w:id="43"/>
      <w:bookmarkEnd w:id="44"/>
      <w:bookmarkEnd w:id="45"/>
      <w:bookmarkEnd w:id="46"/>
    </w:p>
    <w:p w14:paraId="31148061">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 本次招标要求投标人须具备以下条件：</w:t>
      </w:r>
    </w:p>
    <w:p w14:paraId="2AF14CA1">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3.1.1 本次招标要求投标人具备的资质条件：</w:t>
      </w:r>
    </w:p>
    <w:p w14:paraId="6862C72B">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cs="宋体"/>
          <w:snapToGrid w:val="0"/>
          <w:color w:val="auto"/>
          <w:kern w:val="0"/>
          <w:szCs w:val="21"/>
          <w:highlight w:val="none"/>
          <w:u w:val="single"/>
          <w:lang w:val="en-US" w:eastAsia="zh-CN"/>
        </w:rPr>
        <w:t>（1）施工资质：</w:t>
      </w:r>
      <w:r>
        <w:rPr>
          <w:rFonts w:hint="eastAsia" w:ascii="宋体" w:hAnsi="宋体" w:eastAsia="宋体" w:cs="宋体"/>
          <w:snapToGrid w:val="0"/>
          <w:color w:val="auto"/>
          <w:kern w:val="0"/>
          <w:szCs w:val="21"/>
          <w:highlight w:val="none"/>
          <w:u w:val="single"/>
        </w:rPr>
        <w:t>具有独立法人资格</w:t>
      </w:r>
      <w:r>
        <w:rPr>
          <w:rFonts w:hint="eastAsia" w:ascii="宋体" w:hAnsi="宋体" w:eastAsia="宋体" w:cs="宋体"/>
          <w:snapToGrid w:val="0"/>
          <w:color w:val="auto"/>
          <w:kern w:val="0"/>
          <w:szCs w:val="21"/>
          <w:highlight w:val="none"/>
          <w:u w:val="single"/>
          <w:lang w:eastAsia="zh-CN"/>
        </w:rPr>
        <w:t>，</w:t>
      </w:r>
      <w:r>
        <w:rPr>
          <w:rFonts w:hint="eastAsia" w:ascii="宋体" w:hAnsi="宋体" w:eastAsia="宋体" w:cs="宋体"/>
          <w:snapToGrid w:val="0"/>
          <w:color w:val="auto"/>
          <w:kern w:val="0"/>
          <w:szCs w:val="21"/>
          <w:highlight w:val="none"/>
          <w:u w:val="single"/>
        </w:rPr>
        <w:t>具有有效的营业执照</w:t>
      </w:r>
      <w:r>
        <w:rPr>
          <w:rFonts w:hint="eastAsia" w:ascii="宋体" w:hAnsi="宋体" w:eastAsia="宋体" w:cs="宋体"/>
          <w:snapToGrid w:val="0"/>
          <w:color w:val="auto"/>
          <w:kern w:val="0"/>
          <w:szCs w:val="21"/>
          <w:highlight w:val="none"/>
          <w:u w:val="single"/>
          <w:lang w:eastAsia="zh-CN"/>
        </w:rPr>
        <w:t>；</w:t>
      </w:r>
      <w:r>
        <w:rPr>
          <w:rFonts w:hint="eastAsia" w:ascii="宋体" w:hAnsi="宋体" w:eastAsia="宋体" w:cs="宋体"/>
          <w:snapToGrid w:val="0"/>
          <w:color w:val="auto"/>
          <w:kern w:val="0"/>
          <w:szCs w:val="21"/>
          <w:highlight w:val="none"/>
          <w:u w:val="single"/>
          <w:lang w:val="en-US" w:eastAsia="zh-CN"/>
        </w:rPr>
        <w:t>具有有效的四级及以上级别的承装(修、试）电力设施许可证</w:t>
      </w:r>
      <w:r>
        <w:rPr>
          <w:rFonts w:hint="eastAsia" w:ascii="宋体" w:hAnsi="宋体" w:cs="宋体"/>
          <w:snapToGrid w:val="0"/>
          <w:color w:val="auto"/>
          <w:kern w:val="0"/>
          <w:szCs w:val="21"/>
          <w:highlight w:val="none"/>
          <w:u w:val="single"/>
          <w:lang w:val="en-US" w:eastAsia="zh-CN"/>
        </w:rPr>
        <w:t>；</w:t>
      </w:r>
      <w:r>
        <w:rPr>
          <w:rFonts w:hint="eastAsia" w:ascii="宋体" w:hAnsi="宋体" w:eastAsia="宋体" w:cs="宋体"/>
          <w:snapToGrid w:val="0"/>
          <w:color w:val="auto"/>
          <w:kern w:val="0"/>
          <w:szCs w:val="21"/>
          <w:highlight w:val="none"/>
          <w:u w:val="single"/>
          <w:lang w:val="en-US" w:eastAsia="zh-CN"/>
        </w:rPr>
        <w:t>具有有效的电力工程施工总承包三级或输变电工程专业承包三级及以上资质</w:t>
      </w:r>
      <w:r>
        <w:rPr>
          <w:rFonts w:hint="eastAsia" w:ascii="宋体" w:hAnsi="宋体" w:cs="宋体"/>
          <w:snapToGrid w:val="0"/>
          <w:color w:val="auto"/>
          <w:kern w:val="0"/>
          <w:szCs w:val="21"/>
          <w:highlight w:val="none"/>
          <w:u w:val="single"/>
          <w:lang w:val="en-US" w:eastAsia="zh-CN"/>
        </w:rPr>
        <w:t>；</w:t>
      </w:r>
      <w:r>
        <w:rPr>
          <w:rFonts w:hint="eastAsia" w:ascii="宋体" w:hAnsi="宋体" w:eastAsia="宋体" w:cs="宋体"/>
          <w:snapToGrid w:val="0"/>
          <w:color w:val="auto"/>
          <w:kern w:val="0"/>
          <w:szCs w:val="21"/>
          <w:highlight w:val="none"/>
          <w:u w:val="single"/>
          <w:lang w:val="en-US" w:eastAsia="zh-CN"/>
        </w:rPr>
        <w:t>具备建设行政主管部门颁发的</w:t>
      </w:r>
      <w:r>
        <w:rPr>
          <w:rFonts w:hint="eastAsia" w:ascii="宋体" w:hAnsi="宋体" w:cs="宋体"/>
          <w:snapToGrid w:val="0"/>
          <w:color w:val="auto"/>
          <w:kern w:val="0"/>
          <w:szCs w:val="21"/>
          <w:highlight w:val="none"/>
          <w:u w:val="single"/>
          <w:lang w:val="en-US" w:eastAsia="zh-CN"/>
        </w:rPr>
        <w:t>有效的</w:t>
      </w:r>
      <w:r>
        <w:rPr>
          <w:rFonts w:hint="eastAsia" w:ascii="宋体" w:hAnsi="宋体" w:eastAsia="宋体" w:cs="宋体"/>
          <w:snapToGrid w:val="0"/>
          <w:color w:val="auto"/>
          <w:kern w:val="0"/>
          <w:szCs w:val="21"/>
          <w:highlight w:val="none"/>
          <w:u w:val="single"/>
          <w:lang w:val="en-US" w:eastAsia="zh-CN"/>
        </w:rPr>
        <w:t>安全生产许可证。（联合体投标的，联合体承担</w:t>
      </w:r>
      <w:r>
        <w:rPr>
          <w:rFonts w:hint="eastAsia" w:ascii="宋体" w:hAnsi="宋体" w:cs="宋体"/>
          <w:snapToGrid w:val="0"/>
          <w:color w:val="auto"/>
          <w:kern w:val="0"/>
          <w:szCs w:val="21"/>
          <w:highlight w:val="none"/>
          <w:u w:val="single"/>
          <w:lang w:val="en-US" w:eastAsia="zh-CN"/>
        </w:rPr>
        <w:t>施工</w:t>
      </w:r>
      <w:r>
        <w:rPr>
          <w:rFonts w:hint="eastAsia" w:ascii="宋体" w:hAnsi="宋体" w:eastAsia="宋体" w:cs="宋体"/>
          <w:snapToGrid w:val="0"/>
          <w:color w:val="auto"/>
          <w:kern w:val="0"/>
          <w:szCs w:val="21"/>
          <w:highlight w:val="none"/>
          <w:u w:val="single"/>
          <w:lang w:val="en-US" w:eastAsia="zh-CN"/>
        </w:rPr>
        <w:t>工作的单位须满足）</w:t>
      </w:r>
    </w:p>
    <w:p w14:paraId="28A206C9">
      <w:pPr>
        <w:tabs>
          <w:tab w:val="left" w:pos="3840"/>
          <w:tab w:val="left" w:pos="5300"/>
        </w:tabs>
        <w:autoSpaceDE w:val="0"/>
        <w:autoSpaceDN w:val="0"/>
        <w:adjustRightInd w:val="0"/>
        <w:snapToGrid w:val="0"/>
        <w:spacing w:beforeLines="0" w:afterLines="0" w:line="360" w:lineRule="auto"/>
        <w:ind w:firstLine="420" w:firstLineChars="200"/>
        <w:jc w:val="left"/>
        <w:rPr>
          <w:rFonts w:hint="default" w:ascii="宋体" w:hAnsi="宋体" w:eastAsia="宋体" w:cs="宋体"/>
          <w:snapToGrid w:val="0"/>
          <w:color w:val="auto"/>
          <w:kern w:val="0"/>
          <w:szCs w:val="21"/>
          <w:highlight w:val="none"/>
          <w:lang w:val="en-US" w:eastAsia="zh-CN"/>
        </w:rPr>
      </w:pPr>
      <w:r>
        <w:rPr>
          <w:rFonts w:hint="eastAsia" w:ascii="宋体" w:hAnsi="宋体" w:cs="宋体"/>
          <w:snapToGrid w:val="0"/>
          <w:color w:val="auto"/>
          <w:kern w:val="0"/>
          <w:szCs w:val="21"/>
          <w:highlight w:val="none"/>
          <w:lang w:eastAsia="zh-CN"/>
        </w:rPr>
        <w:t>（</w:t>
      </w:r>
      <w:r>
        <w:rPr>
          <w:rFonts w:hint="eastAsia" w:ascii="宋体" w:hAnsi="宋体" w:cs="宋体"/>
          <w:snapToGrid w:val="0"/>
          <w:color w:val="auto"/>
          <w:kern w:val="0"/>
          <w:szCs w:val="21"/>
          <w:highlight w:val="none"/>
          <w:lang w:val="en-US" w:eastAsia="zh-CN"/>
        </w:rPr>
        <w:t>2</w:t>
      </w:r>
      <w:r>
        <w:rPr>
          <w:rFonts w:hint="eastAsia" w:ascii="宋体" w:hAnsi="宋体" w:cs="宋体"/>
          <w:snapToGrid w:val="0"/>
          <w:color w:val="auto"/>
          <w:kern w:val="0"/>
          <w:szCs w:val="21"/>
          <w:highlight w:val="none"/>
          <w:lang w:eastAsia="zh-CN"/>
        </w:rPr>
        <w:t>）</w:t>
      </w:r>
      <w:r>
        <w:rPr>
          <w:rFonts w:hint="eastAsia" w:ascii="宋体" w:hAnsi="宋体" w:cs="宋体"/>
          <w:snapToGrid w:val="0"/>
          <w:color w:val="auto"/>
          <w:kern w:val="0"/>
          <w:szCs w:val="21"/>
          <w:highlight w:val="none"/>
          <w:lang w:val="en-US" w:eastAsia="zh-CN"/>
        </w:rPr>
        <w:t>设计资质：</w:t>
      </w:r>
      <w:r>
        <w:rPr>
          <w:rFonts w:hint="eastAsia" w:ascii="宋体" w:hAnsi="宋体" w:cs="宋体"/>
          <w:snapToGrid w:val="0"/>
          <w:color w:val="auto"/>
          <w:kern w:val="0"/>
          <w:szCs w:val="21"/>
          <w:highlight w:val="none"/>
        </w:rPr>
        <w:t>具有独立法人资格，具有有效的营业执照；具有有效的电力行业（变电工程）专业丙级及以上资质，具有有效的电力行业（送电工程）专业丙级及以上资质。</w:t>
      </w:r>
      <w:r>
        <w:rPr>
          <w:rFonts w:hint="eastAsia" w:ascii="宋体" w:hAnsi="宋体" w:eastAsia="宋体" w:cs="宋体"/>
          <w:snapToGrid w:val="0"/>
          <w:color w:val="auto"/>
          <w:kern w:val="0"/>
          <w:szCs w:val="21"/>
          <w:highlight w:val="none"/>
          <w:u w:val="single"/>
          <w:lang w:val="en-US" w:eastAsia="zh-CN"/>
        </w:rPr>
        <w:t>（联合体投标的，联合体承担设计工作的单位须满足）</w:t>
      </w:r>
    </w:p>
    <w:p w14:paraId="433CCEA6">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3.1.2 本次招标要求投标人具备的业绩条件：</w:t>
      </w:r>
    </w:p>
    <w:p w14:paraId="117ADCEB">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cs="宋体"/>
          <w:snapToGrid w:val="0"/>
          <w:color w:val="auto"/>
          <w:kern w:val="0"/>
          <w:szCs w:val="21"/>
          <w:highlight w:val="none"/>
          <w:u w:val="single"/>
          <w:lang w:eastAsia="zh-CN"/>
        </w:rPr>
      </w:pPr>
      <w:r>
        <w:rPr>
          <w:rFonts w:hint="eastAsia" w:ascii="宋体" w:hAnsi="宋体" w:cs="宋体"/>
          <w:snapToGrid w:val="0"/>
          <w:color w:val="auto"/>
          <w:kern w:val="0"/>
          <w:szCs w:val="21"/>
          <w:highlight w:val="none"/>
          <w:lang w:eastAsia="zh-CN"/>
        </w:rPr>
        <w:t>（</w:t>
      </w:r>
      <w:r>
        <w:rPr>
          <w:rFonts w:hint="eastAsia" w:ascii="宋体" w:hAnsi="宋体" w:cs="宋体"/>
          <w:snapToGrid w:val="0"/>
          <w:color w:val="auto"/>
          <w:kern w:val="0"/>
          <w:szCs w:val="21"/>
          <w:highlight w:val="none"/>
          <w:lang w:val="en-US" w:eastAsia="zh-CN"/>
        </w:rPr>
        <w:t>1</w:t>
      </w:r>
      <w:r>
        <w:rPr>
          <w:rFonts w:hint="eastAsia" w:ascii="宋体" w:hAnsi="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u w:val="single"/>
        </w:rPr>
        <w:t>投标人2021年1月1日至投标截止日（以合同签订时间为准）至少完成一个合同额500万元以上10kv及以上高压外线工程施工业绩。</w:t>
      </w:r>
      <w:r>
        <w:rPr>
          <w:rFonts w:hint="eastAsia" w:ascii="宋体" w:hAnsi="宋体" w:cs="宋体"/>
          <w:snapToGrid w:val="0"/>
          <w:color w:val="auto"/>
          <w:kern w:val="0"/>
          <w:szCs w:val="21"/>
          <w:highlight w:val="none"/>
          <w:u w:val="single"/>
        </w:rPr>
        <w:t>（注：联合体投标的，由联合体牵头人提供）</w:t>
      </w:r>
    </w:p>
    <w:p w14:paraId="38C5B715">
      <w:pPr>
        <w:pStyle w:val="2"/>
        <w:adjustRightInd w:val="0"/>
        <w:snapToGrid w:val="0"/>
        <w:spacing w:beforeLines="0" w:after="0" w:afterLines="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3.1.3 投标人还应在人员、设备、资金等方面具有相应的施工能力，详见招标文件第二章投标人须知前附表第1.4.1项内容。</w:t>
      </w:r>
    </w:p>
    <w:p w14:paraId="63BDE0AF">
      <w:pPr>
        <w:pStyle w:val="2"/>
        <w:adjustRightInd w:val="0"/>
        <w:snapToGrid w:val="0"/>
        <w:spacing w:beforeLines="0" w:after="0" w:afterLines="0"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 本次招标接受联合体投标。联合体投标的，应满足下列要求：</w:t>
      </w:r>
    </w:p>
    <w:p w14:paraId="7062892B">
      <w:pPr>
        <w:pStyle w:val="2"/>
        <w:adjustRightInd w:val="0"/>
        <w:snapToGrid w:val="0"/>
        <w:spacing w:beforeLines="0" w:after="0" w:afterLines="0"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（1）联合体组成单位不得超过2家，施工为1家单位，设计为1家单位。联合体投标的必须以施工单位为联合体牵头人，设计单位为联合体成员方；</w:t>
      </w:r>
    </w:p>
    <w:p w14:paraId="668D380C">
      <w:pPr>
        <w:pStyle w:val="2"/>
        <w:adjustRightInd w:val="0"/>
        <w:snapToGrid w:val="0"/>
        <w:spacing w:beforeLines="0" w:after="0" w:afterLines="0"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联合体各方签订共同投标协议后，不得再以自己名义单独投标，也不得组成新的联合体或参加其他联合体在本项目中投标（如违反本条规定，该成员及该成员参加的所有联合体的投标将被作为否决投标处理）。</w:t>
      </w:r>
    </w:p>
    <w:p w14:paraId="696461D6">
      <w:pPr>
        <w:pStyle w:val="4"/>
        <w:adjustRightInd w:val="0"/>
        <w:snapToGrid w:val="0"/>
        <w:spacing w:before="0" w:after="0" w:line="360" w:lineRule="auto"/>
        <w:rPr>
          <w:rFonts w:hint="eastAsia" w:ascii="宋体" w:hAnsi="宋体" w:eastAsia="宋体" w:cs="宋体"/>
          <w:bCs w:val="0"/>
          <w:snapToGrid w:val="0"/>
          <w:color w:val="auto"/>
          <w:sz w:val="24"/>
          <w:szCs w:val="24"/>
          <w:highlight w:val="none"/>
        </w:rPr>
      </w:pPr>
      <w:bookmarkStart w:id="47" w:name="_Toc13892"/>
      <w:bookmarkStart w:id="48" w:name="_Toc287620670"/>
      <w:bookmarkStart w:id="49" w:name="_Toc277082539"/>
      <w:bookmarkStart w:id="50" w:name="_Toc287607731"/>
      <w:bookmarkStart w:id="51" w:name="_Toc200359241"/>
      <w:bookmarkStart w:id="52" w:name="_Toc509218695"/>
      <w:bookmarkStart w:id="53" w:name="_Toc224103302"/>
      <w:bookmarkStart w:id="54" w:name="_Toc200359430"/>
      <w:bookmarkStart w:id="55" w:name="_Toc430530419"/>
      <w:r>
        <w:rPr>
          <w:rFonts w:hint="eastAsia" w:ascii="宋体" w:hAnsi="宋体" w:eastAsia="宋体" w:cs="宋体"/>
          <w:bCs w:val="0"/>
          <w:snapToGrid w:val="0"/>
          <w:color w:val="auto"/>
          <w:sz w:val="24"/>
          <w:szCs w:val="24"/>
          <w:highlight w:val="none"/>
        </w:rPr>
        <w:t>4.评标办法</w:t>
      </w:r>
      <w:bookmarkEnd w:id="47"/>
    </w:p>
    <w:p w14:paraId="11C650AF">
      <w:pPr>
        <w:pStyle w:val="2"/>
        <w:adjustRightInd w:val="0"/>
        <w:snapToGrid w:val="0"/>
        <w:spacing w:beforeLines="0" w:after="0" w:afterLines="0" w:line="360" w:lineRule="auto"/>
        <w:ind w:firstLine="420" w:firstLineChars="200"/>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综合评估法。</w:t>
      </w:r>
    </w:p>
    <w:p w14:paraId="6C9AFDA6">
      <w:pPr>
        <w:pStyle w:val="4"/>
        <w:adjustRightInd w:val="0"/>
        <w:snapToGrid w:val="0"/>
        <w:spacing w:before="0" w:after="0" w:line="360" w:lineRule="auto"/>
        <w:rPr>
          <w:rFonts w:hint="eastAsia" w:ascii="宋体" w:hAnsi="宋体" w:eastAsia="宋体" w:cs="宋体"/>
          <w:bCs w:val="0"/>
          <w:snapToGrid w:val="0"/>
          <w:color w:val="auto"/>
          <w:sz w:val="24"/>
          <w:szCs w:val="24"/>
          <w:highlight w:val="none"/>
        </w:rPr>
      </w:pPr>
      <w:bookmarkStart w:id="56" w:name="_Toc11902"/>
      <w:r>
        <w:rPr>
          <w:rFonts w:hint="eastAsia" w:ascii="宋体" w:hAnsi="宋体" w:eastAsia="宋体" w:cs="宋体"/>
          <w:bCs w:val="0"/>
          <w:snapToGrid w:val="0"/>
          <w:color w:val="auto"/>
          <w:sz w:val="24"/>
          <w:szCs w:val="24"/>
          <w:highlight w:val="none"/>
          <w:lang w:val="en-US" w:eastAsia="zh-CN"/>
        </w:rPr>
        <w:t>5.</w:t>
      </w:r>
      <w:r>
        <w:rPr>
          <w:rFonts w:hint="eastAsia" w:ascii="宋体" w:hAnsi="宋体" w:eastAsia="宋体" w:cs="宋体"/>
          <w:bCs w:val="0"/>
          <w:snapToGrid w:val="0"/>
          <w:color w:val="auto"/>
          <w:sz w:val="24"/>
          <w:szCs w:val="24"/>
          <w:highlight w:val="none"/>
        </w:rPr>
        <w:t>招标文件的获取</w:t>
      </w:r>
      <w:bookmarkEnd w:id="48"/>
      <w:bookmarkEnd w:id="49"/>
      <w:bookmarkEnd w:id="50"/>
      <w:bookmarkEnd w:id="51"/>
      <w:bookmarkEnd w:id="52"/>
      <w:bookmarkEnd w:id="53"/>
      <w:bookmarkEnd w:id="54"/>
      <w:bookmarkEnd w:id="55"/>
      <w:bookmarkEnd w:id="56"/>
    </w:p>
    <w:p w14:paraId="79A4DC32">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both"/>
        <w:rPr>
          <w:rFonts w:hint="eastAsia" w:ascii="宋体" w:hAnsi="宋体" w:eastAsia="宋体" w:cs="宋体"/>
          <w:kern w:val="0"/>
          <w:sz w:val="21"/>
          <w:szCs w:val="21"/>
          <w:highlight w:val="none"/>
        </w:rPr>
      </w:pPr>
      <w:bookmarkStart w:id="57" w:name="_Toc287620671"/>
      <w:bookmarkStart w:id="58" w:name="_Toc430530420"/>
      <w:bookmarkStart w:id="59" w:name="_Toc277082540"/>
      <w:bookmarkStart w:id="60" w:name="_Toc200359242"/>
      <w:bookmarkStart w:id="61" w:name="_Toc509218696"/>
      <w:bookmarkStart w:id="62" w:name="_Toc200359431"/>
      <w:bookmarkStart w:id="63" w:name="_Toc287607732"/>
      <w:bookmarkStart w:id="64" w:name="_Toc224103303"/>
      <w:r>
        <w:rPr>
          <w:rFonts w:hint="eastAsia" w:ascii="宋体" w:hAnsi="宋体" w:eastAsia="宋体" w:cs="宋体"/>
          <w:kern w:val="0"/>
          <w:sz w:val="21"/>
          <w:szCs w:val="21"/>
          <w:highlight w:val="none"/>
          <w:lang w:eastAsia="zh-CN" w:bidi="ar"/>
        </w:rPr>
        <w:t>5</w:t>
      </w:r>
      <w:r>
        <w:rPr>
          <w:rFonts w:hint="eastAsia" w:ascii="宋体" w:hAnsi="宋体" w:eastAsia="宋体" w:cs="宋体"/>
          <w:kern w:val="0"/>
          <w:sz w:val="21"/>
          <w:szCs w:val="21"/>
          <w:highlight w:val="none"/>
          <w:lang w:val="en-US" w:eastAsia="zh-CN" w:bidi="ar"/>
        </w:rPr>
        <w:t>.1  凡有意参加投标者，请于</w:t>
      </w:r>
      <w:r>
        <w:rPr>
          <w:rFonts w:hint="eastAsia" w:ascii="宋体" w:hAnsi="宋体" w:eastAsia="宋体" w:cs="宋体"/>
          <w:b/>
          <w:bCs w:val="0"/>
          <w:kern w:val="0"/>
          <w:sz w:val="21"/>
          <w:szCs w:val="21"/>
          <w:highlight w:val="none"/>
          <w:u w:val="single"/>
          <w:lang w:val="en-US" w:eastAsia="zh-CN" w:bidi="ar"/>
        </w:rPr>
        <w:t>202</w:t>
      </w:r>
      <w:r>
        <w:rPr>
          <w:rFonts w:hint="eastAsia" w:ascii="宋体" w:hAnsi="宋体" w:cs="宋体"/>
          <w:b/>
          <w:bCs w:val="0"/>
          <w:kern w:val="0"/>
          <w:sz w:val="21"/>
          <w:szCs w:val="21"/>
          <w:highlight w:val="none"/>
          <w:u w:val="single"/>
          <w:lang w:val="en-US" w:eastAsia="zh-CN" w:bidi="ar"/>
        </w:rPr>
        <w:t>4</w:t>
      </w:r>
      <w:r>
        <w:rPr>
          <w:rFonts w:hint="eastAsia" w:ascii="宋体" w:hAnsi="宋体" w:eastAsia="宋体" w:cs="宋体"/>
          <w:b/>
          <w:bCs w:val="0"/>
          <w:kern w:val="0"/>
          <w:sz w:val="21"/>
          <w:szCs w:val="21"/>
          <w:highlight w:val="none"/>
          <w:lang w:val="en-US" w:eastAsia="zh-CN" w:bidi="ar"/>
        </w:rPr>
        <w:t>年</w:t>
      </w:r>
      <w:r>
        <w:rPr>
          <w:rFonts w:hint="eastAsia" w:ascii="宋体" w:hAnsi="宋体" w:eastAsia="宋体" w:cs="宋体"/>
          <w:b/>
          <w:bCs w:val="0"/>
          <w:kern w:val="0"/>
          <w:sz w:val="21"/>
          <w:szCs w:val="21"/>
          <w:highlight w:val="none"/>
          <w:u w:val="single"/>
          <w:lang w:val="en-US" w:eastAsia="zh-CN" w:bidi="ar"/>
        </w:rPr>
        <w:t xml:space="preserve"> </w:t>
      </w:r>
      <w:r>
        <w:rPr>
          <w:rFonts w:hint="eastAsia" w:ascii="宋体" w:hAnsi="宋体" w:cs="宋体"/>
          <w:b/>
          <w:bCs w:val="0"/>
          <w:kern w:val="0"/>
          <w:sz w:val="21"/>
          <w:szCs w:val="21"/>
          <w:highlight w:val="none"/>
          <w:u w:val="single"/>
          <w:lang w:val="en-US" w:eastAsia="zh-CN" w:bidi="ar"/>
        </w:rPr>
        <w:t>8</w:t>
      </w:r>
      <w:r>
        <w:rPr>
          <w:rFonts w:hint="eastAsia" w:ascii="宋体" w:hAnsi="宋体" w:eastAsia="宋体" w:cs="宋体"/>
          <w:b/>
          <w:bCs w:val="0"/>
          <w:kern w:val="0"/>
          <w:sz w:val="21"/>
          <w:szCs w:val="21"/>
          <w:highlight w:val="none"/>
          <w:u w:val="single"/>
          <w:lang w:val="en-US" w:eastAsia="zh-CN" w:bidi="ar"/>
        </w:rPr>
        <w:t xml:space="preserve"> </w:t>
      </w:r>
      <w:r>
        <w:rPr>
          <w:rFonts w:hint="eastAsia" w:ascii="宋体" w:hAnsi="宋体" w:eastAsia="宋体" w:cs="宋体"/>
          <w:b/>
          <w:bCs w:val="0"/>
          <w:kern w:val="0"/>
          <w:sz w:val="21"/>
          <w:szCs w:val="21"/>
          <w:highlight w:val="none"/>
          <w:lang w:val="en-US" w:eastAsia="zh-CN" w:bidi="ar"/>
        </w:rPr>
        <w:t>月</w:t>
      </w:r>
      <w:r>
        <w:rPr>
          <w:rFonts w:hint="eastAsia" w:ascii="宋体" w:hAnsi="宋体" w:eastAsia="宋体" w:cs="宋体"/>
          <w:b/>
          <w:bCs w:val="0"/>
          <w:kern w:val="0"/>
          <w:sz w:val="21"/>
          <w:szCs w:val="21"/>
          <w:highlight w:val="none"/>
          <w:u w:val="single"/>
          <w:lang w:val="en-US" w:eastAsia="zh-CN" w:bidi="ar"/>
        </w:rPr>
        <w:t xml:space="preserve"> </w:t>
      </w:r>
      <w:r>
        <w:rPr>
          <w:rFonts w:hint="eastAsia" w:ascii="宋体" w:hAnsi="宋体" w:cs="宋体"/>
          <w:b/>
          <w:bCs w:val="0"/>
          <w:kern w:val="0"/>
          <w:sz w:val="21"/>
          <w:szCs w:val="21"/>
          <w:highlight w:val="none"/>
          <w:u w:val="single"/>
          <w:lang w:val="en-US" w:eastAsia="zh-CN" w:bidi="ar"/>
        </w:rPr>
        <w:t>9</w:t>
      </w:r>
      <w:r>
        <w:rPr>
          <w:rFonts w:hint="eastAsia" w:ascii="宋体" w:hAnsi="宋体" w:eastAsia="宋体" w:cs="宋体"/>
          <w:b/>
          <w:bCs w:val="0"/>
          <w:kern w:val="0"/>
          <w:sz w:val="21"/>
          <w:szCs w:val="21"/>
          <w:highlight w:val="none"/>
          <w:u w:val="single"/>
          <w:lang w:val="en-US" w:eastAsia="zh-CN" w:bidi="ar"/>
        </w:rPr>
        <w:t xml:space="preserve"> </w:t>
      </w:r>
      <w:r>
        <w:rPr>
          <w:rFonts w:hint="eastAsia" w:ascii="宋体" w:hAnsi="宋体" w:eastAsia="宋体" w:cs="宋体"/>
          <w:b/>
          <w:bCs w:val="0"/>
          <w:kern w:val="0"/>
          <w:sz w:val="21"/>
          <w:szCs w:val="21"/>
          <w:highlight w:val="none"/>
          <w:lang w:val="en-US" w:eastAsia="zh-CN" w:bidi="ar"/>
        </w:rPr>
        <w:t>日</w:t>
      </w:r>
      <w:r>
        <w:rPr>
          <w:rFonts w:hint="eastAsia" w:ascii="宋体" w:hAnsi="宋体" w:eastAsia="宋体" w:cs="宋体"/>
          <w:kern w:val="0"/>
          <w:sz w:val="21"/>
          <w:szCs w:val="21"/>
          <w:highlight w:val="none"/>
          <w:lang w:val="en-US" w:eastAsia="zh-CN" w:bidi="ar"/>
        </w:rPr>
        <w:t>（北京时间，下同）前起在</w:t>
      </w:r>
      <w:r>
        <w:rPr>
          <w:rFonts w:hint="eastAsia" w:ascii="宋体" w:hAnsi="宋体" w:eastAsia="宋体" w:cs="宋体"/>
          <w:kern w:val="0"/>
          <w:sz w:val="21"/>
          <w:szCs w:val="21"/>
          <w:highlight w:val="none"/>
          <w:u w:val="single"/>
          <w:lang w:val="en-US" w:eastAsia="zh-CN" w:bidi="ar"/>
        </w:rPr>
        <w:t>重</w:t>
      </w:r>
      <w:r>
        <w:rPr>
          <w:rFonts w:hint="eastAsia" w:ascii="宋体" w:hAnsi="宋体" w:eastAsia="宋体" w:cs="宋体"/>
          <w:snapToGrid w:val="0"/>
          <w:color w:val="auto"/>
          <w:kern w:val="0"/>
          <w:szCs w:val="21"/>
          <w:highlight w:val="none"/>
          <w:u w:val="single"/>
          <w:lang w:val="en-US" w:eastAsia="zh-CN"/>
        </w:rPr>
        <w:t>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eastAsia="宋体" w:cs="宋体"/>
          <w:snapToGrid w:val="0"/>
          <w:color w:val="auto"/>
          <w:kern w:val="0"/>
          <w:szCs w:val="21"/>
          <w:highlight w:val="none"/>
          <w:u w:val="single"/>
          <w:lang w:val="en-US" w:eastAsia="zh-CN"/>
        </w:rPr>
        <w:t>）</w:t>
      </w:r>
      <w:r>
        <w:rPr>
          <w:rFonts w:hint="eastAsia" w:ascii="宋体" w:hAnsi="宋体" w:eastAsia="宋体" w:cs="宋体"/>
          <w:kern w:val="0"/>
          <w:sz w:val="21"/>
          <w:szCs w:val="21"/>
          <w:highlight w:val="none"/>
          <w:lang w:val="en-US" w:eastAsia="zh-CN" w:bidi="ar"/>
        </w:rPr>
        <w:t>下载招标文件、清单、澄清、修改、补充通知、最高限价通知等全部内容。不管下载与否都视为潜在投标人全部知晓有关招投标过程和全部内容。</w:t>
      </w:r>
      <w:r>
        <w:rPr>
          <w:rFonts w:hint="eastAsia" w:ascii="宋体" w:hAnsi="宋体" w:eastAsia="宋体" w:cs="宋体"/>
          <w:kern w:val="2"/>
          <w:sz w:val="21"/>
          <w:szCs w:val="21"/>
          <w:highlight w:val="none"/>
          <w:lang w:val="en-US" w:eastAsia="zh-CN" w:bidi="ar"/>
        </w:rPr>
        <w:t>本项目不需要报名，直接投标。</w:t>
      </w:r>
    </w:p>
    <w:p w14:paraId="4BD0D7B0">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eastAsia="zh-CN" w:bidi="ar"/>
        </w:rPr>
        <w:t>5</w:t>
      </w:r>
      <w:r>
        <w:rPr>
          <w:rFonts w:hint="eastAsia" w:ascii="宋体" w:hAnsi="宋体" w:eastAsia="宋体" w:cs="宋体"/>
          <w:kern w:val="0"/>
          <w:sz w:val="21"/>
          <w:szCs w:val="21"/>
          <w:highlight w:val="none"/>
          <w:lang w:val="en-US" w:eastAsia="zh-CN" w:bidi="ar"/>
        </w:rPr>
        <w:t>.2  投标人可以电子邮件形式对本项目提出疑问，提问方式为向招标人邮箱发送提问文件扫描件</w:t>
      </w:r>
      <w:r>
        <w:rPr>
          <w:rFonts w:hint="eastAsia" w:ascii="宋体" w:hAnsi="宋体" w:eastAsia="宋体" w:cs="宋体"/>
          <w:bCs w:val="0"/>
          <w:kern w:val="0"/>
          <w:sz w:val="21"/>
          <w:szCs w:val="21"/>
          <w:highlight w:val="none"/>
          <w:lang w:val="en-US" w:eastAsia="zh-CN" w:bidi="ar"/>
        </w:rPr>
        <w:t>（需盖单位法人章）和可编辑电子文档，</w:t>
      </w:r>
      <w:r>
        <w:rPr>
          <w:rFonts w:hint="eastAsia" w:ascii="宋体" w:hAnsi="宋体" w:eastAsia="宋体" w:cs="宋体"/>
          <w:kern w:val="0"/>
          <w:sz w:val="21"/>
          <w:szCs w:val="21"/>
          <w:highlight w:val="none"/>
          <w:lang w:val="en-US" w:eastAsia="zh-CN" w:bidi="ar"/>
        </w:rPr>
        <w:t>提问时间从本公告发布至</w:t>
      </w:r>
      <w:r>
        <w:rPr>
          <w:rFonts w:hint="eastAsia" w:ascii="宋体" w:hAnsi="宋体" w:eastAsia="宋体" w:cs="宋体"/>
          <w:b/>
          <w:bCs w:val="0"/>
          <w:kern w:val="0"/>
          <w:sz w:val="21"/>
          <w:szCs w:val="21"/>
          <w:highlight w:val="none"/>
          <w:u w:val="single"/>
          <w:lang w:val="en-US" w:eastAsia="zh-CN" w:bidi="ar"/>
        </w:rPr>
        <w:t>202</w:t>
      </w:r>
      <w:r>
        <w:rPr>
          <w:rFonts w:hint="eastAsia" w:ascii="宋体" w:hAnsi="宋体" w:cs="宋体"/>
          <w:b/>
          <w:bCs w:val="0"/>
          <w:kern w:val="0"/>
          <w:sz w:val="21"/>
          <w:szCs w:val="21"/>
          <w:highlight w:val="none"/>
          <w:u w:val="single"/>
          <w:lang w:val="en-US" w:eastAsia="zh-CN" w:bidi="ar"/>
        </w:rPr>
        <w:t>4</w:t>
      </w:r>
      <w:r>
        <w:rPr>
          <w:rFonts w:hint="eastAsia" w:ascii="宋体" w:hAnsi="宋体" w:eastAsia="宋体" w:cs="宋体"/>
          <w:b/>
          <w:bCs w:val="0"/>
          <w:kern w:val="0"/>
          <w:sz w:val="21"/>
          <w:szCs w:val="21"/>
          <w:highlight w:val="none"/>
          <w:lang w:val="en-US" w:eastAsia="zh-CN" w:bidi="ar"/>
        </w:rPr>
        <w:t>年</w:t>
      </w:r>
      <w:r>
        <w:rPr>
          <w:rFonts w:hint="eastAsia" w:ascii="宋体" w:hAnsi="宋体" w:eastAsia="宋体" w:cs="宋体"/>
          <w:b/>
          <w:bCs w:val="0"/>
          <w:kern w:val="0"/>
          <w:sz w:val="21"/>
          <w:szCs w:val="21"/>
          <w:highlight w:val="none"/>
          <w:u w:val="single"/>
          <w:lang w:val="en-US" w:eastAsia="zh-CN" w:bidi="ar"/>
        </w:rPr>
        <w:t xml:space="preserve"> </w:t>
      </w:r>
      <w:r>
        <w:rPr>
          <w:rFonts w:hint="eastAsia" w:ascii="宋体" w:hAnsi="宋体" w:cs="宋体"/>
          <w:b/>
          <w:bCs w:val="0"/>
          <w:kern w:val="0"/>
          <w:sz w:val="21"/>
          <w:szCs w:val="21"/>
          <w:highlight w:val="none"/>
          <w:u w:val="single"/>
          <w:lang w:val="en-US" w:eastAsia="zh-CN" w:bidi="ar"/>
        </w:rPr>
        <w:t>8</w:t>
      </w:r>
      <w:r>
        <w:rPr>
          <w:rFonts w:hint="eastAsia" w:ascii="宋体" w:hAnsi="宋体" w:eastAsia="宋体" w:cs="宋体"/>
          <w:b/>
          <w:bCs w:val="0"/>
          <w:kern w:val="0"/>
          <w:sz w:val="21"/>
          <w:szCs w:val="21"/>
          <w:highlight w:val="none"/>
          <w:u w:val="single"/>
          <w:lang w:val="en-US" w:eastAsia="zh-CN" w:bidi="ar"/>
        </w:rPr>
        <w:t xml:space="preserve"> </w:t>
      </w:r>
      <w:r>
        <w:rPr>
          <w:rFonts w:hint="eastAsia" w:ascii="宋体" w:hAnsi="宋体" w:eastAsia="宋体" w:cs="宋体"/>
          <w:b/>
          <w:bCs w:val="0"/>
          <w:kern w:val="0"/>
          <w:sz w:val="21"/>
          <w:szCs w:val="21"/>
          <w:highlight w:val="none"/>
          <w:lang w:val="en-US" w:eastAsia="zh-CN" w:bidi="ar"/>
        </w:rPr>
        <w:t>月</w:t>
      </w:r>
      <w:r>
        <w:rPr>
          <w:rFonts w:hint="eastAsia" w:ascii="宋体" w:hAnsi="宋体" w:eastAsia="宋体" w:cs="宋体"/>
          <w:b/>
          <w:bCs w:val="0"/>
          <w:kern w:val="0"/>
          <w:sz w:val="21"/>
          <w:szCs w:val="21"/>
          <w:highlight w:val="none"/>
          <w:u w:val="single"/>
          <w:lang w:val="en-US" w:eastAsia="zh-CN" w:bidi="ar"/>
        </w:rPr>
        <w:t xml:space="preserve"> </w:t>
      </w:r>
      <w:r>
        <w:rPr>
          <w:rFonts w:hint="eastAsia" w:ascii="宋体" w:hAnsi="宋体" w:cs="宋体"/>
          <w:b/>
          <w:bCs w:val="0"/>
          <w:kern w:val="0"/>
          <w:sz w:val="21"/>
          <w:szCs w:val="21"/>
          <w:highlight w:val="none"/>
          <w:u w:val="single"/>
          <w:lang w:val="en-US" w:eastAsia="zh-CN" w:bidi="ar"/>
        </w:rPr>
        <w:t>3</w:t>
      </w:r>
      <w:r>
        <w:rPr>
          <w:rFonts w:hint="eastAsia" w:ascii="宋体" w:hAnsi="宋体" w:eastAsia="宋体" w:cs="宋体"/>
          <w:b/>
          <w:bCs w:val="0"/>
          <w:kern w:val="0"/>
          <w:sz w:val="21"/>
          <w:szCs w:val="21"/>
          <w:highlight w:val="none"/>
          <w:u w:val="single"/>
          <w:lang w:val="en-US" w:eastAsia="zh-CN" w:bidi="ar"/>
        </w:rPr>
        <w:t xml:space="preserve"> </w:t>
      </w:r>
      <w:r>
        <w:rPr>
          <w:rFonts w:hint="eastAsia" w:ascii="宋体" w:hAnsi="宋体" w:eastAsia="宋体" w:cs="宋体"/>
          <w:b/>
          <w:bCs w:val="0"/>
          <w:kern w:val="0"/>
          <w:sz w:val="21"/>
          <w:szCs w:val="21"/>
          <w:highlight w:val="none"/>
          <w:lang w:val="en-US" w:eastAsia="zh-CN" w:bidi="ar"/>
        </w:rPr>
        <w:t>日</w:t>
      </w:r>
      <w:r>
        <w:rPr>
          <w:rFonts w:hint="eastAsia" w:ascii="宋体" w:hAnsi="宋体" w:eastAsia="宋体" w:cs="宋体"/>
          <w:b/>
          <w:bCs w:val="0"/>
          <w:kern w:val="0"/>
          <w:sz w:val="21"/>
          <w:szCs w:val="21"/>
          <w:highlight w:val="none"/>
          <w:u w:val="single"/>
          <w:lang w:val="en-US" w:eastAsia="zh-CN" w:bidi="ar"/>
        </w:rPr>
        <w:t xml:space="preserve"> 1</w:t>
      </w:r>
      <w:r>
        <w:rPr>
          <w:rFonts w:hint="eastAsia" w:ascii="宋体" w:hAnsi="宋体" w:cs="宋体"/>
          <w:b/>
          <w:bCs w:val="0"/>
          <w:kern w:val="0"/>
          <w:sz w:val="21"/>
          <w:szCs w:val="21"/>
          <w:highlight w:val="none"/>
          <w:u w:val="single"/>
          <w:lang w:val="en-US" w:eastAsia="zh-CN" w:bidi="ar"/>
        </w:rPr>
        <w:t>5</w:t>
      </w:r>
      <w:r>
        <w:rPr>
          <w:rFonts w:hint="eastAsia" w:ascii="宋体" w:hAnsi="宋体" w:eastAsia="宋体" w:cs="宋体"/>
          <w:b/>
          <w:bCs w:val="0"/>
          <w:kern w:val="0"/>
          <w:sz w:val="21"/>
          <w:szCs w:val="21"/>
          <w:highlight w:val="none"/>
          <w:u w:val="single"/>
          <w:lang w:val="en-US" w:eastAsia="zh-CN" w:bidi="ar"/>
        </w:rPr>
        <w:t xml:space="preserve"> </w:t>
      </w:r>
      <w:r>
        <w:rPr>
          <w:rFonts w:hint="eastAsia" w:ascii="宋体" w:hAnsi="宋体" w:eastAsia="宋体" w:cs="宋体"/>
          <w:b/>
          <w:bCs w:val="0"/>
          <w:kern w:val="2"/>
          <w:sz w:val="21"/>
          <w:szCs w:val="21"/>
          <w:highlight w:val="none"/>
          <w:lang w:val="en-US" w:eastAsia="zh-CN" w:bidi="ar"/>
        </w:rPr>
        <w:t>时</w:t>
      </w:r>
      <w:r>
        <w:rPr>
          <w:rFonts w:hint="eastAsia" w:ascii="宋体" w:hAnsi="宋体" w:eastAsia="宋体" w:cs="宋体"/>
          <w:b/>
          <w:bCs w:val="0"/>
          <w:kern w:val="0"/>
          <w:sz w:val="21"/>
          <w:szCs w:val="21"/>
          <w:highlight w:val="none"/>
          <w:u w:val="single"/>
          <w:lang w:val="en-US" w:eastAsia="zh-CN" w:bidi="ar"/>
        </w:rPr>
        <w:t>00</w:t>
      </w:r>
      <w:r>
        <w:rPr>
          <w:rFonts w:hint="eastAsia" w:ascii="宋体" w:hAnsi="宋体" w:eastAsia="宋体" w:cs="宋体"/>
          <w:b/>
          <w:bCs w:val="0"/>
          <w:kern w:val="2"/>
          <w:sz w:val="21"/>
          <w:szCs w:val="21"/>
          <w:highlight w:val="none"/>
          <w:lang w:val="en-US" w:eastAsia="zh-CN" w:bidi="ar"/>
        </w:rPr>
        <w:t>分</w:t>
      </w:r>
      <w:r>
        <w:rPr>
          <w:rFonts w:hint="eastAsia" w:ascii="宋体" w:hAnsi="宋体" w:eastAsia="宋体" w:cs="宋体"/>
          <w:kern w:val="0"/>
          <w:sz w:val="21"/>
          <w:szCs w:val="21"/>
          <w:highlight w:val="none"/>
          <w:lang w:val="en-US" w:eastAsia="zh-CN" w:bidi="ar"/>
        </w:rPr>
        <w:t>（北京时间）前。</w:t>
      </w:r>
    </w:p>
    <w:p w14:paraId="5D5939C5">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eastAsia="zh-CN" w:bidi="ar"/>
        </w:rPr>
        <w:t>5</w:t>
      </w:r>
      <w:r>
        <w:rPr>
          <w:rFonts w:hint="eastAsia" w:ascii="宋体" w:hAnsi="宋体" w:eastAsia="宋体" w:cs="宋体"/>
          <w:kern w:val="0"/>
          <w:sz w:val="21"/>
          <w:szCs w:val="21"/>
          <w:highlight w:val="none"/>
          <w:lang w:val="en-US" w:eastAsia="zh-CN" w:bidi="ar"/>
        </w:rPr>
        <w:t>.3  招标人应于</w:t>
      </w:r>
      <w:r>
        <w:rPr>
          <w:rFonts w:hint="eastAsia" w:ascii="宋体" w:hAnsi="宋体" w:eastAsia="宋体" w:cs="宋体"/>
          <w:b/>
          <w:bCs w:val="0"/>
          <w:kern w:val="0"/>
          <w:sz w:val="21"/>
          <w:szCs w:val="21"/>
          <w:highlight w:val="none"/>
          <w:u w:val="single"/>
          <w:lang w:val="en-US" w:eastAsia="zh-CN" w:bidi="ar"/>
        </w:rPr>
        <w:t>202</w:t>
      </w:r>
      <w:r>
        <w:rPr>
          <w:rFonts w:hint="eastAsia" w:ascii="宋体" w:hAnsi="宋体" w:cs="宋体"/>
          <w:b/>
          <w:bCs w:val="0"/>
          <w:kern w:val="0"/>
          <w:sz w:val="21"/>
          <w:szCs w:val="21"/>
          <w:highlight w:val="none"/>
          <w:u w:val="single"/>
          <w:lang w:val="en-US" w:eastAsia="zh-CN" w:bidi="ar"/>
        </w:rPr>
        <w:t>4</w:t>
      </w:r>
      <w:r>
        <w:rPr>
          <w:rFonts w:hint="eastAsia" w:ascii="宋体" w:hAnsi="宋体" w:eastAsia="宋体" w:cs="宋体"/>
          <w:b/>
          <w:bCs w:val="0"/>
          <w:kern w:val="0"/>
          <w:sz w:val="21"/>
          <w:szCs w:val="21"/>
          <w:highlight w:val="none"/>
          <w:lang w:val="en-US" w:eastAsia="zh-CN" w:bidi="ar"/>
        </w:rPr>
        <w:t>年</w:t>
      </w:r>
      <w:r>
        <w:rPr>
          <w:rFonts w:hint="eastAsia" w:ascii="宋体" w:hAnsi="宋体" w:eastAsia="宋体" w:cs="宋体"/>
          <w:b/>
          <w:bCs w:val="0"/>
          <w:kern w:val="0"/>
          <w:sz w:val="21"/>
          <w:szCs w:val="21"/>
          <w:highlight w:val="none"/>
          <w:u w:val="single"/>
          <w:lang w:val="en-US" w:eastAsia="zh-CN" w:bidi="ar"/>
        </w:rPr>
        <w:t xml:space="preserve"> </w:t>
      </w:r>
      <w:r>
        <w:rPr>
          <w:rFonts w:hint="eastAsia" w:ascii="宋体" w:hAnsi="宋体" w:cs="宋体"/>
          <w:b/>
          <w:bCs w:val="0"/>
          <w:kern w:val="0"/>
          <w:sz w:val="21"/>
          <w:szCs w:val="21"/>
          <w:highlight w:val="none"/>
          <w:u w:val="single"/>
          <w:lang w:val="en-US" w:eastAsia="zh-CN" w:bidi="ar"/>
        </w:rPr>
        <w:t>8</w:t>
      </w:r>
      <w:r>
        <w:rPr>
          <w:rFonts w:hint="eastAsia" w:ascii="宋体" w:hAnsi="宋体" w:eastAsia="宋体" w:cs="宋体"/>
          <w:b/>
          <w:bCs w:val="0"/>
          <w:kern w:val="0"/>
          <w:sz w:val="21"/>
          <w:szCs w:val="21"/>
          <w:highlight w:val="none"/>
          <w:u w:val="single"/>
          <w:lang w:val="en-US" w:eastAsia="zh-CN" w:bidi="ar"/>
        </w:rPr>
        <w:t xml:space="preserve"> </w:t>
      </w:r>
      <w:r>
        <w:rPr>
          <w:rFonts w:hint="eastAsia" w:ascii="宋体" w:hAnsi="宋体" w:eastAsia="宋体" w:cs="宋体"/>
          <w:b/>
          <w:bCs w:val="0"/>
          <w:kern w:val="0"/>
          <w:sz w:val="21"/>
          <w:szCs w:val="21"/>
          <w:highlight w:val="none"/>
          <w:lang w:val="en-US" w:eastAsia="zh-CN" w:bidi="ar"/>
        </w:rPr>
        <w:t>月</w:t>
      </w:r>
      <w:r>
        <w:rPr>
          <w:rFonts w:hint="eastAsia" w:ascii="宋体" w:hAnsi="宋体" w:eastAsia="宋体" w:cs="宋体"/>
          <w:b/>
          <w:bCs w:val="0"/>
          <w:kern w:val="0"/>
          <w:sz w:val="21"/>
          <w:szCs w:val="21"/>
          <w:highlight w:val="none"/>
          <w:u w:val="single"/>
          <w:lang w:val="en-US" w:eastAsia="zh-CN" w:bidi="ar"/>
        </w:rPr>
        <w:t xml:space="preserve"> </w:t>
      </w:r>
      <w:r>
        <w:rPr>
          <w:rFonts w:hint="eastAsia" w:ascii="宋体" w:hAnsi="宋体" w:cs="宋体"/>
          <w:b/>
          <w:bCs w:val="0"/>
          <w:kern w:val="0"/>
          <w:sz w:val="21"/>
          <w:szCs w:val="21"/>
          <w:highlight w:val="none"/>
          <w:u w:val="single"/>
          <w:lang w:val="en-US" w:eastAsia="zh-CN" w:bidi="ar"/>
        </w:rPr>
        <w:t>5</w:t>
      </w:r>
      <w:r>
        <w:rPr>
          <w:rFonts w:hint="eastAsia" w:ascii="宋体" w:hAnsi="宋体" w:eastAsia="宋体" w:cs="宋体"/>
          <w:b/>
          <w:bCs w:val="0"/>
          <w:kern w:val="0"/>
          <w:sz w:val="21"/>
          <w:szCs w:val="21"/>
          <w:highlight w:val="none"/>
          <w:u w:val="single"/>
          <w:lang w:val="en-US" w:eastAsia="zh-CN" w:bidi="ar"/>
        </w:rPr>
        <w:t xml:space="preserve"> </w:t>
      </w:r>
      <w:r>
        <w:rPr>
          <w:rFonts w:hint="eastAsia" w:ascii="宋体" w:hAnsi="宋体" w:eastAsia="宋体" w:cs="宋体"/>
          <w:b/>
          <w:bCs w:val="0"/>
          <w:kern w:val="0"/>
          <w:sz w:val="21"/>
          <w:szCs w:val="21"/>
          <w:highlight w:val="none"/>
          <w:lang w:val="en-US" w:eastAsia="zh-CN" w:bidi="ar"/>
        </w:rPr>
        <w:t>日</w:t>
      </w:r>
      <w:r>
        <w:rPr>
          <w:rFonts w:hint="eastAsia" w:ascii="宋体" w:hAnsi="宋体" w:eastAsia="宋体" w:cs="宋体"/>
          <w:b/>
          <w:bCs w:val="0"/>
          <w:kern w:val="0"/>
          <w:sz w:val="21"/>
          <w:szCs w:val="21"/>
          <w:highlight w:val="none"/>
          <w:u w:val="single"/>
          <w:lang w:val="en-US" w:eastAsia="zh-CN" w:bidi="ar"/>
        </w:rPr>
        <w:t>1</w:t>
      </w:r>
      <w:r>
        <w:rPr>
          <w:rFonts w:hint="eastAsia" w:ascii="宋体" w:hAnsi="宋体" w:cs="宋体"/>
          <w:b/>
          <w:bCs w:val="0"/>
          <w:kern w:val="0"/>
          <w:sz w:val="21"/>
          <w:szCs w:val="21"/>
          <w:highlight w:val="none"/>
          <w:u w:val="single"/>
          <w:lang w:val="en-US" w:eastAsia="zh-CN" w:bidi="ar"/>
        </w:rPr>
        <w:t>5</w:t>
      </w:r>
      <w:r>
        <w:rPr>
          <w:rFonts w:hint="eastAsia" w:ascii="宋体" w:hAnsi="宋体" w:eastAsia="宋体" w:cs="宋体"/>
          <w:b/>
          <w:bCs w:val="0"/>
          <w:kern w:val="2"/>
          <w:sz w:val="21"/>
          <w:szCs w:val="21"/>
          <w:highlight w:val="none"/>
          <w:lang w:val="en-US" w:eastAsia="zh-CN" w:bidi="ar"/>
        </w:rPr>
        <w:t>时</w:t>
      </w:r>
      <w:r>
        <w:rPr>
          <w:rFonts w:hint="eastAsia" w:ascii="宋体" w:hAnsi="宋体" w:eastAsia="宋体" w:cs="宋体"/>
          <w:b/>
          <w:bCs w:val="0"/>
          <w:kern w:val="0"/>
          <w:sz w:val="21"/>
          <w:szCs w:val="21"/>
          <w:highlight w:val="none"/>
          <w:u w:val="single"/>
          <w:lang w:val="en-US" w:eastAsia="zh-CN" w:bidi="ar"/>
        </w:rPr>
        <w:t>00</w:t>
      </w:r>
      <w:r>
        <w:rPr>
          <w:rFonts w:hint="eastAsia" w:ascii="宋体" w:hAnsi="宋体" w:eastAsia="宋体" w:cs="宋体"/>
          <w:b/>
          <w:bCs w:val="0"/>
          <w:kern w:val="2"/>
          <w:sz w:val="21"/>
          <w:szCs w:val="21"/>
          <w:highlight w:val="none"/>
          <w:lang w:val="en-US" w:eastAsia="zh-CN" w:bidi="ar"/>
        </w:rPr>
        <w:t>分</w:t>
      </w:r>
      <w:r>
        <w:rPr>
          <w:rFonts w:hint="eastAsia" w:ascii="宋体" w:hAnsi="宋体" w:eastAsia="宋体" w:cs="宋体"/>
          <w:kern w:val="0"/>
          <w:sz w:val="21"/>
          <w:szCs w:val="21"/>
          <w:highlight w:val="none"/>
          <w:lang w:val="en-US" w:eastAsia="zh-CN" w:bidi="ar"/>
        </w:rPr>
        <w:t>（北京时间）前在</w:t>
      </w:r>
      <w:r>
        <w:rPr>
          <w:rFonts w:hint="eastAsia" w:ascii="宋体" w:hAnsi="宋体" w:eastAsia="宋体" w:cs="宋体"/>
          <w:kern w:val="0"/>
          <w:sz w:val="21"/>
          <w:szCs w:val="21"/>
          <w:highlight w:val="none"/>
          <w:u w:val="single"/>
          <w:lang w:val="en-US" w:eastAsia="zh-CN" w:bidi="ar"/>
        </w:rPr>
        <w:t>重</w:t>
      </w:r>
      <w:r>
        <w:rPr>
          <w:rFonts w:hint="eastAsia" w:ascii="宋体" w:hAnsi="宋体" w:eastAsia="宋体" w:cs="宋体"/>
          <w:snapToGrid w:val="0"/>
          <w:color w:val="auto"/>
          <w:kern w:val="0"/>
          <w:szCs w:val="21"/>
          <w:highlight w:val="none"/>
          <w:u w:val="single"/>
          <w:lang w:val="en-US" w:eastAsia="zh-CN"/>
        </w:rPr>
        <w:t>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eastAsia="宋体" w:cs="宋体"/>
          <w:snapToGrid w:val="0"/>
          <w:color w:val="auto"/>
          <w:kern w:val="0"/>
          <w:szCs w:val="21"/>
          <w:highlight w:val="none"/>
          <w:u w:val="single"/>
          <w:lang w:val="en-US" w:eastAsia="zh-CN"/>
        </w:rPr>
        <w:t>）</w:t>
      </w:r>
      <w:r>
        <w:rPr>
          <w:rFonts w:hint="eastAsia" w:ascii="宋体" w:hAnsi="宋体" w:eastAsia="宋体" w:cs="宋体"/>
          <w:kern w:val="0"/>
          <w:sz w:val="21"/>
          <w:szCs w:val="21"/>
          <w:highlight w:val="none"/>
          <w:lang w:val="en-US" w:eastAsia="zh-CN" w:bidi="ar"/>
        </w:rPr>
        <w:t>发布澄清。</w:t>
      </w:r>
    </w:p>
    <w:p w14:paraId="3D78D030">
      <w:pPr>
        <w:pStyle w:val="4"/>
        <w:adjustRightInd w:val="0"/>
        <w:snapToGrid w:val="0"/>
        <w:spacing w:before="0" w:after="0" w:line="360" w:lineRule="auto"/>
        <w:rPr>
          <w:rFonts w:hint="eastAsia" w:ascii="宋体" w:hAnsi="宋体" w:eastAsia="宋体" w:cs="宋体"/>
          <w:bCs w:val="0"/>
          <w:snapToGrid w:val="0"/>
          <w:color w:val="auto"/>
          <w:sz w:val="24"/>
          <w:szCs w:val="24"/>
          <w:highlight w:val="none"/>
        </w:rPr>
      </w:pPr>
      <w:bookmarkStart w:id="65" w:name="_Toc878"/>
      <w:r>
        <w:rPr>
          <w:rFonts w:hint="eastAsia" w:ascii="宋体" w:hAnsi="宋体" w:eastAsia="宋体" w:cs="宋体"/>
          <w:bCs w:val="0"/>
          <w:snapToGrid w:val="0"/>
          <w:color w:val="auto"/>
          <w:sz w:val="24"/>
          <w:szCs w:val="24"/>
          <w:highlight w:val="none"/>
          <w:lang w:val="en-US" w:eastAsia="zh-CN"/>
        </w:rPr>
        <w:t>6</w:t>
      </w:r>
      <w:r>
        <w:rPr>
          <w:rFonts w:hint="eastAsia" w:ascii="宋体" w:hAnsi="宋体" w:eastAsia="宋体" w:cs="宋体"/>
          <w:bCs w:val="0"/>
          <w:snapToGrid w:val="0"/>
          <w:color w:val="auto"/>
          <w:sz w:val="24"/>
          <w:szCs w:val="24"/>
          <w:highlight w:val="none"/>
        </w:rPr>
        <w:t>. 投标文件的递交</w:t>
      </w:r>
      <w:bookmarkEnd w:id="57"/>
      <w:bookmarkEnd w:id="58"/>
      <w:bookmarkEnd w:id="59"/>
      <w:bookmarkEnd w:id="60"/>
      <w:bookmarkEnd w:id="61"/>
      <w:bookmarkEnd w:id="62"/>
      <w:bookmarkEnd w:id="63"/>
      <w:bookmarkEnd w:id="64"/>
      <w:bookmarkEnd w:id="65"/>
    </w:p>
    <w:p w14:paraId="541A18EE">
      <w:pPr>
        <w:keepNext w:val="0"/>
        <w:keepLines w:val="0"/>
        <w:widowControl w:val="0"/>
        <w:suppressLineNumbers w:val="0"/>
        <w:adjustRightInd w:val="0"/>
        <w:snapToGrid w:val="0"/>
        <w:spacing w:before="0" w:beforeLines="0" w:beforeAutospacing="0" w:after="0" w:afterLines="0" w:afterAutospacing="0" w:line="360" w:lineRule="auto"/>
        <w:ind w:left="0" w:right="0" w:firstLine="420" w:firstLineChars="200"/>
        <w:jc w:val="both"/>
        <w:rPr>
          <w:rFonts w:hint="eastAsia" w:ascii="宋体" w:hAnsi="宋体" w:eastAsia="宋体" w:cs="宋体"/>
          <w:kern w:val="2"/>
          <w:sz w:val="21"/>
          <w:szCs w:val="21"/>
          <w:highlight w:val="none"/>
        </w:rPr>
      </w:pPr>
      <w:bookmarkStart w:id="66" w:name="_Toc277082541"/>
      <w:bookmarkStart w:id="67" w:name="_Toc200359432"/>
      <w:bookmarkStart w:id="68" w:name="_Toc200359243"/>
      <w:bookmarkStart w:id="69" w:name="_Toc287607733"/>
      <w:bookmarkStart w:id="70" w:name="_Toc430530421"/>
      <w:bookmarkStart w:id="71" w:name="_Toc224103304"/>
      <w:bookmarkStart w:id="72" w:name="_Toc509218697"/>
      <w:bookmarkStart w:id="73" w:name="_Toc287620672"/>
      <w:r>
        <w:rPr>
          <w:rFonts w:hint="eastAsia" w:ascii="宋体" w:hAnsi="宋体" w:eastAsia="宋体" w:cs="宋体"/>
          <w:kern w:val="2"/>
          <w:sz w:val="21"/>
          <w:szCs w:val="21"/>
          <w:highlight w:val="none"/>
          <w:lang w:eastAsia="zh-CN" w:bidi="ar"/>
        </w:rPr>
        <w:t>6</w:t>
      </w:r>
      <w:r>
        <w:rPr>
          <w:rFonts w:hint="eastAsia" w:ascii="宋体" w:hAnsi="宋体" w:eastAsia="宋体" w:cs="宋体"/>
          <w:kern w:val="2"/>
          <w:sz w:val="21"/>
          <w:szCs w:val="21"/>
          <w:highlight w:val="none"/>
          <w:lang w:val="en-US" w:eastAsia="zh-CN" w:bidi="ar"/>
        </w:rPr>
        <w:t>.1投标截止时间和开标时间：</w:t>
      </w:r>
      <w:r>
        <w:rPr>
          <w:rFonts w:hint="eastAsia" w:ascii="宋体" w:hAnsi="宋体" w:eastAsia="宋体" w:cs="宋体"/>
          <w:b/>
          <w:bCs/>
          <w:kern w:val="2"/>
          <w:sz w:val="21"/>
          <w:szCs w:val="21"/>
          <w:highlight w:val="none"/>
          <w:u w:val="single"/>
          <w:lang w:val="en-US" w:eastAsia="zh-CN" w:bidi="ar"/>
        </w:rPr>
        <w:t>202</w:t>
      </w:r>
      <w:r>
        <w:rPr>
          <w:rFonts w:hint="eastAsia" w:ascii="宋体" w:hAnsi="宋体" w:cs="宋体"/>
          <w:b/>
          <w:bCs/>
          <w:kern w:val="2"/>
          <w:sz w:val="21"/>
          <w:szCs w:val="21"/>
          <w:highlight w:val="none"/>
          <w:u w:val="single"/>
          <w:lang w:val="en-US" w:eastAsia="zh-CN" w:bidi="ar"/>
        </w:rPr>
        <w:t>4</w:t>
      </w:r>
      <w:r>
        <w:rPr>
          <w:rFonts w:hint="eastAsia" w:ascii="宋体" w:hAnsi="宋体" w:eastAsia="宋体" w:cs="宋体"/>
          <w:b/>
          <w:bCs/>
          <w:kern w:val="2"/>
          <w:sz w:val="21"/>
          <w:szCs w:val="21"/>
          <w:highlight w:val="none"/>
          <w:lang w:val="en-US" w:eastAsia="zh-CN" w:bidi="ar"/>
        </w:rPr>
        <w:t>年</w:t>
      </w:r>
      <w:r>
        <w:rPr>
          <w:rFonts w:hint="eastAsia" w:ascii="宋体" w:hAnsi="宋体" w:eastAsia="宋体" w:cs="宋体"/>
          <w:b/>
          <w:bCs/>
          <w:kern w:val="2"/>
          <w:sz w:val="21"/>
          <w:szCs w:val="21"/>
          <w:highlight w:val="none"/>
          <w:u w:val="single"/>
          <w:lang w:val="en-US" w:eastAsia="zh-CN" w:bidi="ar"/>
        </w:rPr>
        <w:t xml:space="preserve"> </w:t>
      </w:r>
      <w:r>
        <w:rPr>
          <w:rFonts w:hint="eastAsia" w:ascii="宋体" w:hAnsi="宋体" w:cs="宋体"/>
          <w:b/>
          <w:bCs/>
          <w:kern w:val="2"/>
          <w:sz w:val="21"/>
          <w:szCs w:val="21"/>
          <w:highlight w:val="none"/>
          <w:u w:val="single"/>
          <w:lang w:val="en-US" w:eastAsia="zh-CN" w:bidi="ar"/>
        </w:rPr>
        <w:t>8</w:t>
      </w:r>
      <w:r>
        <w:rPr>
          <w:rFonts w:hint="eastAsia" w:ascii="宋体" w:hAnsi="宋体" w:eastAsia="宋体" w:cs="宋体"/>
          <w:b/>
          <w:bCs/>
          <w:kern w:val="2"/>
          <w:sz w:val="21"/>
          <w:szCs w:val="21"/>
          <w:highlight w:val="none"/>
          <w:u w:val="single"/>
          <w:lang w:val="en-US" w:eastAsia="zh-CN" w:bidi="ar"/>
        </w:rPr>
        <w:t xml:space="preserve"> </w:t>
      </w:r>
      <w:r>
        <w:rPr>
          <w:rFonts w:hint="eastAsia" w:ascii="宋体" w:hAnsi="宋体" w:eastAsia="宋体" w:cs="宋体"/>
          <w:b/>
          <w:bCs/>
          <w:kern w:val="2"/>
          <w:sz w:val="21"/>
          <w:szCs w:val="21"/>
          <w:highlight w:val="none"/>
          <w:lang w:val="en-US" w:eastAsia="zh-CN" w:bidi="ar"/>
        </w:rPr>
        <w:t>月</w:t>
      </w:r>
      <w:r>
        <w:rPr>
          <w:rFonts w:hint="eastAsia" w:ascii="宋体" w:hAnsi="宋体" w:eastAsia="宋体" w:cs="宋体"/>
          <w:b/>
          <w:bCs/>
          <w:kern w:val="2"/>
          <w:sz w:val="21"/>
          <w:szCs w:val="21"/>
          <w:highlight w:val="none"/>
          <w:u w:val="single"/>
          <w:lang w:val="en-US" w:eastAsia="zh-CN" w:bidi="ar"/>
        </w:rPr>
        <w:t xml:space="preserve"> </w:t>
      </w:r>
      <w:r>
        <w:rPr>
          <w:rFonts w:hint="eastAsia" w:ascii="宋体" w:hAnsi="宋体" w:cs="宋体"/>
          <w:b/>
          <w:bCs/>
          <w:kern w:val="2"/>
          <w:sz w:val="21"/>
          <w:szCs w:val="21"/>
          <w:highlight w:val="none"/>
          <w:u w:val="single"/>
          <w:lang w:val="en-US" w:eastAsia="zh-CN" w:bidi="ar"/>
        </w:rPr>
        <w:t>9</w:t>
      </w:r>
      <w:r>
        <w:rPr>
          <w:rFonts w:hint="eastAsia" w:ascii="宋体" w:hAnsi="宋体" w:eastAsia="宋体" w:cs="宋体"/>
          <w:b/>
          <w:bCs/>
          <w:kern w:val="2"/>
          <w:sz w:val="21"/>
          <w:szCs w:val="21"/>
          <w:highlight w:val="none"/>
          <w:u w:val="single"/>
          <w:lang w:val="en-US" w:eastAsia="zh-CN" w:bidi="ar"/>
        </w:rPr>
        <w:t xml:space="preserve"> </w:t>
      </w:r>
      <w:r>
        <w:rPr>
          <w:rFonts w:hint="eastAsia" w:ascii="宋体" w:hAnsi="宋体" w:eastAsia="宋体" w:cs="宋体"/>
          <w:b/>
          <w:bCs/>
          <w:kern w:val="2"/>
          <w:sz w:val="21"/>
          <w:szCs w:val="21"/>
          <w:highlight w:val="none"/>
          <w:lang w:val="en-US" w:eastAsia="zh-CN" w:bidi="ar"/>
        </w:rPr>
        <w:t>日</w:t>
      </w:r>
      <w:r>
        <w:rPr>
          <w:rFonts w:hint="eastAsia" w:ascii="宋体" w:hAnsi="宋体" w:eastAsia="宋体" w:cs="宋体"/>
          <w:b/>
          <w:bCs/>
          <w:kern w:val="2"/>
          <w:sz w:val="21"/>
          <w:szCs w:val="21"/>
          <w:highlight w:val="none"/>
          <w:u w:val="single"/>
          <w:lang w:val="en-US" w:eastAsia="zh-CN" w:bidi="ar"/>
        </w:rPr>
        <w:t xml:space="preserve"> </w:t>
      </w:r>
      <w:r>
        <w:rPr>
          <w:rFonts w:hint="eastAsia" w:ascii="宋体" w:hAnsi="宋体" w:cs="宋体"/>
          <w:b/>
          <w:bCs/>
          <w:kern w:val="2"/>
          <w:sz w:val="21"/>
          <w:szCs w:val="21"/>
          <w:highlight w:val="none"/>
          <w:u w:val="single"/>
          <w:lang w:val="en-US" w:eastAsia="zh-CN" w:bidi="ar"/>
        </w:rPr>
        <w:t>11</w:t>
      </w:r>
      <w:r>
        <w:rPr>
          <w:rFonts w:hint="eastAsia" w:ascii="宋体" w:hAnsi="宋体" w:eastAsia="宋体" w:cs="宋体"/>
          <w:b/>
          <w:bCs/>
          <w:kern w:val="2"/>
          <w:sz w:val="21"/>
          <w:szCs w:val="21"/>
          <w:highlight w:val="none"/>
          <w:u w:val="single"/>
          <w:lang w:val="en-US" w:eastAsia="zh-CN" w:bidi="ar"/>
        </w:rPr>
        <w:t xml:space="preserve"> </w:t>
      </w:r>
      <w:r>
        <w:rPr>
          <w:rFonts w:hint="eastAsia" w:ascii="宋体" w:hAnsi="宋体" w:eastAsia="宋体" w:cs="宋体"/>
          <w:b/>
          <w:bCs/>
          <w:kern w:val="2"/>
          <w:sz w:val="21"/>
          <w:szCs w:val="21"/>
          <w:highlight w:val="none"/>
          <w:lang w:val="en-US" w:eastAsia="zh-CN" w:bidi="ar"/>
        </w:rPr>
        <w:t>时</w:t>
      </w:r>
      <w:r>
        <w:rPr>
          <w:rFonts w:hint="eastAsia" w:ascii="宋体" w:hAnsi="宋体" w:eastAsia="宋体" w:cs="宋体"/>
          <w:b/>
          <w:bCs/>
          <w:kern w:val="2"/>
          <w:sz w:val="21"/>
          <w:szCs w:val="21"/>
          <w:highlight w:val="none"/>
          <w:u w:val="single"/>
          <w:lang w:val="en-US" w:eastAsia="zh-CN" w:bidi="ar"/>
        </w:rPr>
        <w:t xml:space="preserve"> </w:t>
      </w:r>
      <w:r>
        <w:rPr>
          <w:rFonts w:hint="eastAsia" w:ascii="宋体" w:hAnsi="宋体" w:cs="宋体"/>
          <w:b/>
          <w:bCs/>
          <w:kern w:val="2"/>
          <w:sz w:val="21"/>
          <w:szCs w:val="21"/>
          <w:highlight w:val="none"/>
          <w:u w:val="single"/>
          <w:lang w:val="en-US" w:eastAsia="zh-CN" w:bidi="ar"/>
        </w:rPr>
        <w:t>00</w:t>
      </w:r>
      <w:r>
        <w:rPr>
          <w:rFonts w:hint="eastAsia" w:ascii="宋体" w:hAnsi="宋体" w:eastAsia="宋体" w:cs="宋体"/>
          <w:b/>
          <w:bCs/>
          <w:kern w:val="2"/>
          <w:sz w:val="21"/>
          <w:szCs w:val="21"/>
          <w:highlight w:val="none"/>
          <w:u w:val="single"/>
          <w:lang w:val="en-US" w:eastAsia="zh-CN" w:bidi="ar"/>
        </w:rPr>
        <w:t xml:space="preserve"> </w:t>
      </w:r>
      <w:r>
        <w:rPr>
          <w:rFonts w:hint="eastAsia" w:ascii="宋体" w:hAnsi="宋体" w:eastAsia="宋体" w:cs="宋体"/>
          <w:b/>
          <w:bCs/>
          <w:kern w:val="2"/>
          <w:sz w:val="21"/>
          <w:szCs w:val="21"/>
          <w:highlight w:val="none"/>
          <w:lang w:val="en-US" w:eastAsia="zh-CN" w:bidi="ar"/>
        </w:rPr>
        <w:t>分</w:t>
      </w:r>
      <w:r>
        <w:rPr>
          <w:rFonts w:hint="eastAsia" w:ascii="宋体" w:hAnsi="宋体" w:eastAsia="宋体" w:cs="宋体"/>
          <w:kern w:val="2"/>
          <w:sz w:val="21"/>
          <w:szCs w:val="21"/>
          <w:highlight w:val="none"/>
          <w:lang w:val="en-US" w:eastAsia="zh-CN" w:bidi="ar"/>
        </w:rPr>
        <w:t>（北京时间）。</w:t>
      </w:r>
    </w:p>
    <w:p w14:paraId="1444ECEF">
      <w:pPr>
        <w:keepNext w:val="0"/>
        <w:keepLines w:val="0"/>
        <w:widowControl w:val="0"/>
        <w:suppressLineNumbers w:val="0"/>
        <w:adjustRightInd w:val="0"/>
        <w:snapToGrid w:val="0"/>
        <w:spacing w:before="0" w:beforeLines="0" w:beforeAutospacing="0" w:after="0" w:afterLines="0" w:afterAutospacing="0" w:line="360" w:lineRule="auto"/>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eastAsia="zh-CN" w:bidi="ar"/>
        </w:rPr>
        <w:t>6</w:t>
      </w:r>
      <w:r>
        <w:rPr>
          <w:rFonts w:hint="eastAsia" w:ascii="宋体" w:hAnsi="宋体" w:eastAsia="宋体" w:cs="宋体"/>
          <w:kern w:val="2"/>
          <w:sz w:val="21"/>
          <w:szCs w:val="21"/>
          <w:highlight w:val="none"/>
          <w:lang w:val="en-US" w:eastAsia="zh-CN" w:bidi="ar"/>
        </w:rPr>
        <w:t>.2投标地点和开标地点：</w:t>
      </w:r>
      <w:r>
        <w:rPr>
          <w:rFonts w:hint="eastAsia" w:ascii="宋体" w:hAnsi="宋体" w:cs="宋体"/>
          <w:szCs w:val="21"/>
          <w:highlight w:val="none"/>
        </w:rPr>
        <w:t>重庆市渝北区龙溪街道新南路52号东界龙湖</w:t>
      </w:r>
      <w:r>
        <w:rPr>
          <w:rFonts w:hint="eastAsia" w:ascii="宋体" w:hAnsi="宋体" w:cs="宋体"/>
          <w:bCs/>
          <w:color w:val="auto"/>
          <w:szCs w:val="21"/>
          <w:highlight w:val="none"/>
          <w:lang w:val="en-US" w:eastAsia="zh-CN"/>
        </w:rPr>
        <w:t>一楼</w:t>
      </w:r>
      <w:r>
        <w:rPr>
          <w:rFonts w:hint="eastAsia" w:ascii="宋体" w:hAnsi="宋体" w:eastAsia="宋体" w:cs="宋体"/>
          <w:kern w:val="0"/>
          <w:sz w:val="21"/>
          <w:szCs w:val="21"/>
          <w:highlight w:val="none"/>
          <w:lang w:val="en-US" w:eastAsia="zh-CN" w:bidi="ar"/>
        </w:rPr>
        <w:t>重庆首讯科技股份有限公司</w:t>
      </w:r>
      <w:r>
        <w:rPr>
          <w:rFonts w:hint="eastAsia" w:ascii="宋体" w:hAnsi="宋体" w:eastAsia="宋体" w:cs="宋体"/>
          <w:bCs/>
          <w:color w:val="auto"/>
          <w:szCs w:val="21"/>
          <w:highlight w:val="none"/>
        </w:rPr>
        <w:t>。</w:t>
      </w:r>
    </w:p>
    <w:p w14:paraId="2768E927">
      <w:pPr>
        <w:keepNext w:val="0"/>
        <w:keepLines w:val="0"/>
        <w:widowControl w:val="0"/>
        <w:suppressLineNumbers w:val="0"/>
        <w:adjustRightInd w:val="0"/>
        <w:snapToGrid w:val="0"/>
        <w:spacing w:before="0" w:beforeLines="0" w:beforeAutospacing="0" w:after="0" w:afterLines="0" w:afterAutospacing="0" w:line="360" w:lineRule="auto"/>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eastAsia="zh-CN" w:bidi="ar"/>
        </w:rPr>
        <w:t>6</w:t>
      </w:r>
      <w:r>
        <w:rPr>
          <w:rFonts w:hint="eastAsia" w:ascii="宋体" w:hAnsi="宋体" w:eastAsia="宋体" w:cs="宋体"/>
          <w:kern w:val="2"/>
          <w:sz w:val="21"/>
          <w:szCs w:val="21"/>
          <w:highlight w:val="none"/>
          <w:lang w:val="en-US" w:eastAsia="zh-CN" w:bidi="ar"/>
        </w:rPr>
        <w:t>.3逾期送达、或未送达指定地点、或未按招标文件要求密封的投标文件，招标人将予以拒收。</w:t>
      </w:r>
    </w:p>
    <w:p w14:paraId="39741729">
      <w:pPr>
        <w:pStyle w:val="4"/>
        <w:adjustRightInd w:val="0"/>
        <w:snapToGrid w:val="0"/>
        <w:spacing w:before="0" w:after="0" w:line="360" w:lineRule="auto"/>
        <w:rPr>
          <w:rFonts w:hint="eastAsia" w:ascii="宋体" w:hAnsi="宋体" w:eastAsia="宋体" w:cs="宋体"/>
          <w:bCs w:val="0"/>
          <w:snapToGrid w:val="0"/>
          <w:color w:val="auto"/>
          <w:sz w:val="24"/>
          <w:szCs w:val="24"/>
          <w:highlight w:val="none"/>
        </w:rPr>
      </w:pPr>
      <w:bookmarkStart w:id="74" w:name="_Toc9976"/>
      <w:r>
        <w:rPr>
          <w:rFonts w:hint="eastAsia" w:ascii="宋体" w:hAnsi="宋体" w:eastAsia="宋体" w:cs="宋体"/>
          <w:bCs w:val="0"/>
          <w:snapToGrid w:val="0"/>
          <w:color w:val="auto"/>
          <w:sz w:val="24"/>
          <w:szCs w:val="24"/>
          <w:highlight w:val="none"/>
          <w:lang w:val="en-US" w:eastAsia="zh-CN"/>
        </w:rPr>
        <w:t>7</w:t>
      </w:r>
      <w:r>
        <w:rPr>
          <w:rFonts w:hint="eastAsia" w:ascii="宋体" w:hAnsi="宋体" w:eastAsia="宋体" w:cs="宋体"/>
          <w:bCs w:val="0"/>
          <w:snapToGrid w:val="0"/>
          <w:color w:val="auto"/>
          <w:sz w:val="24"/>
          <w:szCs w:val="24"/>
          <w:highlight w:val="none"/>
        </w:rPr>
        <w:t>. 发布公告的媒介</w:t>
      </w:r>
      <w:bookmarkEnd w:id="66"/>
      <w:bookmarkEnd w:id="67"/>
      <w:bookmarkEnd w:id="68"/>
      <w:bookmarkEnd w:id="69"/>
      <w:bookmarkEnd w:id="70"/>
      <w:bookmarkEnd w:id="71"/>
      <w:bookmarkEnd w:id="72"/>
      <w:bookmarkEnd w:id="73"/>
      <w:bookmarkEnd w:id="74"/>
    </w:p>
    <w:p w14:paraId="2F034D4A">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both"/>
        <w:rPr>
          <w:rFonts w:hint="eastAsia" w:ascii="宋体" w:hAnsi="宋体" w:eastAsia="宋体" w:cs="宋体"/>
          <w:color w:val="000000"/>
          <w:kern w:val="0"/>
          <w:sz w:val="21"/>
          <w:szCs w:val="21"/>
          <w:highlight w:val="none"/>
        </w:rPr>
      </w:pPr>
      <w:bookmarkStart w:id="75" w:name="_Toc31214"/>
      <w:bookmarkEnd w:id="75"/>
      <w:bookmarkStart w:id="76" w:name="_Toc23858"/>
      <w:bookmarkEnd w:id="76"/>
      <w:bookmarkStart w:id="77" w:name="_Toc224103306"/>
      <w:bookmarkStart w:id="78" w:name="_Toc287607735"/>
      <w:bookmarkStart w:id="79" w:name="_Toc430530423"/>
      <w:bookmarkStart w:id="80" w:name="_Toc287620674"/>
      <w:r>
        <w:rPr>
          <w:rFonts w:hint="eastAsia" w:ascii="宋体" w:hAnsi="宋体" w:eastAsia="宋体" w:cs="宋体"/>
          <w:color w:val="000000"/>
          <w:kern w:val="0"/>
          <w:sz w:val="21"/>
          <w:szCs w:val="21"/>
          <w:highlight w:val="none"/>
          <w:lang w:val="en-US" w:eastAsia="zh-CN" w:bidi="ar"/>
        </w:rPr>
        <w:t>本次招标公告在</w:t>
      </w:r>
      <w:r>
        <w:rPr>
          <w:rFonts w:hint="eastAsia" w:ascii="宋体" w:hAnsi="宋体" w:eastAsia="宋体" w:cs="宋体"/>
          <w:color w:val="000000"/>
          <w:kern w:val="2"/>
          <w:sz w:val="21"/>
          <w:szCs w:val="21"/>
          <w:highlight w:val="none"/>
          <w:u w:val="single"/>
          <w:lang w:val="en-US" w:eastAsia="zh-CN" w:bidi="ar"/>
        </w:rPr>
        <w:t>重庆高速集团官网（https://www.cegc.com.cn/html/col1810480.html）</w:t>
      </w:r>
      <w:r>
        <w:rPr>
          <w:rFonts w:hint="eastAsia" w:ascii="宋体" w:hAnsi="宋体" w:eastAsia="宋体" w:cs="宋体"/>
          <w:color w:val="000000"/>
          <w:kern w:val="0"/>
          <w:sz w:val="21"/>
          <w:szCs w:val="21"/>
          <w:highlight w:val="none"/>
          <w:lang w:val="en-US" w:eastAsia="zh-CN" w:bidi="ar"/>
        </w:rPr>
        <w:t>上发布。</w:t>
      </w:r>
    </w:p>
    <w:p w14:paraId="7AE1933D">
      <w:pPr>
        <w:pStyle w:val="4"/>
        <w:adjustRightInd w:val="0"/>
        <w:snapToGrid w:val="0"/>
        <w:spacing w:before="0" w:after="0" w:line="360" w:lineRule="auto"/>
        <w:rPr>
          <w:rFonts w:hint="eastAsia" w:ascii="宋体" w:hAnsi="宋体" w:eastAsia="宋体" w:cs="宋体"/>
          <w:bCs w:val="0"/>
          <w:snapToGrid w:val="0"/>
          <w:color w:val="auto"/>
          <w:sz w:val="24"/>
          <w:szCs w:val="24"/>
          <w:highlight w:val="none"/>
          <w:lang w:val="en-US" w:eastAsia="zh-CN"/>
        </w:rPr>
      </w:pPr>
      <w:bookmarkStart w:id="81" w:name="_Toc959"/>
      <w:r>
        <w:rPr>
          <w:rFonts w:hint="eastAsia" w:ascii="宋体" w:hAnsi="宋体" w:eastAsia="宋体" w:cs="宋体"/>
          <w:bCs w:val="0"/>
          <w:snapToGrid w:val="0"/>
          <w:color w:val="auto"/>
          <w:sz w:val="24"/>
          <w:szCs w:val="24"/>
          <w:highlight w:val="none"/>
          <w:lang w:val="en-US" w:eastAsia="zh-CN"/>
        </w:rPr>
        <w:t>8.联系方式</w:t>
      </w:r>
      <w:bookmarkEnd w:id="81"/>
    </w:p>
    <w:p w14:paraId="35EE6BEB">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 xml:space="preserve">招 标 人： 重庆首讯科技股份有限公司         </w:t>
      </w:r>
    </w:p>
    <w:p w14:paraId="66E5B14F">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left"/>
        <w:rPr>
          <w:rFonts w:hint="eastAsia" w:ascii="宋体" w:hAnsi="宋体" w:eastAsia="宋体" w:cs="宋体"/>
          <w:kern w:val="0"/>
          <w:position w:val="-3"/>
          <w:sz w:val="21"/>
          <w:szCs w:val="21"/>
          <w:highlight w:val="none"/>
        </w:rPr>
      </w:pPr>
      <w:r>
        <w:rPr>
          <w:rFonts w:hint="eastAsia" w:ascii="宋体" w:hAnsi="宋体" w:eastAsia="宋体" w:cs="宋体"/>
          <w:kern w:val="0"/>
          <w:sz w:val="21"/>
          <w:szCs w:val="21"/>
          <w:highlight w:val="none"/>
          <w:lang w:val="en-US" w:eastAsia="zh-CN" w:bidi="ar"/>
        </w:rPr>
        <w:t xml:space="preserve">地    址： 重庆市渝北区龙溪街道新南路52号   </w:t>
      </w:r>
    </w:p>
    <w:p w14:paraId="1D8E5750">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 xml:space="preserve">联 系 人： </w:t>
      </w:r>
      <w:r>
        <w:rPr>
          <w:rFonts w:hint="eastAsia" w:ascii="宋体" w:hAnsi="宋体" w:cs="宋体"/>
          <w:kern w:val="0"/>
          <w:sz w:val="21"/>
          <w:szCs w:val="21"/>
          <w:highlight w:val="none"/>
          <w:lang w:val="en-US" w:eastAsia="zh-CN" w:bidi="ar"/>
        </w:rPr>
        <w:t>蒋老师</w:t>
      </w:r>
      <w:r>
        <w:rPr>
          <w:rFonts w:hint="eastAsia" w:ascii="宋体" w:hAnsi="宋体" w:eastAsia="宋体" w:cs="宋体"/>
          <w:kern w:val="0"/>
          <w:sz w:val="21"/>
          <w:szCs w:val="21"/>
          <w:highlight w:val="none"/>
          <w:lang w:val="en-US" w:eastAsia="zh-CN" w:bidi="ar"/>
        </w:rPr>
        <w:t xml:space="preserve">                          </w:t>
      </w:r>
    </w:p>
    <w:p w14:paraId="5C7B2E3A">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电    话： 023-63131274</w:t>
      </w:r>
      <w:r>
        <w:rPr>
          <w:rFonts w:hint="eastAsia" w:ascii="宋体" w:hAnsi="宋体" w:cs="宋体"/>
          <w:kern w:val="0"/>
          <w:sz w:val="21"/>
          <w:szCs w:val="21"/>
          <w:highlight w:val="none"/>
          <w:lang w:val="en-US" w:eastAsia="zh-CN" w:bidi="ar"/>
        </w:rPr>
        <w:t>、18523055172</w:t>
      </w:r>
      <w:r>
        <w:rPr>
          <w:rFonts w:hint="eastAsia" w:ascii="宋体" w:hAnsi="宋体" w:eastAsia="宋体" w:cs="宋体"/>
          <w:kern w:val="0"/>
          <w:sz w:val="21"/>
          <w:szCs w:val="21"/>
          <w:highlight w:val="none"/>
          <w:lang w:val="en-US" w:eastAsia="zh-CN" w:bidi="ar"/>
        </w:rPr>
        <w:t xml:space="preserve">                    </w:t>
      </w:r>
    </w:p>
    <w:p w14:paraId="4C3E8C79">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 xml:space="preserve">电子邮件： </w:t>
      </w:r>
      <w:r>
        <w:rPr>
          <w:rFonts w:hint="eastAsia" w:ascii="宋体" w:hAnsi="宋体" w:eastAsia="宋体" w:cs="宋体"/>
          <w:kern w:val="0"/>
          <w:sz w:val="21"/>
          <w:szCs w:val="21"/>
          <w:highlight w:val="none"/>
          <w:lang w:val="en-US" w:eastAsia="zh-CN" w:bidi="ar"/>
        </w:rPr>
        <w:fldChar w:fldCharType="begin"/>
      </w:r>
      <w:r>
        <w:rPr>
          <w:rFonts w:hint="eastAsia" w:ascii="宋体" w:hAnsi="宋体" w:eastAsia="宋体" w:cs="宋体"/>
          <w:kern w:val="0"/>
          <w:sz w:val="21"/>
          <w:szCs w:val="21"/>
          <w:highlight w:val="none"/>
          <w:lang w:val="en-US" w:eastAsia="zh-CN" w:bidi="ar"/>
        </w:rPr>
        <w:instrText xml:space="preserve"> HYPERLINK "mailto:sxjiangqi@cegc.com.cn" </w:instrText>
      </w:r>
      <w:r>
        <w:rPr>
          <w:rFonts w:hint="eastAsia" w:ascii="宋体" w:hAnsi="宋体" w:eastAsia="宋体" w:cs="宋体"/>
          <w:kern w:val="0"/>
          <w:sz w:val="21"/>
          <w:szCs w:val="21"/>
          <w:highlight w:val="none"/>
          <w:lang w:val="en-US" w:eastAsia="zh-CN" w:bidi="ar"/>
        </w:rPr>
        <w:fldChar w:fldCharType="separate"/>
      </w:r>
      <w:r>
        <w:rPr>
          <w:rFonts w:hint="eastAsia" w:ascii="宋体" w:hAnsi="宋体" w:cs="宋体"/>
          <w:i w:val="0"/>
          <w:iCs w:val="0"/>
          <w:caps w:val="0"/>
          <w:spacing w:val="0"/>
          <w:kern w:val="0"/>
          <w:sz w:val="21"/>
          <w:szCs w:val="21"/>
          <w:highlight w:val="none"/>
          <w:lang w:val="en-US" w:eastAsia="zh-CN" w:bidi="ar"/>
        </w:rPr>
        <w:t>jiangchengke</w:t>
      </w:r>
      <w:r>
        <w:rPr>
          <w:rFonts w:hint="eastAsia" w:ascii="宋体" w:hAnsi="宋体" w:eastAsia="宋体" w:cs="宋体"/>
          <w:i w:val="0"/>
          <w:iCs w:val="0"/>
          <w:caps w:val="0"/>
          <w:spacing w:val="0"/>
          <w:kern w:val="0"/>
          <w:sz w:val="21"/>
          <w:szCs w:val="21"/>
          <w:highlight w:val="none"/>
          <w:lang w:bidi="ar"/>
        </w:rPr>
        <w:t>@cegc.com.cn</w:t>
      </w:r>
      <w:r>
        <w:rPr>
          <w:rFonts w:hint="eastAsia" w:ascii="宋体" w:hAnsi="宋体" w:eastAsia="宋体" w:cs="宋体"/>
          <w:kern w:val="0"/>
          <w:sz w:val="21"/>
          <w:szCs w:val="21"/>
          <w:highlight w:val="none"/>
          <w:lang w:val="en-US" w:eastAsia="zh-CN" w:bidi="ar"/>
        </w:rPr>
        <w:fldChar w:fldCharType="end"/>
      </w:r>
      <w:r>
        <w:rPr>
          <w:rFonts w:hint="eastAsia" w:ascii="宋体" w:hAnsi="宋体" w:eastAsia="宋体" w:cs="宋体"/>
          <w:kern w:val="0"/>
          <w:sz w:val="21"/>
          <w:szCs w:val="21"/>
          <w:highlight w:val="none"/>
          <w:lang w:val="en-US" w:eastAsia="zh-CN" w:bidi="ar"/>
        </w:rPr>
        <w:t xml:space="preserve">           </w:t>
      </w:r>
    </w:p>
    <w:p w14:paraId="419F5D7D">
      <w:pPr>
        <w:pStyle w:val="18"/>
        <w:keepNext w:val="0"/>
        <w:keepLines w:val="0"/>
        <w:widowControl w:val="0"/>
        <w:suppressLineNumbers w:val="0"/>
        <w:adjustRightInd w:val="0"/>
        <w:snapToGrid w:val="0"/>
        <w:spacing w:beforeLines="0" w:beforeAutospacing="0" w:afterLines="0" w:line="360" w:lineRule="auto"/>
        <w:ind w:left="0" w:firstLine="420" w:firstLineChars="200"/>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 xml:space="preserve"> </w:t>
      </w:r>
    </w:p>
    <w:p w14:paraId="726D11BB">
      <w:pPr>
        <w:keepNext w:val="0"/>
        <w:keepLines w:val="0"/>
        <w:widowControl w:val="0"/>
        <w:suppressLineNumbers w:val="0"/>
        <w:adjustRightInd w:val="0"/>
        <w:snapToGrid w:val="0"/>
        <w:spacing w:before="0" w:beforeLines="0" w:beforeAutospacing="0" w:after="0" w:afterLines="0" w:afterAutospacing="0" w:line="360" w:lineRule="auto"/>
        <w:ind w:left="0" w:right="0"/>
        <w:jc w:val="both"/>
        <w:rPr>
          <w:rFonts w:hint="eastAsia" w:ascii="宋体" w:hAnsi="宋体" w:eastAsia="宋体" w:cs="宋体"/>
          <w:kern w:val="2"/>
          <w:sz w:val="21"/>
          <w:szCs w:val="21"/>
          <w:highlight w:val="none"/>
        </w:rPr>
      </w:pPr>
    </w:p>
    <w:p w14:paraId="036D5E58">
      <w:pPr>
        <w:autoSpaceDE w:val="0"/>
        <w:autoSpaceDN w:val="0"/>
        <w:adjustRightInd w:val="0"/>
        <w:snapToGrid w:val="0"/>
        <w:spacing w:line="440" w:lineRule="exact"/>
        <w:ind w:firstLine="3906" w:firstLineChars="1860"/>
        <w:jc w:val="right"/>
        <w:rPr>
          <w:rFonts w:hint="eastAsia" w:ascii="宋体" w:hAnsi="宋体" w:eastAsia="宋体" w:cs="宋体"/>
          <w:snapToGrid w:val="0"/>
          <w:color w:val="auto"/>
          <w:kern w:val="0"/>
          <w:sz w:val="20"/>
          <w:szCs w:val="20"/>
          <w:highlight w:val="none"/>
        </w:rPr>
      </w:pPr>
      <w:r>
        <w:rPr>
          <w:rFonts w:hint="eastAsia" w:ascii="宋体" w:hAnsi="宋体" w:eastAsia="宋体" w:cs="宋体"/>
          <w:snapToGrid w:val="0"/>
          <w:color w:val="auto"/>
          <w:kern w:val="0"/>
          <w:szCs w:val="21"/>
          <w:highlight w:val="none"/>
        </w:rPr>
        <w:t xml:space="preserve"> </w:t>
      </w:r>
    </w:p>
    <w:p w14:paraId="5E1E5EAA">
      <w:pPr>
        <w:rPr>
          <w:rFonts w:hint="eastAsia" w:ascii="宋体" w:hAnsi="宋体" w:eastAsia="宋体" w:cs="宋体"/>
          <w:color w:val="auto"/>
          <w:highlight w:val="none"/>
        </w:rPr>
      </w:pPr>
      <w:r>
        <w:rPr>
          <w:rFonts w:hint="eastAsia" w:ascii="宋体" w:hAnsi="宋体" w:eastAsia="宋体" w:cs="宋体"/>
          <w:color w:val="auto"/>
          <w:highlight w:val="none"/>
        </w:rPr>
        <w:br w:type="page"/>
      </w:r>
    </w:p>
    <w:bookmarkEnd w:id="77"/>
    <w:bookmarkEnd w:id="78"/>
    <w:bookmarkEnd w:id="79"/>
    <w:bookmarkEnd w:id="80"/>
    <w:p w14:paraId="42C25898">
      <w:pPr>
        <w:pStyle w:val="3"/>
        <w:spacing w:line="360" w:lineRule="auto"/>
        <w:ind w:firstLine="883"/>
        <w:jc w:val="center"/>
        <w:rPr>
          <w:rFonts w:hint="eastAsia" w:ascii="宋体" w:hAnsi="宋体" w:eastAsia="宋体" w:cs="宋体"/>
          <w:bCs w:val="0"/>
          <w:snapToGrid w:val="0"/>
          <w:color w:val="auto"/>
          <w:kern w:val="0"/>
          <w:highlight w:val="none"/>
        </w:rPr>
      </w:pPr>
      <w:bookmarkStart w:id="82" w:name="_Toc224103315"/>
      <w:bookmarkStart w:id="83" w:name="_Toc19432"/>
      <w:bookmarkStart w:id="84" w:name="_Toc430530432"/>
      <w:bookmarkStart w:id="85" w:name="_Toc287620683"/>
      <w:bookmarkStart w:id="86" w:name="_Toc287607744"/>
      <w:r>
        <w:rPr>
          <w:rFonts w:hint="eastAsia" w:ascii="宋体" w:hAnsi="宋体" w:eastAsia="宋体" w:cs="宋体"/>
          <w:bCs w:val="0"/>
          <w:snapToGrid w:val="0"/>
          <w:color w:val="auto"/>
          <w:highlight w:val="none"/>
        </w:rPr>
        <w:t>第二章  投标人须知</w:t>
      </w:r>
      <w:bookmarkEnd w:id="82"/>
      <w:bookmarkEnd w:id="83"/>
      <w:bookmarkEnd w:id="84"/>
      <w:bookmarkEnd w:id="85"/>
      <w:bookmarkEnd w:id="86"/>
      <w:bookmarkStart w:id="87" w:name="_Toc277082551"/>
      <w:bookmarkStart w:id="88" w:name="_Toc430530433"/>
      <w:bookmarkStart w:id="89" w:name="_Toc224103316"/>
      <w:bookmarkStart w:id="90" w:name="_Toc287607745"/>
      <w:bookmarkStart w:id="91" w:name="_Toc287620684"/>
    </w:p>
    <w:p w14:paraId="296C5D4B">
      <w:pPr>
        <w:pStyle w:val="4"/>
        <w:spacing w:before="100" w:after="100" w:line="360" w:lineRule="auto"/>
        <w:rPr>
          <w:rFonts w:hint="eastAsia" w:ascii="宋体" w:hAnsi="宋体" w:eastAsia="宋体" w:cs="宋体"/>
          <w:bCs w:val="0"/>
          <w:color w:val="auto"/>
          <w:sz w:val="28"/>
          <w:szCs w:val="28"/>
          <w:highlight w:val="none"/>
        </w:rPr>
      </w:pPr>
      <w:bookmarkStart w:id="92" w:name="_Toc509218708"/>
      <w:bookmarkStart w:id="93" w:name="_Toc31199"/>
      <w:r>
        <w:rPr>
          <w:rFonts w:hint="eastAsia" w:ascii="宋体" w:hAnsi="宋体" w:eastAsia="宋体" w:cs="宋体"/>
          <w:bCs w:val="0"/>
          <w:color w:val="auto"/>
          <w:sz w:val="28"/>
          <w:szCs w:val="28"/>
          <w:highlight w:val="none"/>
        </w:rPr>
        <w:t>投标人须知前附表</w:t>
      </w:r>
      <w:bookmarkEnd w:id="87"/>
      <w:bookmarkEnd w:id="88"/>
      <w:bookmarkEnd w:id="89"/>
      <w:bookmarkEnd w:id="90"/>
      <w:bookmarkEnd w:id="91"/>
      <w:bookmarkEnd w:id="92"/>
      <w:bookmarkEnd w:id="93"/>
    </w:p>
    <w:p w14:paraId="7387153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正文内容不允许修改。若投标人须知前附表与正文不一致的地方，以投标人须知前附表为准。</w:t>
      </w:r>
    </w:p>
    <w:tbl>
      <w:tblPr>
        <w:tblStyle w:val="34"/>
        <w:tblW w:w="4992"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360"/>
        <w:gridCol w:w="1646"/>
        <w:gridCol w:w="6663"/>
      </w:tblGrid>
      <w:tr w14:paraId="17CE77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3" w:type="pct"/>
            <w:vAlign w:val="center"/>
          </w:tcPr>
          <w:p w14:paraId="4C1509D9">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条 款 号</w:t>
            </w:r>
          </w:p>
        </w:tc>
        <w:tc>
          <w:tcPr>
            <w:tcW w:w="851" w:type="pct"/>
            <w:vAlign w:val="center"/>
          </w:tcPr>
          <w:p w14:paraId="18A3EA96">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条款名称</w:t>
            </w:r>
          </w:p>
        </w:tc>
        <w:tc>
          <w:tcPr>
            <w:tcW w:w="3445" w:type="pct"/>
            <w:vAlign w:val="center"/>
          </w:tcPr>
          <w:p w14:paraId="7BF78017">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编  列  内  容</w:t>
            </w:r>
          </w:p>
        </w:tc>
      </w:tr>
      <w:tr w14:paraId="1572F7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067A2F0A">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w:t>
            </w:r>
          </w:p>
        </w:tc>
        <w:tc>
          <w:tcPr>
            <w:tcW w:w="851" w:type="pct"/>
            <w:vAlign w:val="center"/>
          </w:tcPr>
          <w:p w14:paraId="588C590A">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w:t>
            </w:r>
          </w:p>
        </w:tc>
        <w:tc>
          <w:tcPr>
            <w:tcW w:w="3445" w:type="pct"/>
            <w:vAlign w:val="center"/>
          </w:tcPr>
          <w:p w14:paraId="387708D0">
            <w:pPr>
              <w:keepNext w:val="0"/>
              <w:keepLines w:val="0"/>
              <w:widowControl w:val="0"/>
              <w:suppressLineNumbers w:val="0"/>
              <w:adjustRightInd w:val="0"/>
              <w:snapToGrid w:val="0"/>
              <w:spacing w:before="0" w:beforeAutospacing="0" w:after="0" w:afterLines="0" w:afterAutospacing="0" w:line="400" w:lineRule="exact"/>
              <w:ind w:left="0" w:right="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招 标 人： 重庆首讯科技股份有限公司</w:t>
            </w:r>
          </w:p>
          <w:p w14:paraId="3BEE49E7">
            <w:pPr>
              <w:keepNext w:val="0"/>
              <w:keepLines w:val="0"/>
              <w:widowControl w:val="0"/>
              <w:suppressLineNumbers w:val="0"/>
              <w:adjustRightInd w:val="0"/>
              <w:snapToGrid w:val="0"/>
              <w:spacing w:before="0" w:beforeAutospacing="0" w:after="0" w:afterLines="0" w:afterAutospacing="0" w:line="400" w:lineRule="exact"/>
              <w:ind w:left="0" w:right="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地    址： 重庆市渝北区龙溪街道新南路52号</w:t>
            </w:r>
          </w:p>
          <w:p w14:paraId="19AB0968">
            <w:pPr>
              <w:keepNext w:val="0"/>
              <w:keepLines w:val="0"/>
              <w:widowControl w:val="0"/>
              <w:suppressLineNumbers w:val="0"/>
              <w:adjustRightInd w:val="0"/>
              <w:snapToGrid w:val="0"/>
              <w:spacing w:before="0" w:beforeAutospacing="0" w:after="0" w:afterLines="0" w:afterAutospacing="0" w:line="400" w:lineRule="exact"/>
              <w:ind w:left="0" w:right="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联 系 人： 蒋老师</w:t>
            </w:r>
          </w:p>
          <w:p w14:paraId="6E2763DA">
            <w:pPr>
              <w:keepNext w:val="0"/>
              <w:keepLines w:val="0"/>
              <w:widowControl w:val="0"/>
              <w:suppressLineNumbers w:val="0"/>
              <w:adjustRightInd w:val="0"/>
              <w:snapToGrid w:val="0"/>
              <w:spacing w:before="0" w:beforeAutospacing="0" w:after="0" w:afterLines="0" w:afterAutospacing="0" w:line="400" w:lineRule="exact"/>
              <w:ind w:left="0" w:right="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电    话： 023-63131274</w:t>
            </w:r>
            <w:r>
              <w:rPr>
                <w:rFonts w:hint="eastAsia" w:ascii="宋体" w:hAnsi="宋体" w:cs="宋体"/>
                <w:kern w:val="0"/>
                <w:sz w:val="21"/>
                <w:szCs w:val="21"/>
                <w:highlight w:val="none"/>
                <w:lang w:val="en-US" w:eastAsia="zh-CN" w:bidi="ar"/>
              </w:rPr>
              <w:t>、18523055172</w:t>
            </w:r>
          </w:p>
          <w:p w14:paraId="5FE6B6A0">
            <w:pPr>
              <w:keepNext w:val="0"/>
              <w:keepLines w:val="0"/>
              <w:widowControl w:val="0"/>
              <w:suppressLineNumbers w:val="0"/>
              <w:adjustRightInd w:val="0"/>
              <w:snapToGrid w:val="0"/>
              <w:spacing w:before="0" w:beforeAutospacing="0" w:after="0" w:afterLines="0" w:afterAutospacing="0" w:line="400" w:lineRule="exact"/>
              <w:ind w:left="0" w:right="0" w:rightChars="0"/>
              <w:jc w:val="both"/>
              <w:rPr>
                <w:rFonts w:hint="eastAsia" w:ascii="宋体" w:hAnsi="宋体" w:eastAsia="宋体" w:cs="宋体"/>
                <w:color w:val="auto"/>
                <w:kern w:val="0"/>
                <w:szCs w:val="21"/>
                <w:highlight w:val="none"/>
              </w:rPr>
            </w:pPr>
            <w:r>
              <w:rPr>
                <w:rFonts w:hint="eastAsia" w:ascii="宋体" w:hAnsi="宋体" w:eastAsia="宋体" w:cs="宋体"/>
                <w:kern w:val="0"/>
                <w:sz w:val="21"/>
                <w:szCs w:val="21"/>
                <w:highlight w:val="none"/>
                <w:lang w:val="en-US" w:eastAsia="zh-CN" w:bidi="ar"/>
              </w:rPr>
              <w:t xml:space="preserve">电子邮件： </w:t>
            </w:r>
            <w:r>
              <w:rPr>
                <w:rFonts w:hint="eastAsia" w:ascii="宋体" w:hAnsi="宋体" w:cs="宋体"/>
                <w:kern w:val="0"/>
                <w:sz w:val="21"/>
                <w:szCs w:val="21"/>
                <w:highlight w:val="none"/>
                <w:lang w:val="en-US" w:eastAsia="zh-CN" w:bidi="ar"/>
              </w:rPr>
              <w:t>jiangchengke@cegc.com.cn</w:t>
            </w:r>
            <w:r>
              <w:rPr>
                <w:rFonts w:hint="eastAsia" w:ascii="宋体" w:hAnsi="宋体" w:eastAsia="宋体" w:cs="宋体"/>
                <w:kern w:val="0"/>
                <w:sz w:val="21"/>
                <w:szCs w:val="21"/>
                <w:highlight w:val="none"/>
                <w:lang w:val="en-US" w:eastAsia="zh-CN" w:bidi="ar"/>
              </w:rPr>
              <w:t xml:space="preserve"> </w:t>
            </w:r>
          </w:p>
        </w:tc>
      </w:tr>
      <w:tr w14:paraId="41A886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51EEA947">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w:t>
            </w:r>
          </w:p>
        </w:tc>
        <w:tc>
          <w:tcPr>
            <w:tcW w:w="851" w:type="pct"/>
            <w:vAlign w:val="center"/>
          </w:tcPr>
          <w:p w14:paraId="3088B25D">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p>
        </w:tc>
        <w:tc>
          <w:tcPr>
            <w:tcW w:w="3445" w:type="pct"/>
            <w:vAlign w:val="center"/>
          </w:tcPr>
          <w:p w14:paraId="71E4B6AA">
            <w:pPr>
              <w:keepNext w:val="0"/>
              <w:keepLines w:val="0"/>
              <w:widowControl w:val="0"/>
              <w:suppressLineNumbers w:val="0"/>
              <w:adjustRightInd w:val="0"/>
              <w:snapToGrid w:val="0"/>
              <w:spacing w:before="0" w:beforeAutospacing="0" w:after="0" w:afterLines="0" w:afterAutospacing="0" w:line="400" w:lineRule="exact"/>
              <w:ind w:left="0" w:right="0" w:rightChars="0"/>
              <w:jc w:val="both"/>
              <w:rPr>
                <w:rFonts w:hint="eastAsia" w:ascii="宋体" w:hAnsi="宋体" w:eastAsia="宋体" w:cs="宋体"/>
                <w:color w:val="auto"/>
                <w:kern w:val="0"/>
                <w:szCs w:val="21"/>
                <w:highlight w:val="none"/>
              </w:rPr>
            </w:pPr>
            <w:r>
              <w:rPr>
                <w:rFonts w:hint="eastAsia" w:ascii="宋体" w:hAnsi="宋体" w:cs="宋体"/>
                <w:kern w:val="2"/>
                <w:sz w:val="21"/>
                <w:szCs w:val="21"/>
                <w:highlight w:val="none"/>
                <w:lang w:val="en-US" w:eastAsia="zh-CN" w:bidi="ar"/>
              </w:rPr>
              <w:t xml:space="preserve">无 </w:t>
            </w:r>
          </w:p>
        </w:tc>
      </w:tr>
      <w:tr w14:paraId="5EED7A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0850B80D">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w:t>
            </w:r>
          </w:p>
        </w:tc>
        <w:tc>
          <w:tcPr>
            <w:tcW w:w="851" w:type="pct"/>
            <w:vAlign w:val="center"/>
          </w:tcPr>
          <w:p w14:paraId="528330EE">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招标项目名称</w:t>
            </w:r>
          </w:p>
        </w:tc>
        <w:tc>
          <w:tcPr>
            <w:tcW w:w="3445" w:type="pct"/>
            <w:vAlign w:val="center"/>
          </w:tcPr>
          <w:p w14:paraId="1C393E9E">
            <w:pPr>
              <w:keepNext w:val="0"/>
              <w:keepLines w:val="0"/>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color w:val="auto"/>
                <w:szCs w:val="21"/>
                <w:highlight w:val="none"/>
              </w:rPr>
            </w:pPr>
            <w:r>
              <w:rPr>
                <w:rFonts w:hint="eastAsia" w:ascii="宋体" w:hAnsi="宋体" w:cs="宋体"/>
                <w:kern w:val="2"/>
                <w:sz w:val="21"/>
                <w:szCs w:val="21"/>
                <w:highlight w:val="none"/>
                <w:lang w:val="en-US" w:eastAsia="zh-CN" w:bidi="ar"/>
              </w:rPr>
              <w:t>巫溪至开州高速公路项目机电工程高压外电接入施工专项分包</w:t>
            </w:r>
          </w:p>
        </w:tc>
      </w:tr>
      <w:tr w14:paraId="4C9B12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10AE2113">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1.1.5</w:t>
            </w:r>
          </w:p>
        </w:tc>
        <w:tc>
          <w:tcPr>
            <w:tcW w:w="851" w:type="pct"/>
            <w:vAlign w:val="center"/>
          </w:tcPr>
          <w:p w14:paraId="202A8E19">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建设地点</w:t>
            </w:r>
          </w:p>
        </w:tc>
        <w:tc>
          <w:tcPr>
            <w:tcW w:w="3445" w:type="pct"/>
            <w:vAlign w:val="center"/>
          </w:tcPr>
          <w:p w14:paraId="19338FA4">
            <w:pPr>
              <w:keepNext w:val="0"/>
              <w:keepLines w:val="0"/>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重庆市</w:t>
            </w:r>
          </w:p>
        </w:tc>
      </w:tr>
      <w:tr w14:paraId="20335A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4EE85F50">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w:t>
            </w:r>
          </w:p>
        </w:tc>
        <w:tc>
          <w:tcPr>
            <w:tcW w:w="851" w:type="pct"/>
            <w:vAlign w:val="center"/>
          </w:tcPr>
          <w:p w14:paraId="532C72FB">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资金来源及比例</w:t>
            </w:r>
          </w:p>
        </w:tc>
        <w:tc>
          <w:tcPr>
            <w:tcW w:w="3445" w:type="pct"/>
            <w:vAlign w:val="center"/>
          </w:tcPr>
          <w:p w14:paraId="70349A95">
            <w:pPr>
              <w:keepNext w:val="0"/>
              <w:keepLines w:val="0"/>
              <w:widowControl w:val="0"/>
              <w:suppressLineNumbers w:val="0"/>
              <w:adjustRightInd w:val="0"/>
              <w:snapToGrid w:val="0"/>
              <w:spacing w:before="0" w:beforeAutospacing="0" w:after="0" w:afterLines="0" w:afterAutospacing="0" w:line="400" w:lineRule="exact"/>
              <w:ind w:left="0" w:right="0"/>
              <w:jc w:val="both"/>
              <w:rPr>
                <w:rFonts w:hint="eastAsia" w:ascii="宋体" w:hAnsi="宋体" w:eastAsia="宋体" w:cs="宋体"/>
                <w:color w:val="auto"/>
                <w:szCs w:val="21"/>
                <w:highlight w:val="none"/>
              </w:rPr>
            </w:pPr>
            <w:r>
              <w:rPr>
                <w:rFonts w:hint="eastAsia" w:ascii="宋体" w:hAnsi="宋体" w:eastAsia="宋体" w:cs="宋体"/>
                <w:kern w:val="0"/>
                <w:sz w:val="21"/>
                <w:szCs w:val="21"/>
                <w:highlight w:val="none"/>
                <w:lang w:val="en-US" w:eastAsia="zh-CN" w:bidi="ar"/>
              </w:rPr>
              <w:t>业主自筹，100%</w:t>
            </w:r>
          </w:p>
        </w:tc>
      </w:tr>
      <w:tr w14:paraId="7519FB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25520A6F">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1.2.2</w:t>
            </w:r>
          </w:p>
        </w:tc>
        <w:tc>
          <w:tcPr>
            <w:tcW w:w="851" w:type="pct"/>
            <w:vAlign w:val="center"/>
          </w:tcPr>
          <w:p w14:paraId="2FAAA8D0">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资金落实情况</w:t>
            </w:r>
          </w:p>
        </w:tc>
        <w:tc>
          <w:tcPr>
            <w:tcW w:w="3445" w:type="pct"/>
            <w:vAlign w:val="center"/>
          </w:tcPr>
          <w:p w14:paraId="2F607314">
            <w:pPr>
              <w:keepNext w:val="0"/>
              <w:keepLines w:val="0"/>
              <w:suppressLineNumbers w:val="0"/>
              <w:adjustRightInd w:val="0"/>
              <w:snapToGrid w:val="0"/>
              <w:spacing w:before="0" w:beforeAutospacing="0" w:after="0" w:afterLines="0" w:afterAutospacing="0" w:line="400" w:lineRule="exact"/>
              <w:ind w:left="0" w:right="0"/>
              <w:rPr>
                <w:rFonts w:hint="eastAsia" w:ascii="宋体" w:hAnsi="宋体" w:eastAsia="宋体" w:cs="宋体"/>
                <w:color w:val="auto"/>
                <w:szCs w:val="21"/>
                <w:highlight w:val="none"/>
              </w:rPr>
            </w:pPr>
            <w:r>
              <w:rPr>
                <w:rFonts w:hint="eastAsia" w:ascii="宋体" w:hAnsi="宋体" w:eastAsia="宋体" w:cs="宋体"/>
                <w:color w:val="auto"/>
                <w:szCs w:val="21"/>
                <w:highlight w:val="none"/>
              </w:rPr>
              <w:t>已落实</w:t>
            </w:r>
          </w:p>
        </w:tc>
      </w:tr>
      <w:tr w14:paraId="642F52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2CFF90E2">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1.3.1</w:t>
            </w:r>
          </w:p>
        </w:tc>
        <w:tc>
          <w:tcPr>
            <w:tcW w:w="851" w:type="pct"/>
            <w:vAlign w:val="center"/>
          </w:tcPr>
          <w:p w14:paraId="6466307F">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招标范围</w:t>
            </w:r>
          </w:p>
        </w:tc>
        <w:tc>
          <w:tcPr>
            <w:tcW w:w="3445" w:type="pct"/>
            <w:vAlign w:val="center"/>
          </w:tcPr>
          <w:p w14:paraId="711505ED">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Lines="0" w:afterAutospacing="0" w:line="400" w:lineRule="exact"/>
              <w:ind w:left="0" w:right="0" w:firstLine="420" w:firstLineChars="200"/>
              <w:textAlignment w:val="auto"/>
              <w:rPr>
                <w:rFonts w:hint="eastAsia" w:ascii="宋体" w:hAnsi="宋体" w:eastAsia="宋体" w:cs="宋体"/>
                <w:color w:val="auto"/>
                <w:szCs w:val="21"/>
                <w:highlight w:val="none"/>
              </w:rPr>
            </w:pPr>
            <w:r>
              <w:rPr>
                <w:rFonts w:hint="eastAsia" w:ascii="宋体" w:hAnsi="宋体" w:cs="宋体"/>
                <w:snapToGrid w:val="0"/>
                <w:color w:val="auto"/>
                <w:kern w:val="0"/>
                <w:szCs w:val="21"/>
                <w:highlight w:val="none"/>
                <w:u w:val="single"/>
                <w:lang w:eastAsia="zh-CN"/>
              </w:rPr>
              <w:t>巫溪至开州高速公路项目机电工程</w:t>
            </w:r>
            <w:r>
              <w:rPr>
                <w:rFonts w:hint="eastAsia" w:ascii="宋体" w:hAnsi="宋体" w:cs="宋体"/>
                <w:snapToGrid w:val="0"/>
                <w:color w:val="auto"/>
                <w:kern w:val="0"/>
                <w:szCs w:val="21"/>
                <w:highlight w:val="none"/>
                <w:u w:val="single"/>
              </w:rPr>
              <w:t>云阳段、巫溪段范围内服务区、收费站以及隧道的外线接入施工、勘察设计、配电房内供电的深化设计以及配电房内供配电设备调试、检测、确保通电验收等一切相关工作</w:t>
            </w:r>
            <w:r>
              <w:rPr>
                <w:rFonts w:hint="eastAsia" w:ascii="宋体" w:hAnsi="宋体" w:cs="宋体"/>
                <w:snapToGrid w:val="0"/>
                <w:color w:val="auto"/>
                <w:kern w:val="0"/>
                <w:szCs w:val="21"/>
                <w:highlight w:val="none"/>
                <w:u w:val="single"/>
                <w:lang w:eastAsia="zh-CN"/>
              </w:rPr>
              <w:t>，详见工程量清单。</w:t>
            </w:r>
          </w:p>
        </w:tc>
      </w:tr>
      <w:tr w14:paraId="74B4A5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662406E1">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1.3.2</w:t>
            </w:r>
          </w:p>
        </w:tc>
        <w:tc>
          <w:tcPr>
            <w:tcW w:w="851" w:type="pct"/>
            <w:vAlign w:val="center"/>
          </w:tcPr>
          <w:p w14:paraId="43F87E5D">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计划工期</w:t>
            </w:r>
          </w:p>
          <w:p w14:paraId="0E81741A">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缺陷责任期</w:t>
            </w:r>
          </w:p>
        </w:tc>
        <w:tc>
          <w:tcPr>
            <w:tcW w:w="3445" w:type="pct"/>
            <w:vAlign w:val="center"/>
          </w:tcPr>
          <w:p w14:paraId="61E91FE2">
            <w:pPr>
              <w:keepNext w:val="0"/>
              <w:keepLines w:val="0"/>
              <w:suppressLineNumbers w:val="0"/>
              <w:adjustRightInd w:val="0"/>
              <w:snapToGrid w:val="0"/>
              <w:spacing w:before="0" w:beforeAutospacing="0" w:after="0" w:afterLines="0" w:afterAutospacing="0" w:line="400" w:lineRule="exact"/>
              <w:ind w:left="0" w:right="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工期：</w:t>
            </w:r>
            <w:r>
              <w:rPr>
                <w:rFonts w:hint="default" w:ascii="宋体" w:hAnsi="宋体" w:cs="宋体"/>
                <w:color w:val="auto"/>
                <w:kern w:val="0"/>
                <w:szCs w:val="21"/>
                <w:highlight w:val="none"/>
              </w:rPr>
              <w:t>3</w:t>
            </w:r>
            <w:r>
              <w:rPr>
                <w:rFonts w:hint="eastAsia" w:ascii="宋体" w:hAnsi="宋体" w:eastAsia="宋体" w:cs="宋体"/>
                <w:color w:val="auto"/>
                <w:kern w:val="0"/>
                <w:szCs w:val="21"/>
                <w:highlight w:val="none"/>
                <w:u w:val="single"/>
                <w:lang w:val="en-US" w:eastAsia="zh-CN"/>
              </w:rPr>
              <w:t>个月</w:t>
            </w:r>
          </w:p>
          <w:p w14:paraId="4370EC7B">
            <w:pPr>
              <w:keepNext w:val="0"/>
              <w:keepLines w:val="0"/>
              <w:suppressLineNumbers w:val="0"/>
              <w:adjustRightInd w:val="0"/>
              <w:snapToGrid w:val="0"/>
              <w:spacing w:before="0" w:beforeAutospacing="0" w:after="0" w:afterLines="0" w:afterAutospacing="0" w:line="400" w:lineRule="exact"/>
              <w:ind w:left="0" w:right="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计划开工日期：</w:t>
            </w:r>
            <w:r>
              <w:rPr>
                <w:rFonts w:hint="eastAsia" w:ascii="宋体" w:hAnsi="宋体" w:eastAsia="宋体" w:cs="宋体"/>
                <w:color w:val="auto"/>
                <w:kern w:val="0"/>
                <w:szCs w:val="21"/>
                <w:highlight w:val="none"/>
                <w:u w:val="single"/>
                <w:lang w:val="en-US" w:eastAsia="zh-CN"/>
              </w:rPr>
              <w:t>具体</w:t>
            </w:r>
            <w:r>
              <w:rPr>
                <w:rFonts w:hint="eastAsia" w:ascii="宋体" w:hAnsi="宋体" w:eastAsia="宋体" w:cs="宋体"/>
                <w:snapToGrid w:val="0"/>
                <w:color w:val="auto"/>
                <w:kern w:val="0"/>
                <w:szCs w:val="21"/>
                <w:highlight w:val="none"/>
                <w:u w:val="single"/>
              </w:rPr>
              <w:t>以甲方实际下达的开工通知为准；</w:t>
            </w:r>
          </w:p>
          <w:p w14:paraId="6E1BE92D">
            <w:pPr>
              <w:keepNext w:val="0"/>
              <w:keepLines w:val="0"/>
              <w:suppressLineNumbers w:val="0"/>
              <w:adjustRightInd w:val="0"/>
              <w:snapToGrid w:val="0"/>
              <w:spacing w:before="0" w:beforeAutospacing="0" w:after="0" w:afterLines="0" w:afterAutospacing="0" w:line="400" w:lineRule="exact"/>
              <w:ind w:left="0" w:right="0"/>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rPr>
              <w:t>计划</w:t>
            </w:r>
            <w:r>
              <w:rPr>
                <w:rFonts w:hint="eastAsia" w:ascii="宋体" w:hAnsi="宋体" w:eastAsia="宋体" w:cs="宋体"/>
                <w:color w:val="auto"/>
                <w:kern w:val="0"/>
                <w:szCs w:val="21"/>
                <w:highlight w:val="none"/>
                <w:lang w:val="en-US" w:eastAsia="zh-CN"/>
              </w:rPr>
              <w:t>完工</w:t>
            </w:r>
            <w:r>
              <w:rPr>
                <w:rFonts w:hint="eastAsia" w:ascii="宋体" w:hAnsi="宋体" w:eastAsia="宋体" w:cs="宋体"/>
                <w:color w:val="auto"/>
                <w:kern w:val="0"/>
                <w:szCs w:val="21"/>
                <w:highlight w:val="none"/>
              </w:rPr>
              <w:t>日期：</w:t>
            </w:r>
            <w:r>
              <w:rPr>
                <w:rFonts w:hint="eastAsia" w:ascii="宋体" w:hAnsi="宋体" w:cs="宋体"/>
                <w:snapToGrid w:val="0"/>
                <w:color w:val="auto"/>
                <w:kern w:val="0"/>
                <w:szCs w:val="21"/>
                <w:highlight w:val="none"/>
                <w:lang w:val="en-US" w:eastAsia="zh-CN"/>
              </w:rPr>
              <w:t>计划</w:t>
            </w:r>
            <w:r>
              <w:rPr>
                <w:rFonts w:hint="eastAsia" w:ascii="宋体" w:hAnsi="宋体" w:cs="宋体"/>
                <w:snapToGrid w:val="0"/>
                <w:color w:val="auto"/>
                <w:kern w:val="0"/>
                <w:szCs w:val="21"/>
                <w:highlight w:val="none"/>
              </w:rPr>
              <w:t>1</w:t>
            </w:r>
            <w:r>
              <w:rPr>
                <w:rFonts w:hint="default" w:ascii="宋体" w:hAnsi="宋体" w:cs="宋体"/>
                <w:snapToGrid w:val="0"/>
                <w:color w:val="auto"/>
                <w:kern w:val="0"/>
                <w:szCs w:val="21"/>
                <w:highlight w:val="none"/>
              </w:rPr>
              <w:t>0</w:t>
            </w:r>
            <w:r>
              <w:rPr>
                <w:rFonts w:hint="eastAsia" w:ascii="宋体" w:hAnsi="宋体" w:cs="宋体"/>
                <w:snapToGrid w:val="0"/>
                <w:color w:val="auto"/>
                <w:kern w:val="0"/>
                <w:szCs w:val="21"/>
                <w:highlight w:val="none"/>
              </w:rPr>
              <w:t>月底</w:t>
            </w:r>
            <w:r>
              <w:rPr>
                <w:rFonts w:hint="eastAsia" w:ascii="宋体" w:hAnsi="宋体" w:cs="宋体"/>
                <w:snapToGrid w:val="0"/>
                <w:color w:val="auto"/>
                <w:kern w:val="0"/>
                <w:szCs w:val="21"/>
                <w:highlight w:val="none"/>
                <w:lang w:val="en-US" w:eastAsia="zh-CN"/>
              </w:rPr>
              <w:t xml:space="preserve">完成通电验收，其中云阳段 </w:t>
            </w:r>
            <w:r>
              <w:rPr>
                <w:rFonts w:hint="eastAsia" w:ascii="宋体" w:hAnsi="宋体" w:eastAsia="宋体" w:cs="宋体"/>
                <w:snapToGrid w:val="0"/>
                <w:color w:val="auto"/>
                <w:kern w:val="0"/>
                <w:szCs w:val="21"/>
                <w:highlight w:val="none"/>
              </w:rPr>
              <w:t>B2段到沙市收费站8月底</w:t>
            </w:r>
            <w:r>
              <w:rPr>
                <w:rFonts w:hint="eastAsia" w:ascii="宋体" w:hAnsi="宋体" w:cs="宋体"/>
                <w:snapToGrid w:val="0"/>
                <w:color w:val="auto"/>
                <w:kern w:val="0"/>
                <w:szCs w:val="21"/>
                <w:highlight w:val="none"/>
                <w:lang w:val="en-US" w:eastAsia="zh-CN"/>
              </w:rPr>
              <w:t>完成通电验收</w:t>
            </w:r>
            <w:r>
              <w:rPr>
                <w:rFonts w:hint="eastAsia" w:ascii="宋体" w:hAnsi="宋体" w:cs="宋体"/>
                <w:snapToGrid w:val="0"/>
                <w:color w:val="auto"/>
                <w:kern w:val="0"/>
                <w:szCs w:val="21"/>
                <w:highlight w:val="none"/>
                <w:u w:val="single"/>
                <w:lang w:val="en-US" w:eastAsia="zh-CN"/>
              </w:rPr>
              <w:t>。</w:t>
            </w:r>
            <w:r>
              <w:rPr>
                <w:rFonts w:hint="eastAsia" w:ascii="宋体" w:hAnsi="宋体" w:eastAsia="宋体" w:cs="宋体"/>
                <w:color w:val="auto"/>
                <w:kern w:val="0"/>
                <w:szCs w:val="21"/>
                <w:highlight w:val="none"/>
                <w:u w:val="none"/>
              </w:rPr>
              <w:t xml:space="preserve">       </w:t>
            </w:r>
          </w:p>
          <w:p w14:paraId="60D26DB6">
            <w:pPr>
              <w:keepNext w:val="0"/>
              <w:keepLines w:val="0"/>
              <w:suppressLineNumbers w:val="0"/>
              <w:adjustRightInd w:val="0"/>
              <w:snapToGrid w:val="0"/>
              <w:spacing w:before="0" w:beforeAutospacing="0" w:after="0" w:afterLines="0" w:afterAutospacing="0" w:line="400" w:lineRule="exact"/>
              <w:ind w:left="0" w:right="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缺陷责任期：</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24</w:t>
            </w:r>
            <w:r>
              <w:rPr>
                <w:rFonts w:hint="eastAsia" w:ascii="宋体" w:hAnsi="宋体" w:eastAsia="宋体" w:cs="宋体"/>
                <w:color w:val="auto"/>
                <w:kern w:val="0"/>
                <w:szCs w:val="21"/>
                <w:highlight w:val="none"/>
                <w:u w:val="single"/>
              </w:rPr>
              <w:t>个月</w:t>
            </w:r>
          </w:p>
        </w:tc>
      </w:tr>
      <w:tr w14:paraId="302FB6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1F1090A5">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1.3.3</w:t>
            </w:r>
          </w:p>
        </w:tc>
        <w:tc>
          <w:tcPr>
            <w:tcW w:w="851" w:type="pct"/>
            <w:vAlign w:val="center"/>
          </w:tcPr>
          <w:p w14:paraId="532D6E50">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质量要求</w:t>
            </w:r>
          </w:p>
        </w:tc>
        <w:tc>
          <w:tcPr>
            <w:tcW w:w="3445" w:type="pct"/>
            <w:vAlign w:val="center"/>
          </w:tcPr>
          <w:p w14:paraId="1036681B">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工程交工验收的质量评定：</w:t>
            </w:r>
            <w:r>
              <w:rPr>
                <w:rFonts w:hint="eastAsia" w:ascii="宋体" w:hAnsi="宋体" w:eastAsia="宋体" w:cs="宋体"/>
                <w:color w:val="auto"/>
                <w:szCs w:val="21"/>
                <w:highlight w:val="none"/>
                <w:u w:val="single"/>
                <w:lang w:val="en-US" w:eastAsia="zh-CN"/>
              </w:rPr>
              <w:t>合格，年度一次性抽检合格率不低于97%。</w:t>
            </w:r>
          </w:p>
          <w:p w14:paraId="65049962">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i/>
                <w:color w:val="auto"/>
                <w:szCs w:val="21"/>
                <w:highlight w:val="none"/>
              </w:rPr>
            </w:pPr>
            <w:r>
              <w:rPr>
                <w:rFonts w:hint="eastAsia" w:ascii="宋体" w:hAnsi="宋体" w:eastAsia="宋体" w:cs="宋体"/>
                <w:color w:val="auto"/>
                <w:szCs w:val="21"/>
                <w:highlight w:val="none"/>
              </w:rPr>
              <w:t>工程竣工验收的质量评定：</w:t>
            </w:r>
            <w:r>
              <w:rPr>
                <w:rFonts w:hint="eastAsia" w:ascii="宋体" w:hAnsi="宋体" w:eastAsia="宋体" w:cs="宋体"/>
                <w:color w:val="auto"/>
                <w:szCs w:val="21"/>
                <w:highlight w:val="none"/>
                <w:u w:val="single"/>
                <w:lang w:val="en-US" w:eastAsia="zh-CN"/>
              </w:rPr>
              <w:t>合格，年度一次性抽检合格率不低于97%</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eastAsia="zh-CN"/>
              </w:rPr>
              <w:t>。</w:t>
            </w:r>
          </w:p>
        </w:tc>
      </w:tr>
      <w:tr w14:paraId="71D5B2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79F35C9B">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1.3.4</w:t>
            </w:r>
          </w:p>
        </w:tc>
        <w:tc>
          <w:tcPr>
            <w:tcW w:w="851" w:type="pct"/>
            <w:vAlign w:val="center"/>
          </w:tcPr>
          <w:p w14:paraId="670C5167">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安全目标</w:t>
            </w:r>
          </w:p>
        </w:tc>
        <w:tc>
          <w:tcPr>
            <w:tcW w:w="3445" w:type="pct"/>
            <w:vAlign w:val="center"/>
          </w:tcPr>
          <w:p w14:paraId="2563682C">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不发生较大及以上安全生产责任事故，项目责任事故死亡指标为0。</w:t>
            </w:r>
          </w:p>
        </w:tc>
      </w:tr>
      <w:tr w14:paraId="5F3B6C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1037886C">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w:t>
            </w:r>
          </w:p>
        </w:tc>
        <w:tc>
          <w:tcPr>
            <w:tcW w:w="851" w:type="pct"/>
            <w:vAlign w:val="center"/>
          </w:tcPr>
          <w:p w14:paraId="61C29293">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投标人资质条件、能力和信誉</w:t>
            </w:r>
          </w:p>
        </w:tc>
        <w:tc>
          <w:tcPr>
            <w:tcW w:w="3445" w:type="pct"/>
            <w:vAlign w:val="center"/>
          </w:tcPr>
          <w:p w14:paraId="655704FF">
            <w:pPr>
              <w:keepNext w:val="0"/>
              <w:keepLines w:val="0"/>
              <w:suppressLineNumbers w:val="0"/>
              <w:autoSpaceDE w:val="0"/>
              <w:autoSpaceDN w:val="0"/>
              <w:adjustRightInd w:val="0"/>
              <w:snapToGrid w:val="0"/>
              <w:spacing w:before="0" w:beforeAutospacing="0" w:after="0" w:afterLines="0" w:afterAutospacing="0" w:line="400" w:lineRule="exact"/>
              <w:ind w:left="0" w:right="0"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bidi="ar"/>
              </w:rPr>
              <w:t>1、资质条件、营业执照及安全生产条件</w:t>
            </w:r>
          </w:p>
          <w:p w14:paraId="20DB5E8F">
            <w:pPr>
              <w:keepNext w:val="0"/>
              <w:keepLines w:val="0"/>
              <w:suppressLineNumbers w:val="0"/>
              <w:tabs>
                <w:tab w:val="left" w:pos="3840"/>
                <w:tab w:val="left" w:pos="5300"/>
              </w:tabs>
              <w:autoSpaceDE w:val="0"/>
              <w:autoSpaceDN w:val="0"/>
              <w:adjustRightInd w:val="0"/>
              <w:snapToGrid w:val="0"/>
              <w:spacing w:before="0" w:beforeLines="0" w:beforeAutospacing="0" w:after="0" w:afterLines="0" w:afterAutospacing="0" w:line="360" w:lineRule="auto"/>
              <w:ind w:left="0" w:right="0" w:firstLine="420" w:firstLineChars="200"/>
              <w:jc w:val="left"/>
              <w:rPr>
                <w:rFonts w:hint="eastAsia" w:ascii="宋体" w:hAnsi="宋体" w:eastAsia="宋体" w:cs="宋体"/>
                <w:snapToGrid w:val="0"/>
                <w:color w:val="auto"/>
                <w:kern w:val="0"/>
                <w:szCs w:val="21"/>
                <w:highlight w:val="none"/>
              </w:rPr>
            </w:pPr>
            <w:r>
              <w:rPr>
                <w:rFonts w:hint="eastAsia" w:ascii="宋体" w:hAnsi="宋体" w:cs="宋体"/>
                <w:snapToGrid w:val="0"/>
                <w:color w:val="auto"/>
                <w:kern w:val="0"/>
                <w:szCs w:val="21"/>
                <w:highlight w:val="none"/>
                <w:u w:val="single"/>
                <w:lang w:val="en-US" w:eastAsia="zh-CN"/>
              </w:rPr>
              <w:t>（1）施工资质：</w:t>
            </w:r>
            <w:r>
              <w:rPr>
                <w:rFonts w:hint="eastAsia" w:ascii="宋体" w:hAnsi="宋体" w:eastAsia="宋体" w:cs="宋体"/>
                <w:snapToGrid w:val="0"/>
                <w:color w:val="auto"/>
                <w:kern w:val="0"/>
                <w:szCs w:val="21"/>
                <w:highlight w:val="none"/>
                <w:u w:val="single"/>
              </w:rPr>
              <w:t>具有独立法人资格</w:t>
            </w:r>
            <w:r>
              <w:rPr>
                <w:rFonts w:hint="eastAsia" w:ascii="宋体" w:hAnsi="宋体" w:eastAsia="宋体" w:cs="宋体"/>
                <w:snapToGrid w:val="0"/>
                <w:color w:val="auto"/>
                <w:kern w:val="0"/>
                <w:szCs w:val="21"/>
                <w:highlight w:val="none"/>
                <w:u w:val="single"/>
                <w:lang w:eastAsia="zh-CN"/>
              </w:rPr>
              <w:t>，</w:t>
            </w:r>
            <w:r>
              <w:rPr>
                <w:rFonts w:hint="eastAsia" w:ascii="宋体" w:hAnsi="宋体" w:eastAsia="宋体" w:cs="宋体"/>
                <w:snapToGrid w:val="0"/>
                <w:color w:val="auto"/>
                <w:kern w:val="0"/>
                <w:szCs w:val="21"/>
                <w:highlight w:val="none"/>
                <w:u w:val="single"/>
              </w:rPr>
              <w:t>具有有效的营业执照</w:t>
            </w:r>
            <w:r>
              <w:rPr>
                <w:rFonts w:hint="eastAsia" w:ascii="宋体" w:hAnsi="宋体" w:eastAsia="宋体" w:cs="宋体"/>
                <w:snapToGrid w:val="0"/>
                <w:color w:val="auto"/>
                <w:kern w:val="0"/>
                <w:szCs w:val="21"/>
                <w:highlight w:val="none"/>
                <w:u w:val="single"/>
                <w:lang w:eastAsia="zh-CN"/>
              </w:rPr>
              <w:t>；</w:t>
            </w:r>
            <w:r>
              <w:rPr>
                <w:rFonts w:hint="eastAsia" w:ascii="宋体" w:hAnsi="宋体" w:eastAsia="宋体" w:cs="宋体"/>
                <w:snapToGrid w:val="0"/>
                <w:color w:val="auto"/>
                <w:kern w:val="0"/>
                <w:szCs w:val="21"/>
                <w:highlight w:val="none"/>
                <w:u w:val="single"/>
                <w:lang w:val="en-US" w:eastAsia="zh-CN"/>
              </w:rPr>
              <w:t>具有有效的四级及以上级别的承装(修、试）电力设施许可证</w:t>
            </w:r>
            <w:r>
              <w:rPr>
                <w:rFonts w:hint="eastAsia" w:ascii="宋体" w:hAnsi="宋体" w:cs="宋体"/>
                <w:snapToGrid w:val="0"/>
                <w:color w:val="auto"/>
                <w:kern w:val="0"/>
                <w:szCs w:val="21"/>
                <w:highlight w:val="none"/>
                <w:u w:val="single"/>
                <w:lang w:val="en-US" w:eastAsia="zh-CN"/>
              </w:rPr>
              <w:t>；</w:t>
            </w:r>
            <w:r>
              <w:rPr>
                <w:rFonts w:hint="eastAsia" w:ascii="宋体" w:hAnsi="宋体" w:eastAsia="宋体" w:cs="宋体"/>
                <w:snapToGrid w:val="0"/>
                <w:color w:val="auto"/>
                <w:kern w:val="0"/>
                <w:szCs w:val="21"/>
                <w:highlight w:val="none"/>
                <w:u w:val="single"/>
                <w:lang w:val="en-US" w:eastAsia="zh-CN"/>
              </w:rPr>
              <w:t>具有有效的电力工程施工总承包三级或输变电工程专业承包三级及以上资质</w:t>
            </w:r>
            <w:r>
              <w:rPr>
                <w:rFonts w:hint="eastAsia" w:ascii="宋体" w:hAnsi="宋体" w:cs="宋体"/>
                <w:snapToGrid w:val="0"/>
                <w:color w:val="auto"/>
                <w:kern w:val="0"/>
                <w:szCs w:val="21"/>
                <w:highlight w:val="none"/>
                <w:u w:val="single"/>
                <w:lang w:val="en-US" w:eastAsia="zh-CN"/>
              </w:rPr>
              <w:t>；</w:t>
            </w:r>
            <w:r>
              <w:rPr>
                <w:rFonts w:hint="eastAsia" w:ascii="宋体" w:hAnsi="宋体" w:eastAsia="宋体" w:cs="宋体"/>
                <w:snapToGrid w:val="0"/>
                <w:color w:val="auto"/>
                <w:kern w:val="0"/>
                <w:szCs w:val="21"/>
                <w:highlight w:val="none"/>
                <w:u w:val="single"/>
                <w:lang w:val="en-US" w:eastAsia="zh-CN"/>
              </w:rPr>
              <w:t>具备建设行政主管部门颁发的</w:t>
            </w:r>
            <w:r>
              <w:rPr>
                <w:rFonts w:hint="eastAsia" w:ascii="宋体" w:hAnsi="宋体" w:cs="宋体"/>
                <w:snapToGrid w:val="0"/>
                <w:color w:val="auto"/>
                <w:kern w:val="0"/>
                <w:szCs w:val="21"/>
                <w:highlight w:val="none"/>
                <w:u w:val="single"/>
                <w:lang w:val="en-US" w:eastAsia="zh-CN"/>
              </w:rPr>
              <w:t>有效的</w:t>
            </w:r>
            <w:r>
              <w:rPr>
                <w:rFonts w:hint="eastAsia" w:ascii="宋体" w:hAnsi="宋体" w:eastAsia="宋体" w:cs="宋体"/>
                <w:snapToGrid w:val="0"/>
                <w:color w:val="auto"/>
                <w:kern w:val="0"/>
                <w:szCs w:val="21"/>
                <w:highlight w:val="none"/>
                <w:u w:val="single"/>
                <w:lang w:val="en-US" w:eastAsia="zh-CN"/>
              </w:rPr>
              <w:t>安全生产许可证。（联合体投标的，联合体承担</w:t>
            </w:r>
            <w:r>
              <w:rPr>
                <w:rFonts w:hint="eastAsia" w:ascii="宋体" w:hAnsi="宋体" w:cs="宋体"/>
                <w:snapToGrid w:val="0"/>
                <w:color w:val="auto"/>
                <w:kern w:val="0"/>
                <w:szCs w:val="21"/>
                <w:highlight w:val="none"/>
                <w:u w:val="single"/>
                <w:lang w:val="en-US" w:eastAsia="zh-CN"/>
              </w:rPr>
              <w:t>施工</w:t>
            </w:r>
            <w:r>
              <w:rPr>
                <w:rFonts w:hint="eastAsia" w:ascii="宋体" w:hAnsi="宋体" w:eastAsia="宋体" w:cs="宋体"/>
                <w:snapToGrid w:val="0"/>
                <w:color w:val="auto"/>
                <w:kern w:val="0"/>
                <w:szCs w:val="21"/>
                <w:highlight w:val="none"/>
                <w:u w:val="single"/>
                <w:lang w:val="en-US" w:eastAsia="zh-CN"/>
              </w:rPr>
              <w:t>工作的单位须满足）</w:t>
            </w:r>
          </w:p>
          <w:p w14:paraId="082C498A">
            <w:pPr>
              <w:keepNext w:val="0"/>
              <w:keepLines w:val="0"/>
              <w:suppressLineNumbers w:val="0"/>
              <w:tabs>
                <w:tab w:val="left" w:pos="3840"/>
                <w:tab w:val="left" w:pos="5300"/>
              </w:tabs>
              <w:autoSpaceDE w:val="0"/>
              <w:autoSpaceDN w:val="0"/>
              <w:adjustRightInd w:val="0"/>
              <w:snapToGrid w:val="0"/>
              <w:spacing w:before="0" w:beforeLines="0" w:beforeAutospacing="0" w:after="0" w:afterLines="0" w:afterAutospacing="0" w:line="360" w:lineRule="auto"/>
              <w:ind w:left="0" w:right="0" w:firstLine="420" w:firstLineChars="200"/>
              <w:jc w:val="left"/>
              <w:rPr>
                <w:rFonts w:hint="default" w:ascii="宋体" w:hAnsi="宋体" w:eastAsia="宋体" w:cs="宋体"/>
                <w:snapToGrid w:val="0"/>
                <w:color w:val="auto"/>
                <w:kern w:val="0"/>
                <w:szCs w:val="21"/>
                <w:highlight w:val="none"/>
                <w:lang w:val="en-US" w:eastAsia="zh-CN"/>
              </w:rPr>
            </w:pPr>
            <w:r>
              <w:rPr>
                <w:rFonts w:hint="eastAsia" w:ascii="宋体" w:hAnsi="宋体" w:cs="宋体"/>
                <w:snapToGrid w:val="0"/>
                <w:color w:val="auto"/>
                <w:kern w:val="0"/>
                <w:szCs w:val="21"/>
                <w:highlight w:val="none"/>
                <w:lang w:eastAsia="zh-CN"/>
              </w:rPr>
              <w:t>（</w:t>
            </w:r>
            <w:r>
              <w:rPr>
                <w:rFonts w:hint="eastAsia" w:ascii="宋体" w:hAnsi="宋体" w:cs="宋体"/>
                <w:snapToGrid w:val="0"/>
                <w:color w:val="auto"/>
                <w:kern w:val="0"/>
                <w:szCs w:val="21"/>
                <w:highlight w:val="none"/>
                <w:lang w:val="en-US" w:eastAsia="zh-CN"/>
              </w:rPr>
              <w:t>2</w:t>
            </w:r>
            <w:r>
              <w:rPr>
                <w:rFonts w:hint="eastAsia" w:ascii="宋体" w:hAnsi="宋体" w:cs="宋体"/>
                <w:snapToGrid w:val="0"/>
                <w:color w:val="auto"/>
                <w:kern w:val="0"/>
                <w:szCs w:val="21"/>
                <w:highlight w:val="none"/>
                <w:lang w:eastAsia="zh-CN"/>
              </w:rPr>
              <w:t>）</w:t>
            </w:r>
            <w:r>
              <w:rPr>
                <w:rFonts w:hint="eastAsia" w:ascii="宋体" w:hAnsi="宋体" w:cs="宋体"/>
                <w:snapToGrid w:val="0"/>
                <w:color w:val="auto"/>
                <w:kern w:val="0"/>
                <w:szCs w:val="21"/>
                <w:highlight w:val="none"/>
                <w:lang w:val="en-US" w:eastAsia="zh-CN"/>
              </w:rPr>
              <w:t>设计资质：</w:t>
            </w:r>
            <w:r>
              <w:rPr>
                <w:rFonts w:hint="eastAsia" w:ascii="宋体" w:hAnsi="宋体" w:cs="宋体"/>
                <w:snapToGrid w:val="0"/>
                <w:color w:val="auto"/>
                <w:kern w:val="0"/>
                <w:szCs w:val="21"/>
                <w:highlight w:val="none"/>
              </w:rPr>
              <w:t>具有独立法人资格，具有有效的营业执照；具有有效的电力行业（变电工程）专业丙级及以上资质，具有有效的电力行业（送电工程）专业丙级及以上资质。</w:t>
            </w:r>
            <w:r>
              <w:rPr>
                <w:rFonts w:hint="eastAsia" w:ascii="宋体" w:hAnsi="宋体" w:eastAsia="宋体" w:cs="宋体"/>
                <w:snapToGrid w:val="0"/>
                <w:color w:val="auto"/>
                <w:kern w:val="0"/>
                <w:szCs w:val="21"/>
                <w:highlight w:val="none"/>
                <w:u w:val="single"/>
                <w:lang w:val="en-US" w:eastAsia="zh-CN"/>
              </w:rPr>
              <w:t>（联合体投标的，联合体承担设计工作的单位须满足）</w:t>
            </w:r>
          </w:p>
          <w:p w14:paraId="6D6E1428">
            <w:pPr>
              <w:keepNext w:val="0"/>
              <w:keepLines w:val="0"/>
              <w:suppressLineNumbers w:val="0"/>
              <w:tabs>
                <w:tab w:val="left" w:pos="3840"/>
                <w:tab w:val="left" w:pos="5300"/>
              </w:tabs>
              <w:autoSpaceDE w:val="0"/>
              <w:autoSpaceDN w:val="0"/>
              <w:adjustRightInd w:val="0"/>
              <w:snapToGrid w:val="0"/>
              <w:spacing w:before="0" w:beforeLines="0" w:beforeAutospacing="0" w:after="0" w:afterLines="0" w:afterAutospacing="0" w:line="360" w:lineRule="auto"/>
              <w:ind w:left="0" w:right="0"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投标人须在投标文件资格审查部分提供有效的营业执照</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资质证书</w:t>
            </w:r>
            <w:r>
              <w:rPr>
                <w:rFonts w:hint="eastAsia" w:ascii="宋体" w:hAnsi="宋体" w:eastAsia="宋体" w:cs="宋体"/>
                <w:color w:val="auto"/>
                <w:szCs w:val="21"/>
                <w:highlight w:val="none"/>
                <w:lang w:eastAsia="zh-CN"/>
              </w:rPr>
              <w:t>、</w:t>
            </w:r>
            <w:r>
              <w:rPr>
                <w:rFonts w:hint="eastAsia" w:ascii="宋体" w:hAnsi="宋体" w:eastAsia="宋体" w:cs="宋体"/>
                <w:color w:val="auto"/>
                <w:spacing w:val="2"/>
                <w:szCs w:val="21"/>
                <w:highlight w:val="none"/>
              </w:rPr>
              <w:t>安全生产许可证</w:t>
            </w:r>
            <w:r>
              <w:rPr>
                <w:rFonts w:hint="eastAsia" w:ascii="宋体" w:hAnsi="宋体" w:eastAsia="宋体" w:cs="宋体"/>
                <w:color w:val="auto"/>
                <w:szCs w:val="21"/>
                <w:highlight w:val="none"/>
                <w:lang w:val="en-US" w:eastAsia="zh-CN"/>
              </w:rPr>
              <w:t>复印件</w:t>
            </w:r>
            <w:r>
              <w:rPr>
                <w:rFonts w:hint="eastAsia" w:ascii="宋体" w:hAnsi="宋体" w:eastAsia="宋体" w:cs="宋体"/>
                <w:color w:val="auto"/>
                <w:szCs w:val="21"/>
                <w:highlight w:val="none"/>
              </w:rPr>
              <w:t>。</w:t>
            </w:r>
          </w:p>
          <w:p w14:paraId="26F56FFF">
            <w:pPr>
              <w:keepNext w:val="0"/>
              <w:keepLines w:val="0"/>
              <w:numPr>
                <w:ilvl w:val="0"/>
                <w:numId w:val="0"/>
              </w:numPr>
              <w:suppressLineNumbers w:val="0"/>
              <w:tabs>
                <w:tab w:val="left" w:pos="3840"/>
                <w:tab w:val="left" w:pos="5300"/>
              </w:tabs>
              <w:autoSpaceDE w:val="0"/>
              <w:autoSpaceDN w:val="0"/>
              <w:adjustRightInd w:val="0"/>
              <w:snapToGrid w:val="0"/>
              <w:spacing w:before="0" w:beforeLines="0" w:beforeAutospacing="0" w:after="0" w:afterLines="0" w:afterAutospacing="0" w:line="360" w:lineRule="auto"/>
              <w:ind w:left="0" w:right="0" w:firstLine="422" w:firstLineChars="200"/>
              <w:jc w:val="left"/>
              <w:rPr>
                <w:rFonts w:hint="eastAsia" w:ascii="宋体" w:hAnsi="宋体" w:eastAsia="宋体" w:cs="宋体"/>
                <w:b/>
                <w:color w:val="auto"/>
                <w:kern w:val="0"/>
                <w:szCs w:val="21"/>
                <w:highlight w:val="none"/>
                <w:lang w:bidi="ar"/>
              </w:rPr>
            </w:pPr>
            <w:r>
              <w:rPr>
                <w:rFonts w:hint="eastAsia" w:ascii="宋体" w:hAnsi="宋体" w:eastAsia="宋体" w:cs="宋体"/>
                <w:b/>
                <w:color w:val="auto"/>
                <w:szCs w:val="21"/>
                <w:highlight w:val="none"/>
                <w:lang w:val="en-US" w:eastAsia="zh-CN"/>
              </w:rPr>
              <w:t>3</w:t>
            </w:r>
            <w:r>
              <w:rPr>
                <w:rFonts w:hint="eastAsia" w:ascii="宋体" w:hAnsi="宋体" w:eastAsia="宋体" w:cs="宋体"/>
                <w:b/>
                <w:color w:val="auto"/>
                <w:kern w:val="0"/>
                <w:szCs w:val="21"/>
                <w:highlight w:val="none"/>
                <w:lang w:bidi="ar"/>
              </w:rPr>
              <w:t>、业绩要求</w:t>
            </w:r>
          </w:p>
          <w:p w14:paraId="3DF19252">
            <w:pPr>
              <w:keepNext w:val="0"/>
              <w:keepLines w:val="0"/>
              <w:numPr>
                <w:ilvl w:val="-1"/>
                <w:numId w:val="0"/>
              </w:numPr>
              <w:suppressLineNumbers w:val="0"/>
              <w:tabs>
                <w:tab w:val="left" w:pos="3840"/>
                <w:tab w:val="left" w:pos="5300"/>
              </w:tabs>
              <w:autoSpaceDE w:val="0"/>
              <w:autoSpaceDN w:val="0"/>
              <w:adjustRightInd w:val="0"/>
              <w:snapToGrid w:val="0"/>
              <w:spacing w:before="0" w:beforeLines="0" w:beforeAutospacing="0" w:after="0" w:afterLines="0" w:afterAutospacing="0" w:line="360" w:lineRule="auto"/>
              <w:ind w:left="0" w:right="0" w:firstLine="420" w:firstLineChars="200"/>
              <w:jc w:val="left"/>
              <w:rPr>
                <w:rFonts w:hint="eastAsia" w:ascii="宋体" w:hAnsi="宋体" w:eastAsia="宋体" w:cs="宋体"/>
                <w:snapToGrid w:val="0"/>
                <w:color w:val="auto"/>
                <w:kern w:val="0"/>
                <w:szCs w:val="21"/>
                <w:highlight w:val="none"/>
                <w:u w:val="single"/>
              </w:rPr>
            </w:pPr>
            <w:r>
              <w:rPr>
                <w:rFonts w:hint="eastAsia" w:ascii="宋体" w:hAnsi="宋体" w:cs="宋体"/>
                <w:snapToGrid w:val="0"/>
                <w:color w:val="auto"/>
                <w:kern w:val="0"/>
                <w:szCs w:val="21"/>
                <w:highlight w:val="none"/>
                <w:lang w:eastAsia="zh-CN"/>
              </w:rPr>
              <w:t>（</w:t>
            </w:r>
            <w:r>
              <w:rPr>
                <w:rFonts w:hint="eastAsia" w:ascii="宋体" w:hAnsi="宋体" w:cs="宋体"/>
                <w:snapToGrid w:val="0"/>
                <w:color w:val="auto"/>
                <w:kern w:val="0"/>
                <w:szCs w:val="21"/>
                <w:highlight w:val="none"/>
                <w:lang w:val="en-US" w:eastAsia="zh-CN"/>
              </w:rPr>
              <w:t>1</w:t>
            </w:r>
            <w:r>
              <w:rPr>
                <w:rFonts w:hint="eastAsia" w:ascii="宋体" w:hAnsi="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u w:val="single"/>
              </w:rPr>
              <w:t>投标人2021年1月1日至投标截止日（以合同签订时间为准）至少完成一个合同额500万元以上10kv及以上高压外线工程施工业绩。</w:t>
            </w:r>
            <w:r>
              <w:rPr>
                <w:rFonts w:hint="eastAsia" w:ascii="宋体" w:hAnsi="宋体" w:cs="宋体"/>
                <w:snapToGrid w:val="0"/>
                <w:color w:val="auto"/>
                <w:kern w:val="0"/>
                <w:szCs w:val="21"/>
                <w:highlight w:val="none"/>
                <w:u w:val="single"/>
              </w:rPr>
              <w:t>（注：联合体投标的，由联合体牵头人提供）</w:t>
            </w:r>
          </w:p>
          <w:p w14:paraId="52166D78">
            <w:pPr>
              <w:keepNext w:val="0"/>
              <w:keepLines w:val="0"/>
              <w:numPr>
                <w:ilvl w:val="0"/>
                <w:numId w:val="0"/>
              </w:numPr>
              <w:suppressLineNumbers w:val="0"/>
              <w:autoSpaceDE w:val="0"/>
              <w:autoSpaceDN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snapToGrid w:val="0"/>
                <w:color w:val="auto"/>
                <w:kern w:val="0"/>
                <w:sz w:val="21"/>
                <w:szCs w:val="21"/>
                <w:highlight w:val="none"/>
                <w:u w:val="none"/>
                <w:lang w:val="en-US" w:eastAsia="zh-CN"/>
              </w:rPr>
            </w:pPr>
            <w:r>
              <w:rPr>
                <w:rFonts w:hint="eastAsia" w:ascii="宋体" w:hAnsi="宋体" w:eastAsia="宋体" w:cs="宋体"/>
                <w:color w:val="auto"/>
                <w:szCs w:val="21"/>
                <w:highlight w:val="none"/>
              </w:rPr>
              <w:t>投标人须在投标文件资格审查部分提供</w:t>
            </w:r>
            <w:r>
              <w:rPr>
                <w:rFonts w:hint="eastAsia" w:ascii="宋体" w:hAnsi="宋体" w:cs="宋体"/>
                <w:color w:val="auto"/>
                <w:szCs w:val="21"/>
                <w:highlight w:val="none"/>
                <w:lang w:val="en-US" w:eastAsia="zh-CN"/>
              </w:rPr>
              <w:t>该</w:t>
            </w:r>
            <w:r>
              <w:rPr>
                <w:rFonts w:hint="eastAsia" w:ascii="宋体" w:hAnsi="宋体" w:eastAsia="宋体" w:cs="宋体"/>
                <w:color w:val="auto"/>
                <w:szCs w:val="21"/>
                <w:highlight w:val="none"/>
              </w:rPr>
              <w:t>业绩在“全国公路建设市场信用信息管理系统”或“全国建筑市场监管公共服务平台”查询到的相关项目网页截图。</w:t>
            </w:r>
            <w:r>
              <w:rPr>
                <w:rFonts w:hint="eastAsia" w:ascii="宋体" w:hAnsi="宋体" w:eastAsia="宋体" w:cs="宋体"/>
                <w:color w:val="auto"/>
                <w:szCs w:val="21"/>
                <w:highlight w:val="none"/>
              </w:rPr>
              <w:t>提供的网页截图能够完全反映业绩要求对应的业绩信息的，无须再提供其他业绩证明材料；</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lang w:val="en-US" w:eastAsia="zh-CN"/>
              </w:rPr>
              <w:t>未</w:t>
            </w:r>
            <w:r>
              <w:rPr>
                <w:rFonts w:hint="eastAsia" w:ascii="宋体" w:hAnsi="宋体" w:eastAsia="宋体" w:cs="宋体"/>
                <w:color w:val="auto"/>
                <w:szCs w:val="21"/>
                <w:highlight w:val="none"/>
                <w:lang w:eastAsia="zh-CN"/>
              </w:rPr>
              <w:t>提供网页截图</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lang w:eastAsia="zh-CN"/>
              </w:rPr>
              <w:t>，</w:t>
            </w:r>
            <w:r>
              <w:rPr>
                <w:rFonts w:hint="eastAsia" w:ascii="宋体" w:hAnsi="宋体" w:cs="宋体"/>
                <w:color w:val="auto"/>
                <w:szCs w:val="21"/>
                <w:highlight w:val="none"/>
                <w:lang w:eastAsia="zh-CN"/>
              </w:rPr>
              <w:t>可以提供合同协议书证明材料复印件</w:t>
            </w:r>
            <w:r>
              <w:rPr>
                <w:rFonts w:hint="eastAsia" w:ascii="宋体" w:hAnsi="宋体" w:eastAsia="宋体" w:cs="宋体"/>
                <w:color w:val="auto"/>
                <w:szCs w:val="21"/>
                <w:highlight w:val="none"/>
              </w:rPr>
              <w:t>。</w:t>
            </w:r>
          </w:p>
          <w:p w14:paraId="55A261E3">
            <w:pPr>
              <w:keepNext w:val="0"/>
              <w:keepLines w:val="0"/>
              <w:suppressLineNumbers w:val="0"/>
              <w:autoSpaceDE w:val="0"/>
              <w:autoSpaceDN w:val="0"/>
              <w:adjustRightInd w:val="0"/>
              <w:snapToGrid w:val="0"/>
              <w:spacing w:before="0" w:beforeAutospacing="0" w:after="0" w:afterLines="0" w:afterAutospacing="0" w:line="400" w:lineRule="exact"/>
              <w:ind w:left="0" w:right="0" w:firstLine="415" w:firstLineChars="198"/>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注：投标人应对其提供的业绩证明材料（含截图）的真实性负责。当上述资料中针对同一指标存在不一致时，以相关项目网页截图为准。</w:t>
            </w:r>
          </w:p>
          <w:p w14:paraId="6E369C2F">
            <w:pPr>
              <w:keepNext w:val="0"/>
              <w:keepLines w:val="0"/>
              <w:suppressLineNumbers w:val="0"/>
              <w:autoSpaceDE w:val="0"/>
              <w:autoSpaceDN w:val="0"/>
              <w:adjustRightInd w:val="0"/>
              <w:snapToGrid w:val="0"/>
              <w:spacing w:before="0" w:beforeAutospacing="0" w:after="0" w:afterLines="0" w:afterAutospacing="0" w:line="400" w:lineRule="exact"/>
              <w:ind w:left="0" w:right="0" w:firstLine="415" w:firstLineChars="198"/>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不满足上述业绩要求的业绩无效。</w:t>
            </w:r>
          </w:p>
          <w:p w14:paraId="79C897E8">
            <w:pPr>
              <w:keepNext w:val="0"/>
              <w:keepLines w:val="0"/>
              <w:suppressLineNumbers w:val="0"/>
              <w:autoSpaceDE w:val="0"/>
              <w:autoSpaceDN w:val="0"/>
              <w:adjustRightInd w:val="0"/>
              <w:snapToGrid w:val="0"/>
              <w:spacing w:before="0" w:beforeAutospacing="0" w:after="0" w:afterLines="0" w:afterAutospacing="0" w:line="400" w:lineRule="exact"/>
              <w:ind w:left="0" w:right="0" w:firstLine="422" w:firstLineChars="200"/>
              <w:rPr>
                <w:rFonts w:hint="eastAsia" w:ascii="宋体" w:hAnsi="宋体" w:eastAsia="宋体" w:cs="宋体"/>
                <w:b/>
                <w:color w:val="auto"/>
                <w:kern w:val="0"/>
                <w:szCs w:val="21"/>
                <w:highlight w:val="none"/>
                <w:lang w:bidi="ar"/>
              </w:rPr>
            </w:pPr>
            <w:r>
              <w:rPr>
                <w:rFonts w:hint="eastAsia" w:ascii="宋体" w:hAnsi="宋体" w:cs="宋体"/>
                <w:b/>
                <w:color w:val="auto"/>
                <w:kern w:val="0"/>
                <w:szCs w:val="21"/>
                <w:highlight w:val="none"/>
                <w:lang w:val="en-US" w:eastAsia="zh-CN" w:bidi="ar"/>
              </w:rPr>
              <w:t>3</w:t>
            </w:r>
            <w:r>
              <w:rPr>
                <w:rFonts w:hint="eastAsia" w:ascii="宋体" w:hAnsi="宋体" w:eastAsia="宋体" w:cs="宋体"/>
                <w:b/>
                <w:color w:val="auto"/>
                <w:kern w:val="0"/>
                <w:szCs w:val="21"/>
                <w:highlight w:val="none"/>
                <w:lang w:bidi="ar"/>
              </w:rPr>
              <w:t>、投标截止日投标资格情况要求</w:t>
            </w:r>
          </w:p>
          <w:p w14:paraId="64BDBA0D">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投标人自行承诺（格式见第九章投标文件格式）不得存在下列情形之一：</w:t>
            </w:r>
          </w:p>
          <w:p w14:paraId="372418F7">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（1）被人民法院列入失信被执行人名单且在被执行期内；</w:t>
            </w:r>
          </w:p>
          <w:p w14:paraId="587D8A58">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（2）被列入《重庆市工程建设领域招标投标信用管理暂行办法》规定的重点关注名单且记分达到12分且在记分有效期内；</w:t>
            </w:r>
          </w:p>
          <w:p w14:paraId="5F118146">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（3）被列入《重庆市工程建设领域招标投标信用管理暂行办法》规定的重庆市工程建设领域招标投标失信惩戒对象名单（以下称黑名单）且在记分有效期内；</w:t>
            </w:r>
          </w:p>
          <w:p w14:paraId="65E6B478">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（4）被国家、重庆市（含市或任意区县）有关行政部门处以暂停投标资格行政处罚，且在处罚期限内；</w:t>
            </w:r>
          </w:p>
          <w:p w14:paraId="1E52F28A">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（5）被重庆市</w:t>
            </w:r>
            <w:r>
              <w:rPr>
                <w:rFonts w:hint="eastAsia" w:ascii="宋体" w:hAnsi="宋体" w:eastAsia="宋体" w:cs="宋体"/>
                <w:color w:val="auto"/>
                <w:szCs w:val="21"/>
                <w:highlight w:val="none"/>
                <w:lang w:val="en-US" w:eastAsia="zh-CN"/>
              </w:rPr>
              <w:t>市级有关行业</w:t>
            </w:r>
            <w:r>
              <w:rPr>
                <w:rFonts w:hint="eastAsia" w:ascii="宋体" w:hAnsi="宋体" w:eastAsia="宋体" w:cs="宋体"/>
                <w:color w:val="auto"/>
                <w:szCs w:val="21"/>
                <w:highlight w:val="none"/>
              </w:rPr>
              <w:t>主管部门暂停在渝承揽新业务且在暂停期内；</w:t>
            </w:r>
          </w:p>
          <w:p w14:paraId="2490D3B8">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（6）被责令停业，暂扣或吊销执照，或吊销资质证书；</w:t>
            </w:r>
          </w:p>
          <w:p w14:paraId="18A9DAAA">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（7）进入清算程序，或被宣告破产，或其他丧失履约能力的情形；</w:t>
            </w:r>
          </w:p>
          <w:p w14:paraId="23AD1203">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（8）在国家企业信用信息公示系统（http://www.gsxt.gov.cn/）中被列入严重违法失信企业名单；</w:t>
            </w:r>
          </w:p>
          <w:p w14:paraId="4E222C94">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（9）投标人或其法定代表人、拟委任的项目经理在近两年内有行贿犯罪行为的。</w:t>
            </w:r>
          </w:p>
          <w:p w14:paraId="3C1D5240">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投标人须在投标文件资格审查部分提供承诺</w:t>
            </w:r>
            <w:r>
              <w:rPr>
                <w:rFonts w:hint="eastAsia" w:ascii="宋体" w:hAnsi="宋体" w:eastAsia="宋体" w:cs="宋体"/>
                <w:szCs w:val="21"/>
                <w:highlight w:val="none"/>
              </w:rPr>
              <w:t>（格式见第</w:t>
            </w:r>
            <w:r>
              <w:rPr>
                <w:rFonts w:hint="eastAsia" w:ascii="宋体" w:hAnsi="宋体" w:eastAsia="宋体" w:cs="宋体"/>
                <w:szCs w:val="21"/>
                <w:highlight w:val="none"/>
                <w:lang w:eastAsia="zh-CN"/>
              </w:rPr>
              <w:t>九</w:t>
            </w:r>
            <w:r>
              <w:rPr>
                <w:rFonts w:hint="eastAsia" w:ascii="宋体" w:hAnsi="宋体" w:eastAsia="宋体" w:cs="宋体"/>
                <w:szCs w:val="21"/>
                <w:highlight w:val="none"/>
              </w:rPr>
              <w:t>章投标文件格式）</w:t>
            </w:r>
            <w:r>
              <w:rPr>
                <w:rFonts w:hint="eastAsia" w:ascii="宋体" w:hAnsi="宋体" w:eastAsia="宋体" w:cs="宋体"/>
                <w:color w:val="auto"/>
                <w:szCs w:val="21"/>
                <w:highlight w:val="none"/>
              </w:rPr>
              <w:t>。</w:t>
            </w:r>
          </w:p>
          <w:p w14:paraId="10D2A3B7">
            <w:pPr>
              <w:keepNext w:val="0"/>
              <w:keepLines w:val="0"/>
              <w:suppressLineNumbers w:val="0"/>
              <w:autoSpaceDE w:val="0"/>
              <w:autoSpaceDN w:val="0"/>
              <w:adjustRightInd w:val="0"/>
              <w:snapToGrid w:val="0"/>
              <w:spacing w:before="0" w:beforeAutospacing="0" w:after="0" w:afterLines="0" w:afterAutospacing="0" w:line="400" w:lineRule="exact"/>
              <w:ind w:left="0" w:right="0" w:firstLine="422" w:firstLineChars="200"/>
              <w:rPr>
                <w:rFonts w:hint="eastAsia" w:ascii="宋体" w:hAnsi="宋体" w:eastAsia="宋体" w:cs="宋体"/>
                <w:b/>
                <w:color w:val="auto"/>
                <w:kern w:val="0"/>
                <w:szCs w:val="21"/>
                <w:highlight w:val="none"/>
                <w:lang w:bidi="ar"/>
              </w:rPr>
            </w:pPr>
            <w:r>
              <w:rPr>
                <w:rFonts w:hint="eastAsia" w:ascii="宋体" w:hAnsi="宋体" w:cs="宋体"/>
                <w:b/>
                <w:color w:val="auto"/>
                <w:kern w:val="0"/>
                <w:szCs w:val="21"/>
                <w:highlight w:val="none"/>
                <w:lang w:val="en-US" w:eastAsia="zh-CN" w:bidi="ar"/>
              </w:rPr>
              <w:t>4</w:t>
            </w:r>
            <w:r>
              <w:rPr>
                <w:rFonts w:hint="eastAsia" w:ascii="宋体" w:hAnsi="宋体" w:eastAsia="宋体" w:cs="宋体"/>
                <w:b/>
                <w:color w:val="auto"/>
                <w:kern w:val="0"/>
                <w:szCs w:val="21"/>
                <w:highlight w:val="none"/>
                <w:lang w:bidi="ar"/>
              </w:rPr>
              <w:t>、项目经理和项目总工资格</w:t>
            </w:r>
          </w:p>
          <w:p w14:paraId="2D2B45F0">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bCs/>
                <w:snapToGrid w:val="0"/>
                <w:color w:val="auto"/>
                <w:szCs w:val="21"/>
                <w:highlight w:val="none"/>
              </w:rPr>
            </w:pP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rPr>
              <w:t>.1</w:t>
            </w:r>
            <w:r>
              <w:rPr>
                <w:rFonts w:hint="eastAsia" w:ascii="宋体" w:hAnsi="宋体" w:eastAsia="宋体" w:cs="宋体"/>
                <w:bCs/>
                <w:snapToGrid w:val="0"/>
                <w:color w:val="auto"/>
                <w:szCs w:val="21"/>
                <w:highlight w:val="none"/>
              </w:rPr>
              <w:t>项目经理：1 人。</w:t>
            </w:r>
          </w:p>
          <w:p w14:paraId="3AC5EF15">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rPr>
              <w:t>.1.1投标人拟派的项目经理必须已在投标人本单位注册并应具有</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u w:val="single"/>
              </w:rPr>
              <w:t>机电工程专业</w:t>
            </w:r>
            <w:r>
              <w:rPr>
                <w:rFonts w:hint="eastAsia" w:ascii="宋体" w:hAnsi="宋体" w:cs="宋体"/>
                <w:color w:val="auto"/>
                <w:szCs w:val="21"/>
                <w:highlight w:val="none"/>
                <w:u w:val="single"/>
                <w:lang w:eastAsia="zh-CN"/>
              </w:rPr>
              <w:t>二级注册建造师</w:t>
            </w:r>
            <w:r>
              <w:rPr>
                <w:rFonts w:hint="eastAsia" w:ascii="宋体" w:hAnsi="宋体" w:eastAsia="宋体" w:cs="宋体"/>
                <w:color w:val="auto"/>
                <w:szCs w:val="21"/>
                <w:highlight w:val="none"/>
              </w:rPr>
              <w:t>执业资格，</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并具有省级及以上交通行政主管部门</w:t>
            </w:r>
            <w:r>
              <w:rPr>
                <w:rFonts w:hint="eastAsia" w:ascii="宋体" w:hAnsi="宋体" w:eastAsia="宋体" w:cs="宋体"/>
                <w:color w:val="auto"/>
                <w:szCs w:val="21"/>
                <w:highlight w:val="none"/>
                <w:lang w:val="en-US" w:eastAsia="zh-CN"/>
              </w:rPr>
              <w:t>或者建设主管部门</w:t>
            </w:r>
            <w:r>
              <w:rPr>
                <w:rFonts w:hint="eastAsia" w:ascii="宋体" w:hAnsi="宋体" w:eastAsia="宋体" w:cs="宋体"/>
                <w:color w:val="auto"/>
                <w:szCs w:val="21"/>
                <w:highlight w:val="none"/>
              </w:rPr>
              <w:t>颁发的</w:t>
            </w:r>
            <w:r>
              <w:rPr>
                <w:rFonts w:hint="eastAsia" w:ascii="宋体" w:hAnsi="宋体" w:eastAsia="宋体" w:cs="宋体"/>
                <w:color w:val="auto"/>
                <w:szCs w:val="21"/>
                <w:highlight w:val="none"/>
                <w:u w:val="single"/>
              </w:rPr>
              <w:t>安全生产考核合格证书（B类）</w:t>
            </w:r>
            <w:r>
              <w:rPr>
                <w:rFonts w:hint="eastAsia" w:ascii="宋体" w:hAnsi="宋体" w:eastAsia="宋体" w:cs="宋体"/>
                <w:color w:val="auto"/>
                <w:szCs w:val="21"/>
                <w:highlight w:val="none"/>
                <w:lang w:val="en-US" w:eastAsia="zh-CN"/>
              </w:rPr>
              <w:t>。</w:t>
            </w:r>
          </w:p>
          <w:p w14:paraId="7C6A2442">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rPr>
              <w:t>.1.2项目经理承诺要求：投标人须承诺拟派项目经理按注册建造师的相关规定到岗履职和未被禁止参与投标。</w:t>
            </w:r>
          </w:p>
          <w:p w14:paraId="68BCAA60">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rPr>
              <w:t>.1.2.1到岗履职承诺要求：承诺拟派项目经理中标后在本项目任职，签订合同时拟派的项目经理必须与投标文件中的项目经理一致，并满足办理施工许可手续的相关要求。不能按承诺到岗履约的，按合同相关条款处罚并上报行政主管部门，给招标人造成损失的，投标人依法承担违约赔偿责任。拟派项目经理中标后不得随意更换。</w:t>
            </w:r>
          </w:p>
          <w:p w14:paraId="0AF32DC1">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rPr>
              <w:t>.1.2.2未被禁止参与投标承诺要求：承诺拟派项目经理未被重庆市</w:t>
            </w:r>
            <w:r>
              <w:rPr>
                <w:rFonts w:hint="eastAsia" w:ascii="宋体" w:hAnsi="宋体" w:eastAsia="宋体" w:cs="宋体"/>
                <w:color w:val="auto"/>
                <w:szCs w:val="21"/>
                <w:highlight w:val="none"/>
                <w:lang w:val="en-US" w:eastAsia="zh-CN"/>
              </w:rPr>
              <w:t>市级有关行业</w:t>
            </w:r>
            <w:r>
              <w:rPr>
                <w:rFonts w:hint="eastAsia" w:ascii="宋体" w:hAnsi="宋体" w:eastAsia="宋体" w:cs="宋体"/>
                <w:color w:val="auto"/>
                <w:szCs w:val="21"/>
                <w:highlight w:val="none"/>
              </w:rPr>
              <w:t>主管部门暂停在渝承揽新业务。若被暂停在渝承揽新业务但仍参加投标，将被否决投标；已取得中标候选人资格或中标资格的，招标人有权取消其中标候选人资格或中标资格；给招标人造成损失的，投标人依法承担违约赔偿责任。</w:t>
            </w:r>
          </w:p>
          <w:p w14:paraId="1A996C13">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000000"/>
                <w:szCs w:val="21"/>
                <w:highlight w:val="none"/>
              </w:rPr>
            </w:pP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rPr>
              <w:t>.1.2.3</w:t>
            </w:r>
            <w:r>
              <w:rPr>
                <w:rFonts w:hint="eastAsia" w:ascii="宋体" w:hAnsi="宋体" w:eastAsia="宋体" w:cs="宋体"/>
                <w:color w:val="000000"/>
                <w:szCs w:val="21"/>
                <w:highlight w:val="none"/>
              </w:rPr>
              <w:t>项目经理的其它承诺要求：为保证</w:t>
            </w:r>
            <w:r>
              <w:rPr>
                <w:rFonts w:hint="eastAsia" w:ascii="宋体" w:hAnsi="宋体" w:eastAsia="宋体" w:cs="宋体"/>
                <w:color w:val="000000"/>
                <w:szCs w:val="21"/>
                <w:highlight w:val="none"/>
                <w:lang w:val="en-US" w:eastAsia="zh-CN"/>
              </w:rPr>
              <w:t>投标人</w:t>
            </w:r>
            <w:r>
              <w:rPr>
                <w:rFonts w:hint="eastAsia" w:ascii="宋体" w:hAnsi="宋体" w:eastAsia="宋体" w:cs="宋体"/>
                <w:color w:val="000000"/>
                <w:szCs w:val="21"/>
                <w:highlight w:val="none"/>
              </w:rPr>
              <w:t>拟派的项目经理到本项目到岗履职，</w:t>
            </w:r>
            <w:r>
              <w:rPr>
                <w:rFonts w:hint="eastAsia" w:ascii="宋体" w:hAnsi="宋体" w:eastAsia="宋体" w:cs="宋体"/>
                <w:color w:val="000000"/>
                <w:szCs w:val="21"/>
                <w:highlight w:val="none"/>
                <w:lang w:val="en-US" w:eastAsia="zh-CN"/>
              </w:rPr>
              <w:t>投标人</w:t>
            </w:r>
            <w:r>
              <w:rPr>
                <w:rFonts w:hint="eastAsia" w:ascii="宋体" w:hAnsi="宋体" w:eastAsia="宋体" w:cs="宋体"/>
                <w:color w:val="000000"/>
                <w:szCs w:val="21"/>
                <w:highlight w:val="none"/>
              </w:rPr>
              <w:t>还需承诺：</w:t>
            </w:r>
          </w:p>
          <w:p w14:paraId="56F96503">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若</w:t>
            </w:r>
            <w:r>
              <w:rPr>
                <w:rFonts w:hint="eastAsia" w:ascii="宋体" w:hAnsi="宋体" w:eastAsia="宋体" w:cs="宋体"/>
                <w:color w:val="000000"/>
                <w:szCs w:val="21"/>
                <w:highlight w:val="none"/>
                <w:lang w:val="en-US" w:eastAsia="zh-CN"/>
              </w:rPr>
              <w:t>投标人</w:t>
            </w:r>
            <w:r>
              <w:rPr>
                <w:rFonts w:hint="eastAsia" w:ascii="宋体" w:hAnsi="宋体" w:eastAsia="宋体" w:cs="宋体"/>
                <w:color w:val="000000"/>
                <w:szCs w:val="21"/>
                <w:highlight w:val="none"/>
              </w:rPr>
              <w:t>拟派本项目的项目经理有在其他项目任职的情形的（或有在其他项目中标或拟中标的情形的），应在收到中标通知书后</w:t>
            </w:r>
            <w:r>
              <w:rPr>
                <w:rFonts w:hint="eastAsia" w:ascii="宋体" w:hAnsi="宋体" w:eastAsia="宋体" w:cs="宋体"/>
                <w:color w:val="000000"/>
                <w:szCs w:val="21"/>
                <w:highlight w:val="none"/>
                <w:u w:val="single"/>
              </w:rPr>
              <w:t xml:space="preserve"> 14 </w:t>
            </w:r>
            <w:r>
              <w:rPr>
                <w:rFonts w:hint="eastAsia" w:ascii="宋体" w:hAnsi="宋体" w:eastAsia="宋体" w:cs="宋体"/>
                <w:color w:val="000000"/>
                <w:szCs w:val="21"/>
                <w:highlight w:val="none"/>
              </w:rPr>
              <w:t>日内，办理完成放弃在其他项目任职的手续（或办理完成放弃在其他项目中标或拟中标的手续），招标人在合同签订前有权对</w:t>
            </w:r>
            <w:r>
              <w:rPr>
                <w:rFonts w:hint="eastAsia" w:ascii="宋体" w:hAnsi="宋体" w:eastAsia="宋体" w:cs="宋体"/>
                <w:color w:val="000000"/>
                <w:szCs w:val="21"/>
                <w:highlight w:val="none"/>
                <w:lang w:val="en-US" w:eastAsia="zh-CN"/>
              </w:rPr>
              <w:t>投标人</w:t>
            </w:r>
            <w:r>
              <w:rPr>
                <w:rFonts w:hint="eastAsia" w:ascii="宋体" w:hAnsi="宋体" w:eastAsia="宋体" w:cs="宋体"/>
                <w:color w:val="000000"/>
                <w:szCs w:val="21"/>
                <w:highlight w:val="none"/>
              </w:rPr>
              <w:t>拟派项目经理在其他项目的任职情形（或在其他项目的中标或拟中标情形）进行核查，若与</w:t>
            </w:r>
            <w:r>
              <w:rPr>
                <w:rFonts w:hint="eastAsia" w:ascii="宋体" w:hAnsi="宋体" w:eastAsia="宋体" w:cs="宋体"/>
                <w:color w:val="000000"/>
                <w:szCs w:val="21"/>
                <w:highlight w:val="none"/>
                <w:lang w:val="en-US" w:eastAsia="zh-CN"/>
              </w:rPr>
              <w:t>投标人</w:t>
            </w:r>
            <w:r>
              <w:rPr>
                <w:rFonts w:hint="eastAsia" w:ascii="宋体" w:hAnsi="宋体" w:eastAsia="宋体" w:cs="宋体"/>
                <w:color w:val="000000"/>
                <w:szCs w:val="21"/>
                <w:highlight w:val="none"/>
              </w:rPr>
              <w:t>承诺内容不符或</w:t>
            </w:r>
            <w:r>
              <w:rPr>
                <w:rFonts w:hint="eastAsia" w:ascii="宋体" w:hAnsi="宋体" w:eastAsia="宋体" w:cs="宋体"/>
                <w:color w:val="000000"/>
                <w:szCs w:val="21"/>
                <w:highlight w:val="none"/>
                <w:lang w:val="en-US" w:eastAsia="zh-CN"/>
              </w:rPr>
              <w:t>投标人</w:t>
            </w:r>
            <w:r>
              <w:rPr>
                <w:rFonts w:hint="eastAsia" w:ascii="宋体" w:hAnsi="宋体" w:eastAsia="宋体" w:cs="宋体"/>
                <w:color w:val="000000"/>
                <w:szCs w:val="21"/>
                <w:highlight w:val="none"/>
              </w:rPr>
              <w:t>未在上述时间内按照招标文件规定递交放弃在其他项目任职、中标或拟中标的相关资料，视为</w:t>
            </w:r>
            <w:r>
              <w:rPr>
                <w:rFonts w:hint="eastAsia" w:ascii="宋体" w:hAnsi="宋体" w:eastAsia="宋体" w:cs="宋体"/>
                <w:color w:val="000000"/>
                <w:szCs w:val="21"/>
                <w:highlight w:val="none"/>
                <w:lang w:val="en-US" w:eastAsia="zh-CN"/>
              </w:rPr>
              <w:t>投标人</w:t>
            </w:r>
            <w:r>
              <w:rPr>
                <w:rFonts w:hint="eastAsia" w:ascii="宋体" w:hAnsi="宋体" w:eastAsia="宋体" w:cs="宋体"/>
                <w:color w:val="000000"/>
                <w:szCs w:val="21"/>
                <w:highlight w:val="none"/>
              </w:rPr>
              <w:t>放弃中标资格，招标人不退还其投标保证金。在合同签订时，</w:t>
            </w:r>
            <w:r>
              <w:rPr>
                <w:rFonts w:hint="eastAsia" w:ascii="宋体" w:hAnsi="宋体" w:eastAsia="宋体" w:cs="宋体"/>
                <w:color w:val="000000"/>
                <w:szCs w:val="21"/>
                <w:highlight w:val="none"/>
                <w:lang w:val="en-US" w:eastAsia="zh-CN"/>
              </w:rPr>
              <w:t>投标人</w:t>
            </w:r>
            <w:r>
              <w:rPr>
                <w:rFonts w:hint="eastAsia" w:ascii="宋体" w:hAnsi="宋体" w:eastAsia="宋体" w:cs="宋体"/>
                <w:color w:val="000000"/>
                <w:szCs w:val="21"/>
                <w:highlight w:val="none"/>
              </w:rPr>
              <w:t>需确保拟派项目经理符合《建筑施工企业项目经理资质管理办法》规定的项目经理任职条件，否则视为</w:t>
            </w:r>
            <w:r>
              <w:rPr>
                <w:rFonts w:hint="eastAsia" w:ascii="宋体" w:hAnsi="宋体" w:eastAsia="宋体" w:cs="宋体"/>
                <w:color w:val="000000"/>
                <w:szCs w:val="21"/>
                <w:highlight w:val="none"/>
                <w:lang w:val="en-US" w:eastAsia="zh-CN"/>
              </w:rPr>
              <w:t>投标人</w:t>
            </w:r>
            <w:r>
              <w:rPr>
                <w:rFonts w:hint="eastAsia" w:ascii="宋体" w:hAnsi="宋体" w:eastAsia="宋体" w:cs="宋体"/>
                <w:color w:val="000000"/>
                <w:szCs w:val="21"/>
                <w:highlight w:val="none"/>
              </w:rPr>
              <w:t>放弃中标资格，招标人不退还其投标保证金。</w:t>
            </w:r>
          </w:p>
          <w:p w14:paraId="37A1851D">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放弃在其他项目任职的需提供</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①</w:t>
            </w:r>
            <w:r>
              <w:rPr>
                <w:rFonts w:hint="eastAsia" w:ascii="宋体" w:hAnsi="宋体" w:eastAsia="宋体" w:cs="宋体"/>
                <w:color w:val="000000"/>
                <w:szCs w:val="21"/>
                <w:highlight w:val="none"/>
                <w:lang w:val="en-US" w:eastAsia="zh-CN"/>
              </w:rPr>
              <w:t>经</w:t>
            </w:r>
            <w:r>
              <w:rPr>
                <w:rFonts w:hint="eastAsia" w:ascii="宋体" w:hAnsi="宋体" w:eastAsia="宋体" w:cs="宋体"/>
                <w:color w:val="000000"/>
                <w:szCs w:val="21"/>
                <w:highlight w:val="none"/>
              </w:rPr>
              <w:t>业主或建设单位同意任职变更的文件；②负责项目监管的行业行政主管部门出具同意任职变更的证明材料。</w:t>
            </w:r>
          </w:p>
          <w:p w14:paraId="0FCC9162">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000000"/>
                <w:szCs w:val="21"/>
                <w:highlight w:val="none"/>
              </w:rPr>
              <w:t>放弃在其他项目中标或拟中标的需提供</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①经中标或拟中标的其他项目建设单位同意的放弃中标函</w:t>
            </w:r>
            <w:r>
              <w:rPr>
                <w:rFonts w:hint="eastAsia" w:ascii="宋体" w:hAnsi="宋体" w:eastAsia="宋体" w:cs="宋体"/>
                <w:color w:val="auto"/>
                <w:szCs w:val="21"/>
                <w:highlight w:val="none"/>
              </w:rPr>
              <w:t>。</w:t>
            </w:r>
          </w:p>
          <w:p w14:paraId="1B044057">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rPr>
              <w:t>.1.2.4未提供上述承诺或承诺内容不符合要求的，由评标委员会作否决投标处理</w:t>
            </w:r>
            <w:r>
              <w:rPr>
                <w:rFonts w:hint="eastAsia" w:ascii="宋体" w:hAnsi="宋体" w:eastAsia="宋体" w:cs="宋体"/>
                <w:color w:val="000000"/>
                <w:sz w:val="21"/>
                <w:szCs w:val="21"/>
                <w:highlight w:val="none"/>
              </w:rPr>
              <w:t>。</w:t>
            </w:r>
          </w:p>
          <w:p w14:paraId="1787454C">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投标人须在投标文件资格审查部分提供有效的拟派项目经理身份证、建造师注册证、安全生产考核合格证书（B类）、投标人为其交纳的养老保险证明材料</w:t>
            </w:r>
            <w:r>
              <w:rPr>
                <w:rFonts w:hint="eastAsia" w:ascii="宋体" w:hAnsi="宋体" w:eastAsia="宋体" w:cs="宋体"/>
                <w:color w:val="auto"/>
                <w:szCs w:val="21"/>
                <w:highlight w:val="none"/>
                <w:lang w:val="en-US" w:eastAsia="zh-CN"/>
              </w:rPr>
              <w:t>复印件</w:t>
            </w:r>
            <w:r>
              <w:rPr>
                <w:rFonts w:hint="eastAsia" w:ascii="宋体" w:hAnsi="宋体" w:eastAsia="宋体" w:cs="宋体"/>
                <w:color w:val="auto"/>
                <w:szCs w:val="21"/>
                <w:highlight w:val="none"/>
              </w:rPr>
              <w:t>，拟派项目经理到岗履职和未被禁止参与投标的承诺（承诺格式见第九章投标文件格式）</w:t>
            </w:r>
            <w:r>
              <w:rPr>
                <w:rFonts w:hint="eastAsia" w:ascii="宋体" w:hAnsi="宋体" w:eastAsia="宋体" w:cs="宋体"/>
                <w:color w:val="auto"/>
                <w:szCs w:val="21"/>
                <w:highlight w:val="none"/>
                <w:lang w:eastAsia="zh-CN"/>
              </w:rPr>
              <w:t>。</w:t>
            </w:r>
          </w:p>
          <w:p w14:paraId="1E79B43B">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注：</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lang w:val="en-US" w:eastAsia="zh-CN"/>
              </w:rPr>
              <w:t>1</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提供拟派的项目经理为</w:t>
            </w:r>
            <w:r>
              <w:rPr>
                <w:rFonts w:hint="eastAsia" w:ascii="宋体" w:hAnsi="宋体" w:cs="宋体"/>
                <w:kern w:val="0"/>
                <w:szCs w:val="21"/>
                <w:highlight w:val="none"/>
                <w:lang w:eastAsia="zh-CN"/>
              </w:rPr>
              <w:t>二级建造师</w:t>
            </w:r>
            <w:r>
              <w:rPr>
                <w:rFonts w:hint="eastAsia" w:ascii="宋体" w:hAnsi="宋体" w:eastAsia="宋体" w:cs="宋体"/>
                <w:kern w:val="0"/>
                <w:szCs w:val="21"/>
                <w:highlight w:val="none"/>
              </w:rPr>
              <w:t>注册人员的，必须提供建造师电子注册证书，且该建造师电子注册证书须由建造师本人在个人签名处手写本人签名。</w:t>
            </w:r>
          </w:p>
          <w:p w14:paraId="3C012CEF">
            <w:pPr>
              <w:keepNext w:val="0"/>
              <w:keepLines w:val="0"/>
              <w:suppressLineNumbers w:val="0"/>
              <w:autoSpaceDE w:val="0"/>
              <w:autoSpaceDN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lang w:val="en-US" w:eastAsia="zh-CN"/>
              </w:rPr>
              <w:t>2</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建造师电子注册证书本人手写签名与签名图像笔迹是否一致不作为否决投标的情形。</w:t>
            </w:r>
          </w:p>
          <w:p w14:paraId="2AF27A3D">
            <w:pPr>
              <w:keepNext w:val="0"/>
              <w:keepLines w:val="0"/>
              <w:suppressLineNumbers w:val="0"/>
              <w:autoSpaceDE w:val="0"/>
              <w:autoSpaceDN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rPr>
              <w:t>.1.3项目经理业绩</w:t>
            </w:r>
          </w:p>
          <w:p w14:paraId="3C177C6D">
            <w:pPr>
              <w:keepNext w:val="0"/>
              <w:keepLines w:val="0"/>
              <w:suppressLineNumbers w:val="0"/>
              <w:autoSpaceDE w:val="0"/>
              <w:autoSpaceDN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投标人拟派的</w:t>
            </w:r>
            <w:r>
              <w:rPr>
                <w:rFonts w:hint="eastAsia" w:ascii="宋体" w:hAnsi="宋体" w:cs="宋体"/>
                <w:color w:val="auto"/>
                <w:kern w:val="0"/>
                <w:szCs w:val="21"/>
                <w:highlight w:val="none"/>
                <w:lang w:eastAsia="zh-CN"/>
              </w:rPr>
              <w:t>具有</w:t>
            </w:r>
            <w:r>
              <w:rPr>
                <w:rFonts w:hint="eastAsia" w:ascii="宋体" w:hAnsi="宋体" w:cs="宋体"/>
                <w:color w:val="auto"/>
                <w:kern w:val="0"/>
                <w:szCs w:val="21"/>
                <w:highlight w:val="none"/>
                <w:lang w:val="en-US" w:eastAsia="zh-CN"/>
              </w:rPr>
              <w:t>在</w:t>
            </w:r>
            <w:r>
              <w:rPr>
                <w:rFonts w:hint="eastAsia" w:ascii="宋体" w:hAnsi="宋体" w:cs="宋体"/>
                <w:color w:val="auto"/>
                <w:kern w:val="0"/>
                <w:szCs w:val="21"/>
                <w:highlight w:val="none"/>
              </w:rPr>
              <w:t>1个10kv及以上高压外线工程施工项目</w:t>
            </w:r>
            <w:r>
              <w:rPr>
                <w:rFonts w:hint="eastAsia" w:ascii="宋体" w:hAnsi="宋体" w:cs="宋体"/>
                <w:color w:val="auto"/>
                <w:kern w:val="0"/>
                <w:szCs w:val="21"/>
                <w:highlight w:val="none"/>
                <w:lang w:eastAsia="zh-CN"/>
              </w:rPr>
              <w:t>中</w:t>
            </w:r>
            <w:r>
              <w:rPr>
                <w:rFonts w:hint="eastAsia" w:ascii="宋体" w:hAnsi="宋体" w:cs="宋体"/>
                <w:color w:val="auto"/>
                <w:kern w:val="0"/>
                <w:szCs w:val="21"/>
                <w:highlight w:val="none"/>
                <w:lang w:val="en-US" w:eastAsia="zh-CN"/>
              </w:rPr>
              <w:t>担任</w:t>
            </w:r>
            <w:r>
              <w:rPr>
                <w:rFonts w:hint="eastAsia" w:ascii="宋体" w:hAnsi="宋体" w:cs="宋体"/>
                <w:color w:val="auto"/>
                <w:kern w:val="0"/>
                <w:szCs w:val="21"/>
                <w:highlight w:val="none"/>
              </w:rPr>
              <w:t>项目经理</w:t>
            </w:r>
            <w:r>
              <w:rPr>
                <w:rFonts w:hint="eastAsia" w:ascii="宋体" w:hAnsi="宋体" w:cs="宋体"/>
                <w:color w:val="auto"/>
                <w:kern w:val="0"/>
                <w:szCs w:val="21"/>
                <w:highlight w:val="none"/>
                <w:lang w:val="en-US" w:eastAsia="zh-CN"/>
              </w:rPr>
              <w:t>的业绩</w:t>
            </w:r>
            <w:r>
              <w:rPr>
                <w:rFonts w:hint="eastAsia" w:ascii="宋体" w:hAnsi="宋体" w:eastAsia="宋体" w:cs="宋体"/>
                <w:color w:val="auto"/>
                <w:kern w:val="0"/>
                <w:szCs w:val="21"/>
                <w:highlight w:val="none"/>
                <w:lang w:val="en-US" w:eastAsia="zh-CN"/>
              </w:rPr>
              <w:t>。</w:t>
            </w:r>
          </w:p>
          <w:p w14:paraId="195D85CC">
            <w:pPr>
              <w:keepNext w:val="0"/>
              <w:keepLines w:val="0"/>
              <w:suppressLineNumbers w:val="0"/>
              <w:autoSpaceDE w:val="0"/>
              <w:autoSpaceDN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w:t>
            </w:r>
            <w:r>
              <w:rPr>
                <w:rFonts w:hint="eastAsia" w:ascii="宋体" w:hAnsi="宋体" w:eastAsia="宋体" w:cs="宋体"/>
                <w:color w:val="auto"/>
                <w:szCs w:val="21"/>
                <w:highlight w:val="none"/>
                <w:lang w:eastAsia="zh-CN"/>
              </w:rPr>
              <w:t>须</w:t>
            </w:r>
            <w:r>
              <w:rPr>
                <w:rFonts w:hint="eastAsia" w:ascii="宋体" w:hAnsi="宋体" w:eastAsia="宋体" w:cs="宋体"/>
                <w:color w:val="auto"/>
                <w:szCs w:val="21"/>
                <w:highlight w:val="none"/>
              </w:rPr>
              <w:t>在投标文件资格审查部分</w:t>
            </w:r>
            <w:r>
              <w:rPr>
                <w:rFonts w:hint="eastAsia" w:ascii="宋体" w:hAnsi="宋体" w:eastAsia="宋体" w:cs="宋体"/>
                <w:color w:val="auto"/>
                <w:szCs w:val="21"/>
                <w:highlight w:val="none"/>
                <w:lang w:val="en-US" w:eastAsia="zh-CN"/>
              </w:rPr>
              <w:t>可</w:t>
            </w:r>
            <w:r>
              <w:rPr>
                <w:rFonts w:hint="eastAsia" w:ascii="宋体" w:hAnsi="宋体" w:eastAsia="宋体" w:cs="宋体"/>
                <w:color w:val="auto"/>
                <w:szCs w:val="21"/>
                <w:highlight w:val="none"/>
              </w:rPr>
              <w:t>提供该项目经理业绩在交通运输部“全国公路建设市场信用信息管理系统”或“全国建筑市场监管公共服务平台”查询到相关项目网页截图</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提供的网页截图能够完全反映项目经理业绩信息的，无须再提供其他业绩证明材料</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lang w:val="en-US" w:eastAsia="zh-CN"/>
              </w:rPr>
              <w:t>未</w:t>
            </w:r>
            <w:r>
              <w:rPr>
                <w:rFonts w:hint="eastAsia" w:ascii="宋体" w:hAnsi="宋体" w:eastAsia="宋体" w:cs="宋体"/>
                <w:color w:val="auto"/>
                <w:szCs w:val="21"/>
                <w:highlight w:val="none"/>
                <w:lang w:eastAsia="zh-CN"/>
              </w:rPr>
              <w:t>提供网页截图</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lang w:eastAsia="zh-CN"/>
              </w:rPr>
              <w:t>，</w:t>
            </w:r>
            <w:r>
              <w:rPr>
                <w:rFonts w:hint="eastAsia" w:ascii="宋体" w:hAnsi="宋体" w:cs="宋体"/>
                <w:color w:val="auto"/>
                <w:szCs w:val="21"/>
                <w:highlight w:val="none"/>
                <w:lang w:eastAsia="zh-CN"/>
              </w:rPr>
              <w:t>可以提供合同协议书或其他证明材料复印件</w:t>
            </w:r>
            <w:r>
              <w:rPr>
                <w:rFonts w:hint="eastAsia" w:ascii="宋体" w:hAnsi="宋体" w:eastAsia="宋体" w:cs="宋体"/>
                <w:color w:val="auto"/>
                <w:szCs w:val="21"/>
                <w:highlight w:val="none"/>
              </w:rPr>
              <w:t>。</w:t>
            </w:r>
          </w:p>
          <w:p w14:paraId="21C416FE">
            <w:pPr>
              <w:keepNext w:val="0"/>
              <w:keepLines w:val="0"/>
              <w:suppressLineNumbers w:val="0"/>
              <w:autoSpaceDE w:val="0"/>
              <w:autoSpaceDN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注：投标人应对其提供的业绩证明材料（含截图）的真实性负责。当上述资料中针对同一指标存在不一致时，</w:t>
            </w:r>
            <w:r>
              <w:rPr>
                <w:rFonts w:hint="eastAsia" w:ascii="宋体" w:hAnsi="宋体" w:eastAsia="宋体" w:cs="宋体"/>
                <w:color w:val="auto"/>
                <w:szCs w:val="21"/>
                <w:highlight w:val="none"/>
                <w:lang w:eastAsia="zh-CN"/>
              </w:rPr>
              <w:t>优先</w:t>
            </w:r>
            <w:r>
              <w:rPr>
                <w:rFonts w:hint="eastAsia" w:ascii="宋体" w:hAnsi="宋体" w:eastAsia="宋体" w:cs="宋体"/>
                <w:color w:val="auto"/>
                <w:szCs w:val="21"/>
                <w:highlight w:val="none"/>
              </w:rPr>
              <w:t>以相关项目网页截图为准。</w:t>
            </w:r>
          </w:p>
          <w:p w14:paraId="11B6939F">
            <w:pPr>
              <w:keepNext w:val="0"/>
              <w:keepLines w:val="0"/>
              <w:suppressLineNumbers w:val="0"/>
              <w:autoSpaceDE w:val="0"/>
              <w:autoSpaceDN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不满足上述业绩要求的业绩无效。</w:t>
            </w:r>
          </w:p>
          <w:p w14:paraId="4EF5CC67">
            <w:pPr>
              <w:keepNext w:val="0"/>
              <w:keepLines w:val="0"/>
              <w:suppressLineNumbers w:val="0"/>
              <w:autoSpaceDE/>
              <w:autoSpaceDN/>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cs="宋体"/>
                <w:bCs/>
                <w:snapToGrid w:val="0"/>
                <w:color w:val="auto"/>
                <w:szCs w:val="21"/>
                <w:highlight w:val="none"/>
                <w:lang w:val="en-US" w:eastAsia="zh-CN"/>
              </w:rPr>
              <w:t>4</w:t>
            </w:r>
            <w:r>
              <w:rPr>
                <w:rFonts w:hint="eastAsia" w:ascii="宋体" w:hAnsi="宋体" w:eastAsia="宋体" w:cs="宋体"/>
                <w:bCs/>
                <w:snapToGrid w:val="0"/>
                <w:color w:val="auto"/>
                <w:szCs w:val="21"/>
                <w:highlight w:val="none"/>
              </w:rPr>
              <w:t>.2项目总工：1人。</w:t>
            </w:r>
          </w:p>
          <w:p w14:paraId="5DD45130">
            <w:pPr>
              <w:keepNext w:val="0"/>
              <w:keepLines w:val="0"/>
              <w:suppressLineNumbers w:val="0"/>
              <w:autoSpaceDE/>
              <w:autoSpaceDN/>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5.2.1投标人拟派的项目总工必须已在投标人本单位注册并应具有</w:t>
            </w:r>
            <w:r>
              <w:rPr>
                <w:rFonts w:hint="eastAsia" w:ascii="宋体" w:hAnsi="宋体" w:cs="宋体"/>
                <w:color w:val="auto"/>
                <w:sz w:val="21"/>
                <w:szCs w:val="21"/>
                <w:highlight w:val="none"/>
                <w:lang w:val="en-US" w:eastAsia="zh-CN"/>
              </w:rPr>
              <w:t>中</w:t>
            </w:r>
            <w:r>
              <w:rPr>
                <w:rFonts w:hint="eastAsia" w:ascii="宋体" w:hAnsi="宋体" w:eastAsia="宋体" w:cs="宋体"/>
                <w:color w:val="auto"/>
                <w:sz w:val="21"/>
                <w:szCs w:val="21"/>
                <w:highlight w:val="none"/>
                <w:lang w:val="en-US" w:eastAsia="zh-CN"/>
              </w:rPr>
              <w:t>级工程师职称</w:t>
            </w:r>
            <w:r>
              <w:rPr>
                <w:rFonts w:hint="eastAsia" w:ascii="宋体" w:hAnsi="宋体" w:eastAsia="宋体" w:cs="宋体"/>
                <w:color w:val="auto"/>
                <w:szCs w:val="21"/>
                <w:highlight w:val="none"/>
              </w:rPr>
              <w:t>。</w:t>
            </w:r>
          </w:p>
          <w:p w14:paraId="16ED106E">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5.2.2项目总工承诺要求：投标人须承诺拟派项目总工按相关规定到岗履职和未被禁止参与投标。</w:t>
            </w:r>
          </w:p>
          <w:p w14:paraId="018DD5B5">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5.2.2.1到岗履职承诺要求：承诺拟派项目总工中标后</w:t>
            </w:r>
            <w:r>
              <w:rPr>
                <w:rFonts w:hint="eastAsia" w:ascii="宋体" w:hAnsi="宋体" w:eastAsia="宋体" w:cs="宋体"/>
                <w:color w:val="auto"/>
                <w:szCs w:val="21"/>
                <w:highlight w:val="none"/>
                <w:lang w:val="en-US" w:eastAsia="zh-CN"/>
              </w:rPr>
              <w:t>只能</w:t>
            </w:r>
            <w:r>
              <w:rPr>
                <w:rFonts w:hint="eastAsia" w:ascii="宋体" w:hAnsi="宋体" w:eastAsia="宋体" w:cs="宋体"/>
                <w:color w:val="auto"/>
                <w:szCs w:val="21"/>
                <w:highlight w:val="none"/>
              </w:rPr>
              <w:t>在本项目任职，签订合同时拟派的项目总工必须与投标文件中的项目总工一致，并满足办理施工许可手续的相关要求。不能按承诺到岗履约的，按合同相关条款处罚并上报行政主管部门，给招标人造成损失的，投标人依法承担违约赔偿责任。拟派项目总工中标后不得随意更换。</w:t>
            </w:r>
          </w:p>
          <w:p w14:paraId="0CAC5360">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5.2.2.2未被禁止参与投标承诺要求：承诺拟派项目总工未被重庆市交通主管部门暂停在渝承揽新业务。若被暂停在渝承揽新业务但仍参加投标，将被否决投标；已取得中标候选人资格或中标资格的，招标人有权取消其中标候选人资格或中标资格；给招标人造成损失的，投标人依法承担违约赔偿责任。</w:t>
            </w:r>
          </w:p>
          <w:p w14:paraId="243DE17F">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未提供上述承诺或承诺内容不符合要求的，由评标委员会作否决投标处理</w:t>
            </w:r>
            <w:r>
              <w:rPr>
                <w:rFonts w:hint="eastAsia" w:ascii="宋体" w:hAnsi="宋体" w:eastAsia="宋体" w:cs="宋体"/>
                <w:color w:val="000000"/>
                <w:sz w:val="21"/>
                <w:szCs w:val="21"/>
                <w:highlight w:val="none"/>
              </w:rPr>
              <w:t>。</w:t>
            </w:r>
          </w:p>
          <w:p w14:paraId="24C08D63">
            <w:pPr>
              <w:keepNext w:val="0"/>
              <w:keepLines w:val="0"/>
              <w:suppressLineNumbers w:val="0"/>
              <w:autoSpaceDE w:val="0"/>
              <w:autoSpaceDN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注：（1）投标人</w:t>
            </w:r>
            <w:r>
              <w:rPr>
                <w:rFonts w:hint="eastAsia" w:ascii="宋体" w:hAnsi="宋体" w:eastAsia="宋体" w:cs="宋体"/>
                <w:color w:val="auto"/>
                <w:szCs w:val="21"/>
                <w:highlight w:val="none"/>
                <w:lang w:eastAsia="zh-CN"/>
              </w:rPr>
              <w:t>须</w:t>
            </w:r>
            <w:r>
              <w:rPr>
                <w:rFonts w:hint="eastAsia" w:ascii="宋体" w:hAnsi="宋体" w:eastAsia="宋体" w:cs="宋体"/>
                <w:color w:val="auto"/>
                <w:szCs w:val="21"/>
                <w:highlight w:val="none"/>
              </w:rPr>
              <w:t>在投标文件资格审查部分提供有效的拟派项目总工身份证、</w:t>
            </w:r>
            <w:r>
              <w:rPr>
                <w:rFonts w:hint="eastAsia" w:ascii="宋体" w:hAnsi="宋体" w:cs="宋体"/>
                <w:color w:val="auto"/>
                <w:szCs w:val="21"/>
                <w:highlight w:val="none"/>
                <w:lang w:val="en-US" w:eastAsia="zh-CN"/>
              </w:rPr>
              <w:t>职称证书</w:t>
            </w:r>
            <w:r>
              <w:rPr>
                <w:rFonts w:hint="eastAsia" w:ascii="宋体" w:hAnsi="宋体" w:eastAsia="宋体" w:cs="宋体"/>
                <w:color w:val="auto"/>
                <w:szCs w:val="21"/>
                <w:highlight w:val="none"/>
              </w:rPr>
              <w:t>、投标人为其交纳的养老保险证明材料</w:t>
            </w:r>
            <w:r>
              <w:rPr>
                <w:rFonts w:hint="eastAsia" w:ascii="宋体" w:hAnsi="宋体" w:eastAsia="宋体" w:cs="宋体"/>
                <w:color w:val="auto"/>
                <w:szCs w:val="21"/>
                <w:highlight w:val="none"/>
                <w:lang w:val="en-US" w:eastAsia="zh-CN"/>
              </w:rPr>
              <w:t>复印件</w:t>
            </w:r>
            <w:r>
              <w:rPr>
                <w:rFonts w:hint="eastAsia" w:ascii="宋体" w:hAnsi="宋体" w:eastAsia="宋体" w:cs="宋体"/>
                <w:color w:val="auto"/>
                <w:szCs w:val="21"/>
                <w:highlight w:val="none"/>
              </w:rPr>
              <w:t>，拟派项目总工到岗履职和未被禁止参与投标的承诺（承诺格式见第九章投标文件格式）。</w:t>
            </w:r>
          </w:p>
          <w:p w14:paraId="4887E165">
            <w:pPr>
              <w:keepNext w:val="0"/>
              <w:keepLines w:val="0"/>
              <w:suppressLineNumbers w:val="0"/>
              <w:autoSpaceDE w:val="0"/>
              <w:autoSpaceDN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5.2.3项目总工业绩</w:t>
            </w:r>
          </w:p>
          <w:p w14:paraId="15144FAA">
            <w:pPr>
              <w:keepNext w:val="0"/>
              <w:keepLines w:val="0"/>
              <w:suppressLineNumbers w:val="0"/>
              <w:autoSpaceDE w:val="0"/>
              <w:autoSpaceDN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lang w:val="en-US" w:eastAsia="zh-CN"/>
              </w:rPr>
              <w:t>投标人拟派的项目总工</w:t>
            </w:r>
            <w:r>
              <w:rPr>
                <w:rFonts w:hint="eastAsia" w:ascii="宋体" w:hAnsi="宋体" w:cs="宋体"/>
                <w:color w:val="auto"/>
                <w:kern w:val="0"/>
                <w:szCs w:val="21"/>
                <w:highlight w:val="none"/>
                <w:lang w:eastAsia="zh-CN"/>
              </w:rPr>
              <w:t>具有</w:t>
            </w:r>
            <w:r>
              <w:rPr>
                <w:rFonts w:hint="eastAsia" w:ascii="宋体" w:hAnsi="宋体" w:cs="宋体"/>
                <w:color w:val="auto"/>
                <w:kern w:val="0"/>
                <w:szCs w:val="21"/>
                <w:highlight w:val="none"/>
                <w:lang w:val="en-US" w:eastAsia="zh-CN"/>
              </w:rPr>
              <w:t>在</w:t>
            </w:r>
            <w:r>
              <w:rPr>
                <w:rFonts w:hint="eastAsia" w:ascii="宋体" w:hAnsi="宋体" w:cs="宋体"/>
                <w:color w:val="auto"/>
                <w:kern w:val="0"/>
                <w:szCs w:val="21"/>
                <w:highlight w:val="none"/>
              </w:rPr>
              <w:t>1个10kv及以上高压外线工程施工项目</w:t>
            </w:r>
            <w:r>
              <w:rPr>
                <w:rFonts w:hint="eastAsia" w:ascii="宋体" w:hAnsi="宋体" w:cs="宋体"/>
                <w:color w:val="auto"/>
                <w:kern w:val="0"/>
                <w:szCs w:val="21"/>
                <w:highlight w:val="none"/>
                <w:lang w:eastAsia="zh-CN"/>
              </w:rPr>
              <w:t>中</w:t>
            </w:r>
            <w:r>
              <w:rPr>
                <w:rFonts w:hint="eastAsia" w:ascii="宋体" w:hAnsi="宋体" w:cs="宋体"/>
                <w:color w:val="auto"/>
                <w:kern w:val="0"/>
                <w:szCs w:val="21"/>
                <w:highlight w:val="none"/>
                <w:lang w:val="en-US" w:eastAsia="zh-CN"/>
              </w:rPr>
              <w:t>担任</w:t>
            </w:r>
            <w:r>
              <w:rPr>
                <w:rFonts w:hint="eastAsia" w:ascii="宋体" w:hAnsi="宋体" w:cs="宋体"/>
                <w:color w:val="auto"/>
                <w:kern w:val="0"/>
                <w:szCs w:val="21"/>
                <w:highlight w:val="none"/>
              </w:rPr>
              <w:t>项目经理</w:t>
            </w:r>
            <w:r>
              <w:rPr>
                <w:rFonts w:hint="eastAsia" w:ascii="宋体" w:hAnsi="宋体" w:cs="宋体"/>
                <w:color w:val="auto"/>
                <w:kern w:val="0"/>
                <w:szCs w:val="21"/>
                <w:highlight w:val="none"/>
                <w:lang w:val="en-US" w:eastAsia="zh-CN"/>
              </w:rPr>
              <w:t>或项目</w:t>
            </w:r>
            <w:r>
              <w:rPr>
                <w:rFonts w:hint="eastAsia" w:ascii="宋体" w:hAnsi="宋体" w:eastAsia="宋体" w:cs="宋体"/>
                <w:color w:val="auto"/>
                <w:kern w:val="0"/>
                <w:szCs w:val="21"/>
                <w:highlight w:val="none"/>
              </w:rPr>
              <w:t>总工</w:t>
            </w:r>
            <w:r>
              <w:rPr>
                <w:rFonts w:hint="eastAsia" w:ascii="宋体" w:hAnsi="宋体" w:cs="宋体"/>
                <w:color w:val="auto"/>
                <w:kern w:val="0"/>
                <w:szCs w:val="21"/>
                <w:highlight w:val="none"/>
                <w:lang w:val="en-US" w:eastAsia="zh-CN"/>
              </w:rPr>
              <w:t>的业绩</w:t>
            </w:r>
            <w:r>
              <w:rPr>
                <w:rFonts w:hint="eastAsia" w:ascii="宋体" w:hAnsi="宋体" w:eastAsia="宋体" w:cs="宋体"/>
                <w:color w:val="auto"/>
                <w:kern w:val="0"/>
                <w:szCs w:val="21"/>
                <w:highlight w:val="none"/>
              </w:rPr>
              <w:t>。</w:t>
            </w:r>
          </w:p>
          <w:p w14:paraId="3DFBAE40">
            <w:pPr>
              <w:keepNext w:val="0"/>
              <w:keepLines w:val="0"/>
              <w:suppressLineNumbers w:val="0"/>
              <w:autoSpaceDE w:val="0"/>
              <w:autoSpaceDN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w:t>
            </w:r>
            <w:r>
              <w:rPr>
                <w:rFonts w:hint="eastAsia" w:ascii="宋体" w:hAnsi="宋体" w:eastAsia="宋体" w:cs="宋体"/>
                <w:color w:val="auto"/>
                <w:szCs w:val="21"/>
                <w:highlight w:val="none"/>
                <w:lang w:eastAsia="zh-CN"/>
              </w:rPr>
              <w:t>须</w:t>
            </w:r>
            <w:r>
              <w:rPr>
                <w:rFonts w:hint="eastAsia" w:ascii="宋体" w:hAnsi="宋体" w:eastAsia="宋体" w:cs="宋体"/>
                <w:color w:val="auto"/>
                <w:szCs w:val="21"/>
                <w:highlight w:val="none"/>
              </w:rPr>
              <w:t>在投标文件资格审查部分</w:t>
            </w:r>
            <w:r>
              <w:rPr>
                <w:rFonts w:hint="eastAsia" w:ascii="宋体" w:hAnsi="宋体" w:eastAsia="宋体" w:cs="宋体"/>
                <w:color w:val="auto"/>
                <w:szCs w:val="21"/>
                <w:highlight w:val="none"/>
                <w:lang w:val="en-US" w:eastAsia="zh-CN"/>
              </w:rPr>
              <w:t>可</w:t>
            </w:r>
            <w:r>
              <w:rPr>
                <w:rFonts w:hint="eastAsia" w:ascii="宋体" w:hAnsi="宋体" w:eastAsia="宋体" w:cs="宋体"/>
                <w:color w:val="auto"/>
                <w:szCs w:val="21"/>
                <w:highlight w:val="none"/>
              </w:rPr>
              <w:t>提供该项目</w:t>
            </w:r>
            <w:r>
              <w:rPr>
                <w:rFonts w:hint="eastAsia" w:ascii="宋体" w:hAnsi="宋体" w:eastAsia="宋体" w:cs="宋体"/>
                <w:color w:val="auto"/>
                <w:szCs w:val="21"/>
                <w:highlight w:val="none"/>
                <w:lang w:eastAsia="zh-CN"/>
              </w:rPr>
              <w:t>总工</w:t>
            </w:r>
            <w:r>
              <w:rPr>
                <w:rFonts w:hint="eastAsia" w:ascii="宋体" w:hAnsi="宋体" w:eastAsia="宋体" w:cs="宋体"/>
                <w:color w:val="auto"/>
                <w:szCs w:val="21"/>
                <w:highlight w:val="none"/>
              </w:rPr>
              <w:t>业绩在交通运输部“全国公路建设市场信用信息管理系统”或“全国建筑市场监管公共服务平台”查询到相关项目网页截图</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提供的网页截图能够完全反映项目</w:t>
            </w:r>
            <w:r>
              <w:rPr>
                <w:rFonts w:hint="eastAsia" w:ascii="宋体" w:hAnsi="宋体" w:cs="宋体"/>
                <w:color w:val="auto"/>
                <w:szCs w:val="21"/>
                <w:highlight w:val="none"/>
                <w:lang w:eastAsia="zh-CN"/>
              </w:rPr>
              <w:t>总工</w:t>
            </w:r>
            <w:r>
              <w:rPr>
                <w:rFonts w:hint="eastAsia" w:ascii="宋体" w:hAnsi="宋体" w:eastAsia="宋体" w:cs="宋体"/>
                <w:color w:val="auto"/>
                <w:szCs w:val="21"/>
                <w:highlight w:val="none"/>
              </w:rPr>
              <w:t>业绩信息的，无须再提供其他业绩证明材料</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lang w:val="en-US" w:eastAsia="zh-CN"/>
              </w:rPr>
              <w:t>未</w:t>
            </w:r>
            <w:r>
              <w:rPr>
                <w:rFonts w:hint="eastAsia" w:ascii="宋体" w:hAnsi="宋体" w:eastAsia="宋体" w:cs="宋体"/>
                <w:color w:val="auto"/>
                <w:szCs w:val="21"/>
                <w:highlight w:val="none"/>
                <w:lang w:eastAsia="zh-CN"/>
              </w:rPr>
              <w:t>提供网页截图</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lang w:eastAsia="zh-CN"/>
              </w:rPr>
              <w:t>，</w:t>
            </w:r>
            <w:r>
              <w:rPr>
                <w:rFonts w:hint="eastAsia" w:ascii="宋体" w:hAnsi="宋体" w:cs="宋体"/>
                <w:color w:val="auto"/>
                <w:szCs w:val="21"/>
                <w:highlight w:val="none"/>
                <w:lang w:eastAsia="zh-CN"/>
              </w:rPr>
              <w:t>可以提供合同协议书或其他证明材料复印件</w:t>
            </w:r>
            <w:r>
              <w:rPr>
                <w:rFonts w:hint="eastAsia" w:ascii="宋体" w:hAnsi="宋体" w:eastAsia="宋体" w:cs="宋体"/>
                <w:color w:val="auto"/>
                <w:szCs w:val="21"/>
                <w:highlight w:val="none"/>
              </w:rPr>
              <w:t>。</w:t>
            </w:r>
          </w:p>
          <w:p w14:paraId="5749028E">
            <w:pPr>
              <w:keepNext w:val="0"/>
              <w:keepLines w:val="0"/>
              <w:suppressLineNumbers w:val="0"/>
              <w:autoSpaceDE w:val="0"/>
              <w:autoSpaceDN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注：投标人应对其提供的业绩证明材料（含截图）的真实性负责。当上述资料中针对同一指标存在不一致时，</w:t>
            </w:r>
            <w:r>
              <w:rPr>
                <w:rFonts w:hint="eastAsia" w:ascii="宋体" w:hAnsi="宋体" w:eastAsia="宋体" w:cs="宋体"/>
                <w:color w:val="auto"/>
                <w:szCs w:val="21"/>
                <w:highlight w:val="none"/>
                <w:lang w:eastAsia="zh-CN"/>
              </w:rPr>
              <w:t>优先</w:t>
            </w:r>
            <w:r>
              <w:rPr>
                <w:rFonts w:hint="eastAsia" w:ascii="宋体" w:hAnsi="宋体" w:eastAsia="宋体" w:cs="宋体"/>
                <w:color w:val="auto"/>
                <w:szCs w:val="21"/>
                <w:highlight w:val="none"/>
              </w:rPr>
              <w:t>以相关项目网页截图为准。</w:t>
            </w:r>
          </w:p>
          <w:p w14:paraId="28D7C332">
            <w:pPr>
              <w:keepNext w:val="0"/>
              <w:keepLines w:val="0"/>
              <w:suppressLineNumbers w:val="0"/>
              <w:autoSpaceDE w:val="0"/>
              <w:autoSpaceDN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不满足上述业绩要求的业绩无效。</w:t>
            </w:r>
          </w:p>
          <w:p w14:paraId="5A45BBBF">
            <w:pPr>
              <w:keepNext w:val="0"/>
              <w:keepLines w:val="0"/>
              <w:suppressLineNumbers w:val="0"/>
              <w:autoSpaceDE w:val="0"/>
              <w:autoSpaceDN w:val="0"/>
              <w:adjustRightInd w:val="0"/>
              <w:snapToGrid w:val="0"/>
              <w:spacing w:before="0" w:beforeAutospacing="0" w:after="0" w:afterLines="0" w:afterAutospacing="0" w:line="400" w:lineRule="exact"/>
              <w:ind w:left="0" w:right="0" w:firstLine="422" w:firstLineChars="200"/>
              <w:rPr>
                <w:rFonts w:hint="eastAsia" w:ascii="宋体" w:hAnsi="宋体" w:eastAsia="宋体" w:cs="宋体"/>
                <w:color w:val="auto"/>
                <w:szCs w:val="21"/>
                <w:highlight w:val="none"/>
                <w:lang w:eastAsia="zh-CN"/>
              </w:rPr>
            </w:pPr>
            <w:r>
              <w:rPr>
                <w:rFonts w:hint="eastAsia" w:ascii="宋体" w:hAnsi="宋体" w:eastAsia="宋体" w:cs="宋体"/>
                <w:b/>
                <w:color w:val="auto"/>
                <w:kern w:val="0"/>
                <w:szCs w:val="21"/>
                <w:highlight w:val="none"/>
                <w:lang w:bidi="ar"/>
              </w:rPr>
              <w:t>6、</w:t>
            </w:r>
            <w:r>
              <w:rPr>
                <w:rFonts w:hint="eastAsia" w:ascii="宋体" w:hAnsi="宋体" w:eastAsia="宋体" w:cs="宋体"/>
                <w:b/>
                <w:color w:val="auto"/>
                <w:kern w:val="0"/>
                <w:szCs w:val="21"/>
                <w:highlight w:val="none"/>
                <w:lang w:eastAsia="zh-CN" w:bidi="ar"/>
              </w:rPr>
              <w:t>专职安全员</w:t>
            </w:r>
          </w:p>
          <w:p w14:paraId="5DEA0422">
            <w:pPr>
              <w:keepNext w:val="0"/>
              <w:keepLines w:val="0"/>
              <w:suppressLineNumbers w:val="0"/>
              <w:autoSpaceDE w:val="0"/>
              <w:autoSpaceDN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投标人拟派的专职安全员须</w:t>
            </w:r>
            <w:r>
              <w:rPr>
                <w:rFonts w:hint="eastAsia" w:ascii="宋体" w:hAnsi="宋体" w:eastAsia="宋体" w:cs="宋体"/>
                <w:color w:val="auto"/>
                <w:szCs w:val="21"/>
                <w:highlight w:val="none"/>
              </w:rPr>
              <w:t>持有有效的省级交通运输主管部门或建设主管部门颁发的安全生产考核合格证C证</w:t>
            </w:r>
            <w:r>
              <w:rPr>
                <w:rFonts w:hint="eastAsia" w:ascii="宋体" w:hAnsi="宋体" w:eastAsia="宋体" w:cs="宋体"/>
                <w:color w:val="auto"/>
                <w:szCs w:val="21"/>
                <w:highlight w:val="none"/>
                <w:lang w:eastAsia="zh-CN"/>
              </w:rPr>
              <w:t>。</w:t>
            </w:r>
          </w:p>
          <w:p w14:paraId="6B3353DE">
            <w:pPr>
              <w:keepNext w:val="0"/>
              <w:keepLines w:val="0"/>
              <w:suppressLineNumbers w:val="0"/>
              <w:autoSpaceDE w:val="0"/>
              <w:autoSpaceDN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b w:val="0"/>
                <w:color w:val="auto"/>
                <w:kern w:val="2"/>
                <w:szCs w:val="21"/>
                <w:highlight w:val="none"/>
                <w:lang w:bidi="ar"/>
              </w:rPr>
            </w:pPr>
            <w:r>
              <w:rPr>
                <w:rFonts w:hint="eastAsia" w:ascii="宋体" w:hAnsi="宋体" w:eastAsia="宋体" w:cs="宋体"/>
                <w:b w:val="0"/>
                <w:color w:val="auto"/>
                <w:kern w:val="2"/>
                <w:szCs w:val="21"/>
                <w:highlight w:val="none"/>
                <w:lang w:bidi="ar"/>
              </w:rPr>
              <w:t>投标人须在投标文件资格审查部分提供有效的拟派专职安全员身份证、安全生产考核合格证书（</w:t>
            </w:r>
            <w:r>
              <w:rPr>
                <w:rFonts w:hint="eastAsia" w:ascii="宋体" w:hAnsi="宋体" w:eastAsia="宋体" w:cs="宋体"/>
                <w:b w:val="0"/>
                <w:color w:val="auto"/>
                <w:kern w:val="2"/>
                <w:szCs w:val="21"/>
                <w:highlight w:val="none"/>
                <w:lang w:eastAsia="zh-CN" w:bidi="ar"/>
              </w:rPr>
              <w:t>C</w:t>
            </w:r>
            <w:r>
              <w:rPr>
                <w:rFonts w:hint="eastAsia" w:ascii="宋体" w:hAnsi="宋体" w:eastAsia="宋体" w:cs="宋体"/>
                <w:b w:val="0"/>
                <w:color w:val="auto"/>
                <w:kern w:val="2"/>
                <w:szCs w:val="21"/>
                <w:highlight w:val="none"/>
                <w:lang w:bidi="ar"/>
              </w:rPr>
              <w:t>类）、投标人为其交纳的养老保险证明材料复印件。</w:t>
            </w:r>
          </w:p>
          <w:p w14:paraId="2C00DC2D">
            <w:pPr>
              <w:keepNext w:val="0"/>
              <w:keepLines w:val="0"/>
              <w:suppressLineNumbers w:val="0"/>
              <w:autoSpaceDE w:val="0"/>
              <w:autoSpaceDN w:val="0"/>
              <w:adjustRightInd w:val="0"/>
              <w:snapToGrid w:val="0"/>
              <w:spacing w:before="0" w:beforeAutospacing="0" w:after="0" w:afterLines="0" w:afterAutospacing="0" w:line="400" w:lineRule="exact"/>
              <w:ind w:left="0" w:right="0"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val="en-US" w:eastAsia="zh-CN" w:bidi="ar"/>
              </w:rPr>
              <w:t>7</w:t>
            </w:r>
            <w:r>
              <w:rPr>
                <w:rFonts w:hint="eastAsia" w:ascii="宋体" w:hAnsi="宋体" w:eastAsia="宋体" w:cs="宋体"/>
                <w:b/>
                <w:color w:val="auto"/>
                <w:kern w:val="0"/>
                <w:szCs w:val="21"/>
                <w:highlight w:val="none"/>
                <w:lang w:bidi="ar"/>
              </w:rPr>
              <w:t>、其他管理和技术人员要求</w:t>
            </w:r>
          </w:p>
          <w:p w14:paraId="6DD64E7B">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投标时投标人只须在投标文件资格审查部分提供拟投入其他管理和技术人员承诺（承诺格式见第九章投标文件格式），无需提供人员的具体证明材料，具体人员由招标人和中标人在合同谈判阶段确定。</w:t>
            </w:r>
          </w:p>
          <w:p w14:paraId="0275FBF7">
            <w:pPr>
              <w:keepNext w:val="0"/>
              <w:keepLines w:val="0"/>
              <w:suppressLineNumbers w:val="0"/>
              <w:adjustRightInd w:val="0"/>
              <w:snapToGrid w:val="0"/>
              <w:spacing w:before="0" w:beforeAutospacing="0" w:after="0" w:afterLines="0" w:afterAutospacing="0" w:line="400" w:lineRule="exact"/>
              <w:ind w:left="0" w:right="0"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val="en-US" w:eastAsia="zh-CN" w:bidi="ar"/>
              </w:rPr>
              <w:t>8</w:t>
            </w:r>
            <w:r>
              <w:rPr>
                <w:rFonts w:hint="eastAsia" w:ascii="宋体" w:hAnsi="宋体" w:eastAsia="宋体" w:cs="宋体"/>
                <w:b/>
                <w:color w:val="auto"/>
                <w:kern w:val="0"/>
                <w:szCs w:val="21"/>
                <w:highlight w:val="none"/>
                <w:lang w:bidi="ar"/>
              </w:rPr>
              <w:t>、主要机械设备和试验检测设备要求</w:t>
            </w:r>
          </w:p>
          <w:p w14:paraId="34984E92">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投标时投标人只须在投标文件资格审查部分提供拟投入主要机械设备和试验检测设备承诺（承诺格式见第九章投标文件格式），无需提供设备的具体证明材料，具体设备由招标人和中标人在合同谈判阶段确定。</w:t>
            </w:r>
          </w:p>
          <w:p w14:paraId="0886DA89">
            <w:pPr>
              <w:keepNext w:val="0"/>
              <w:keepLines w:val="0"/>
              <w:suppressLineNumbers w:val="0"/>
              <w:autoSpaceDE w:val="0"/>
              <w:autoSpaceDN w:val="0"/>
              <w:adjustRightInd w:val="0"/>
              <w:snapToGrid w:val="0"/>
              <w:spacing w:before="0" w:beforeAutospacing="0" w:after="0" w:afterLines="0" w:afterAutospacing="0" w:line="400" w:lineRule="exact"/>
              <w:ind w:left="0" w:right="0" w:firstLine="422" w:firstLineChars="200"/>
              <w:rPr>
                <w:rFonts w:hint="eastAsia" w:ascii="宋体" w:hAnsi="宋体" w:eastAsia="宋体" w:cs="宋体"/>
                <w:i/>
                <w:color w:val="auto"/>
                <w:szCs w:val="21"/>
                <w:highlight w:val="none"/>
              </w:rPr>
            </w:pPr>
            <w:r>
              <w:rPr>
                <w:rFonts w:hint="eastAsia" w:ascii="宋体" w:hAnsi="宋体" w:eastAsia="宋体" w:cs="宋体"/>
                <w:b/>
                <w:color w:val="auto"/>
                <w:kern w:val="0"/>
                <w:szCs w:val="21"/>
                <w:highlight w:val="none"/>
                <w:lang w:val="en-US" w:eastAsia="zh-CN" w:bidi="ar"/>
              </w:rPr>
              <w:t>9</w:t>
            </w:r>
            <w:r>
              <w:rPr>
                <w:rFonts w:hint="eastAsia" w:ascii="宋体" w:hAnsi="宋体" w:eastAsia="宋体" w:cs="宋体"/>
                <w:b/>
                <w:color w:val="auto"/>
                <w:kern w:val="0"/>
                <w:szCs w:val="21"/>
                <w:highlight w:val="none"/>
                <w:lang w:bidi="ar"/>
              </w:rPr>
              <w:t>、委托代理人：</w:t>
            </w:r>
          </w:p>
          <w:p w14:paraId="3C10CD43">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委托代理人必须为投标人本单位人员。</w:t>
            </w:r>
          </w:p>
          <w:p w14:paraId="0C4144E5">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投标人须在投标文件资格审查部分提供投标人为该委托代理人缴纳的养老保险证明。否则，将由评标委员会作否决投标处理。</w:t>
            </w:r>
          </w:p>
          <w:p w14:paraId="7E7CDE5D">
            <w:pPr>
              <w:keepNext w:val="0"/>
              <w:keepLines w:val="0"/>
              <w:suppressLineNumbers w:val="0"/>
              <w:autoSpaceDE w:val="0"/>
              <w:autoSpaceDN w:val="0"/>
              <w:adjustRightInd w:val="0"/>
              <w:snapToGrid w:val="0"/>
              <w:spacing w:before="0" w:beforeAutospacing="0" w:after="0" w:afterLines="0" w:afterAutospacing="0" w:line="400" w:lineRule="exact"/>
              <w:ind w:left="0" w:right="0" w:firstLine="417" w:firstLineChars="198"/>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特别说明：</w:t>
            </w:r>
          </w:p>
          <w:p w14:paraId="63BEB736">
            <w:pPr>
              <w:keepNext w:val="0"/>
              <w:keepLines w:val="0"/>
              <w:suppressLineNumbers w:val="0"/>
              <w:autoSpaceDE w:val="0"/>
              <w:autoSpaceDN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w:t>
            </w:r>
            <w:r>
              <w:rPr>
                <w:rFonts w:hint="eastAsia" w:ascii="宋体" w:hAnsi="宋体" w:eastAsia="宋体" w:cs="宋体"/>
                <w:szCs w:val="21"/>
                <w:highlight w:val="none"/>
              </w:rPr>
              <w:t>上述要求须提交的相关证明材料复印件须清晰可辨</w:t>
            </w:r>
            <w:r>
              <w:rPr>
                <w:rFonts w:hint="eastAsia" w:ascii="宋体" w:hAnsi="宋体" w:eastAsia="宋体" w:cs="宋体"/>
                <w:szCs w:val="21"/>
                <w:highlight w:val="none"/>
                <w:lang w:eastAsia="zh-CN"/>
              </w:rPr>
              <w:t>，且</w:t>
            </w:r>
            <w:r>
              <w:rPr>
                <w:rFonts w:hint="eastAsia" w:ascii="宋体" w:hAnsi="宋体" w:eastAsia="宋体" w:cs="宋体"/>
                <w:szCs w:val="21"/>
                <w:highlight w:val="none"/>
              </w:rPr>
              <w:t>均应加盖投标单位法人章并装入投标文件资格审查部分。上述要求，有一条不满足则投标文件由评标委员会作否决投标处理</w:t>
            </w:r>
            <w:r>
              <w:rPr>
                <w:rFonts w:hint="eastAsia" w:ascii="宋体" w:hAnsi="宋体" w:eastAsia="宋体" w:cs="宋体"/>
                <w:color w:val="auto"/>
                <w:kern w:val="0"/>
                <w:szCs w:val="21"/>
                <w:highlight w:val="none"/>
              </w:rPr>
              <w:t>。</w:t>
            </w:r>
          </w:p>
          <w:p w14:paraId="51F48E76">
            <w:pPr>
              <w:keepNext w:val="0"/>
              <w:keepLines w:val="0"/>
              <w:suppressLineNumbers w:val="0"/>
              <w:autoSpaceDE w:val="0"/>
              <w:autoSpaceDN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（2）投标人须自行承诺其提供的上述相关证明材料真实有效，不存在弄虚作假情形（格式见第九章投标文件格式）。</w:t>
            </w:r>
            <w:r>
              <w:rPr>
                <w:rFonts w:hint="eastAsia" w:ascii="宋体" w:hAnsi="宋体" w:eastAsia="宋体" w:cs="宋体"/>
                <w:color w:val="auto"/>
                <w:szCs w:val="21"/>
                <w:highlight w:val="none"/>
                <w:u w:val="single"/>
              </w:rPr>
              <w:t>招标人在合同签订前均有权对投标人提供的资料进行核实，若发现弄虚作假，</w:t>
            </w:r>
            <w:r>
              <w:rPr>
                <w:rFonts w:hint="eastAsia" w:ascii="宋体" w:hAnsi="宋体" w:eastAsia="宋体" w:cs="宋体"/>
                <w:color w:val="auto"/>
                <w:szCs w:val="21"/>
                <w:highlight w:val="none"/>
                <w:u w:val="single"/>
                <w:lang w:val="en-US" w:eastAsia="zh-CN"/>
              </w:rPr>
              <w:t>按相关规定</w:t>
            </w:r>
            <w:r>
              <w:rPr>
                <w:rFonts w:hint="eastAsia" w:ascii="宋体" w:hAnsi="宋体" w:eastAsia="宋体" w:cs="宋体"/>
                <w:color w:val="auto"/>
                <w:szCs w:val="21"/>
                <w:highlight w:val="none"/>
                <w:u w:val="single"/>
              </w:rPr>
              <w:t>取消其中标资格，并按相关法律法规报招标投标监督部门，其投标保证金不予退还，投标人承担因此造成的相关责任并赔偿相应损失</w:t>
            </w:r>
            <w:r>
              <w:rPr>
                <w:rFonts w:hint="eastAsia" w:ascii="宋体" w:hAnsi="宋体" w:eastAsia="宋体" w:cs="宋体"/>
                <w:color w:val="auto"/>
                <w:szCs w:val="21"/>
                <w:highlight w:val="none"/>
              </w:rPr>
              <w:t>。</w:t>
            </w:r>
          </w:p>
          <w:p w14:paraId="40DDAE7F">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（3）本招标文件中所要求的人员养老保险证明要求如下：</w:t>
            </w:r>
          </w:p>
          <w:p w14:paraId="419E04FB">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①</w:t>
            </w:r>
            <w:r>
              <w:rPr>
                <w:rFonts w:hint="eastAsia" w:ascii="宋体" w:hAnsi="宋体" w:eastAsia="宋体" w:cs="宋体"/>
                <w:bCs/>
                <w:color w:val="auto"/>
                <w:kern w:val="0"/>
                <w:szCs w:val="21"/>
                <w:highlight w:val="none"/>
                <w:lang w:val="en-US" w:eastAsia="zh-CN"/>
              </w:rPr>
              <w:t>企业</w:t>
            </w:r>
            <w:r>
              <w:rPr>
                <w:rFonts w:hint="eastAsia" w:ascii="宋体" w:hAnsi="宋体" w:eastAsia="宋体" w:cs="宋体"/>
                <w:bCs/>
                <w:color w:val="auto"/>
                <w:kern w:val="0"/>
                <w:szCs w:val="21"/>
                <w:highlight w:val="none"/>
              </w:rPr>
              <w:t>提供养老保险证明，事业单位提供养老保险证明或行政主管部门在编证明。</w:t>
            </w:r>
          </w:p>
          <w:p w14:paraId="6BFFB135">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b/>
                <w:bCs/>
                <w:snapToGrid w:val="0"/>
                <w:color w:val="auto"/>
                <w:kern w:val="0"/>
                <w:szCs w:val="21"/>
                <w:highlight w:val="none"/>
              </w:rPr>
            </w:pPr>
            <w:r>
              <w:rPr>
                <w:rFonts w:hint="eastAsia" w:ascii="宋体" w:hAnsi="宋体" w:eastAsia="宋体" w:cs="宋体"/>
                <w:bCs/>
                <w:color w:val="auto"/>
                <w:kern w:val="0"/>
                <w:szCs w:val="21"/>
                <w:highlight w:val="none"/>
              </w:rPr>
              <w:t>②</w:t>
            </w:r>
            <w:r>
              <w:rPr>
                <w:rFonts w:hint="eastAsia" w:ascii="宋体" w:hAnsi="宋体" w:eastAsia="宋体" w:cs="宋体"/>
                <w:bCs/>
                <w:snapToGrid w:val="0"/>
                <w:color w:val="auto"/>
                <w:kern w:val="0"/>
                <w:szCs w:val="21"/>
                <w:highlight w:val="none"/>
              </w:rPr>
              <w:t>项目经理、项目总工和委托代理人的</w:t>
            </w:r>
            <w:r>
              <w:rPr>
                <w:rFonts w:hint="eastAsia" w:ascii="宋体" w:hAnsi="宋体" w:eastAsia="宋体" w:cs="宋体"/>
                <w:bCs/>
                <w:snapToGrid w:val="0"/>
                <w:color w:val="auto"/>
                <w:kern w:val="0"/>
                <w:szCs w:val="21"/>
                <w:highlight w:val="none"/>
                <w:lang w:val="en-US" w:eastAsia="zh-CN"/>
              </w:rPr>
              <w:t>连续</w:t>
            </w:r>
            <w:r>
              <w:rPr>
                <w:rFonts w:hint="eastAsia" w:ascii="宋体" w:hAnsi="宋体" w:eastAsia="宋体" w:cs="宋体"/>
                <w:bCs/>
                <w:snapToGrid w:val="0"/>
                <w:color w:val="auto"/>
                <w:kern w:val="0"/>
                <w:szCs w:val="21"/>
                <w:highlight w:val="none"/>
              </w:rPr>
              <w:t>养老保险证明期限</w:t>
            </w:r>
            <w:r>
              <w:rPr>
                <w:rFonts w:hint="eastAsia" w:ascii="宋体" w:hAnsi="宋体" w:eastAsia="宋体" w:cs="宋体"/>
                <w:bCs/>
                <w:snapToGrid w:val="0"/>
                <w:color w:val="auto"/>
                <w:kern w:val="0"/>
                <w:szCs w:val="21"/>
                <w:highlight w:val="none"/>
                <w:lang w:val="en-US" w:eastAsia="zh-CN"/>
              </w:rPr>
              <w:t>须包含</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u w:val="single"/>
                <w:lang w:val="en-US" w:eastAsia="zh-CN"/>
              </w:rPr>
              <w:t>202</w:t>
            </w:r>
            <w:r>
              <w:rPr>
                <w:rFonts w:hint="default" w:ascii="宋体" w:hAnsi="宋体" w:cs="宋体"/>
                <w:bCs/>
                <w:snapToGrid w:val="0"/>
                <w:color w:val="auto"/>
                <w:kern w:val="0"/>
                <w:szCs w:val="21"/>
                <w:highlight w:val="none"/>
                <w:u w:val="single"/>
                <w:lang w:eastAsia="zh-CN"/>
              </w:rPr>
              <w:t>3</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年</w:t>
            </w:r>
            <w:r>
              <w:rPr>
                <w:rFonts w:hint="eastAsia" w:ascii="宋体" w:hAnsi="宋体" w:cs="宋体"/>
                <w:bCs/>
                <w:snapToGrid w:val="0"/>
                <w:color w:val="auto"/>
                <w:kern w:val="0"/>
                <w:szCs w:val="21"/>
                <w:highlight w:val="none"/>
                <w:u w:val="single"/>
                <w:lang w:val="en-US" w:eastAsia="zh-CN"/>
              </w:rPr>
              <w:t>1</w:t>
            </w:r>
            <w:r>
              <w:rPr>
                <w:rFonts w:hint="default" w:ascii="宋体" w:hAnsi="宋体" w:cs="宋体"/>
                <w:bCs/>
                <w:snapToGrid w:val="0"/>
                <w:color w:val="auto"/>
                <w:kern w:val="0"/>
                <w:szCs w:val="21"/>
                <w:highlight w:val="none"/>
                <w:u w:val="single"/>
                <w:lang w:eastAsia="zh-CN"/>
              </w:rPr>
              <w:t>2</w:t>
            </w:r>
            <w:r>
              <w:rPr>
                <w:rFonts w:hint="eastAsia" w:ascii="宋体" w:hAnsi="宋体" w:eastAsia="宋体" w:cs="宋体"/>
                <w:bCs/>
                <w:snapToGrid w:val="0"/>
                <w:color w:val="auto"/>
                <w:kern w:val="0"/>
                <w:szCs w:val="21"/>
                <w:highlight w:val="none"/>
              </w:rPr>
              <w:t>月至</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u w:val="single"/>
                <w:lang w:val="en-US" w:eastAsia="zh-CN"/>
              </w:rPr>
              <w:t>202</w:t>
            </w:r>
            <w:r>
              <w:rPr>
                <w:rFonts w:hint="eastAsia" w:ascii="宋体" w:hAnsi="宋体" w:cs="宋体"/>
                <w:bCs/>
                <w:snapToGrid w:val="0"/>
                <w:color w:val="auto"/>
                <w:kern w:val="0"/>
                <w:szCs w:val="21"/>
                <w:highlight w:val="none"/>
                <w:u w:val="single"/>
                <w:lang w:val="en-US" w:eastAsia="zh-CN"/>
              </w:rPr>
              <w:t>4</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年</w:t>
            </w:r>
            <w:r>
              <w:rPr>
                <w:rFonts w:hint="eastAsia" w:ascii="宋体" w:hAnsi="宋体" w:cs="宋体"/>
                <w:bCs/>
                <w:snapToGrid w:val="0"/>
                <w:color w:val="auto"/>
                <w:kern w:val="0"/>
                <w:szCs w:val="21"/>
                <w:highlight w:val="none"/>
                <w:u w:val="single"/>
                <w:lang w:val="en-US" w:eastAsia="zh-CN"/>
              </w:rPr>
              <w:t>5</w:t>
            </w:r>
            <w:r>
              <w:rPr>
                <w:rFonts w:hint="eastAsia" w:ascii="宋体" w:hAnsi="宋体" w:eastAsia="宋体" w:cs="宋体"/>
                <w:bCs/>
                <w:snapToGrid w:val="0"/>
                <w:color w:val="auto"/>
                <w:kern w:val="0"/>
                <w:szCs w:val="21"/>
                <w:highlight w:val="none"/>
              </w:rPr>
              <w:t>月</w:t>
            </w:r>
            <w:r>
              <w:rPr>
                <w:rFonts w:hint="eastAsia" w:ascii="宋体" w:hAnsi="宋体" w:eastAsia="宋体" w:cs="宋体"/>
                <w:bCs/>
                <w:color w:val="auto"/>
                <w:szCs w:val="21"/>
                <w:highlight w:val="none"/>
              </w:rPr>
              <w:t>。提供的养老保险参保证明须体现上述人员的姓名、身份证号（或社保号）、单位名称、本单位参保时间（或起始参保时间），并带有社保部门公章或社保部门的有效电子印章。</w:t>
            </w:r>
          </w:p>
        </w:tc>
      </w:tr>
      <w:tr w14:paraId="58E4AC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4086A1F2">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1.4.2</w:t>
            </w:r>
          </w:p>
        </w:tc>
        <w:tc>
          <w:tcPr>
            <w:tcW w:w="851" w:type="pct"/>
            <w:vAlign w:val="center"/>
          </w:tcPr>
          <w:p w14:paraId="13B73D62">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是否接受联合体投标</w:t>
            </w:r>
          </w:p>
        </w:tc>
        <w:tc>
          <w:tcPr>
            <w:tcW w:w="3445" w:type="pct"/>
            <w:vAlign w:val="center"/>
          </w:tcPr>
          <w:p w14:paraId="513FAF4C">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bCs/>
                <w:color w:val="auto"/>
                <w:szCs w:val="21"/>
                <w:highlight w:val="none"/>
              </w:rPr>
            </w:pPr>
            <w:r>
              <w:rPr>
                <w:rFonts w:hint="eastAsia" w:ascii="宋体" w:hAnsi="宋体" w:eastAsia="宋体" w:cs="宋体"/>
                <w:color w:val="auto"/>
                <w:kern w:val="0"/>
                <w:szCs w:val="21"/>
                <w:highlight w:val="none"/>
              </w:rPr>
              <w:t>接受</w:t>
            </w:r>
          </w:p>
        </w:tc>
      </w:tr>
      <w:tr w14:paraId="08DB738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6B645063">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1.4.3</w:t>
            </w:r>
          </w:p>
        </w:tc>
        <w:tc>
          <w:tcPr>
            <w:tcW w:w="851" w:type="pct"/>
            <w:vAlign w:val="center"/>
          </w:tcPr>
          <w:p w14:paraId="2ADEF04F">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投标人不得存在的其他关联情形</w:t>
            </w:r>
          </w:p>
        </w:tc>
        <w:tc>
          <w:tcPr>
            <w:tcW w:w="3445" w:type="pct"/>
            <w:vAlign w:val="center"/>
          </w:tcPr>
          <w:p w14:paraId="5D711C74">
            <w:pPr>
              <w:keepNext w:val="0"/>
              <w:keepLines w:val="0"/>
              <w:widowControl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color w:val="auto"/>
                <w:kern w:val="0"/>
                <w:szCs w:val="21"/>
                <w:highlight w:val="none"/>
                <w:lang w:eastAsia="zh-CN"/>
              </w:rPr>
            </w:pPr>
            <w:r>
              <w:rPr>
                <w:rFonts w:hint="eastAsia" w:ascii="宋体" w:hAnsi="宋体" w:eastAsia="宋体" w:cs="宋体"/>
                <w:kern w:val="2"/>
                <w:sz w:val="21"/>
                <w:szCs w:val="21"/>
                <w:highlight w:val="none"/>
                <w:lang w:val="en-US" w:eastAsia="zh-CN" w:bidi="ar"/>
              </w:rPr>
              <w:t>单位负责人为同一人或者存在控股、管理关系的不同单位，不得同时参加报价，否则相关报价均无效。</w:t>
            </w:r>
          </w:p>
        </w:tc>
      </w:tr>
      <w:tr w14:paraId="4ADFC7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1CAA692F">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1.11.1</w:t>
            </w:r>
          </w:p>
        </w:tc>
        <w:tc>
          <w:tcPr>
            <w:tcW w:w="851" w:type="pct"/>
            <w:vAlign w:val="center"/>
          </w:tcPr>
          <w:p w14:paraId="1024070D">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分包</w:t>
            </w:r>
          </w:p>
        </w:tc>
        <w:tc>
          <w:tcPr>
            <w:tcW w:w="3445" w:type="pct"/>
            <w:vAlign w:val="center"/>
          </w:tcPr>
          <w:p w14:paraId="3A19E0EB">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u w:val="single"/>
              </w:rPr>
              <w:t>分包应按照相关法律法规及规范性文件执行，不得违法分包。</w:t>
            </w:r>
          </w:p>
        </w:tc>
      </w:tr>
      <w:tr w14:paraId="77737A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3FB22ED1">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w:t>
            </w:r>
          </w:p>
        </w:tc>
        <w:tc>
          <w:tcPr>
            <w:tcW w:w="851" w:type="pct"/>
            <w:vAlign w:val="center"/>
          </w:tcPr>
          <w:p w14:paraId="2AB4154D">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构成招标文件的其他材料</w:t>
            </w:r>
          </w:p>
        </w:tc>
        <w:tc>
          <w:tcPr>
            <w:tcW w:w="3445" w:type="pct"/>
            <w:vAlign w:val="center"/>
          </w:tcPr>
          <w:p w14:paraId="33E9B73C">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招标人发出的澄清及修改</w:t>
            </w:r>
          </w:p>
        </w:tc>
      </w:tr>
      <w:tr w14:paraId="03B777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57157963">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2.2.1</w:t>
            </w:r>
          </w:p>
        </w:tc>
        <w:tc>
          <w:tcPr>
            <w:tcW w:w="851" w:type="pct"/>
            <w:vAlign w:val="center"/>
          </w:tcPr>
          <w:p w14:paraId="770171E7">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投标人对招标文件提出疑问的截止时间</w:t>
            </w:r>
          </w:p>
        </w:tc>
        <w:tc>
          <w:tcPr>
            <w:tcW w:w="3445" w:type="pct"/>
            <w:vAlign w:val="center"/>
          </w:tcPr>
          <w:p w14:paraId="75B2C175">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投标人应仔细阅读招标文件及附件的所有内容，如有文字表述不清，图纸尺寸标注不明以及存在错、漏、缺、概</w:t>
            </w:r>
            <w:bookmarkStart w:id="392" w:name="_GoBack"/>
            <w:bookmarkEnd w:id="392"/>
            <w:r>
              <w:rPr>
                <w:rFonts w:hint="eastAsia" w:ascii="宋体" w:hAnsi="宋体" w:eastAsia="宋体" w:cs="宋体"/>
                <w:color w:val="auto"/>
                <w:kern w:val="0"/>
                <w:szCs w:val="21"/>
                <w:highlight w:val="none"/>
              </w:rPr>
              <w:t>念模糊和有可能出现歧义或理解上的偏差的内容等应在招标公告规定的时间前</w:t>
            </w:r>
            <w:r>
              <w:rPr>
                <w:rFonts w:hint="eastAsia" w:ascii="宋体" w:hAnsi="宋体" w:eastAsia="宋体" w:cs="宋体"/>
                <w:color w:val="auto"/>
                <w:kern w:val="0"/>
                <w:szCs w:val="21"/>
                <w:highlight w:val="none"/>
                <w:lang w:eastAsia="zh-CN"/>
              </w:rPr>
              <w:t>以电子邮件形式</w:t>
            </w:r>
            <w:r>
              <w:rPr>
                <w:rFonts w:hint="eastAsia" w:ascii="宋体" w:hAnsi="宋体" w:eastAsia="宋体" w:cs="宋体"/>
                <w:color w:val="auto"/>
                <w:kern w:val="0"/>
                <w:szCs w:val="21"/>
                <w:highlight w:val="none"/>
              </w:rPr>
              <w:t>提交</w:t>
            </w:r>
            <w:r>
              <w:rPr>
                <w:rFonts w:hint="eastAsia" w:ascii="宋体" w:hAnsi="宋体" w:eastAsia="宋体" w:cs="宋体"/>
                <w:color w:val="auto"/>
                <w:kern w:val="0"/>
                <w:szCs w:val="21"/>
                <w:highlight w:val="none"/>
                <w:lang w:eastAsia="zh-CN"/>
              </w:rPr>
              <w:t>提问</w:t>
            </w:r>
            <w:r>
              <w:rPr>
                <w:rFonts w:hint="eastAsia" w:ascii="宋体" w:hAnsi="宋体" w:eastAsia="宋体" w:cs="宋体"/>
                <w:color w:val="auto"/>
                <w:kern w:val="0"/>
                <w:szCs w:val="21"/>
                <w:highlight w:val="none"/>
              </w:rPr>
              <w:t>。</w:t>
            </w:r>
          </w:p>
        </w:tc>
      </w:tr>
      <w:tr w14:paraId="1AEA58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Merge w:val="restart"/>
            <w:vAlign w:val="center"/>
          </w:tcPr>
          <w:p w14:paraId="68D91383">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2.2.2</w:t>
            </w:r>
          </w:p>
        </w:tc>
        <w:tc>
          <w:tcPr>
            <w:tcW w:w="851" w:type="pct"/>
            <w:vAlign w:val="center"/>
          </w:tcPr>
          <w:p w14:paraId="59D64E21">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招标人对招标文件澄清的截止时间</w:t>
            </w:r>
          </w:p>
        </w:tc>
        <w:tc>
          <w:tcPr>
            <w:tcW w:w="3445" w:type="pct"/>
            <w:vAlign w:val="center"/>
          </w:tcPr>
          <w:p w14:paraId="3495736E">
            <w:pPr>
              <w:keepNext w:val="0"/>
              <w:keepLines w:val="0"/>
              <w:suppressLineNumbers w:val="0"/>
              <w:adjustRightInd w:val="0"/>
              <w:snapToGrid w:val="0"/>
              <w:spacing w:before="0" w:beforeAutospacing="0" w:after="0" w:afterLines="0" w:afterAutospacing="0" w:line="400" w:lineRule="exact"/>
              <w:ind w:left="0" w:leftChars="0" w:right="0" w:rightChars="0" w:firstLine="420" w:firstLineChars="200"/>
              <w:rPr>
                <w:rFonts w:hint="eastAsia" w:ascii="宋体" w:hAnsi="宋体" w:eastAsia="宋体" w:cs="宋体"/>
                <w:color w:val="auto"/>
                <w:kern w:val="0"/>
                <w:sz w:val="21"/>
                <w:szCs w:val="21"/>
                <w:highlight w:val="none"/>
                <w:u w:val="single"/>
                <w:lang w:val="en-US" w:eastAsia="zh-CN" w:bidi="ar-SA"/>
              </w:rPr>
            </w:pPr>
            <w:r>
              <w:rPr>
                <w:rFonts w:hint="eastAsia" w:ascii="宋体" w:hAnsi="宋体" w:eastAsia="宋体" w:cs="宋体"/>
                <w:color w:val="auto"/>
                <w:szCs w:val="21"/>
                <w:highlight w:val="none"/>
              </w:rPr>
              <w:t>招标人应在招标公告规定的时间前，</w:t>
            </w:r>
            <w:r>
              <w:rPr>
                <w:rFonts w:hint="eastAsia" w:ascii="宋体" w:hAnsi="宋体" w:eastAsia="宋体" w:cs="宋体"/>
                <w:color w:val="auto"/>
                <w:kern w:val="0"/>
                <w:szCs w:val="21"/>
                <w:highlight w:val="none"/>
              </w:rPr>
              <w:t>在</w:t>
            </w:r>
            <w:r>
              <w:rPr>
                <w:rFonts w:hint="eastAsia" w:ascii="宋体" w:hAnsi="宋体" w:cs="宋体"/>
                <w:snapToGrid w:val="0"/>
                <w:color w:val="auto"/>
                <w:kern w:val="0"/>
                <w:szCs w:val="21"/>
                <w:highlight w:val="none"/>
                <w:u w:val="single"/>
                <w:lang w:val="en-US" w:eastAsia="zh-CN"/>
              </w:rPr>
              <w:t>重庆高速集团官网（https://www.cegc.com.cn/html/col1810480.html）</w:t>
            </w:r>
            <w:r>
              <w:rPr>
                <w:rFonts w:hint="eastAsia" w:ascii="宋体" w:hAnsi="宋体" w:eastAsia="宋体" w:cs="宋体"/>
                <w:color w:val="auto"/>
                <w:kern w:val="0"/>
                <w:szCs w:val="21"/>
                <w:highlight w:val="none"/>
              </w:rPr>
              <w:t>发布澄清。</w:t>
            </w:r>
          </w:p>
        </w:tc>
      </w:tr>
      <w:tr w14:paraId="66FA78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Merge w:val="continue"/>
            <w:vAlign w:val="center"/>
          </w:tcPr>
          <w:p w14:paraId="3FD20218">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p>
        </w:tc>
        <w:tc>
          <w:tcPr>
            <w:tcW w:w="851" w:type="pct"/>
            <w:vAlign w:val="center"/>
          </w:tcPr>
          <w:p w14:paraId="4F887D1C">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投标截止时间</w:t>
            </w:r>
          </w:p>
        </w:tc>
        <w:tc>
          <w:tcPr>
            <w:tcW w:w="3445" w:type="pct"/>
            <w:vAlign w:val="center"/>
          </w:tcPr>
          <w:p w14:paraId="2BC43A85">
            <w:pPr>
              <w:keepNext w:val="0"/>
              <w:keepLines w:val="0"/>
              <w:suppressLineNumbers w:val="0"/>
              <w:adjustRightInd w:val="0"/>
              <w:snapToGrid w:val="0"/>
              <w:spacing w:before="0" w:beforeAutospacing="0" w:after="0" w:afterLines="0" w:afterAutospacing="0" w:line="400" w:lineRule="exact"/>
              <w:ind w:left="0" w:leftChars="0" w:right="0" w:rightChars="0" w:firstLine="420" w:firstLineChars="200"/>
              <w:rPr>
                <w:rFonts w:hint="eastAsia" w:ascii="宋体" w:hAnsi="宋体" w:eastAsia="宋体" w:cs="宋体"/>
                <w:color w:val="auto"/>
                <w:kern w:val="2"/>
                <w:sz w:val="21"/>
                <w:szCs w:val="21"/>
                <w:highlight w:val="none"/>
                <w:u w:val="single"/>
                <w:lang w:val="en-US" w:eastAsia="zh-CN" w:bidi="ar-SA"/>
              </w:rPr>
            </w:pPr>
            <w:r>
              <w:rPr>
                <w:rFonts w:hint="eastAsia" w:ascii="宋体" w:hAnsi="宋体" w:eastAsia="宋体" w:cs="宋体"/>
                <w:color w:val="auto"/>
                <w:szCs w:val="21"/>
                <w:highlight w:val="none"/>
                <w:u w:val="single"/>
              </w:rPr>
              <w:t>详见招标公告规定的投标截止时间。</w:t>
            </w:r>
          </w:p>
        </w:tc>
      </w:tr>
      <w:tr w14:paraId="24906E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466F0619">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2.2.3</w:t>
            </w:r>
          </w:p>
        </w:tc>
        <w:tc>
          <w:tcPr>
            <w:tcW w:w="851" w:type="pct"/>
            <w:vAlign w:val="center"/>
          </w:tcPr>
          <w:p w14:paraId="1E1E3B98">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招标人对招标文件进行修改的时间</w:t>
            </w:r>
          </w:p>
        </w:tc>
        <w:tc>
          <w:tcPr>
            <w:tcW w:w="3445" w:type="pct"/>
            <w:vAlign w:val="center"/>
          </w:tcPr>
          <w:p w14:paraId="5DA68A09">
            <w:pPr>
              <w:keepNext w:val="0"/>
              <w:keepLines w:val="0"/>
              <w:widowControl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u w:val="none"/>
              </w:rPr>
              <w:t>招标人应在招标公告规定的时间前，在</w:t>
            </w:r>
            <w:r>
              <w:rPr>
                <w:rFonts w:hint="eastAsia" w:ascii="宋体" w:hAnsi="宋体" w:cs="宋体"/>
                <w:snapToGrid w:val="0"/>
                <w:color w:val="auto"/>
                <w:kern w:val="0"/>
                <w:szCs w:val="21"/>
                <w:highlight w:val="none"/>
                <w:u w:val="single"/>
                <w:lang w:val="en-US" w:eastAsia="zh-CN"/>
              </w:rPr>
              <w:t>重庆高速集团官网（https://www.cegc.com.cn/html/col1810480.html）</w:t>
            </w:r>
            <w:r>
              <w:rPr>
                <w:rFonts w:hint="eastAsia" w:ascii="宋体" w:hAnsi="宋体" w:eastAsia="宋体" w:cs="宋体"/>
                <w:snapToGrid w:val="0"/>
                <w:color w:val="auto"/>
                <w:kern w:val="0"/>
                <w:szCs w:val="21"/>
                <w:highlight w:val="none"/>
                <w:u w:val="none"/>
              </w:rPr>
              <w:t>发布修改。</w:t>
            </w:r>
          </w:p>
        </w:tc>
      </w:tr>
      <w:tr w14:paraId="3B29E9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20162AB0">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3.1.1</w:t>
            </w:r>
          </w:p>
        </w:tc>
        <w:tc>
          <w:tcPr>
            <w:tcW w:w="851" w:type="pct"/>
            <w:vAlign w:val="center"/>
          </w:tcPr>
          <w:p w14:paraId="10D1A9D4">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lang w:bidi="ar"/>
              </w:rPr>
            </w:pPr>
            <w:r>
              <w:rPr>
                <w:rFonts w:hint="eastAsia" w:ascii="宋体" w:hAnsi="宋体" w:eastAsia="宋体" w:cs="宋体"/>
                <w:color w:val="auto"/>
                <w:spacing w:val="-1"/>
                <w:szCs w:val="21"/>
                <w:highlight w:val="none"/>
              </w:rPr>
              <w:t>构成投标文件的其他资料</w:t>
            </w:r>
          </w:p>
        </w:tc>
        <w:tc>
          <w:tcPr>
            <w:tcW w:w="3445" w:type="pct"/>
            <w:vAlign w:val="center"/>
          </w:tcPr>
          <w:p w14:paraId="36823EDC">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投标人的书面澄清、说明和补正（但不得改变投标文件的实质性内容）</w:t>
            </w:r>
          </w:p>
        </w:tc>
      </w:tr>
      <w:tr w14:paraId="3FF28B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2C318EEF">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3.2.1</w:t>
            </w:r>
          </w:p>
        </w:tc>
        <w:tc>
          <w:tcPr>
            <w:tcW w:w="851" w:type="pct"/>
            <w:vAlign w:val="center"/>
          </w:tcPr>
          <w:p w14:paraId="61D0A537">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增值税税金的计算方法</w:t>
            </w:r>
          </w:p>
        </w:tc>
        <w:tc>
          <w:tcPr>
            <w:tcW w:w="3445" w:type="pct"/>
            <w:vAlign w:val="center"/>
          </w:tcPr>
          <w:p w14:paraId="59359391">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一般计税法</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税率9%。</w:t>
            </w:r>
          </w:p>
        </w:tc>
      </w:tr>
      <w:tr w14:paraId="37006A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26DA1C25">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3.2.3</w:t>
            </w:r>
          </w:p>
        </w:tc>
        <w:tc>
          <w:tcPr>
            <w:tcW w:w="851" w:type="pct"/>
            <w:vAlign w:val="center"/>
          </w:tcPr>
          <w:p w14:paraId="27F556D7">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报价方式</w:t>
            </w:r>
          </w:p>
        </w:tc>
        <w:tc>
          <w:tcPr>
            <w:tcW w:w="3445" w:type="pct"/>
            <w:vAlign w:val="center"/>
          </w:tcPr>
          <w:p w14:paraId="74031DA0">
            <w:pPr>
              <w:keepNext w:val="0"/>
              <w:keepLines w:val="0"/>
              <w:widowControl/>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b/>
                <w:color w:val="auto"/>
                <w:szCs w:val="21"/>
                <w:highlight w:val="none"/>
              </w:rPr>
            </w:pPr>
            <w:r>
              <w:rPr>
                <w:rFonts w:hint="eastAsia" w:ascii="宋体" w:hAnsi="宋体" w:eastAsia="宋体" w:cs="宋体"/>
                <w:color w:val="auto"/>
                <w:kern w:val="0"/>
                <w:szCs w:val="21"/>
                <w:highlight w:val="none"/>
                <w:lang w:bidi="ar"/>
              </w:rPr>
              <w:t>单价</w:t>
            </w:r>
          </w:p>
        </w:tc>
      </w:tr>
      <w:tr w14:paraId="084715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18BE83A4">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3.2.5</w:t>
            </w:r>
          </w:p>
        </w:tc>
        <w:tc>
          <w:tcPr>
            <w:tcW w:w="851" w:type="pct"/>
            <w:vAlign w:val="center"/>
          </w:tcPr>
          <w:p w14:paraId="02A833B9">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安全生产费</w:t>
            </w:r>
          </w:p>
        </w:tc>
        <w:tc>
          <w:tcPr>
            <w:tcW w:w="3445" w:type="pct"/>
            <w:vAlign w:val="top"/>
          </w:tcPr>
          <w:p w14:paraId="731AD2E1">
            <w:pPr>
              <w:pStyle w:val="43"/>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云阳段安全文明施工费 </w:t>
            </w:r>
            <w:r>
              <w:rPr>
                <w:rFonts w:hint="eastAsia" w:ascii="宋体" w:hAnsi="宋体" w:cs="宋体"/>
                <w:color w:val="auto"/>
                <w:szCs w:val="21"/>
                <w:highlight w:val="none"/>
                <w:u w:val="single"/>
                <w:lang w:bidi="ar"/>
              </w:rPr>
              <w:t>282568.51</w:t>
            </w:r>
            <w:r>
              <w:rPr>
                <w:rFonts w:hint="eastAsia" w:ascii="宋体" w:hAnsi="宋体" w:eastAsia="宋体" w:cs="宋体"/>
                <w:color w:val="auto"/>
                <w:kern w:val="0"/>
                <w:szCs w:val="21"/>
                <w:highlight w:val="none"/>
                <w:u w:val="single"/>
                <w:lang w:bidi="ar"/>
              </w:rPr>
              <w:t>元</w:t>
            </w:r>
            <w:r>
              <w:rPr>
                <w:rFonts w:hint="eastAsia" w:ascii="宋体" w:hAnsi="宋体" w:eastAsia="宋体" w:cs="宋体"/>
                <w:color w:val="auto"/>
                <w:kern w:val="0"/>
                <w:szCs w:val="21"/>
                <w:highlight w:val="none"/>
                <w:u w:val="single"/>
                <w:lang w:eastAsia="zh-CN" w:bidi="ar"/>
              </w:rPr>
              <w:t>，</w:t>
            </w:r>
            <w:r>
              <w:rPr>
                <w:rFonts w:hint="eastAsia" w:ascii="宋体" w:hAnsi="宋体" w:eastAsia="宋体" w:cs="宋体"/>
                <w:color w:val="auto"/>
                <w:kern w:val="0"/>
                <w:szCs w:val="21"/>
                <w:highlight w:val="none"/>
                <w:u w:val="none"/>
                <w:lang w:val="en-US" w:eastAsia="zh-CN" w:bidi="ar"/>
              </w:rPr>
              <w:t>巫溪</w:t>
            </w:r>
            <w:r>
              <w:rPr>
                <w:rFonts w:hint="eastAsia" w:ascii="宋体" w:hAnsi="宋体" w:eastAsia="宋体" w:cs="宋体"/>
                <w:color w:val="auto"/>
                <w:kern w:val="2"/>
                <w:sz w:val="21"/>
                <w:szCs w:val="21"/>
                <w:highlight w:val="none"/>
                <w:lang w:val="en-US" w:eastAsia="zh-CN" w:bidi="ar-SA"/>
              </w:rPr>
              <w:t xml:space="preserve">段安全生产费 </w:t>
            </w:r>
            <w:r>
              <w:rPr>
                <w:rFonts w:hint="eastAsia" w:ascii="宋体" w:hAnsi="宋体" w:cs="宋体"/>
                <w:color w:val="auto"/>
                <w:szCs w:val="21"/>
                <w:highlight w:val="none"/>
                <w:u w:val="single"/>
                <w:lang w:bidi="ar"/>
              </w:rPr>
              <w:t>125894.4</w:t>
            </w:r>
            <w:r>
              <w:rPr>
                <w:rFonts w:hint="eastAsia" w:ascii="宋体" w:hAnsi="宋体" w:eastAsia="宋体" w:cs="宋体"/>
                <w:color w:val="auto"/>
                <w:kern w:val="0"/>
                <w:szCs w:val="21"/>
                <w:highlight w:val="none"/>
                <w:u w:val="single"/>
                <w:lang w:bidi="ar"/>
              </w:rPr>
              <w:t>元</w:t>
            </w:r>
            <w:r>
              <w:rPr>
                <w:rFonts w:hint="eastAsia" w:ascii="宋体" w:hAnsi="宋体" w:eastAsia="宋体" w:cs="宋体"/>
                <w:color w:val="auto"/>
                <w:kern w:val="2"/>
                <w:sz w:val="21"/>
                <w:szCs w:val="21"/>
                <w:highlight w:val="none"/>
                <w:lang w:val="en-US" w:eastAsia="zh-CN" w:bidi="ar-SA"/>
              </w:rPr>
              <w:t>；安全生产费为不可竞争费用，此处为暂估价，最终结算时根据合同金额按比例单独结算。</w:t>
            </w:r>
          </w:p>
        </w:tc>
      </w:tr>
      <w:tr w14:paraId="05EE2D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55E291A9">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3.2.6</w:t>
            </w:r>
          </w:p>
        </w:tc>
        <w:tc>
          <w:tcPr>
            <w:tcW w:w="851" w:type="pct"/>
            <w:vAlign w:val="center"/>
          </w:tcPr>
          <w:p w14:paraId="4FD0131D">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是否接受调价函</w:t>
            </w:r>
          </w:p>
        </w:tc>
        <w:tc>
          <w:tcPr>
            <w:tcW w:w="3445" w:type="pct"/>
            <w:vAlign w:val="center"/>
          </w:tcPr>
          <w:p w14:paraId="4FE65AD3">
            <w:pPr>
              <w:keepNext w:val="0"/>
              <w:keepLines w:val="0"/>
              <w:widowControl/>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否</w:t>
            </w:r>
          </w:p>
        </w:tc>
      </w:tr>
      <w:tr w14:paraId="2DE9FE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101929C2">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3.2.8</w:t>
            </w:r>
          </w:p>
        </w:tc>
        <w:tc>
          <w:tcPr>
            <w:tcW w:w="851" w:type="pct"/>
            <w:vAlign w:val="center"/>
          </w:tcPr>
          <w:p w14:paraId="5400BCB5">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b/>
                <w:color w:val="auto"/>
                <w:kern w:val="0"/>
                <w:szCs w:val="21"/>
                <w:highlight w:val="none"/>
              </w:rPr>
            </w:pPr>
            <w:r>
              <w:rPr>
                <w:rFonts w:hint="eastAsia" w:ascii="宋体" w:hAnsi="宋体" w:eastAsia="宋体" w:cs="宋体"/>
                <w:color w:val="auto"/>
                <w:kern w:val="0"/>
                <w:szCs w:val="21"/>
                <w:highlight w:val="none"/>
                <w:lang w:bidi="ar"/>
              </w:rPr>
              <w:t>最高投标限价</w:t>
            </w:r>
          </w:p>
        </w:tc>
        <w:tc>
          <w:tcPr>
            <w:tcW w:w="3445" w:type="pct"/>
            <w:vAlign w:val="center"/>
          </w:tcPr>
          <w:p w14:paraId="0414DA95">
            <w:pPr>
              <w:keepNext w:val="0"/>
              <w:keepLines w:val="0"/>
              <w:widowControl/>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kern w:val="0"/>
                <w:szCs w:val="21"/>
                <w:highlight w:val="none"/>
                <w:u w:val="single"/>
                <w:lang w:val="en-US" w:eastAsia="zh-CN" w:bidi="ar"/>
              </w:rPr>
            </w:pPr>
            <w:r>
              <w:rPr>
                <w:rFonts w:hint="eastAsia" w:ascii="宋体" w:hAnsi="宋体" w:eastAsia="宋体" w:cs="宋体"/>
                <w:color w:val="auto"/>
                <w:kern w:val="0"/>
                <w:szCs w:val="21"/>
                <w:highlight w:val="none"/>
                <w:lang w:bidi="ar"/>
              </w:rPr>
              <w:t>有，最高投标限价：</w:t>
            </w:r>
            <w:r>
              <w:rPr>
                <w:rFonts w:hint="eastAsia" w:ascii="宋体" w:hAnsi="宋体" w:cs="宋体"/>
                <w:color w:val="auto"/>
                <w:kern w:val="0"/>
                <w:szCs w:val="21"/>
                <w:highlight w:val="none"/>
                <w:u w:val="single"/>
                <w:lang w:bidi="ar"/>
              </w:rPr>
              <w:t>25426395.92</w:t>
            </w:r>
            <w:r>
              <w:rPr>
                <w:rFonts w:hint="eastAsia" w:ascii="宋体" w:hAnsi="宋体" w:eastAsia="宋体" w:cs="宋体"/>
                <w:color w:val="auto"/>
                <w:kern w:val="0"/>
                <w:szCs w:val="21"/>
                <w:highlight w:val="none"/>
                <w:u w:val="single"/>
                <w:lang w:bidi="ar"/>
              </w:rPr>
              <w:t>元</w:t>
            </w:r>
            <w:r>
              <w:rPr>
                <w:rFonts w:hint="eastAsia" w:ascii="宋体" w:hAnsi="宋体" w:cs="宋体"/>
                <w:color w:val="auto"/>
                <w:kern w:val="0"/>
                <w:szCs w:val="21"/>
                <w:highlight w:val="none"/>
                <w:u w:val="single"/>
                <w:lang w:eastAsia="zh-CN" w:bidi="ar"/>
              </w:rPr>
              <w:t>，</w:t>
            </w:r>
            <w:r>
              <w:rPr>
                <w:rFonts w:hint="eastAsia" w:ascii="宋体" w:hAnsi="宋体" w:cs="宋体"/>
                <w:color w:val="auto"/>
                <w:kern w:val="0"/>
                <w:szCs w:val="21"/>
                <w:highlight w:val="none"/>
                <w:u w:val="none"/>
                <w:lang w:val="en-US" w:eastAsia="zh-CN" w:bidi="ar"/>
              </w:rPr>
              <w:t>其中巫溪段</w:t>
            </w:r>
            <w:r>
              <w:rPr>
                <w:rFonts w:hint="eastAsia" w:ascii="宋体" w:hAnsi="宋体" w:eastAsia="宋体" w:cs="宋体"/>
                <w:color w:val="auto"/>
                <w:kern w:val="0"/>
                <w:szCs w:val="21"/>
                <w:highlight w:val="none"/>
                <w:lang w:bidi="ar"/>
              </w:rPr>
              <w:t>最高投标限价：</w:t>
            </w:r>
            <w:r>
              <w:rPr>
                <w:rFonts w:hint="eastAsia" w:ascii="宋体" w:hAnsi="宋体" w:cs="宋体"/>
                <w:color w:val="auto"/>
                <w:kern w:val="0"/>
                <w:szCs w:val="21"/>
                <w:highlight w:val="none"/>
                <w:u w:val="single"/>
                <w:lang w:bidi="ar"/>
              </w:rPr>
              <w:t>7776954.35</w:t>
            </w:r>
            <w:r>
              <w:rPr>
                <w:rFonts w:hint="eastAsia" w:ascii="宋体" w:hAnsi="宋体" w:eastAsia="宋体" w:cs="宋体"/>
                <w:color w:val="auto"/>
                <w:kern w:val="0"/>
                <w:szCs w:val="21"/>
                <w:highlight w:val="none"/>
                <w:u w:val="single"/>
                <w:lang w:bidi="ar"/>
              </w:rPr>
              <w:t>元</w:t>
            </w:r>
            <w:r>
              <w:rPr>
                <w:rFonts w:hint="eastAsia" w:ascii="宋体" w:hAnsi="宋体" w:cs="宋体"/>
                <w:color w:val="auto"/>
                <w:kern w:val="0"/>
                <w:szCs w:val="21"/>
                <w:highlight w:val="none"/>
                <w:u w:val="single"/>
                <w:lang w:eastAsia="zh-CN" w:bidi="ar"/>
              </w:rPr>
              <w:t>，</w:t>
            </w:r>
            <w:r>
              <w:rPr>
                <w:rFonts w:hint="eastAsia" w:ascii="宋体" w:hAnsi="宋体" w:cs="宋体"/>
                <w:color w:val="auto"/>
                <w:kern w:val="0"/>
                <w:szCs w:val="21"/>
                <w:highlight w:val="none"/>
                <w:u w:val="none"/>
                <w:lang w:val="en-US" w:eastAsia="zh-CN" w:bidi="ar"/>
              </w:rPr>
              <w:t>云阳段</w:t>
            </w:r>
            <w:r>
              <w:rPr>
                <w:rFonts w:hint="eastAsia" w:ascii="宋体" w:hAnsi="宋体" w:eastAsia="宋体" w:cs="宋体"/>
                <w:color w:val="auto"/>
                <w:kern w:val="0"/>
                <w:szCs w:val="21"/>
                <w:highlight w:val="none"/>
                <w:lang w:bidi="ar"/>
              </w:rPr>
              <w:t>最高投标限价：</w:t>
            </w:r>
            <w:r>
              <w:rPr>
                <w:rFonts w:hint="eastAsia" w:ascii="宋体" w:hAnsi="宋体" w:cs="宋体"/>
                <w:color w:val="auto"/>
                <w:kern w:val="0"/>
                <w:szCs w:val="21"/>
                <w:highlight w:val="none"/>
                <w:u w:val="single"/>
                <w:lang w:bidi="ar"/>
              </w:rPr>
              <w:t>17649441.57</w:t>
            </w:r>
            <w:r>
              <w:rPr>
                <w:rFonts w:hint="eastAsia" w:ascii="宋体" w:hAnsi="宋体" w:eastAsia="宋体" w:cs="宋体"/>
                <w:color w:val="auto"/>
                <w:kern w:val="0"/>
                <w:szCs w:val="21"/>
                <w:highlight w:val="none"/>
                <w:u w:val="single"/>
                <w:lang w:bidi="ar"/>
              </w:rPr>
              <w:t>元</w:t>
            </w:r>
            <w:r>
              <w:rPr>
                <w:rFonts w:hint="eastAsia" w:ascii="宋体" w:hAnsi="宋体" w:eastAsia="宋体" w:cs="宋体"/>
                <w:color w:val="auto"/>
                <w:kern w:val="0"/>
                <w:szCs w:val="21"/>
                <w:highlight w:val="none"/>
                <w:u w:val="single"/>
                <w:lang w:eastAsia="zh-CN" w:bidi="ar"/>
              </w:rPr>
              <w:t>。</w:t>
            </w:r>
          </w:p>
        </w:tc>
      </w:tr>
      <w:tr w14:paraId="2668E9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42227D30">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3.2.9</w:t>
            </w:r>
          </w:p>
        </w:tc>
        <w:tc>
          <w:tcPr>
            <w:tcW w:w="851" w:type="pct"/>
            <w:vAlign w:val="center"/>
          </w:tcPr>
          <w:p w14:paraId="1B72172F">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b/>
                <w:color w:val="auto"/>
                <w:kern w:val="0"/>
                <w:szCs w:val="21"/>
                <w:highlight w:val="none"/>
              </w:rPr>
            </w:pPr>
            <w:r>
              <w:rPr>
                <w:rFonts w:hint="eastAsia" w:ascii="宋体" w:hAnsi="宋体" w:eastAsia="宋体" w:cs="宋体"/>
                <w:color w:val="auto"/>
                <w:kern w:val="0"/>
                <w:szCs w:val="21"/>
                <w:highlight w:val="none"/>
                <w:lang w:bidi="ar"/>
              </w:rPr>
              <w:t>投标报价的其他要求</w:t>
            </w:r>
          </w:p>
        </w:tc>
        <w:tc>
          <w:tcPr>
            <w:tcW w:w="3445" w:type="pct"/>
            <w:vAlign w:val="center"/>
          </w:tcPr>
          <w:p w14:paraId="6961C8D3">
            <w:pPr>
              <w:pStyle w:val="2"/>
              <w:adjustRightInd w:val="0"/>
              <w:snapToGrid w:val="0"/>
              <w:spacing w:before="0" w:beforeAutospacing="0" w:after="0" w:afterLines="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有，具体要求为：</w:t>
            </w:r>
          </w:p>
          <w:p w14:paraId="37BC9230">
            <w:pPr>
              <w:pStyle w:val="2"/>
              <w:adjustRightInd w:val="0"/>
              <w:snapToGrid w:val="0"/>
              <w:spacing w:before="0" w:beforeAutospacing="0" w:after="0" w:afterLines="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招标人将公布投标总报价最高限价及各清单子目</w:t>
            </w:r>
            <w:r>
              <w:rPr>
                <w:rFonts w:hint="eastAsia" w:ascii="宋体" w:hAnsi="宋体" w:eastAsia="宋体" w:cs="宋体"/>
                <w:color w:val="auto"/>
                <w:szCs w:val="21"/>
                <w:highlight w:val="none"/>
              </w:rPr>
              <w:t>单价最高限价。</w:t>
            </w:r>
          </w:p>
          <w:p w14:paraId="39069644">
            <w:pPr>
              <w:pStyle w:val="2"/>
              <w:adjustRightInd w:val="0"/>
              <w:snapToGrid w:val="0"/>
              <w:spacing w:before="0" w:beforeAutospacing="0" w:after="0" w:afterLines="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投标人的投标总报价不应高于投标总报价最高限价，否则由评标委员会作否决投标处理；</w:t>
            </w:r>
          </w:p>
          <w:p w14:paraId="61EE6978">
            <w:pPr>
              <w:pStyle w:val="2"/>
              <w:adjustRightInd w:val="0"/>
              <w:snapToGrid w:val="0"/>
              <w:spacing w:before="0" w:beforeAutospacing="0" w:after="0" w:afterLines="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投标人投标报价中的各清单子目单价不应高于各清单子目单价最高限价。招标人在合同签订前将对中标人“已标价工程量清单”进行复核，若出现差错则按以下原则进行处理（或结算）：</w:t>
            </w:r>
          </w:p>
          <w:p w14:paraId="563C6E85">
            <w:pPr>
              <w:pStyle w:val="2"/>
              <w:adjustRightInd w:val="0"/>
              <w:snapToGrid w:val="0"/>
              <w:spacing w:before="0" w:beforeAutospacing="0" w:after="0" w:afterLines="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分部分项工程量清单报价汇总计算结果与投标函总报价不一致时，按就低不就高原则进行修正，即：汇总计算结果高于投标函总报价则以投标函总报价为准，按汇总计算结果与投标函总报价相比的降低幅度同比例修正分项报价和各清单子目单价； 汇总计算结果低于投标函总报价则以分部分项工程量清单报价汇总计算结果为准进行签约或结算；</w:t>
            </w:r>
          </w:p>
          <w:p w14:paraId="058656BC">
            <w:pPr>
              <w:pStyle w:val="2"/>
              <w:adjustRightInd w:val="0"/>
              <w:snapToGrid w:val="0"/>
              <w:spacing w:before="0" w:beforeAutospacing="0" w:after="0" w:afterLines="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（2）依据单价和数量计算结果与其合价不符的，按不利于投标人原则（就低不就高）对其单价和合价进行修正。</w:t>
            </w:r>
          </w:p>
          <w:p w14:paraId="5F4BA8D7">
            <w:pPr>
              <w:pStyle w:val="2"/>
              <w:adjustRightInd w:val="0"/>
              <w:snapToGrid w:val="0"/>
              <w:spacing w:before="0" w:beforeAutospacing="0" w:after="0" w:afterLines="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（3）单价报价超过工程量清单综合单价最高限价的，以工程量清单综合单价最高限价为基础，按照中标总报价与总价最高限价的下浮比例进行同比例下调修正其单价和合价。</w:t>
            </w:r>
          </w:p>
          <w:p w14:paraId="2248C455">
            <w:pPr>
              <w:pStyle w:val="2"/>
              <w:adjustRightInd w:val="0"/>
              <w:snapToGrid w:val="0"/>
              <w:spacing w:before="0" w:beforeAutospacing="0" w:after="0" w:afterLines="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工程量清单漏项的，按该项单价为0进行修正（即视为该项工作内容的报价已包括在其他项目报价内），超出招标人提供的工程量清单范围的清单项目报价不予认可，按该清单项目报价为0对其单价和合价进行修正。</w:t>
            </w:r>
          </w:p>
          <w:p w14:paraId="521AF936">
            <w:pPr>
              <w:pStyle w:val="2"/>
              <w:adjustRightInd w:val="0"/>
              <w:snapToGrid w:val="0"/>
              <w:spacing w:before="0" w:beforeAutospacing="0" w:after="0" w:afterLines="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投标人须在投标文件资格审查部分提供承诺（格式详见第九章投标文件格式），并包括以下内容：</w:t>
            </w:r>
          </w:p>
          <w:p w14:paraId="5C5E41FC">
            <w:pPr>
              <w:pStyle w:val="2"/>
              <w:adjustRightInd w:val="0"/>
              <w:snapToGrid w:val="0"/>
              <w:spacing w:before="0" w:beforeAutospacing="0" w:after="0" w:afterLines="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（1）按照第五章“工程量清单”、第八章“工程量清单计量规则”的规定进行报价。</w:t>
            </w:r>
          </w:p>
          <w:p w14:paraId="7DB21071">
            <w:pPr>
              <w:pStyle w:val="2"/>
              <w:adjustRightInd w:val="0"/>
              <w:snapToGrid w:val="0"/>
              <w:spacing w:before="0" w:beforeAutospacing="0" w:after="0" w:afterLines="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（2）招标文件中规定工程量清单不允许修改的内容不得修改。</w:t>
            </w:r>
          </w:p>
          <w:p w14:paraId="3837C633">
            <w:pPr>
              <w:pStyle w:val="2"/>
              <w:adjustRightInd w:val="0"/>
              <w:snapToGrid w:val="0"/>
              <w:spacing w:before="0" w:beforeAutospacing="0" w:after="0" w:afterLines="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（3）投标总报价不高于招标人公布的投标总报价最高限价。</w:t>
            </w:r>
          </w:p>
          <w:p w14:paraId="7C299E2D">
            <w:pPr>
              <w:pStyle w:val="2"/>
              <w:adjustRightInd w:val="0"/>
              <w:snapToGrid w:val="0"/>
              <w:spacing w:before="0" w:beforeAutospacing="0" w:after="0" w:afterLines="0" w:line="400" w:lineRule="exact"/>
              <w:ind w:left="0" w:right="0"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（4）各清单子目单价不高于招标人公布的各清单子目单价最高限价的。</w:t>
            </w:r>
          </w:p>
          <w:p w14:paraId="1E826911">
            <w:pPr>
              <w:pStyle w:val="2"/>
              <w:adjustRightInd w:val="0"/>
              <w:snapToGrid w:val="0"/>
              <w:spacing w:before="0" w:beforeAutospacing="0" w:after="0" w:afterLines="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rPr>
              <w:t>5</w:t>
            </w:r>
            <w:r>
              <w:rPr>
                <w:rFonts w:hint="eastAsia" w:ascii="宋体" w:hAnsi="宋体" w:eastAsia="宋体" w:cs="宋体"/>
                <w:color w:val="auto"/>
                <w:szCs w:val="21"/>
                <w:highlight w:val="none"/>
              </w:rPr>
              <w:t>）若出现差错，按招标文件第二章投标人须知前附表第3.2.9项规定的原则进行处理（或结算）。</w:t>
            </w:r>
          </w:p>
          <w:p w14:paraId="2642FB42">
            <w:pPr>
              <w:pStyle w:val="2"/>
              <w:adjustRightInd w:val="0"/>
              <w:snapToGrid w:val="0"/>
              <w:spacing w:before="0" w:beforeAutospacing="0" w:after="0" w:afterLines="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投标人未按上述要求提供承诺函的，由评标委员会作否决投标处理。</w:t>
            </w:r>
          </w:p>
          <w:p w14:paraId="21251E06">
            <w:pPr>
              <w:pStyle w:val="2"/>
              <w:adjustRightInd w:val="0"/>
              <w:snapToGrid w:val="0"/>
              <w:spacing w:before="0" w:beforeAutospacing="0" w:after="0" w:afterLines="0" w:line="40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支付方式</w:t>
            </w:r>
          </w:p>
          <w:p w14:paraId="7B31C2EE">
            <w:pPr>
              <w:pStyle w:val="2"/>
              <w:adjustRightInd w:val="0"/>
              <w:snapToGrid w:val="0"/>
              <w:spacing w:before="0" w:beforeAutospacing="0" w:after="0" w:afterLines="0" w:line="400" w:lineRule="exact"/>
              <w:ind w:left="0" w:right="0" w:firstLine="420" w:firstLineChars="200"/>
              <w:rPr>
                <w:rFonts w:hint="eastAsia" w:ascii="宋体" w:hAnsi="宋体" w:cs="宋体"/>
                <w:color w:val="auto"/>
                <w:highlight w:val="none"/>
              </w:rPr>
            </w:pPr>
            <w:r>
              <w:rPr>
                <w:rFonts w:hint="eastAsia" w:ascii="宋体" w:hAnsi="宋体" w:cs="宋体"/>
                <w:color w:val="auto"/>
                <w:highlight w:val="none"/>
              </w:rPr>
              <w:t>1.工程费用：（1）按月支付，每月支付上月完成合格工程量的80%，项目通电并结算后支付至结算金额的97%，剩余3%稳定运行</w:t>
            </w:r>
            <w:r>
              <w:rPr>
                <w:rFonts w:hint="eastAsia" w:ascii="宋体" w:hAnsi="宋体" w:cs="宋体"/>
                <w:color w:val="auto"/>
                <w:highlight w:val="none"/>
              </w:rPr>
              <w:t>1年</w:t>
            </w:r>
            <w:r>
              <w:rPr>
                <w:rFonts w:hint="eastAsia" w:ascii="宋体" w:hAnsi="宋体" w:cs="宋体"/>
                <w:color w:val="auto"/>
                <w:highlight w:val="none"/>
              </w:rPr>
              <w:t>后，施工方提出支付申请后1个月内支付。（2）安全生产费：甲方收到业主的预付款后，工程开工一个月内向乙方支付50%的安全生产费用。安全生产费按实结算，工程竣工结算后结余的安全生产费用，应当退回甲方。</w:t>
            </w:r>
          </w:p>
          <w:p w14:paraId="31CC46F5">
            <w:pPr>
              <w:pStyle w:val="2"/>
              <w:adjustRightInd w:val="0"/>
              <w:snapToGrid w:val="0"/>
              <w:spacing w:before="0" w:beforeAutospacing="0" w:after="0" w:afterLines="0" w:line="400" w:lineRule="exact"/>
              <w:ind w:left="0" w:right="0" w:firstLine="420" w:firstLineChars="200"/>
              <w:rPr>
                <w:rFonts w:hint="default" w:ascii="宋体" w:hAnsi="宋体" w:eastAsia="宋体" w:cs="宋体"/>
                <w:color w:val="auto"/>
                <w:szCs w:val="21"/>
                <w:highlight w:val="none"/>
                <w:lang w:val="en-US" w:eastAsia="zh-CN"/>
              </w:rPr>
            </w:pPr>
            <w:r>
              <w:rPr>
                <w:rFonts w:hint="eastAsia" w:ascii="宋体" w:hAnsi="宋体" w:cs="宋体"/>
                <w:color w:val="auto"/>
                <w:highlight w:val="none"/>
              </w:rPr>
              <w:t>2.设计费用：合同签订完成，乙方立刻进行现场勘察设计工作，设计方案优化完成且达到最终出图状态，经甲方审核后支付80%的设计费，正式图纸出具现场实施完成，经供电局验收合格且通电后支付剩余20%。</w:t>
            </w:r>
            <w:r>
              <w:rPr>
                <w:rFonts w:hint="eastAsia" w:ascii="宋体" w:hAnsi="宋体" w:cs="宋体"/>
                <w:color w:val="auto"/>
                <w:szCs w:val="21"/>
                <w:highlight w:val="none"/>
                <w:lang w:val="en-US" w:eastAsia="zh-CN"/>
              </w:rPr>
              <w:t>。</w:t>
            </w:r>
          </w:p>
        </w:tc>
      </w:tr>
      <w:tr w14:paraId="7B89FA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645801AA">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3.3.1</w:t>
            </w:r>
          </w:p>
        </w:tc>
        <w:tc>
          <w:tcPr>
            <w:tcW w:w="851" w:type="pct"/>
            <w:vAlign w:val="center"/>
          </w:tcPr>
          <w:p w14:paraId="51C171E0">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投标有效期</w:t>
            </w:r>
          </w:p>
        </w:tc>
        <w:tc>
          <w:tcPr>
            <w:tcW w:w="3445" w:type="pct"/>
            <w:vAlign w:val="center"/>
          </w:tcPr>
          <w:p w14:paraId="2AD69331">
            <w:pPr>
              <w:keepNext w:val="0"/>
              <w:keepLines w:val="0"/>
              <w:widowControl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kern w:val="2"/>
                <w:sz w:val="21"/>
                <w:szCs w:val="21"/>
                <w:highlight w:val="none"/>
                <w:u w:val="single"/>
                <w:lang w:val="en-US" w:eastAsia="zh-CN" w:bidi="ar"/>
              </w:rPr>
              <w:t>90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日历天（从提交投标文件截止日起计算）</w:t>
            </w:r>
          </w:p>
        </w:tc>
      </w:tr>
      <w:tr w14:paraId="66CB14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76E37600">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3.4.1</w:t>
            </w:r>
          </w:p>
        </w:tc>
        <w:tc>
          <w:tcPr>
            <w:tcW w:w="851" w:type="pct"/>
            <w:vAlign w:val="center"/>
          </w:tcPr>
          <w:p w14:paraId="45578F29">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投标保证金</w:t>
            </w:r>
          </w:p>
        </w:tc>
        <w:tc>
          <w:tcPr>
            <w:tcW w:w="3445" w:type="pct"/>
            <w:vAlign w:val="center"/>
          </w:tcPr>
          <w:p w14:paraId="4A6CBE69">
            <w:pPr>
              <w:keepNext w:val="0"/>
              <w:keepLines w:val="0"/>
              <w:suppressLineNumbers w:val="0"/>
              <w:snapToGrid w:val="0"/>
              <w:spacing w:before="0" w:beforeAutospacing="0" w:after="0" w:afterAutospacing="0" w:line="360" w:lineRule="auto"/>
              <w:ind w:left="0" w:right="0" w:firstLine="420" w:firstLineChars="200"/>
              <w:rPr>
                <w:rFonts w:hint="default" w:ascii="宋体" w:hAnsi="宋体" w:cs="宋体"/>
                <w:color w:val="auto"/>
                <w:szCs w:val="21"/>
              </w:rPr>
            </w:pPr>
            <w:r>
              <w:rPr>
                <w:rFonts w:hint="eastAsia" w:ascii="宋体" w:hAnsi="宋体" w:cs="宋体"/>
                <w:color w:val="auto"/>
                <w:szCs w:val="21"/>
              </w:rPr>
              <w:t>投标保证金的交纳方式：投标人可选择以下二种方式之一。</w:t>
            </w:r>
          </w:p>
          <w:p w14:paraId="265DE0DB">
            <w:pPr>
              <w:keepNext w:val="0"/>
              <w:keepLines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cs="宋体"/>
                <w:color w:val="auto"/>
                <w:szCs w:val="21"/>
              </w:rPr>
            </w:pPr>
            <w:r>
              <w:rPr>
                <w:rFonts w:hint="eastAsia" w:ascii="宋体" w:hAnsi="宋体" w:cs="宋体"/>
                <w:color w:val="auto"/>
                <w:szCs w:val="21"/>
              </w:rPr>
              <w:t>方式一</w:t>
            </w:r>
          </w:p>
          <w:p w14:paraId="6ED1807D">
            <w:pPr>
              <w:keepNext w:val="0"/>
              <w:keepLines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cs="宋体"/>
                <w:color w:val="auto"/>
                <w:szCs w:val="21"/>
                <w:lang w:val="en-US" w:eastAsia="zh-CN"/>
              </w:rPr>
              <w:t>一、</w:t>
            </w:r>
            <w:r>
              <w:rPr>
                <w:rFonts w:hint="eastAsia" w:ascii="宋体" w:hAnsi="宋体" w:eastAsia="宋体" w:cs="宋体"/>
                <w:color w:val="auto"/>
                <w:szCs w:val="21"/>
                <w:highlight w:val="none"/>
                <w:lang w:eastAsia="zh-CN"/>
              </w:rPr>
              <w:t>以转账支票或电汇形式交纳投标保证金</w:t>
            </w:r>
          </w:p>
          <w:p w14:paraId="3C0F5509">
            <w:pPr>
              <w:keepNext w:val="0"/>
              <w:keepLines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1.本项目投标保证金为:</w:t>
            </w:r>
            <w:r>
              <w:rPr>
                <w:rFonts w:hint="eastAsia" w:ascii="宋体" w:hAnsi="宋体" w:cs="宋体"/>
                <w:color w:val="auto"/>
                <w:szCs w:val="21"/>
                <w:highlight w:val="none"/>
                <w:u w:val="single"/>
                <w:lang w:val="en-US" w:eastAsia="zh-CN"/>
              </w:rPr>
              <w:t>10万元（大写：壹拾万元整）</w:t>
            </w:r>
            <w:r>
              <w:rPr>
                <w:rFonts w:hint="eastAsia" w:ascii="宋体" w:hAnsi="宋体" w:eastAsia="宋体" w:cs="宋体"/>
                <w:color w:val="auto"/>
                <w:szCs w:val="21"/>
                <w:highlight w:val="none"/>
                <w:lang w:eastAsia="zh-CN"/>
              </w:rPr>
              <w:t>。</w:t>
            </w:r>
          </w:p>
          <w:p w14:paraId="0719707B">
            <w:pPr>
              <w:keepNext w:val="0"/>
              <w:keepLines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2.投标保证金提交方式：以银行转账或银行电汇形式提交，投标可任选一种。</w:t>
            </w:r>
          </w:p>
          <w:p w14:paraId="3DE9C5EE">
            <w:pPr>
              <w:keepNext w:val="0"/>
              <w:keepLines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3.提交时间和方式：投标保证金必须从投标人单位基本账户直接转（汇）入</w:t>
            </w:r>
            <w:r>
              <w:rPr>
                <w:rFonts w:hint="eastAsia" w:ascii="宋体" w:hAnsi="宋体" w:cs="宋体"/>
                <w:color w:val="auto"/>
                <w:szCs w:val="21"/>
                <w:highlight w:val="none"/>
                <w:lang w:val="en-US" w:eastAsia="zh-CN"/>
              </w:rPr>
              <w:t>招标人</w:t>
            </w:r>
            <w:r>
              <w:rPr>
                <w:rFonts w:hint="eastAsia" w:ascii="宋体" w:hAnsi="宋体" w:eastAsia="宋体" w:cs="宋体"/>
                <w:color w:val="auto"/>
                <w:szCs w:val="21"/>
                <w:highlight w:val="none"/>
                <w:lang w:eastAsia="zh-CN"/>
              </w:rPr>
              <w:t>指定的专用银行账户，其转（汇）款到账截止时间为投标截止时间前</w:t>
            </w:r>
            <w:r>
              <w:rPr>
                <w:rFonts w:hint="eastAsia" w:ascii="宋体" w:hAnsi="宋体" w:eastAsia="宋体" w:cs="宋体"/>
                <w:color w:val="auto"/>
                <w:szCs w:val="21"/>
                <w:highlight w:val="none"/>
                <w:lang w:val="en-US" w:eastAsia="zh-CN"/>
              </w:rPr>
              <w:t>24</w:t>
            </w:r>
            <w:r>
              <w:rPr>
                <w:rFonts w:hint="eastAsia" w:ascii="宋体" w:hAnsi="宋体" w:eastAsia="宋体" w:cs="宋体"/>
                <w:color w:val="auto"/>
                <w:szCs w:val="21"/>
                <w:highlight w:val="none"/>
                <w:lang w:eastAsia="zh-CN"/>
              </w:rPr>
              <w:t>个小时，若本招标文件规定的投标文件递交截止时间顺延，则投标保证金到账截止时间相应顺延。迟到的投标保证金将导致评委会对其作否决处理。</w:t>
            </w:r>
          </w:p>
          <w:p w14:paraId="7747A83C">
            <w:pPr>
              <w:keepNext w:val="0"/>
              <w:keepLines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各投标人递交的投标保证金，如果不是从其基本账户汇出，或者不是汇到上述指定专用账户；将导致评审委员会对其作否决处理。</w:t>
            </w:r>
          </w:p>
          <w:p w14:paraId="00B7B4EB">
            <w:pPr>
              <w:keepNext w:val="0"/>
              <w:keepLines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投标保证金指定账户如下：</w:t>
            </w:r>
          </w:p>
          <w:p w14:paraId="2C11CDF0">
            <w:pPr>
              <w:keepNext w:val="0"/>
              <w:keepLines w:val="0"/>
              <w:suppressLineNumbers w:val="0"/>
              <w:adjustRightInd w:val="0"/>
              <w:snapToGrid w:val="0"/>
              <w:spacing w:before="0" w:beforeAutospacing="0" w:after="0" w:afterLines="0" w:afterAutospacing="0" w:line="400" w:lineRule="exact"/>
              <w:ind w:left="0" w:right="0" w:firstLine="422" w:firstLineChars="200"/>
              <w:jc w:val="both"/>
              <w:rPr>
                <w:rFonts w:hint="eastAsia" w:ascii="宋体" w:hAnsi="宋体" w:cs="宋体"/>
                <w:b/>
                <w:bCs/>
                <w:color w:val="auto"/>
                <w:szCs w:val="21"/>
                <w:highlight w:val="none"/>
              </w:rPr>
            </w:pPr>
            <w:r>
              <w:rPr>
                <w:rFonts w:hint="eastAsia" w:ascii="宋体" w:hAnsi="宋体" w:cs="宋体"/>
                <w:b/>
                <w:bCs/>
                <w:color w:val="auto"/>
                <w:szCs w:val="21"/>
                <w:highlight w:val="none"/>
              </w:rPr>
              <w:t>账户名称：重庆首讯科技股份有限公司</w:t>
            </w:r>
          </w:p>
          <w:p w14:paraId="005561AA">
            <w:pPr>
              <w:keepNext w:val="0"/>
              <w:keepLines w:val="0"/>
              <w:suppressLineNumbers w:val="0"/>
              <w:adjustRightInd w:val="0"/>
              <w:snapToGrid w:val="0"/>
              <w:spacing w:before="0" w:beforeAutospacing="0" w:after="0" w:afterLines="0" w:afterAutospacing="0" w:line="400" w:lineRule="exact"/>
              <w:ind w:left="0" w:right="0" w:firstLine="422" w:firstLineChars="200"/>
              <w:jc w:val="both"/>
              <w:rPr>
                <w:rFonts w:hint="eastAsia" w:ascii="宋体" w:hAnsi="宋体" w:cs="宋体"/>
                <w:b/>
                <w:bCs/>
                <w:color w:val="auto"/>
                <w:szCs w:val="21"/>
                <w:highlight w:val="none"/>
              </w:rPr>
            </w:pPr>
            <w:r>
              <w:rPr>
                <w:rFonts w:hint="eastAsia" w:ascii="宋体" w:hAnsi="宋体" w:cs="宋体"/>
                <w:b/>
                <w:bCs/>
                <w:color w:val="auto"/>
                <w:szCs w:val="21"/>
                <w:highlight w:val="none"/>
              </w:rPr>
              <w:t>开户银行：兴业银行重庆分行营业部</w:t>
            </w:r>
          </w:p>
          <w:p w14:paraId="567C4D58">
            <w:pPr>
              <w:keepNext w:val="0"/>
              <w:keepLines w:val="0"/>
              <w:suppressLineNumbers w:val="0"/>
              <w:adjustRightInd w:val="0"/>
              <w:snapToGrid w:val="0"/>
              <w:spacing w:before="0" w:beforeAutospacing="0" w:after="0" w:afterLines="0" w:afterAutospacing="0" w:line="400" w:lineRule="exact"/>
              <w:ind w:left="0" w:right="0" w:firstLine="422" w:firstLineChars="200"/>
              <w:jc w:val="both"/>
              <w:rPr>
                <w:rFonts w:hint="eastAsia" w:ascii="宋体" w:hAnsi="宋体" w:eastAsia="宋体" w:cs="宋体"/>
                <w:b/>
                <w:bCs/>
                <w:color w:val="auto"/>
                <w:szCs w:val="21"/>
                <w:highlight w:val="none"/>
                <w:lang w:eastAsia="zh-CN"/>
              </w:rPr>
            </w:pPr>
            <w:r>
              <w:rPr>
                <w:rFonts w:hint="eastAsia" w:ascii="宋体" w:hAnsi="宋体" w:cs="宋体"/>
                <w:b/>
                <w:bCs/>
                <w:color w:val="auto"/>
                <w:szCs w:val="21"/>
                <w:highlight w:val="none"/>
              </w:rPr>
              <w:t>帐    号：3460 1010 0100 4791 14</w:t>
            </w:r>
          </w:p>
          <w:p w14:paraId="40F9D46A">
            <w:pPr>
              <w:keepNext w:val="0"/>
              <w:keepLines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4.特别提示：请投标人务必仔细阅读下列条款：</w:t>
            </w:r>
          </w:p>
          <w:p w14:paraId="4739B7B1">
            <w:pPr>
              <w:keepNext w:val="0"/>
              <w:keepLines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（1）投标人必须在付款凭证备注栏中注明“项目名称”（可简写）保证金；</w:t>
            </w:r>
          </w:p>
          <w:p w14:paraId="5A9CD775">
            <w:pPr>
              <w:keepNext w:val="0"/>
              <w:keepLines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2）各投标人在银行转账（电汇）时，须充分考虑银行转账（电汇）的时间差风险，如同城转账、异地转账、跨行转账或电汇等所需的时间。投标保证金未在到账截止时间前汇入招标文件指定账户的风险由投标人自行承担。</w:t>
            </w:r>
          </w:p>
          <w:p w14:paraId="3F1BA12D">
            <w:pPr>
              <w:keepNext w:val="0"/>
              <w:keepLines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5. 投标保证金的退还</w:t>
            </w:r>
          </w:p>
          <w:p w14:paraId="0441291D">
            <w:pPr>
              <w:keepNext w:val="0"/>
              <w:keepLines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非中标候选人的投标保证金的退还：招标人应当在规定时间内确定中标人，发出中标通知书，非中标候选人</w:t>
            </w:r>
            <w:r>
              <w:rPr>
                <w:rFonts w:hint="eastAsia" w:ascii="宋体" w:hAnsi="宋体" w:cs="宋体"/>
                <w:color w:val="auto"/>
                <w:szCs w:val="21"/>
                <w:highlight w:val="none"/>
                <w:lang w:val="en-US" w:eastAsia="zh-CN"/>
              </w:rPr>
              <w:t>按招标人要求提供</w:t>
            </w:r>
            <w:r>
              <w:rPr>
                <w:rFonts w:hint="eastAsia" w:ascii="宋体" w:hAnsi="宋体" w:cs="宋体"/>
                <w:color w:val="auto"/>
                <w:szCs w:val="21"/>
                <w:highlight w:val="none"/>
              </w:rPr>
              <w:t>投标保证金退还申请函</w:t>
            </w:r>
            <w:r>
              <w:rPr>
                <w:rFonts w:hint="eastAsia" w:ascii="宋体" w:hAnsi="宋体" w:cs="宋体"/>
                <w:color w:val="auto"/>
                <w:szCs w:val="21"/>
                <w:highlight w:val="none"/>
                <w:lang w:val="en-US" w:eastAsia="zh-CN"/>
              </w:rPr>
              <w:t>后，招标人1</w:t>
            </w:r>
            <w:r>
              <w:rPr>
                <w:rFonts w:hint="eastAsia" w:ascii="宋体" w:hAnsi="宋体" w:eastAsia="宋体" w:cs="宋体"/>
                <w:color w:val="auto"/>
                <w:szCs w:val="21"/>
                <w:highlight w:val="none"/>
                <w:lang w:eastAsia="zh-CN"/>
              </w:rPr>
              <w:t>5日内将中标候选人以外的投标人投标保证金退还至其银行基本账户。</w:t>
            </w:r>
          </w:p>
          <w:p w14:paraId="71D0F1EE">
            <w:pPr>
              <w:keepNext w:val="0"/>
              <w:keepLines w:val="0"/>
              <w:suppressLineNumbers w:val="0"/>
              <w:snapToGrid w:val="0"/>
              <w:spacing w:before="0" w:beforeAutospacing="0" w:after="0" w:afterAutospacing="0" w:line="360" w:lineRule="auto"/>
              <w:ind w:left="0" w:right="0"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中标人和中标候选人的投标保证金的退还：在招标人与中标人签订合同后</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lang w:eastAsia="zh-CN"/>
              </w:rPr>
              <w:t>中标人和其他中标候选人</w:t>
            </w:r>
            <w:r>
              <w:rPr>
                <w:rFonts w:hint="eastAsia" w:ascii="宋体" w:hAnsi="宋体" w:cs="宋体"/>
                <w:color w:val="auto"/>
                <w:szCs w:val="21"/>
                <w:highlight w:val="none"/>
                <w:lang w:val="en-US" w:eastAsia="zh-CN"/>
              </w:rPr>
              <w:t>按招标人要求提供</w:t>
            </w:r>
            <w:r>
              <w:rPr>
                <w:rFonts w:hint="eastAsia" w:ascii="宋体" w:hAnsi="宋体" w:cs="宋体"/>
                <w:color w:val="auto"/>
                <w:szCs w:val="21"/>
                <w:highlight w:val="none"/>
              </w:rPr>
              <w:t>投标保证金退还申请函</w:t>
            </w:r>
            <w:r>
              <w:rPr>
                <w:rFonts w:hint="eastAsia" w:ascii="宋体" w:hAnsi="宋体" w:cs="宋体"/>
                <w:color w:val="auto"/>
                <w:szCs w:val="21"/>
                <w:highlight w:val="none"/>
                <w:lang w:val="en-US" w:eastAsia="zh-CN"/>
              </w:rPr>
              <w:t>后1</w:t>
            </w:r>
            <w:r>
              <w:rPr>
                <w:rFonts w:hint="eastAsia" w:ascii="宋体" w:hAnsi="宋体" w:eastAsia="宋体" w:cs="宋体"/>
                <w:color w:val="auto"/>
                <w:szCs w:val="21"/>
                <w:highlight w:val="none"/>
                <w:lang w:eastAsia="zh-CN"/>
              </w:rPr>
              <w:t>5日内，将投标保证金退还至其银行基本账户。</w:t>
            </w:r>
          </w:p>
          <w:p w14:paraId="3D661F6A">
            <w:pPr>
              <w:keepNext w:val="0"/>
              <w:keepLines w:val="0"/>
              <w:suppressLineNumbers w:val="0"/>
              <w:snapToGrid w:val="0"/>
              <w:spacing w:before="0" w:beforeAutospacing="0" w:after="0" w:afterAutospacing="0" w:line="360" w:lineRule="auto"/>
              <w:ind w:left="0" w:right="0" w:firstLine="420" w:firstLineChars="200"/>
              <w:rPr>
                <w:rFonts w:hint="default" w:ascii="宋体" w:hAnsi="宋体" w:cs="宋体"/>
                <w:color w:val="auto"/>
                <w:szCs w:val="21"/>
              </w:rPr>
            </w:pPr>
            <w:r>
              <w:rPr>
                <w:rFonts w:hint="eastAsia" w:ascii="宋体" w:hAnsi="宋体" w:cs="宋体"/>
                <w:color w:val="auto"/>
                <w:szCs w:val="21"/>
              </w:rPr>
              <w:t>方式二</w:t>
            </w:r>
          </w:p>
          <w:p w14:paraId="2AC4B357">
            <w:pPr>
              <w:keepNext w:val="0"/>
              <w:keepLines w:val="0"/>
              <w:suppressLineNumbers w:val="0"/>
              <w:snapToGrid w:val="0"/>
              <w:spacing w:before="0" w:beforeAutospacing="0" w:after="0" w:afterAutospacing="0" w:line="360" w:lineRule="auto"/>
              <w:ind w:left="0" w:right="0" w:firstLine="420" w:firstLineChars="200"/>
              <w:rPr>
                <w:rFonts w:hint="default" w:ascii="宋体" w:hAnsi="宋体" w:cs="宋体"/>
                <w:color w:val="auto"/>
                <w:kern w:val="0"/>
                <w:szCs w:val="21"/>
              </w:rPr>
            </w:pPr>
            <w:r>
              <w:rPr>
                <w:rFonts w:hint="eastAsia" w:ascii="宋体" w:hAnsi="宋体" w:cs="宋体"/>
                <w:color w:val="auto"/>
                <w:kern w:val="0"/>
                <w:szCs w:val="21"/>
              </w:rPr>
              <w:t>一、以纸质投标保函形式交纳投标保证金</w:t>
            </w:r>
          </w:p>
          <w:p w14:paraId="7EF97309">
            <w:pPr>
              <w:keepNext w:val="0"/>
              <w:keepLines w:val="0"/>
              <w:suppressLineNumbers w:val="0"/>
              <w:snapToGrid w:val="0"/>
              <w:spacing w:before="0" w:beforeAutospacing="0" w:after="0" w:afterAutospacing="0" w:line="360" w:lineRule="auto"/>
              <w:ind w:left="0" w:right="0" w:firstLine="420" w:firstLineChars="200"/>
              <w:rPr>
                <w:rFonts w:hint="default" w:ascii="宋体" w:hAnsi="宋体" w:cs="宋体"/>
                <w:color w:val="auto"/>
                <w:kern w:val="0"/>
                <w:szCs w:val="21"/>
              </w:rPr>
            </w:pPr>
            <w:r>
              <w:rPr>
                <w:rFonts w:hint="eastAsia" w:ascii="宋体" w:hAnsi="宋体" w:cs="宋体"/>
                <w:color w:val="auto"/>
                <w:kern w:val="0"/>
                <w:szCs w:val="21"/>
              </w:rPr>
              <w:t>1. 纸质投标保函交纳形式及要求：</w:t>
            </w:r>
          </w:p>
          <w:p w14:paraId="3F84B9F7">
            <w:pPr>
              <w:keepNext w:val="0"/>
              <w:keepLines w:val="0"/>
              <w:suppressLineNumbers w:val="0"/>
              <w:snapToGrid w:val="0"/>
              <w:spacing w:before="0" w:beforeAutospacing="0" w:after="0" w:afterAutospacing="0" w:line="360" w:lineRule="auto"/>
              <w:ind w:left="0" w:right="0" w:firstLine="420" w:firstLineChars="200"/>
              <w:rPr>
                <w:rFonts w:hint="default" w:ascii="宋体" w:hAnsi="宋体" w:cs="宋体"/>
                <w:color w:val="auto"/>
                <w:kern w:val="0"/>
                <w:szCs w:val="21"/>
              </w:rPr>
            </w:pPr>
            <w:r>
              <w:rPr>
                <w:rFonts w:hint="eastAsia" w:ascii="宋体" w:hAnsi="宋体" w:cs="宋体"/>
                <w:color w:val="auto"/>
                <w:kern w:val="0"/>
                <w:szCs w:val="21"/>
              </w:rPr>
              <w:t>（1）缴纳形式：纸质投标保函包括银行保函、保证保险和担保保函，其示范文本详见第九章投标文件格式。投标人提交的纸质投标保函应严格执行其示范文本，不得对示范文本中的实质性内容进行修改。</w:t>
            </w:r>
          </w:p>
          <w:p w14:paraId="79592E55">
            <w:pPr>
              <w:keepNext w:val="0"/>
              <w:keepLines w:val="0"/>
              <w:suppressLineNumbers w:val="0"/>
              <w:snapToGrid w:val="0"/>
              <w:spacing w:before="0" w:beforeAutospacing="0" w:after="0" w:afterAutospacing="0" w:line="360" w:lineRule="auto"/>
              <w:ind w:left="0" w:right="0" w:firstLine="420" w:firstLineChars="200"/>
              <w:rPr>
                <w:rFonts w:hint="default" w:ascii="宋体" w:hAnsi="宋体" w:cs="宋体"/>
                <w:color w:val="auto"/>
                <w:kern w:val="0"/>
                <w:szCs w:val="21"/>
              </w:rPr>
            </w:pPr>
            <w:r>
              <w:rPr>
                <w:rFonts w:hint="eastAsia" w:ascii="宋体" w:hAnsi="宋体" w:cs="宋体"/>
                <w:color w:val="auto"/>
                <w:kern w:val="0"/>
                <w:szCs w:val="21"/>
              </w:rPr>
              <w:t>（2）具体要求：纸质投标保函的开立人应当是具有相应资格的银行、保险机构、融资担保公司，其信用资质、履约能力、担保能力、赔付流程、安全保密等应符合工程保函业务条件。纸质投标保函应合法合规，符合招投标行政监督部门、行业主管部门和金融监管部门的相关规定，满足招标文件约定要求。投标人应选择在渝依法设立总部或者设有分支机构的金融机构开具纸质投标保函。投标人对所提交的纸质投标保函的真实性、合法性、有效性负责。</w:t>
            </w:r>
          </w:p>
          <w:p w14:paraId="101D18A3">
            <w:pPr>
              <w:keepNext w:val="0"/>
              <w:keepLines w:val="0"/>
              <w:suppressLineNumbers w:val="0"/>
              <w:snapToGrid w:val="0"/>
              <w:spacing w:before="0" w:beforeAutospacing="0" w:after="0" w:afterAutospacing="0" w:line="360" w:lineRule="auto"/>
              <w:ind w:left="0" w:right="0" w:firstLine="420" w:firstLineChars="200"/>
              <w:rPr>
                <w:rFonts w:hint="default" w:ascii="宋体" w:hAnsi="宋体" w:cs="宋体"/>
                <w:color w:val="auto"/>
                <w:kern w:val="0"/>
                <w:szCs w:val="21"/>
              </w:rPr>
            </w:pPr>
            <w:r>
              <w:rPr>
                <w:rFonts w:hint="eastAsia" w:ascii="宋体" w:hAnsi="宋体" w:cs="宋体"/>
                <w:color w:val="auto"/>
                <w:kern w:val="0"/>
                <w:szCs w:val="21"/>
              </w:rPr>
              <w:t>投标人须在投标文件投标保函部分提供纸质投标保函复印件，纸质投标保函原件随其他要求提供的原件一并放入原件袋中，在递交投标文件时一次性递交。退还原件袋时，纸质投标保函原件不退还，由招标人保管。</w:t>
            </w:r>
          </w:p>
          <w:p w14:paraId="7C2142FC">
            <w:pPr>
              <w:keepNext w:val="0"/>
              <w:keepLines w:val="0"/>
              <w:suppressLineNumbers w:val="0"/>
              <w:snapToGrid w:val="0"/>
              <w:spacing w:before="0" w:beforeAutospacing="0" w:after="0" w:afterAutospacing="0" w:line="360" w:lineRule="auto"/>
              <w:ind w:left="0" w:right="0" w:firstLine="420" w:firstLineChars="200"/>
              <w:rPr>
                <w:rFonts w:hint="default" w:ascii="宋体" w:hAnsi="宋体" w:cs="宋体"/>
                <w:color w:val="auto"/>
                <w:szCs w:val="21"/>
              </w:rPr>
            </w:pPr>
            <w:r>
              <w:rPr>
                <w:rFonts w:hint="eastAsia" w:ascii="宋体" w:hAnsi="宋体" w:cs="宋体"/>
                <w:color w:val="auto"/>
                <w:szCs w:val="21"/>
              </w:rPr>
              <w:t>若投标截止时间延期，则纸质投标保函递交的截止时间和投标截止时间保持一致。</w:t>
            </w:r>
          </w:p>
          <w:p w14:paraId="6C1A3D70">
            <w:pPr>
              <w:keepNext w:val="0"/>
              <w:keepLines w:val="0"/>
              <w:suppressLineNumbers w:val="0"/>
              <w:snapToGrid w:val="0"/>
              <w:spacing w:before="0" w:beforeAutospacing="0" w:after="0" w:afterAutospacing="0" w:line="360" w:lineRule="auto"/>
              <w:ind w:left="0" w:right="0" w:firstLine="420" w:firstLineChars="200"/>
              <w:rPr>
                <w:rFonts w:hint="default" w:ascii="宋体" w:hAnsi="宋体" w:cs="宋体"/>
                <w:color w:val="auto"/>
                <w:szCs w:val="21"/>
              </w:rPr>
            </w:pPr>
            <w:r>
              <w:rPr>
                <w:rFonts w:hint="eastAsia" w:ascii="宋体" w:hAnsi="宋体" w:cs="宋体"/>
                <w:color w:val="auto"/>
                <w:kern w:val="0"/>
                <w:szCs w:val="21"/>
              </w:rPr>
              <w:t>不满足上述要求的纸质投标保函无效。</w:t>
            </w:r>
          </w:p>
          <w:p w14:paraId="503BA99E">
            <w:pPr>
              <w:keepNext w:val="0"/>
              <w:keepLines w:val="0"/>
              <w:suppressLineNumbers w:val="0"/>
              <w:snapToGrid w:val="0"/>
              <w:spacing w:before="0" w:beforeAutospacing="0" w:after="0" w:afterAutospacing="0" w:line="360" w:lineRule="auto"/>
              <w:ind w:left="0" w:right="0" w:firstLine="420" w:firstLineChars="200"/>
              <w:rPr>
                <w:rFonts w:hint="default" w:ascii="宋体" w:hAnsi="宋体" w:cs="宋体"/>
                <w:color w:val="auto"/>
                <w:kern w:val="0"/>
                <w:szCs w:val="21"/>
              </w:rPr>
            </w:pPr>
            <w:r>
              <w:rPr>
                <w:rFonts w:hint="eastAsia" w:ascii="宋体" w:hAnsi="宋体" w:cs="宋体"/>
                <w:color w:val="auto"/>
                <w:kern w:val="0"/>
                <w:szCs w:val="21"/>
              </w:rPr>
              <w:t xml:space="preserve">2. </w:t>
            </w:r>
            <w:r>
              <w:rPr>
                <w:rFonts w:hint="eastAsia" w:ascii="宋体" w:hAnsi="宋体" w:cs="宋体"/>
                <w:color w:val="auto"/>
                <w:szCs w:val="21"/>
              </w:rPr>
              <w:t>以纸质投标保函形式担保的投标保证金的金额</w:t>
            </w:r>
            <w:r>
              <w:rPr>
                <w:rFonts w:hint="eastAsia" w:ascii="宋体" w:hAnsi="宋体" w:cs="宋体"/>
                <w:color w:val="auto"/>
                <w:kern w:val="0"/>
                <w:szCs w:val="21"/>
              </w:rPr>
              <w:t>：</w:t>
            </w:r>
            <w:r>
              <w:rPr>
                <w:rFonts w:hint="eastAsia" w:ascii="宋体" w:hAnsi="宋体" w:cs="宋体"/>
                <w:color w:val="auto"/>
                <w:szCs w:val="21"/>
                <w:highlight w:val="none"/>
                <w:u w:val="single"/>
                <w:lang w:val="en-US" w:eastAsia="zh-CN"/>
              </w:rPr>
              <w:t>10万元（大写：壹拾万元整）</w:t>
            </w:r>
            <w:r>
              <w:rPr>
                <w:rFonts w:hint="eastAsia" w:ascii="宋体" w:hAnsi="宋体" w:cs="宋体"/>
                <w:color w:val="auto"/>
                <w:szCs w:val="21"/>
              </w:rPr>
              <w:t>。</w:t>
            </w:r>
          </w:p>
          <w:p w14:paraId="6CE587D3">
            <w:pPr>
              <w:keepNext w:val="0"/>
              <w:keepLines w:val="0"/>
              <w:suppressLineNumbers w:val="0"/>
              <w:snapToGrid w:val="0"/>
              <w:spacing w:before="0" w:beforeAutospacing="0" w:after="0" w:afterAutospacing="0" w:line="360" w:lineRule="auto"/>
              <w:ind w:left="0" w:right="0" w:firstLine="420" w:firstLineChars="200"/>
              <w:rPr>
                <w:rFonts w:hint="default" w:ascii="宋体" w:hAnsi="宋体" w:cs="宋体"/>
                <w:color w:val="auto"/>
                <w:kern w:val="0"/>
                <w:szCs w:val="21"/>
              </w:rPr>
            </w:pPr>
            <w:r>
              <w:rPr>
                <w:rFonts w:hint="eastAsia" w:ascii="宋体" w:hAnsi="宋体" w:cs="宋体"/>
                <w:color w:val="auto"/>
                <w:kern w:val="0"/>
                <w:szCs w:val="21"/>
              </w:rPr>
              <w:t>3. 投标人须</w:t>
            </w:r>
            <w:r>
              <w:rPr>
                <w:rFonts w:hint="eastAsia" w:ascii="宋体" w:hAnsi="宋体" w:cs="宋体"/>
                <w:color w:val="auto"/>
                <w:szCs w:val="21"/>
              </w:rPr>
              <w:t>在</w:t>
            </w:r>
            <w:r>
              <w:rPr>
                <w:rFonts w:hint="eastAsia" w:ascii="宋体" w:hAnsi="宋体" w:cs="宋体"/>
                <w:color w:val="auto"/>
                <w:kern w:val="0"/>
                <w:szCs w:val="21"/>
              </w:rPr>
              <w:t>纸质投标保函中注明在重庆市辖区范围内的核验地址和核验方式，并确保其递交的纸质投标保函能在开立人在渝的总部或者分支机构进行核验。</w:t>
            </w:r>
          </w:p>
          <w:p w14:paraId="6AD0D960">
            <w:pPr>
              <w:keepNext w:val="0"/>
              <w:keepLines w:val="0"/>
              <w:suppressLineNumbers w:val="0"/>
              <w:snapToGrid w:val="0"/>
              <w:spacing w:before="0" w:beforeAutospacing="0" w:after="0" w:afterAutospacing="0" w:line="360" w:lineRule="auto"/>
              <w:ind w:left="0" w:right="0" w:firstLine="420" w:firstLineChars="200"/>
              <w:rPr>
                <w:rFonts w:hint="default" w:ascii="宋体" w:hAnsi="宋体" w:cs="宋体"/>
                <w:color w:val="auto"/>
                <w:kern w:val="0"/>
                <w:szCs w:val="21"/>
              </w:rPr>
            </w:pPr>
            <w:r>
              <w:rPr>
                <w:rFonts w:hint="eastAsia" w:ascii="宋体" w:hAnsi="宋体" w:cs="宋体"/>
                <w:color w:val="auto"/>
                <w:kern w:val="0"/>
                <w:szCs w:val="21"/>
              </w:rPr>
              <w:t>4. 投标人递交的纸质投标保函原件应与投标文件中提供的纸质投标保函复印件一致，否则由评标委员会作否决投标处理。</w:t>
            </w:r>
          </w:p>
          <w:p w14:paraId="22D014E8">
            <w:pPr>
              <w:keepNext w:val="0"/>
              <w:keepLines w:val="0"/>
              <w:suppressLineNumbers w:val="0"/>
              <w:snapToGrid w:val="0"/>
              <w:spacing w:before="0" w:beforeAutospacing="0" w:after="0" w:afterAutospacing="0" w:line="360" w:lineRule="auto"/>
              <w:ind w:left="0" w:right="0" w:firstLine="420" w:firstLineChars="200"/>
              <w:rPr>
                <w:rFonts w:hint="default" w:ascii="宋体" w:hAnsi="宋体" w:cs="宋体"/>
                <w:color w:val="auto"/>
                <w:kern w:val="0"/>
                <w:szCs w:val="21"/>
              </w:rPr>
            </w:pPr>
            <w:r>
              <w:rPr>
                <w:rFonts w:hint="eastAsia" w:ascii="宋体" w:hAnsi="宋体" w:cs="宋体"/>
                <w:color w:val="auto"/>
                <w:kern w:val="0"/>
                <w:szCs w:val="21"/>
              </w:rPr>
              <w:t>5. 在发出中标通知书前，招标人应当对投标人（至少中标候选人或中标人）递交的纸质投标保函的真实性、合法性、有效性进行核验，对核验不合格或无法按纸质投标保函注明的核验地点、核验方式进行核验的，视为投标人未提交纸质投标保函，对</w:t>
            </w:r>
            <w:r>
              <w:rPr>
                <w:rFonts w:hint="eastAsia" w:ascii="宋体" w:hAnsi="宋体" w:cs="宋体"/>
                <w:color w:val="auto"/>
                <w:szCs w:val="21"/>
              </w:rPr>
              <w:t>已取得中标候选人资格或中标资格的投标人，按相关规定取消中标候选人资格或中标资格</w:t>
            </w:r>
            <w:r>
              <w:rPr>
                <w:rFonts w:hint="eastAsia" w:ascii="宋体" w:hAnsi="宋体" w:cs="宋体"/>
                <w:color w:val="auto"/>
                <w:kern w:val="0"/>
                <w:szCs w:val="21"/>
              </w:rPr>
              <w:t>，</w:t>
            </w:r>
            <w:r>
              <w:rPr>
                <w:rFonts w:hint="eastAsia" w:ascii="宋体" w:hAnsi="宋体" w:cs="宋体"/>
                <w:color w:val="auto"/>
                <w:szCs w:val="21"/>
              </w:rPr>
              <w:t>给招标人造成损失的，投标人依法承担赔偿责任。</w:t>
            </w:r>
            <w:r>
              <w:rPr>
                <w:rFonts w:hint="eastAsia" w:ascii="宋体" w:hAnsi="宋体" w:cs="宋体"/>
                <w:color w:val="auto"/>
                <w:kern w:val="0"/>
                <w:szCs w:val="21"/>
              </w:rPr>
              <w:t>投标人提交的纸质投标</w:t>
            </w:r>
            <w:r>
              <w:rPr>
                <w:rFonts w:hint="eastAsia" w:ascii="宋体" w:hAnsi="宋体" w:cs="宋体"/>
                <w:color w:val="auto"/>
                <w:szCs w:val="21"/>
              </w:rPr>
              <w:t>保函涉及弄虚作假或其他违法违规情形的，移送相关部门处理</w:t>
            </w:r>
            <w:r>
              <w:rPr>
                <w:rFonts w:hint="eastAsia" w:ascii="宋体" w:hAnsi="宋体" w:cs="宋体"/>
                <w:color w:val="auto"/>
                <w:kern w:val="0"/>
                <w:szCs w:val="21"/>
              </w:rPr>
              <w:t>。</w:t>
            </w:r>
          </w:p>
          <w:p w14:paraId="7A33D9F8">
            <w:pPr>
              <w:keepNext w:val="0"/>
              <w:keepLines w:val="0"/>
              <w:suppressLineNumbers w:val="0"/>
              <w:snapToGrid w:val="0"/>
              <w:spacing w:before="0" w:beforeAutospacing="0" w:after="0" w:afterAutospacing="0" w:line="360" w:lineRule="auto"/>
              <w:ind w:left="0" w:right="0" w:firstLine="420" w:firstLineChars="200"/>
              <w:rPr>
                <w:rFonts w:hint="default" w:ascii="宋体" w:hAnsi="宋体" w:cs="宋体"/>
                <w:color w:val="auto"/>
                <w:kern w:val="0"/>
                <w:szCs w:val="21"/>
              </w:rPr>
            </w:pPr>
            <w:r>
              <w:rPr>
                <w:rFonts w:hint="eastAsia" w:ascii="宋体" w:hAnsi="宋体" w:cs="宋体"/>
                <w:color w:val="auto"/>
                <w:kern w:val="0"/>
                <w:szCs w:val="21"/>
              </w:rPr>
              <w:t>二、纸质投标保函的退还、注销</w:t>
            </w:r>
          </w:p>
          <w:p w14:paraId="12018B47">
            <w:pPr>
              <w:keepNext w:val="0"/>
              <w:keepLines w:val="0"/>
              <w:suppressLineNumbers w:val="0"/>
              <w:snapToGrid w:val="0"/>
              <w:spacing w:before="0" w:beforeAutospacing="0" w:after="0" w:afterAutospacing="0" w:line="360" w:lineRule="auto"/>
              <w:ind w:left="0" w:right="0" w:firstLine="420" w:firstLineChars="200"/>
              <w:rPr>
                <w:rFonts w:hint="default" w:ascii="宋体" w:hAnsi="宋体" w:cs="宋体"/>
                <w:color w:val="auto"/>
                <w:kern w:val="0"/>
                <w:szCs w:val="21"/>
              </w:rPr>
            </w:pPr>
            <w:r>
              <w:rPr>
                <w:rFonts w:hint="eastAsia" w:ascii="宋体" w:hAnsi="宋体" w:cs="宋体"/>
                <w:color w:val="auto"/>
                <w:kern w:val="0"/>
                <w:szCs w:val="21"/>
              </w:rPr>
              <w:t>招标人应当在法定时间内确定中标人，向中标人发出中标通知书，同时向除中标候选人以外的其他投标人退还纸质投标保函并书面通知相关金融机构本项目准予提前注销纸质投标保函。具体注销事宜由投标人与金融机构协商。</w:t>
            </w:r>
          </w:p>
          <w:p w14:paraId="3751BB76">
            <w:pPr>
              <w:keepNext w:val="0"/>
              <w:keepLines w:val="0"/>
              <w:suppressLineNumbers w:val="0"/>
              <w:spacing w:before="0" w:beforeAutospacing="0" w:after="0" w:afterAutospacing="0"/>
              <w:ind w:left="0" w:right="0" w:firstLine="420" w:firstLineChars="200"/>
              <w:rPr>
                <w:rFonts w:hint="eastAsia" w:ascii="宋体" w:hAnsi="宋体" w:eastAsia="宋体" w:cs="宋体"/>
                <w:highlight w:val="none"/>
                <w:lang w:eastAsia="zh-CN"/>
              </w:rPr>
            </w:pPr>
            <w:r>
              <w:rPr>
                <w:rFonts w:hint="eastAsia" w:ascii="宋体" w:hAnsi="宋体" w:cs="宋体"/>
                <w:color w:val="auto"/>
                <w:kern w:val="0"/>
                <w:szCs w:val="21"/>
              </w:rPr>
              <w:t>招标人应在法定时间内和中标人签订合同，并同时书面通知相关金融机构向中标人和其他中标候选人注销纸质投标保函。具体注销事宜由投标人与金融机构协商。</w:t>
            </w:r>
          </w:p>
          <w:p w14:paraId="6E712BF4">
            <w:pPr>
              <w:keepNext w:val="0"/>
              <w:keepLines w:val="0"/>
              <w:suppressLineNumbers w:val="0"/>
              <w:adjustRightInd w:val="0"/>
              <w:snapToGrid w:val="0"/>
              <w:spacing w:before="0" w:beforeAutospacing="0" w:after="0" w:afterLines="0" w:afterAutospacing="0" w:line="400" w:lineRule="exact"/>
              <w:ind w:left="0" w:right="0" w:firstLine="422" w:firstLineChars="200"/>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b/>
                <w:bCs/>
                <w:color w:val="auto"/>
                <w:szCs w:val="21"/>
                <w:highlight w:val="none"/>
                <w:lang w:eastAsia="zh-CN"/>
              </w:rPr>
              <w:t>注：</w:t>
            </w:r>
            <w:r>
              <w:rPr>
                <w:rFonts w:hint="eastAsia" w:ascii="宋体" w:hAnsi="宋体" w:eastAsia="宋体" w:cs="宋体"/>
                <w:b/>
                <w:bCs/>
                <w:color w:val="auto"/>
                <w:szCs w:val="21"/>
                <w:highlight w:val="none"/>
              </w:rPr>
              <w:t>根据</w:t>
            </w:r>
            <w:r>
              <w:rPr>
                <w:rFonts w:hint="eastAsia" w:ascii="宋体" w:hAnsi="宋体" w:eastAsia="宋体" w:cs="宋体"/>
                <w:b/>
                <w:bCs/>
                <w:color w:val="auto"/>
                <w:szCs w:val="21"/>
                <w:highlight w:val="none"/>
                <w:lang w:eastAsia="zh-CN"/>
              </w:rPr>
              <w:t>招标人</w:t>
            </w:r>
            <w:r>
              <w:rPr>
                <w:rFonts w:hint="eastAsia" w:ascii="宋体" w:hAnsi="宋体" w:eastAsia="宋体" w:cs="宋体"/>
                <w:b/>
                <w:bCs/>
                <w:color w:val="auto"/>
                <w:szCs w:val="21"/>
                <w:highlight w:val="none"/>
              </w:rPr>
              <w:t>《合格供方库管理办法》，符合免交投标</w:t>
            </w:r>
            <w:r>
              <w:rPr>
                <w:rFonts w:hint="eastAsia" w:ascii="宋体" w:hAnsi="宋体" w:eastAsia="宋体" w:cs="宋体"/>
                <w:b/>
                <w:bCs/>
                <w:color w:val="auto"/>
                <w:szCs w:val="21"/>
                <w:highlight w:val="none"/>
                <w:lang w:eastAsia="zh-CN"/>
              </w:rPr>
              <w:t>保证金</w:t>
            </w:r>
            <w:r>
              <w:rPr>
                <w:rFonts w:hint="eastAsia" w:ascii="宋体" w:hAnsi="宋体" w:eastAsia="宋体" w:cs="宋体"/>
                <w:b/>
                <w:bCs/>
                <w:color w:val="auto"/>
                <w:szCs w:val="21"/>
                <w:highlight w:val="none"/>
              </w:rPr>
              <w:t>及履约</w:t>
            </w:r>
            <w:r>
              <w:rPr>
                <w:rFonts w:hint="eastAsia" w:ascii="宋体" w:hAnsi="宋体" w:eastAsia="宋体" w:cs="宋体"/>
                <w:b/>
                <w:bCs/>
                <w:color w:val="auto"/>
                <w:szCs w:val="21"/>
                <w:highlight w:val="none"/>
                <w:lang w:eastAsia="zh-CN"/>
              </w:rPr>
              <w:t>保证金</w:t>
            </w:r>
            <w:r>
              <w:rPr>
                <w:rFonts w:hint="eastAsia" w:ascii="宋体" w:hAnsi="宋体" w:eastAsia="宋体" w:cs="宋体"/>
                <w:b/>
                <w:bCs/>
                <w:color w:val="auto"/>
                <w:szCs w:val="21"/>
                <w:highlight w:val="none"/>
              </w:rPr>
              <w:t>资格的</w:t>
            </w:r>
            <w:r>
              <w:rPr>
                <w:rFonts w:hint="eastAsia" w:ascii="宋体" w:hAnsi="宋体" w:eastAsia="宋体" w:cs="宋体"/>
                <w:b/>
                <w:bCs/>
                <w:color w:val="auto"/>
                <w:szCs w:val="21"/>
                <w:highlight w:val="none"/>
                <w:lang w:eastAsia="zh-CN"/>
              </w:rPr>
              <w:t>投标</w:t>
            </w:r>
            <w:r>
              <w:rPr>
                <w:rFonts w:hint="eastAsia" w:ascii="宋体" w:hAnsi="宋体" w:eastAsia="宋体" w:cs="宋体"/>
                <w:b/>
                <w:bCs/>
                <w:color w:val="auto"/>
                <w:szCs w:val="21"/>
                <w:highlight w:val="none"/>
              </w:rPr>
              <w:t>人，可提交经</w:t>
            </w:r>
            <w:r>
              <w:rPr>
                <w:rFonts w:hint="eastAsia" w:ascii="宋体" w:hAnsi="宋体" w:eastAsia="宋体" w:cs="宋体"/>
                <w:b/>
                <w:bCs/>
                <w:color w:val="auto"/>
                <w:szCs w:val="21"/>
                <w:highlight w:val="none"/>
                <w:lang w:eastAsia="zh-CN"/>
              </w:rPr>
              <w:t>招标</w:t>
            </w:r>
            <w:r>
              <w:rPr>
                <w:rFonts w:hint="eastAsia" w:ascii="宋体" w:hAnsi="宋体" w:eastAsia="宋体" w:cs="宋体"/>
                <w:b/>
                <w:bCs/>
                <w:color w:val="auto"/>
                <w:szCs w:val="21"/>
                <w:highlight w:val="none"/>
              </w:rPr>
              <w:t>人审批通过并加盖</w:t>
            </w:r>
            <w:r>
              <w:rPr>
                <w:rFonts w:hint="eastAsia" w:ascii="宋体" w:hAnsi="宋体" w:eastAsia="宋体" w:cs="宋体"/>
                <w:b/>
                <w:bCs/>
                <w:color w:val="auto"/>
                <w:szCs w:val="21"/>
                <w:highlight w:val="none"/>
                <w:lang w:eastAsia="zh-CN"/>
              </w:rPr>
              <w:t>招标</w:t>
            </w:r>
            <w:r>
              <w:rPr>
                <w:rFonts w:hint="eastAsia" w:ascii="宋体" w:hAnsi="宋体" w:eastAsia="宋体" w:cs="宋体"/>
                <w:b/>
                <w:bCs/>
                <w:color w:val="auto"/>
                <w:szCs w:val="21"/>
                <w:highlight w:val="none"/>
              </w:rPr>
              <w:t>人单位公章的《免交投标担保及履约担保审批表》代替相关</w:t>
            </w:r>
            <w:r>
              <w:rPr>
                <w:rFonts w:hint="eastAsia" w:ascii="宋体" w:hAnsi="宋体" w:eastAsia="宋体" w:cs="宋体"/>
                <w:b/>
                <w:bCs/>
                <w:color w:val="auto"/>
                <w:szCs w:val="21"/>
                <w:highlight w:val="none"/>
                <w:lang w:eastAsia="zh-CN"/>
              </w:rPr>
              <w:t>投标（或履约）</w:t>
            </w:r>
            <w:r>
              <w:rPr>
                <w:rFonts w:hint="eastAsia" w:ascii="宋体" w:hAnsi="宋体" w:eastAsia="宋体" w:cs="宋体"/>
                <w:b/>
                <w:bCs/>
                <w:color w:val="auto"/>
                <w:szCs w:val="21"/>
                <w:highlight w:val="none"/>
              </w:rPr>
              <w:t>保证金凭证。《免交投标担保及履约担保审批表》须在有效期内</w:t>
            </w:r>
            <w:r>
              <w:rPr>
                <w:rFonts w:hint="eastAsia" w:ascii="宋体" w:hAnsi="宋体" w:eastAsia="宋体" w:cs="宋体"/>
                <w:b/>
                <w:bCs/>
                <w:color w:val="auto"/>
                <w:szCs w:val="21"/>
                <w:highlight w:val="none"/>
                <w:lang w:eastAsia="zh-CN"/>
              </w:rPr>
              <w:t>，资料复印件</w:t>
            </w:r>
            <w:r>
              <w:rPr>
                <w:rFonts w:hint="eastAsia" w:ascii="宋体" w:hAnsi="宋体" w:eastAsia="宋体" w:cs="宋体"/>
                <w:b/>
                <w:bCs/>
                <w:color w:val="auto"/>
                <w:szCs w:val="21"/>
                <w:highlight w:val="none"/>
              </w:rPr>
              <w:t>加盖投标单位法人章并装入投标文件</w:t>
            </w:r>
            <w:r>
              <w:rPr>
                <w:rFonts w:hint="eastAsia" w:ascii="宋体" w:hAnsi="宋体" w:eastAsia="宋体" w:cs="宋体"/>
                <w:b/>
                <w:bCs/>
                <w:color w:val="auto"/>
                <w:szCs w:val="21"/>
                <w:highlight w:val="none"/>
                <w:lang w:eastAsia="zh-CN"/>
              </w:rPr>
              <w:t>中。</w:t>
            </w:r>
          </w:p>
        </w:tc>
      </w:tr>
      <w:tr w14:paraId="337B00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78E789FB">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3.4.4</w:t>
            </w:r>
          </w:p>
        </w:tc>
        <w:tc>
          <w:tcPr>
            <w:tcW w:w="851" w:type="pct"/>
            <w:vAlign w:val="center"/>
          </w:tcPr>
          <w:p w14:paraId="15CEA758">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spacing w:val="-1"/>
                <w:szCs w:val="21"/>
                <w:highlight w:val="none"/>
              </w:rPr>
            </w:pPr>
            <w:r>
              <w:rPr>
                <w:rFonts w:hint="eastAsia" w:ascii="宋体" w:hAnsi="宋体" w:eastAsia="宋体" w:cs="宋体"/>
                <w:color w:val="auto"/>
                <w:kern w:val="0"/>
                <w:szCs w:val="21"/>
                <w:highlight w:val="none"/>
                <w:lang w:bidi="ar"/>
              </w:rPr>
              <w:t>其他可以不予退还投标保证金的情形</w:t>
            </w:r>
          </w:p>
        </w:tc>
        <w:tc>
          <w:tcPr>
            <w:tcW w:w="3445" w:type="pct"/>
            <w:vAlign w:val="center"/>
          </w:tcPr>
          <w:p w14:paraId="76CE3A6D">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有下列情形之一的，投标保证金将不予退还：</w:t>
            </w:r>
          </w:p>
          <w:p w14:paraId="1CA42EA1">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（1）</w:t>
            </w:r>
            <w:r>
              <w:rPr>
                <w:rFonts w:hint="eastAsia" w:ascii="宋体" w:hAnsi="宋体" w:cs="宋体"/>
                <w:color w:val="000000"/>
                <w:kern w:val="0"/>
                <w:szCs w:val="21"/>
                <w:lang w:eastAsia="zh-CN" w:bidi="ar"/>
              </w:rPr>
              <w:t>投标人</w:t>
            </w:r>
            <w:r>
              <w:rPr>
                <w:rFonts w:hint="eastAsia" w:ascii="宋体" w:hAnsi="宋体" w:cs="宋体"/>
                <w:color w:val="000000"/>
                <w:kern w:val="0"/>
                <w:szCs w:val="21"/>
                <w:lang w:bidi="ar"/>
              </w:rPr>
              <w:t>在投标有效期内撤销投标文件；</w:t>
            </w:r>
          </w:p>
          <w:p w14:paraId="1C74D8EE">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（2）中标人在收到中标通知书后，无正当理由不与</w:t>
            </w:r>
            <w:r>
              <w:rPr>
                <w:rFonts w:hint="eastAsia" w:ascii="宋体" w:hAnsi="宋体" w:cs="宋体"/>
                <w:color w:val="000000"/>
                <w:kern w:val="0"/>
                <w:szCs w:val="21"/>
                <w:lang w:eastAsia="zh-CN" w:bidi="ar"/>
              </w:rPr>
              <w:t>招标人</w:t>
            </w:r>
            <w:r>
              <w:rPr>
                <w:rFonts w:hint="eastAsia" w:ascii="宋体" w:hAnsi="宋体" w:cs="宋体"/>
                <w:color w:val="000000"/>
                <w:kern w:val="0"/>
                <w:szCs w:val="21"/>
                <w:lang w:bidi="ar"/>
              </w:rPr>
              <w:t>订立合同，在签订合同时向</w:t>
            </w:r>
            <w:r>
              <w:rPr>
                <w:rFonts w:hint="eastAsia" w:ascii="宋体" w:hAnsi="宋体" w:cs="宋体"/>
                <w:color w:val="000000"/>
                <w:kern w:val="0"/>
                <w:szCs w:val="21"/>
                <w:lang w:eastAsia="zh-CN" w:bidi="ar"/>
              </w:rPr>
              <w:t>招标人</w:t>
            </w:r>
            <w:r>
              <w:rPr>
                <w:rFonts w:hint="eastAsia" w:ascii="宋体" w:hAnsi="宋体" w:cs="宋体"/>
                <w:color w:val="000000"/>
                <w:kern w:val="0"/>
                <w:szCs w:val="21"/>
                <w:lang w:bidi="ar"/>
              </w:rPr>
              <w:t>提出附加条件，或者不按照招标文件要求提交履约保证金；</w:t>
            </w:r>
          </w:p>
          <w:p w14:paraId="10D07ABF">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（3）中标人（或拟中标人）拒不提供或者不按时提供低价风险担保（适用于经评审的最低投标价法）；</w:t>
            </w:r>
          </w:p>
          <w:p w14:paraId="2DDF2F07">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（4）</w:t>
            </w:r>
            <w:r>
              <w:rPr>
                <w:rFonts w:hint="eastAsia" w:ascii="宋体" w:hAnsi="宋体" w:cs="宋体"/>
                <w:color w:val="000000"/>
                <w:kern w:val="0"/>
                <w:szCs w:val="21"/>
                <w:lang w:eastAsia="zh-CN" w:bidi="ar"/>
              </w:rPr>
              <w:t>投标人</w:t>
            </w:r>
            <w:r>
              <w:rPr>
                <w:rFonts w:hint="eastAsia" w:ascii="宋体" w:hAnsi="宋体" w:cs="宋体"/>
                <w:color w:val="000000"/>
                <w:kern w:val="0"/>
                <w:szCs w:val="21"/>
                <w:lang w:bidi="ar"/>
              </w:rPr>
              <w:t>被发现本次投标存在串通投标、弄虚造假、行贿等违法行为的；</w:t>
            </w:r>
          </w:p>
          <w:p w14:paraId="06CE6BE0">
            <w:pPr>
              <w:keepNext w:val="0"/>
              <w:keepLines w:val="0"/>
              <w:widowControl/>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kern w:val="0"/>
                <w:szCs w:val="21"/>
                <w:highlight w:val="none"/>
                <w:lang w:eastAsia="zh-CN"/>
              </w:rPr>
            </w:pPr>
            <w:r>
              <w:rPr>
                <w:rFonts w:hint="eastAsia" w:ascii="宋体" w:hAnsi="宋体" w:cs="宋体"/>
                <w:color w:val="000000"/>
                <w:kern w:val="0"/>
                <w:szCs w:val="21"/>
                <w:lang w:bidi="ar"/>
              </w:rPr>
              <w:t>（5）发生</w:t>
            </w:r>
            <w:r>
              <w:rPr>
                <w:rFonts w:hint="eastAsia" w:ascii="宋体" w:hAnsi="宋体" w:cs="宋体"/>
                <w:color w:val="000000"/>
                <w:kern w:val="0"/>
                <w:szCs w:val="21"/>
                <w:lang w:eastAsia="zh-CN" w:bidi="ar"/>
              </w:rPr>
              <w:t>投标人</w:t>
            </w:r>
            <w:r>
              <w:rPr>
                <w:rFonts w:hint="eastAsia" w:ascii="宋体" w:hAnsi="宋体" w:cs="宋体"/>
                <w:color w:val="000000"/>
                <w:kern w:val="0"/>
                <w:szCs w:val="21"/>
                <w:lang w:bidi="ar"/>
              </w:rPr>
              <w:t>须知前附表规定的其他可以不予退还投标保证金的情形。</w:t>
            </w:r>
          </w:p>
        </w:tc>
      </w:tr>
      <w:tr w14:paraId="0189F0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5E88ED93">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3.5</w:t>
            </w:r>
          </w:p>
        </w:tc>
        <w:tc>
          <w:tcPr>
            <w:tcW w:w="851" w:type="pct"/>
            <w:vAlign w:val="center"/>
          </w:tcPr>
          <w:p w14:paraId="596418AB">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资格审查资料的特殊要求</w:t>
            </w:r>
          </w:p>
        </w:tc>
        <w:tc>
          <w:tcPr>
            <w:tcW w:w="3445" w:type="pct"/>
            <w:vAlign w:val="center"/>
          </w:tcPr>
          <w:p w14:paraId="3778F1E4">
            <w:pPr>
              <w:keepNext w:val="0"/>
              <w:keepLines w:val="0"/>
              <w:widowControl/>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无</w:t>
            </w:r>
          </w:p>
        </w:tc>
      </w:tr>
      <w:tr w14:paraId="664D52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617EC21B">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3.6.1</w:t>
            </w:r>
          </w:p>
        </w:tc>
        <w:tc>
          <w:tcPr>
            <w:tcW w:w="851" w:type="pct"/>
            <w:vAlign w:val="center"/>
          </w:tcPr>
          <w:p w14:paraId="231FC526">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是否允许递交</w:t>
            </w:r>
          </w:p>
          <w:p w14:paraId="5DA049F4">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备选投标方案</w:t>
            </w:r>
          </w:p>
        </w:tc>
        <w:tc>
          <w:tcPr>
            <w:tcW w:w="3445" w:type="pct"/>
            <w:vAlign w:val="center"/>
          </w:tcPr>
          <w:p w14:paraId="7E033252">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不允许</w:t>
            </w:r>
          </w:p>
        </w:tc>
      </w:tr>
      <w:tr w14:paraId="7F1175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5B3467DE">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3.7.1</w:t>
            </w:r>
          </w:p>
        </w:tc>
        <w:tc>
          <w:tcPr>
            <w:tcW w:w="851" w:type="pct"/>
            <w:vAlign w:val="center"/>
          </w:tcPr>
          <w:p w14:paraId="52783028">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投标文件格式要求</w:t>
            </w:r>
          </w:p>
        </w:tc>
        <w:tc>
          <w:tcPr>
            <w:tcW w:w="3445" w:type="pct"/>
            <w:vAlign w:val="center"/>
          </w:tcPr>
          <w:p w14:paraId="5902038A">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编制投标文件时不得对第九章“投标文件格式”的相应要素作实质性修改，否则视为重大偏差，由评标委员会作否决投标处理。</w:t>
            </w:r>
          </w:p>
        </w:tc>
      </w:tr>
      <w:tr w14:paraId="3CEA90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65" w:hRule="atLeast"/>
          <w:jc w:val="center"/>
        </w:trPr>
        <w:tc>
          <w:tcPr>
            <w:tcW w:w="703" w:type="pct"/>
            <w:vAlign w:val="center"/>
          </w:tcPr>
          <w:p w14:paraId="300C5492">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3.7.3</w:t>
            </w:r>
          </w:p>
        </w:tc>
        <w:tc>
          <w:tcPr>
            <w:tcW w:w="851" w:type="pct"/>
            <w:vAlign w:val="center"/>
          </w:tcPr>
          <w:p w14:paraId="618B35A0">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盖章要求</w:t>
            </w:r>
          </w:p>
        </w:tc>
        <w:tc>
          <w:tcPr>
            <w:tcW w:w="3445" w:type="pct"/>
            <w:vAlign w:val="center"/>
          </w:tcPr>
          <w:p w14:paraId="04741EE5">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应用不褪色的材料书写或打印，并由投标人的法定代表人或其委托代理人在招标文件规定的位置按招标文件要求签名或盖章、盖单位法人章。委托代理人签名的，投标文件应附法定代表人签署的授权委托书。投标文件应尽量避免涂改、行间插字或删除。如果出现上述情况，改动之处应加盖单位法人章或由投标人的法定代表人或其授权的代理人签名确认。</w:t>
            </w:r>
          </w:p>
          <w:p w14:paraId="3AB034AD">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未按上述规定执行的，交由评标委员会作否决投标处理。</w:t>
            </w:r>
          </w:p>
        </w:tc>
      </w:tr>
      <w:tr w14:paraId="254092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0741FD9B">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3.7.4</w:t>
            </w:r>
          </w:p>
        </w:tc>
        <w:tc>
          <w:tcPr>
            <w:tcW w:w="851" w:type="pct"/>
            <w:vAlign w:val="center"/>
          </w:tcPr>
          <w:p w14:paraId="1E7B5ACC">
            <w:pPr>
              <w:keepNext w:val="0"/>
              <w:keepLines w:val="0"/>
              <w:suppressLineNumbers w:val="0"/>
              <w:adjustRightInd w:val="0"/>
              <w:snapToGrid w:val="0"/>
              <w:spacing w:before="0" w:beforeAutospacing="0" w:after="0" w:afterLines="0" w:afterAutospacing="0" w:line="400" w:lineRule="exact"/>
              <w:ind w:left="0" w:right="0"/>
              <w:rPr>
                <w:rFonts w:hint="eastAsia" w:ascii="宋体" w:hAnsi="宋体" w:eastAsia="宋体" w:cs="宋体"/>
                <w:color w:val="auto"/>
                <w:spacing w:val="-6"/>
                <w:kern w:val="0"/>
                <w:szCs w:val="21"/>
                <w:highlight w:val="none"/>
              </w:rPr>
            </w:pPr>
            <w:r>
              <w:rPr>
                <w:rFonts w:hint="eastAsia" w:ascii="宋体" w:hAnsi="宋体" w:eastAsia="宋体" w:cs="宋体"/>
                <w:color w:val="auto"/>
                <w:spacing w:val="-6"/>
                <w:kern w:val="0"/>
                <w:szCs w:val="21"/>
                <w:highlight w:val="none"/>
              </w:rPr>
              <w:t>投标文件的份数</w:t>
            </w:r>
          </w:p>
        </w:tc>
        <w:tc>
          <w:tcPr>
            <w:tcW w:w="3445" w:type="pct"/>
            <w:vAlign w:val="center"/>
          </w:tcPr>
          <w:p w14:paraId="13BAF2E3">
            <w:pPr>
              <w:keepNext w:val="0"/>
              <w:keepLines w:val="0"/>
              <w:suppressLineNumbers w:val="0"/>
              <w:autoSpaceDE w:val="0"/>
              <w:autoSpaceDN w:val="0"/>
              <w:adjustRightInd w:val="0"/>
              <w:snapToGrid w:val="0"/>
              <w:spacing w:before="0" w:beforeAutospacing="0" w:after="0" w:afterLines="0" w:afterAutospacing="0" w:line="400" w:lineRule="exact"/>
              <w:ind w:left="0" w:leftChars="0" w:right="0" w:rightChars="0" w:firstLine="420" w:firstLineChars="200"/>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投标文件正本1份、副本</w:t>
            </w: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rPr>
              <w:t>份，</w:t>
            </w:r>
            <w:r>
              <w:rPr>
                <w:rFonts w:hint="eastAsia" w:ascii="宋体" w:hAnsi="宋体" w:eastAsia="宋体" w:cs="宋体"/>
                <w:color w:val="auto"/>
                <w:szCs w:val="21"/>
                <w:highlight w:val="none"/>
                <w:u w:val="none"/>
              </w:rPr>
              <w:t>电子文档</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U盘</w:t>
            </w:r>
            <w:r>
              <w:rPr>
                <w:rFonts w:hint="eastAsia" w:ascii="宋体" w:hAnsi="宋体" w:cs="宋体"/>
                <w:color w:val="auto"/>
                <w:kern w:val="0"/>
                <w:szCs w:val="21"/>
                <w:highlight w:val="none"/>
                <w:lang w:val="en-US" w:eastAsia="zh-CN"/>
              </w:rPr>
              <w:t>，电子文档含投标文件正本Word版本文件、盖章版扫描件（pdf格式）及excel格式投标清单</w:t>
            </w:r>
            <w:r>
              <w:rPr>
                <w:rFonts w:hint="eastAsia" w:ascii="宋体" w:hAnsi="宋体" w:eastAsia="宋体" w:cs="宋体"/>
                <w:color w:val="auto"/>
                <w:kern w:val="0"/>
                <w:szCs w:val="21"/>
                <w:highlight w:val="none"/>
              </w:rPr>
              <w:t>）1份。当副本和正本不一致时，以正本为准。否则由评标委员会作否决投标处理。</w:t>
            </w:r>
          </w:p>
        </w:tc>
      </w:tr>
      <w:tr w14:paraId="2FAA1C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1A2A1997">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3.7.5</w:t>
            </w:r>
          </w:p>
        </w:tc>
        <w:tc>
          <w:tcPr>
            <w:tcW w:w="851" w:type="pct"/>
            <w:vAlign w:val="center"/>
          </w:tcPr>
          <w:p w14:paraId="49666608">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编制要求</w:t>
            </w:r>
          </w:p>
        </w:tc>
        <w:tc>
          <w:tcPr>
            <w:tcW w:w="3445" w:type="pct"/>
            <w:vAlign w:val="center"/>
          </w:tcPr>
          <w:p w14:paraId="2FAF5539">
            <w:pPr>
              <w:keepNext w:val="0"/>
              <w:keepLines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1、本项目</w:t>
            </w:r>
            <w:r>
              <w:rPr>
                <w:rFonts w:hint="eastAsia" w:ascii="宋体" w:hAnsi="宋体" w:eastAsia="宋体" w:cs="宋体"/>
                <w:color w:val="auto"/>
                <w:szCs w:val="21"/>
                <w:highlight w:val="none"/>
                <w:lang w:eastAsia="zh-CN"/>
              </w:rPr>
              <w:t>的</w:t>
            </w:r>
            <w:r>
              <w:rPr>
                <w:rFonts w:hint="eastAsia" w:ascii="宋体" w:hAnsi="宋体" w:eastAsia="宋体" w:cs="宋体"/>
                <w:color w:val="auto"/>
                <w:szCs w:val="21"/>
                <w:highlight w:val="none"/>
              </w:rPr>
              <w:t>投标函部分、经济部分</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资格审查部分（含商务部分）、技术部分</w:t>
            </w:r>
            <w:r>
              <w:rPr>
                <w:rFonts w:hint="eastAsia" w:ascii="宋体" w:hAnsi="宋体" w:eastAsia="宋体" w:cs="宋体"/>
                <w:color w:val="auto"/>
                <w:szCs w:val="21"/>
                <w:highlight w:val="none"/>
                <w:lang w:eastAsia="zh-CN"/>
              </w:rPr>
              <w:t>（如有）可以共同装订成一册，也可</w:t>
            </w:r>
            <w:r>
              <w:rPr>
                <w:rFonts w:hint="eastAsia" w:ascii="宋体" w:hAnsi="宋体" w:eastAsia="宋体" w:cs="宋体"/>
                <w:color w:val="auto"/>
                <w:szCs w:val="21"/>
                <w:highlight w:val="none"/>
              </w:rPr>
              <w:t>各自分别装订成册。所有投标文件不论使用任何方式进行装订，必须保证投标书装订牢固，否则，招标人对由于投标文件装订松散而造成的丢失或其他后果不承担任何责任。</w:t>
            </w:r>
          </w:p>
          <w:p w14:paraId="78133AFA">
            <w:pPr>
              <w:keepNext w:val="0"/>
              <w:keepLines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2、装订</w:t>
            </w:r>
          </w:p>
          <w:p w14:paraId="6AF2908C">
            <w:pPr>
              <w:keepNext w:val="0"/>
              <w:keepLines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（1）投标函部分的装订要求</w:t>
            </w:r>
          </w:p>
          <w:p w14:paraId="5FC97E22">
            <w:pPr>
              <w:keepNext w:val="0"/>
              <w:keepLines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应按照第九章规定格式装订成册，原则上并应编制目录（但不得将目录编制作为评审因素），标注页码。</w:t>
            </w:r>
          </w:p>
          <w:p w14:paraId="5887FA9F">
            <w:pPr>
              <w:keepNext w:val="0"/>
              <w:keepLines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（2）经济部分</w:t>
            </w:r>
          </w:p>
          <w:p w14:paraId="51FF2548">
            <w:pPr>
              <w:keepNext w:val="0"/>
              <w:keepLines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应按照第九章规定格式排版，原则上应编制目录，但不得将目录编制作为评审因素。</w:t>
            </w:r>
          </w:p>
          <w:p w14:paraId="3C515C94">
            <w:pPr>
              <w:keepNext w:val="0"/>
              <w:keepLines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）资格审查部分（含商务部分）的装订要求</w:t>
            </w:r>
          </w:p>
          <w:p w14:paraId="380C5D0B">
            <w:pPr>
              <w:keepNext w:val="0"/>
              <w:keepLines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应按照第九章规定格式装订成册，并原则上并应编制目录（但不得将目录编制作为评审因素），标注页码。</w:t>
            </w:r>
          </w:p>
          <w:p w14:paraId="12F43490">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）技术部分</w:t>
            </w:r>
            <w:r>
              <w:rPr>
                <w:rFonts w:hint="eastAsia" w:ascii="宋体" w:hAnsi="宋体" w:eastAsia="宋体" w:cs="宋体"/>
                <w:color w:val="auto"/>
                <w:szCs w:val="21"/>
                <w:highlight w:val="none"/>
                <w:lang w:eastAsia="zh-CN"/>
              </w:rPr>
              <w:t>（如有）</w:t>
            </w:r>
            <w:r>
              <w:rPr>
                <w:rFonts w:hint="eastAsia" w:ascii="宋体" w:hAnsi="宋体" w:eastAsia="宋体" w:cs="宋体"/>
                <w:color w:val="auto"/>
                <w:szCs w:val="21"/>
                <w:highlight w:val="none"/>
              </w:rPr>
              <w:t>的装订要求</w:t>
            </w:r>
          </w:p>
          <w:p w14:paraId="445E3F83">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cs="宋体"/>
                <w:color w:val="auto"/>
                <w:szCs w:val="21"/>
                <w:highlight w:val="none"/>
                <w:lang w:eastAsia="zh-CN"/>
              </w:rPr>
              <w:t>本项目技术部分采用明标，</w:t>
            </w:r>
            <w:r>
              <w:rPr>
                <w:rFonts w:hint="eastAsia" w:ascii="宋体" w:hAnsi="宋体" w:eastAsia="宋体" w:cs="宋体"/>
                <w:color w:val="auto"/>
                <w:szCs w:val="21"/>
                <w:highlight w:val="none"/>
              </w:rPr>
              <w:t>应按照第九章规定格式装订成册，原则上并应编制目录（但不得将目录编制作为评审因素），标注页码。</w:t>
            </w:r>
          </w:p>
        </w:tc>
      </w:tr>
      <w:tr w14:paraId="2B7617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29D30047">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4.1.1</w:t>
            </w:r>
          </w:p>
        </w:tc>
        <w:tc>
          <w:tcPr>
            <w:tcW w:w="851" w:type="pct"/>
            <w:vAlign w:val="center"/>
          </w:tcPr>
          <w:p w14:paraId="61D0531C">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spacing w:val="-6"/>
                <w:kern w:val="0"/>
                <w:szCs w:val="21"/>
                <w:highlight w:val="none"/>
              </w:rPr>
              <w:t>投标文件的密封</w:t>
            </w:r>
          </w:p>
        </w:tc>
        <w:tc>
          <w:tcPr>
            <w:tcW w:w="3445" w:type="pct"/>
            <w:vAlign w:val="center"/>
          </w:tcPr>
          <w:p w14:paraId="344E7020">
            <w:pPr>
              <w:pStyle w:val="43"/>
              <w:keepNext w:val="0"/>
              <w:keepLines w:val="0"/>
              <w:suppressLineNumbers w:val="0"/>
              <w:adjustRightInd w:val="0"/>
              <w:snapToGrid w:val="0"/>
              <w:spacing w:before="0" w:beforeAutospacing="0" w:after="0" w:afterLines="0" w:afterAutospacing="0" w:line="400" w:lineRule="exact"/>
              <w:ind w:left="0" w:leftChars="0" w:right="0" w:firstLine="420" w:firstLineChars="200"/>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rPr>
              <w:t>1、电子文档</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U盘</w:t>
            </w: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u w:val="none"/>
                <w:lang w:val="en-US" w:eastAsia="zh-CN"/>
              </w:rPr>
              <w:t>1</w:t>
            </w:r>
            <w:r>
              <w:rPr>
                <w:rFonts w:hint="eastAsia" w:ascii="宋体" w:hAnsi="宋体" w:eastAsia="宋体" w:cs="宋体"/>
                <w:color w:val="auto"/>
                <w:sz w:val="21"/>
                <w:szCs w:val="21"/>
                <w:highlight w:val="none"/>
                <w:u w:val="none"/>
              </w:rPr>
              <w:t>份，U盘上注明项目名称和投标单位名称并加盖投标人单位法人章，装入“电子</w:t>
            </w:r>
            <w:r>
              <w:rPr>
                <w:rFonts w:hint="eastAsia" w:ascii="宋体" w:hAnsi="宋体" w:eastAsia="宋体" w:cs="宋体"/>
                <w:color w:val="auto"/>
                <w:sz w:val="21"/>
                <w:szCs w:val="21"/>
                <w:highlight w:val="none"/>
                <w:u w:val="none"/>
                <w:lang w:eastAsia="zh-CN"/>
              </w:rPr>
              <w:t>文档袋</w:t>
            </w:r>
            <w:r>
              <w:rPr>
                <w:rFonts w:hint="eastAsia" w:ascii="宋体" w:hAnsi="宋体" w:eastAsia="宋体" w:cs="宋体"/>
                <w:color w:val="auto"/>
                <w:sz w:val="21"/>
                <w:szCs w:val="21"/>
                <w:highlight w:val="none"/>
                <w:u w:val="none"/>
              </w:rPr>
              <w:t>”</w:t>
            </w:r>
            <w:r>
              <w:rPr>
                <w:rFonts w:hint="eastAsia" w:ascii="宋体" w:hAnsi="宋体" w:eastAsia="宋体" w:cs="宋体"/>
                <w:color w:val="auto"/>
                <w:sz w:val="21"/>
                <w:szCs w:val="21"/>
                <w:highlight w:val="none"/>
                <w:u w:val="none"/>
                <w:lang w:eastAsia="zh-CN"/>
              </w:rPr>
              <w:t>。</w:t>
            </w:r>
            <w:r>
              <w:rPr>
                <w:rFonts w:hint="eastAsia" w:ascii="宋体" w:hAnsi="宋体" w:eastAsia="宋体" w:cs="宋体"/>
                <w:color w:val="auto"/>
                <w:sz w:val="21"/>
                <w:szCs w:val="21"/>
                <w:highlight w:val="none"/>
                <w:u w:val="none"/>
              </w:rPr>
              <w:t xml:space="preserve"> </w:t>
            </w:r>
          </w:p>
          <w:p w14:paraId="3C7DDBB9">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u w:val="none"/>
                <w:lang w:val="en-US" w:eastAsia="zh-CN"/>
              </w:rPr>
              <w:t>2</w:t>
            </w:r>
            <w:r>
              <w:rPr>
                <w:rFonts w:hint="eastAsia" w:ascii="宋体" w:hAnsi="宋体" w:eastAsia="宋体" w:cs="宋体"/>
                <w:color w:val="auto"/>
                <w:szCs w:val="21"/>
                <w:highlight w:val="none"/>
                <w:u w:val="none"/>
              </w:rPr>
              <w:t>、</w:t>
            </w:r>
            <w:r>
              <w:rPr>
                <w:rFonts w:hint="eastAsia" w:ascii="宋体" w:hAnsi="宋体" w:eastAsia="宋体" w:cs="宋体"/>
                <w:color w:val="auto"/>
                <w:szCs w:val="21"/>
                <w:highlight w:val="none"/>
                <w:u w:val="none"/>
                <w:lang w:eastAsia="zh-CN"/>
              </w:rPr>
              <w:t>所有投标文件（含</w:t>
            </w:r>
            <w:r>
              <w:rPr>
                <w:rFonts w:hint="eastAsia" w:ascii="宋体" w:hAnsi="宋体" w:eastAsia="宋体" w:cs="宋体"/>
                <w:color w:val="auto"/>
                <w:szCs w:val="21"/>
                <w:highlight w:val="none"/>
                <w:u w:val="none"/>
              </w:rPr>
              <w:t>电子</w:t>
            </w:r>
            <w:r>
              <w:rPr>
                <w:rFonts w:hint="eastAsia" w:ascii="宋体" w:hAnsi="宋体" w:eastAsia="宋体" w:cs="宋体"/>
                <w:color w:val="auto"/>
                <w:szCs w:val="21"/>
                <w:highlight w:val="none"/>
                <w:u w:val="none"/>
                <w:lang w:eastAsia="zh-CN"/>
              </w:rPr>
              <w:t>文档）</w:t>
            </w:r>
            <w:r>
              <w:rPr>
                <w:rFonts w:hint="eastAsia" w:ascii="宋体" w:hAnsi="宋体" w:eastAsia="宋体" w:cs="宋体"/>
                <w:color w:val="auto"/>
                <w:szCs w:val="21"/>
                <w:highlight w:val="none"/>
                <w:u w:val="none"/>
              </w:rPr>
              <w:t>等装入“投标文件”大袋中，密封并在大袋上加盖投标人单位法人章，同时“投标文件”袋应按本表第4.1.2项的规定写明相应内容。一个大袋装不下的，可使用多个大袋分册封装。大袋未按要求密封的，招标人应该拒收。</w:t>
            </w:r>
          </w:p>
        </w:tc>
      </w:tr>
      <w:tr w14:paraId="52E26D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049BB6F0">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4.1.2</w:t>
            </w:r>
          </w:p>
        </w:tc>
        <w:tc>
          <w:tcPr>
            <w:tcW w:w="851" w:type="pct"/>
            <w:vAlign w:val="center"/>
          </w:tcPr>
          <w:p w14:paraId="50BC42FC">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封套上写明</w:t>
            </w:r>
          </w:p>
        </w:tc>
        <w:tc>
          <w:tcPr>
            <w:tcW w:w="3445" w:type="pct"/>
            <w:vAlign w:val="center"/>
          </w:tcPr>
          <w:p w14:paraId="75D83005">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应在</w:t>
            </w:r>
            <w:r>
              <w:rPr>
                <w:rFonts w:hint="eastAsia" w:ascii="宋体" w:hAnsi="宋体" w:eastAsia="宋体" w:cs="宋体"/>
                <w:color w:val="auto"/>
                <w:szCs w:val="21"/>
                <w:highlight w:val="none"/>
              </w:rPr>
              <w:t xml:space="preserve"> </w:t>
            </w:r>
            <w:r>
              <w:rPr>
                <w:rFonts w:hint="eastAsia" w:ascii="宋体" w:hAnsi="宋体" w:eastAsia="宋体" w:cs="宋体"/>
                <w:color w:val="auto"/>
                <w:kern w:val="0"/>
                <w:szCs w:val="21"/>
                <w:highlight w:val="none"/>
              </w:rPr>
              <w:t>“投标文件”袋封套上写明如下内容：</w:t>
            </w:r>
          </w:p>
          <w:p w14:paraId="54144CB6">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招标人名称：</w:t>
            </w:r>
            <w:r>
              <w:rPr>
                <w:rFonts w:hint="eastAsia" w:ascii="宋体" w:hAnsi="宋体" w:eastAsia="宋体" w:cs="宋体"/>
                <w:color w:val="auto"/>
                <w:kern w:val="0"/>
                <w:szCs w:val="21"/>
                <w:highlight w:val="none"/>
                <w:u w:val="single"/>
              </w:rPr>
              <w:t xml:space="preserve">            </w:t>
            </w:r>
          </w:p>
          <w:p w14:paraId="0989884B">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投标人名称：</w:t>
            </w:r>
            <w:r>
              <w:rPr>
                <w:rFonts w:hint="eastAsia" w:ascii="宋体" w:hAnsi="宋体" w:eastAsia="宋体" w:cs="宋体"/>
                <w:color w:val="auto"/>
                <w:kern w:val="0"/>
                <w:szCs w:val="21"/>
                <w:highlight w:val="none"/>
                <w:u w:val="single"/>
              </w:rPr>
              <w:t xml:space="preserve">            </w:t>
            </w:r>
          </w:p>
          <w:p w14:paraId="060B81D2">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cs="宋体"/>
                <w:color w:val="auto"/>
                <w:kern w:val="0"/>
                <w:szCs w:val="21"/>
                <w:highlight w:val="none"/>
                <w:u w:val="single"/>
                <w:lang w:eastAsia="zh-CN"/>
              </w:rPr>
              <w:t>巫溪至开州高速公路项目机电工程高压外电接入施工专项分包</w:t>
            </w:r>
            <w:r>
              <w:rPr>
                <w:rFonts w:hint="eastAsia" w:ascii="宋体" w:hAnsi="宋体" w:eastAsia="宋体" w:cs="宋体"/>
                <w:color w:val="auto"/>
                <w:kern w:val="0"/>
                <w:szCs w:val="21"/>
                <w:highlight w:val="none"/>
              </w:rPr>
              <w:t>投标文件</w:t>
            </w:r>
          </w:p>
          <w:p w14:paraId="60CEEDBC">
            <w:pPr>
              <w:keepNext w:val="0"/>
              <w:keepLines w:val="0"/>
              <w:suppressLineNumbers w:val="0"/>
              <w:adjustRightInd w:val="0"/>
              <w:snapToGrid w:val="0"/>
              <w:spacing w:before="0" w:beforeAutospacing="0" w:after="0" w:afterLines="0" w:afterAutospacing="0" w:line="400" w:lineRule="exact"/>
              <w:ind w:left="0" w:leftChars="0" w:right="0" w:rightChars="0"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在</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时</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分前不得开启</w:t>
            </w:r>
          </w:p>
        </w:tc>
      </w:tr>
      <w:tr w14:paraId="04BEAC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761AF4ED">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4.2.2</w:t>
            </w:r>
          </w:p>
        </w:tc>
        <w:tc>
          <w:tcPr>
            <w:tcW w:w="851" w:type="pct"/>
            <w:vAlign w:val="center"/>
          </w:tcPr>
          <w:p w14:paraId="0EFACAC5">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rPr>
              <w:t>投标人递交投标文件的地点</w:t>
            </w:r>
          </w:p>
        </w:tc>
        <w:tc>
          <w:tcPr>
            <w:tcW w:w="6663" w:type="dxa"/>
            <w:vAlign w:val="center"/>
          </w:tcPr>
          <w:p w14:paraId="6640A41F">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详见招标公告中规定的递交投标文件地点。</w:t>
            </w:r>
          </w:p>
        </w:tc>
      </w:tr>
      <w:tr w14:paraId="000209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3" w:type="pct"/>
            <w:vAlign w:val="center"/>
          </w:tcPr>
          <w:p w14:paraId="64C68EA0">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4.2.3</w:t>
            </w:r>
          </w:p>
        </w:tc>
        <w:tc>
          <w:tcPr>
            <w:tcW w:w="851" w:type="pct"/>
            <w:vAlign w:val="center"/>
          </w:tcPr>
          <w:p w14:paraId="19EAC906">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是否退还投标文件</w:t>
            </w:r>
          </w:p>
        </w:tc>
        <w:tc>
          <w:tcPr>
            <w:tcW w:w="6663" w:type="dxa"/>
            <w:vAlign w:val="center"/>
          </w:tcPr>
          <w:p w14:paraId="2AB8E303">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否</w:t>
            </w:r>
          </w:p>
        </w:tc>
      </w:tr>
      <w:tr w14:paraId="18BD87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7ABD0347">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5.1.1</w:t>
            </w:r>
          </w:p>
        </w:tc>
        <w:tc>
          <w:tcPr>
            <w:tcW w:w="851" w:type="pct"/>
            <w:vAlign w:val="center"/>
          </w:tcPr>
          <w:p w14:paraId="6F950E71">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开标时间和</w:t>
            </w:r>
          </w:p>
          <w:p w14:paraId="5587E486">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地点</w:t>
            </w:r>
          </w:p>
        </w:tc>
        <w:tc>
          <w:tcPr>
            <w:tcW w:w="6663" w:type="dxa"/>
            <w:vAlign w:val="center"/>
          </w:tcPr>
          <w:p w14:paraId="5F8E03A7">
            <w:pPr>
              <w:pStyle w:val="55"/>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开标时间：同投标截止时间。 </w:t>
            </w:r>
          </w:p>
          <w:p w14:paraId="486AF9F1">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auto"/>
                <w:kern w:val="0"/>
                <w:sz w:val="21"/>
                <w:szCs w:val="21"/>
                <w:highlight w:val="none"/>
                <w:u w:val="single"/>
                <w:lang w:val="en-US" w:eastAsia="zh-CN" w:bidi="ar-SA"/>
              </w:rPr>
            </w:pPr>
            <w:r>
              <w:rPr>
                <w:rFonts w:hint="eastAsia" w:ascii="宋体" w:hAnsi="宋体" w:eastAsia="宋体" w:cs="宋体"/>
                <w:color w:val="auto"/>
                <w:sz w:val="21"/>
                <w:szCs w:val="21"/>
                <w:highlight w:val="none"/>
              </w:rPr>
              <w:t>开标地点：</w:t>
            </w:r>
            <w:r>
              <w:rPr>
                <w:rFonts w:hint="eastAsia" w:ascii="宋体" w:hAnsi="宋体" w:eastAsia="宋体" w:cs="宋体"/>
                <w:color w:val="auto"/>
                <w:kern w:val="0"/>
                <w:szCs w:val="21"/>
                <w:highlight w:val="none"/>
              </w:rPr>
              <w:t>详见招标公告中规定的开标地点。</w:t>
            </w:r>
          </w:p>
        </w:tc>
      </w:tr>
      <w:tr w14:paraId="502A95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752AB044">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5.2</w:t>
            </w:r>
          </w:p>
        </w:tc>
        <w:tc>
          <w:tcPr>
            <w:tcW w:w="851" w:type="pct"/>
            <w:vAlign w:val="center"/>
          </w:tcPr>
          <w:p w14:paraId="5D7FE46F">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开标程序</w:t>
            </w:r>
          </w:p>
        </w:tc>
        <w:tc>
          <w:tcPr>
            <w:tcW w:w="3445" w:type="pct"/>
            <w:vAlign w:val="center"/>
          </w:tcPr>
          <w:p w14:paraId="12FFDF7C">
            <w:pPr>
              <w:pStyle w:val="55"/>
              <w:keepNext w:val="0"/>
              <w:keepLines w:val="0"/>
              <w:suppressLineNumbers w:val="0"/>
              <w:snapToGrid w:val="0"/>
              <w:spacing w:before="0" w:beforeAutospacing="0" w:after="0" w:afterLines="0" w:afterAutospacing="0" w:line="400" w:lineRule="exact"/>
              <w:ind w:left="0" w:right="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主持人按下列程序进行开标：</w:t>
            </w:r>
          </w:p>
          <w:p w14:paraId="1FC4CED8">
            <w:pPr>
              <w:pStyle w:val="55"/>
              <w:keepNext w:val="0"/>
              <w:keepLines w:val="0"/>
              <w:suppressLineNumbers w:val="0"/>
              <w:snapToGrid w:val="0"/>
              <w:spacing w:before="0" w:beforeAutospacing="0" w:after="0" w:afterLines="0" w:afterAutospacing="0" w:line="400" w:lineRule="exact"/>
              <w:ind w:left="0" w:right="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法定代表人或委托代理人可自行选择是否参加开标会，不参加开标会的视为默认开标结果。</w:t>
            </w:r>
          </w:p>
          <w:p w14:paraId="3E2EE538">
            <w:pPr>
              <w:pStyle w:val="55"/>
              <w:keepNext w:val="0"/>
              <w:keepLines w:val="0"/>
              <w:suppressLineNumbers w:val="0"/>
              <w:snapToGrid w:val="0"/>
              <w:spacing w:before="0" w:beforeAutospacing="0" w:after="0" w:afterLines="0" w:afterAutospacing="0" w:line="400" w:lineRule="exact"/>
              <w:ind w:left="0" w:right="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（2）公布在投标截止时间前递交投标文件的投标人名称。</w:t>
            </w:r>
          </w:p>
          <w:p w14:paraId="798C3579">
            <w:pPr>
              <w:pStyle w:val="55"/>
              <w:keepNext w:val="0"/>
              <w:keepLines w:val="0"/>
              <w:suppressLineNumbers w:val="0"/>
              <w:snapToGrid w:val="0"/>
              <w:spacing w:before="0" w:beforeAutospacing="0" w:after="0" w:afterLines="0" w:afterAutospacing="0" w:line="400" w:lineRule="exact"/>
              <w:ind w:left="0" w:right="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）投标文件的密封检查：投标人可对自己的投标文件封装情况进行检查，以确认其投标文件密封完好。</w:t>
            </w:r>
          </w:p>
          <w:p w14:paraId="03B09201">
            <w:pPr>
              <w:pStyle w:val="55"/>
              <w:keepNext w:val="0"/>
              <w:keepLines w:val="0"/>
              <w:suppressLineNumbers w:val="0"/>
              <w:snapToGrid w:val="0"/>
              <w:spacing w:before="0" w:beforeAutospacing="0" w:after="0" w:afterLines="0" w:afterAutospacing="0" w:line="400" w:lineRule="exact"/>
              <w:ind w:left="0" w:right="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）逐单位随机开启投标文件。公布投标人名称、投标报价及其他内容并记录在案。</w:t>
            </w:r>
          </w:p>
          <w:p w14:paraId="5DE922E2">
            <w:pPr>
              <w:pStyle w:val="55"/>
              <w:keepNext w:val="0"/>
              <w:keepLines w:val="0"/>
              <w:suppressLineNumbers w:val="0"/>
              <w:snapToGrid w:val="0"/>
              <w:spacing w:before="0" w:beforeAutospacing="0" w:after="0" w:afterLines="0" w:afterAutospacing="0" w:line="400" w:lineRule="exact"/>
              <w:ind w:left="0" w:right="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）投标人对开标有异议的，应当场提出，由招标人当场答复，并记录到开标记录表中。异议处理完毕后，汇总开标情况，打印开标记录表。</w:t>
            </w:r>
          </w:p>
          <w:p w14:paraId="6F4D0F36">
            <w:pPr>
              <w:pStyle w:val="55"/>
              <w:keepNext w:val="0"/>
              <w:keepLines w:val="0"/>
              <w:suppressLineNumbers w:val="0"/>
              <w:snapToGrid w:val="0"/>
              <w:spacing w:before="0" w:beforeAutospacing="0" w:after="0" w:afterLines="0" w:afterAutospacing="0" w:line="400" w:lineRule="exact"/>
              <w:ind w:left="0" w:right="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）投标人代表、招标人代表、监标人等有关人员在开标记录上签名确认。因其他原因未能签名的，视为默认开标结果。</w:t>
            </w:r>
          </w:p>
          <w:p w14:paraId="2A26EB8A">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）开标结束。</w:t>
            </w:r>
          </w:p>
        </w:tc>
      </w:tr>
      <w:tr w14:paraId="73010B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56B1C49C">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6.1.1</w:t>
            </w:r>
          </w:p>
        </w:tc>
        <w:tc>
          <w:tcPr>
            <w:tcW w:w="851" w:type="pct"/>
            <w:vAlign w:val="center"/>
          </w:tcPr>
          <w:p w14:paraId="419E18AD">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评标委员会的组建</w:t>
            </w:r>
          </w:p>
        </w:tc>
        <w:tc>
          <w:tcPr>
            <w:tcW w:w="3445" w:type="pct"/>
            <w:vAlign w:val="center"/>
          </w:tcPr>
          <w:p w14:paraId="54EC7D7F">
            <w:pPr>
              <w:keepNext w:val="0"/>
              <w:keepLines w:val="0"/>
              <w:suppressLineNumbers w:val="0"/>
              <w:adjustRightInd w:val="0"/>
              <w:snapToGrid w:val="0"/>
              <w:spacing w:before="0" w:beforeAutospacing="0" w:after="0" w:afterLines="0" w:afterAutospacing="0" w:line="400" w:lineRule="exact"/>
              <w:ind w:left="0" w:right="0" w:firstLine="436" w:firstLineChars="200"/>
              <w:rPr>
                <w:rFonts w:hint="eastAsia" w:ascii="宋体" w:hAnsi="宋体" w:eastAsia="宋体" w:cs="宋体"/>
                <w:color w:val="auto"/>
                <w:kern w:val="0"/>
                <w:szCs w:val="21"/>
                <w:highlight w:val="none"/>
              </w:rPr>
            </w:pPr>
            <w:r>
              <w:rPr>
                <w:rFonts w:hint="eastAsia" w:ascii="宋体" w:hAnsi="宋体" w:eastAsia="宋体" w:cs="宋体"/>
                <w:color w:val="auto"/>
                <w:spacing w:val="4"/>
                <w:kern w:val="0"/>
                <w:szCs w:val="21"/>
                <w:highlight w:val="none"/>
              </w:rPr>
              <w:t>由招标人按法律法规及相关规定依法组建评标委员会</w:t>
            </w:r>
            <w:r>
              <w:rPr>
                <w:rFonts w:hint="eastAsia" w:ascii="宋体" w:hAnsi="宋体" w:eastAsia="宋体" w:cs="宋体"/>
                <w:color w:val="auto"/>
                <w:kern w:val="0"/>
                <w:szCs w:val="21"/>
                <w:highlight w:val="none"/>
              </w:rPr>
              <w:t>。</w:t>
            </w:r>
          </w:p>
        </w:tc>
      </w:tr>
      <w:tr w14:paraId="3FF928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5DF1CFBB">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6.3.2</w:t>
            </w:r>
          </w:p>
        </w:tc>
        <w:tc>
          <w:tcPr>
            <w:tcW w:w="851" w:type="pct"/>
            <w:vAlign w:val="center"/>
          </w:tcPr>
          <w:p w14:paraId="55CA4D4F">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评标委员会推荐中标候选人的</w:t>
            </w:r>
            <w:r>
              <w:rPr>
                <w:rFonts w:hint="eastAsia" w:ascii="宋体" w:hAnsi="宋体" w:eastAsia="宋体" w:cs="宋体"/>
                <w:color w:val="auto"/>
                <w:kern w:val="0"/>
                <w:szCs w:val="21"/>
                <w:highlight w:val="none"/>
              </w:rPr>
              <w:t>人数</w:t>
            </w:r>
          </w:p>
        </w:tc>
        <w:tc>
          <w:tcPr>
            <w:tcW w:w="3445" w:type="pct"/>
            <w:vAlign w:val="center"/>
          </w:tcPr>
          <w:p w14:paraId="63762454">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pacing w:val="4"/>
                <w:kern w:val="0"/>
                <w:szCs w:val="21"/>
                <w:highlight w:val="none"/>
                <w:lang w:eastAsia="zh-CN"/>
              </w:rPr>
            </w:pPr>
            <w:r>
              <w:rPr>
                <w:rFonts w:hint="eastAsia" w:ascii="宋体" w:hAnsi="宋体" w:cs="宋体"/>
                <w:color w:val="auto"/>
                <w:kern w:val="0"/>
                <w:szCs w:val="21"/>
                <w:highlight w:val="none"/>
                <w:lang w:val="en-US" w:eastAsia="zh-CN"/>
              </w:rPr>
              <w:t>每个标段</w:t>
            </w:r>
            <w:r>
              <w:rPr>
                <w:rFonts w:hint="eastAsia" w:ascii="宋体" w:hAnsi="宋体" w:eastAsia="宋体" w:cs="宋体"/>
                <w:color w:val="auto"/>
                <w:spacing w:val="4"/>
                <w:kern w:val="0"/>
                <w:szCs w:val="21"/>
                <w:highlight w:val="none"/>
                <w:lang w:val="en-US" w:eastAsia="zh-CN"/>
              </w:rPr>
              <w:t>2</w:t>
            </w:r>
            <w:r>
              <w:rPr>
                <w:rFonts w:hint="eastAsia" w:ascii="宋体" w:hAnsi="宋体" w:eastAsia="宋体" w:cs="宋体"/>
                <w:color w:val="auto"/>
                <w:spacing w:val="4"/>
                <w:kern w:val="0"/>
                <w:szCs w:val="21"/>
                <w:highlight w:val="none"/>
              </w:rPr>
              <w:t>名</w:t>
            </w:r>
            <w:r>
              <w:rPr>
                <w:rFonts w:hint="eastAsia" w:ascii="宋体" w:hAnsi="宋体" w:cs="宋体"/>
                <w:color w:val="auto"/>
                <w:spacing w:val="4"/>
                <w:kern w:val="0"/>
                <w:szCs w:val="21"/>
                <w:highlight w:val="none"/>
                <w:lang w:eastAsia="zh-CN"/>
              </w:rPr>
              <w:t>。</w:t>
            </w:r>
          </w:p>
        </w:tc>
      </w:tr>
      <w:tr w14:paraId="106BAC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30CA83D7">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7.1</w:t>
            </w:r>
          </w:p>
        </w:tc>
        <w:tc>
          <w:tcPr>
            <w:tcW w:w="851" w:type="pct"/>
            <w:vAlign w:val="center"/>
          </w:tcPr>
          <w:p w14:paraId="42AFAEEE">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中标候选人公示</w:t>
            </w:r>
          </w:p>
        </w:tc>
        <w:tc>
          <w:tcPr>
            <w:tcW w:w="3445" w:type="pct"/>
            <w:vAlign w:val="center"/>
          </w:tcPr>
          <w:p w14:paraId="11941527">
            <w:pPr>
              <w:keepNext w:val="0"/>
              <w:keepLines w:val="0"/>
              <w:suppressLineNumbers w:val="0"/>
              <w:adjustRightInd w:val="0"/>
              <w:snapToGrid w:val="0"/>
              <w:spacing w:before="0" w:beforeAutospacing="0" w:after="0" w:afterLines="0" w:afterAutospacing="0" w:line="400" w:lineRule="exact"/>
              <w:ind w:left="0" w:leftChars="0" w:right="0" w:rightChars="0" w:firstLine="436" w:firstLineChars="200"/>
              <w:rPr>
                <w:rFonts w:hint="eastAsia" w:ascii="宋体" w:hAnsi="宋体" w:eastAsia="宋体" w:cs="宋体"/>
                <w:color w:val="auto"/>
                <w:spacing w:val="4"/>
                <w:kern w:val="0"/>
                <w:sz w:val="21"/>
                <w:szCs w:val="21"/>
                <w:highlight w:val="none"/>
                <w:lang w:val="en-US" w:eastAsia="zh-CN" w:bidi="ar-SA"/>
              </w:rPr>
            </w:pPr>
            <w:r>
              <w:rPr>
                <w:rFonts w:hint="eastAsia" w:ascii="宋体" w:hAnsi="宋体" w:eastAsia="宋体" w:cs="宋体"/>
                <w:color w:val="auto"/>
                <w:spacing w:val="4"/>
                <w:kern w:val="0"/>
                <w:szCs w:val="21"/>
                <w:highlight w:val="none"/>
              </w:rPr>
              <w:t>招标人在收到评标报告后3日内将评标结果在</w:t>
            </w:r>
            <w:r>
              <w:rPr>
                <w:rFonts w:hint="eastAsia" w:ascii="宋体" w:hAnsi="宋体" w:cs="宋体"/>
                <w:snapToGrid w:val="0"/>
                <w:color w:val="auto"/>
                <w:kern w:val="0"/>
                <w:szCs w:val="21"/>
                <w:highlight w:val="none"/>
                <w:u w:val="single"/>
                <w:lang w:val="en-US" w:eastAsia="zh-CN"/>
              </w:rPr>
              <w:t>重庆高速集团官网（https://www.cegc.com.cn/html/col1810480.html）</w:t>
            </w:r>
            <w:r>
              <w:rPr>
                <w:rFonts w:hint="eastAsia" w:ascii="宋体" w:hAnsi="宋体" w:eastAsia="宋体" w:cs="宋体"/>
                <w:color w:val="auto"/>
                <w:spacing w:val="4"/>
                <w:kern w:val="0"/>
                <w:szCs w:val="21"/>
                <w:highlight w:val="none"/>
              </w:rPr>
              <w:t>上进行公示，公示期</w:t>
            </w:r>
            <w:r>
              <w:rPr>
                <w:rFonts w:hint="eastAsia" w:ascii="宋体" w:hAnsi="宋体" w:eastAsia="宋体" w:cs="宋体"/>
                <w:color w:val="auto"/>
                <w:spacing w:val="4"/>
                <w:kern w:val="0"/>
                <w:szCs w:val="21"/>
                <w:highlight w:val="none"/>
                <w:lang w:val="en-US" w:eastAsia="zh-CN"/>
              </w:rPr>
              <w:t>不少于</w:t>
            </w:r>
            <w:r>
              <w:rPr>
                <w:rFonts w:hint="eastAsia" w:ascii="宋体" w:hAnsi="宋体" w:eastAsia="宋体" w:cs="宋体"/>
                <w:color w:val="auto"/>
                <w:spacing w:val="4"/>
                <w:kern w:val="0"/>
                <w:szCs w:val="21"/>
                <w:highlight w:val="none"/>
              </w:rPr>
              <w:t>3日。</w:t>
            </w:r>
          </w:p>
        </w:tc>
      </w:tr>
      <w:tr w14:paraId="07E65C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7DAC17EC">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7.4</w:t>
            </w:r>
          </w:p>
        </w:tc>
        <w:tc>
          <w:tcPr>
            <w:tcW w:w="851" w:type="pct"/>
            <w:vAlign w:val="center"/>
          </w:tcPr>
          <w:p w14:paraId="6BD93906">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是否授权评标委员会确定中标人</w:t>
            </w:r>
          </w:p>
        </w:tc>
        <w:tc>
          <w:tcPr>
            <w:tcW w:w="3445" w:type="pct"/>
            <w:vAlign w:val="center"/>
          </w:tcPr>
          <w:p w14:paraId="17F446F1">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val="en-US" w:eastAsia="zh-CN"/>
              </w:rPr>
              <w:t>每个标段</w:t>
            </w:r>
            <w:r>
              <w:rPr>
                <w:rFonts w:hint="eastAsia" w:ascii="宋体" w:hAnsi="宋体" w:eastAsia="宋体" w:cs="宋体"/>
                <w:color w:val="auto"/>
                <w:kern w:val="0"/>
                <w:szCs w:val="21"/>
                <w:highlight w:val="none"/>
              </w:rPr>
              <w:t>推荐经评审合格的</w:t>
            </w:r>
            <w:r>
              <w:rPr>
                <w:rFonts w:hint="eastAsia" w:ascii="宋体" w:hAnsi="宋体" w:cs="宋体"/>
                <w:color w:val="auto"/>
                <w:kern w:val="0"/>
                <w:szCs w:val="21"/>
                <w:highlight w:val="none"/>
                <w:lang w:val="en-US" w:eastAsia="zh-CN"/>
              </w:rPr>
              <w:t>得分</w:t>
            </w:r>
            <w:r>
              <w:rPr>
                <w:rFonts w:hint="eastAsia" w:ascii="宋体" w:hAnsi="宋体" w:eastAsia="宋体" w:cs="宋体"/>
                <w:color w:val="auto"/>
                <w:kern w:val="0"/>
                <w:szCs w:val="21"/>
                <w:highlight w:val="none"/>
              </w:rPr>
              <w:t>由</w:t>
            </w:r>
            <w:r>
              <w:rPr>
                <w:rFonts w:hint="eastAsia" w:ascii="宋体" w:hAnsi="宋体" w:cs="宋体"/>
                <w:color w:val="auto"/>
                <w:kern w:val="0"/>
                <w:szCs w:val="21"/>
                <w:highlight w:val="none"/>
                <w:lang w:val="en-US" w:eastAsia="zh-CN"/>
              </w:rPr>
              <w:t>高</w:t>
            </w:r>
            <w:r>
              <w:rPr>
                <w:rFonts w:hint="eastAsia" w:ascii="宋体" w:hAnsi="宋体" w:eastAsia="宋体" w:cs="宋体"/>
                <w:color w:val="auto"/>
                <w:kern w:val="0"/>
                <w:szCs w:val="21"/>
                <w:highlight w:val="none"/>
              </w:rPr>
              <w:t>到</w:t>
            </w:r>
            <w:r>
              <w:rPr>
                <w:rFonts w:hint="eastAsia" w:ascii="宋体" w:hAnsi="宋体" w:cs="宋体"/>
                <w:color w:val="auto"/>
                <w:kern w:val="0"/>
                <w:szCs w:val="21"/>
                <w:highlight w:val="none"/>
                <w:lang w:val="en-US" w:eastAsia="zh-CN"/>
              </w:rPr>
              <w:t>低</w:t>
            </w:r>
            <w:r>
              <w:rPr>
                <w:rFonts w:hint="eastAsia" w:ascii="宋体" w:hAnsi="宋体" w:eastAsia="宋体" w:cs="宋体"/>
                <w:color w:val="auto"/>
                <w:kern w:val="0"/>
                <w:szCs w:val="21"/>
                <w:highlight w:val="none"/>
              </w:rPr>
              <w:t>排名前</w:t>
            </w:r>
            <w:r>
              <w:rPr>
                <w:rFonts w:hint="eastAsia" w:ascii="宋体" w:hAnsi="宋体" w:eastAsia="宋体" w:cs="宋体"/>
                <w:color w:val="auto"/>
                <w:kern w:val="0"/>
                <w:szCs w:val="21"/>
                <w:highlight w:val="none"/>
                <w:lang w:val="en-US" w:eastAsia="zh-CN"/>
              </w:rPr>
              <w:t>二</w:t>
            </w:r>
            <w:r>
              <w:rPr>
                <w:rFonts w:hint="eastAsia" w:ascii="宋体" w:hAnsi="宋体" w:eastAsia="宋体" w:cs="宋体"/>
                <w:color w:val="auto"/>
                <w:kern w:val="0"/>
                <w:szCs w:val="21"/>
                <w:highlight w:val="none"/>
              </w:rPr>
              <w:t>名为中标候选人。</w:t>
            </w:r>
          </w:p>
        </w:tc>
      </w:tr>
      <w:tr w14:paraId="010655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3335C721">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7.5</w:t>
            </w:r>
          </w:p>
        </w:tc>
        <w:tc>
          <w:tcPr>
            <w:tcW w:w="851" w:type="pct"/>
            <w:vAlign w:val="center"/>
          </w:tcPr>
          <w:p w14:paraId="74D3F7AB">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中标通知书和中标结果通知发出的形式</w:t>
            </w:r>
          </w:p>
        </w:tc>
        <w:tc>
          <w:tcPr>
            <w:tcW w:w="3445" w:type="pct"/>
            <w:vAlign w:val="center"/>
          </w:tcPr>
          <w:p w14:paraId="21861F47">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以书面的形式发出</w:t>
            </w:r>
          </w:p>
        </w:tc>
      </w:tr>
      <w:tr w14:paraId="4AA831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6871BAD5">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7.7.1</w:t>
            </w:r>
          </w:p>
        </w:tc>
        <w:tc>
          <w:tcPr>
            <w:tcW w:w="851" w:type="pct"/>
            <w:vAlign w:val="center"/>
          </w:tcPr>
          <w:p w14:paraId="16261F43">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履约保证金</w:t>
            </w:r>
          </w:p>
        </w:tc>
        <w:tc>
          <w:tcPr>
            <w:tcW w:w="3445" w:type="pct"/>
            <w:vAlign w:val="center"/>
          </w:tcPr>
          <w:p w14:paraId="458BC366">
            <w:pPr>
              <w:keepNext w:val="0"/>
              <w:keepLines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1、中标人是否提供履约保证金：提供。</w:t>
            </w:r>
          </w:p>
          <w:p w14:paraId="5C7CA1A7">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2、中标人提供履约担保的形式、金额及期限：</w:t>
            </w:r>
          </w:p>
          <w:p w14:paraId="474948EC">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（1）履约担保的形式：</w:t>
            </w:r>
            <w:r>
              <w:rPr>
                <w:rFonts w:hint="eastAsia" w:ascii="宋体" w:hAnsi="宋体" w:eastAsia="宋体" w:cs="宋体"/>
                <w:color w:val="auto"/>
                <w:kern w:val="0"/>
                <w:szCs w:val="21"/>
                <w:highlight w:val="none"/>
                <w:u w:val="none"/>
              </w:rPr>
              <w:t>现金或银行保函或现金+银行保函的组合；采用银行保函形式的，保函必须为不可撤销且见索即付；</w:t>
            </w:r>
          </w:p>
          <w:p w14:paraId="018CF672">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（2）履约担保的金额：</w:t>
            </w:r>
            <w:r>
              <w:rPr>
                <w:rFonts w:hint="eastAsia" w:ascii="宋体" w:hAnsi="宋体" w:eastAsia="宋体" w:cs="宋体"/>
                <w:color w:val="auto"/>
                <w:kern w:val="0"/>
                <w:szCs w:val="21"/>
                <w:highlight w:val="none"/>
                <w:u w:val="single"/>
              </w:rPr>
              <w:t xml:space="preserve">中标合同金额的10% </w:t>
            </w:r>
            <w:r>
              <w:rPr>
                <w:rFonts w:hint="eastAsia" w:ascii="宋体" w:hAnsi="宋体" w:eastAsia="宋体" w:cs="宋体"/>
                <w:color w:val="auto"/>
                <w:kern w:val="0"/>
                <w:szCs w:val="21"/>
                <w:highlight w:val="none"/>
              </w:rPr>
              <w:t>，</w:t>
            </w:r>
          </w:p>
          <w:p w14:paraId="1FA93B2D">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（3）履约担保的提交时间：</w:t>
            </w:r>
            <w:r>
              <w:rPr>
                <w:rFonts w:hint="eastAsia" w:ascii="宋体" w:hAnsi="宋体" w:eastAsia="宋体" w:cs="宋体"/>
                <w:color w:val="auto"/>
                <w:kern w:val="0"/>
                <w:szCs w:val="21"/>
                <w:highlight w:val="none"/>
                <w:u w:val="single"/>
              </w:rPr>
              <w:t xml:space="preserve">中标人收到中标通知书后 </w:t>
            </w:r>
            <w:r>
              <w:rPr>
                <w:rFonts w:hint="eastAsia" w:ascii="宋体" w:hAnsi="宋体" w:eastAsia="宋体" w:cs="宋体"/>
                <w:color w:val="auto"/>
                <w:kern w:val="0"/>
                <w:szCs w:val="21"/>
                <w:highlight w:val="none"/>
                <w:u w:val="single"/>
                <w:lang w:val="en-US" w:eastAsia="zh-CN"/>
              </w:rPr>
              <w:t>30</w:t>
            </w:r>
            <w:r>
              <w:rPr>
                <w:rFonts w:hint="eastAsia" w:ascii="宋体" w:hAnsi="宋体" w:eastAsia="宋体" w:cs="宋体"/>
                <w:color w:val="auto"/>
                <w:kern w:val="0"/>
                <w:szCs w:val="21"/>
                <w:highlight w:val="none"/>
                <w:u w:val="single"/>
              </w:rPr>
              <w:t xml:space="preserve"> 日内提交。</w:t>
            </w:r>
          </w:p>
          <w:p w14:paraId="2362E9F0">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（4）履约担保的期限：</w:t>
            </w:r>
            <w:r>
              <w:rPr>
                <w:rFonts w:hint="eastAsia" w:ascii="宋体" w:hAnsi="宋体" w:eastAsia="宋体" w:cs="宋体"/>
                <w:color w:val="auto"/>
                <w:kern w:val="0"/>
                <w:szCs w:val="21"/>
                <w:highlight w:val="none"/>
                <w:u w:val="single"/>
              </w:rPr>
              <w:t>自提交履约担保之日起至</w:t>
            </w:r>
            <w:r>
              <w:rPr>
                <w:rFonts w:hint="eastAsia" w:ascii="宋体" w:hAnsi="宋体" w:eastAsia="宋体" w:cs="宋体"/>
                <w:color w:val="auto"/>
                <w:kern w:val="0"/>
                <w:szCs w:val="21"/>
                <w:highlight w:val="none"/>
                <w:u w:val="single"/>
                <w:lang w:val="en-US" w:eastAsia="zh-CN"/>
              </w:rPr>
              <w:t>项目完工</w:t>
            </w:r>
            <w:r>
              <w:rPr>
                <w:rFonts w:hint="eastAsia" w:ascii="宋体" w:hAnsi="宋体" w:eastAsia="宋体" w:cs="宋体"/>
                <w:color w:val="auto"/>
                <w:kern w:val="0"/>
                <w:szCs w:val="21"/>
                <w:highlight w:val="none"/>
                <w:u w:val="single"/>
              </w:rPr>
              <w:t>之日止。</w:t>
            </w:r>
          </w:p>
          <w:p w14:paraId="12384539">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（5）履约担保的退还时间：</w:t>
            </w:r>
            <w:r>
              <w:rPr>
                <w:rFonts w:hint="eastAsia" w:ascii="宋体" w:hAnsi="宋体" w:eastAsia="宋体" w:cs="宋体"/>
                <w:color w:val="auto"/>
                <w:kern w:val="0"/>
                <w:szCs w:val="21"/>
                <w:highlight w:val="none"/>
                <w:u w:val="single"/>
              </w:rPr>
              <w:t>采用现金担保的，合同工程完工证书颁发后28天内一次性退还；采用银行保函的，合同工程完工证书颁发后28天内内退还</w:t>
            </w:r>
            <w:r>
              <w:rPr>
                <w:rFonts w:hint="eastAsia" w:ascii="宋体" w:hAnsi="宋体" w:eastAsia="宋体" w:cs="宋体"/>
                <w:color w:val="auto"/>
                <w:kern w:val="0"/>
                <w:szCs w:val="21"/>
                <w:highlight w:val="none"/>
                <w:u w:val="single"/>
                <w:lang w:eastAsia="zh-CN"/>
              </w:rPr>
              <w:t>。</w:t>
            </w:r>
          </w:p>
        </w:tc>
      </w:tr>
      <w:tr w14:paraId="523A95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0EA46A51">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7.8.1</w:t>
            </w:r>
          </w:p>
        </w:tc>
        <w:tc>
          <w:tcPr>
            <w:tcW w:w="851" w:type="pct"/>
            <w:vAlign w:val="center"/>
          </w:tcPr>
          <w:p w14:paraId="28E9CCBF">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签订合同</w:t>
            </w:r>
          </w:p>
        </w:tc>
        <w:tc>
          <w:tcPr>
            <w:tcW w:w="3445" w:type="pct"/>
            <w:vAlign w:val="center"/>
          </w:tcPr>
          <w:p w14:paraId="140EC2EC">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中标人有《中华人民共和国招标投标法实施条例》第七十四条规定行为的，按中标项目金额10‰罚款上限予以行政处罚，纳入招标人黑名单管理。</w:t>
            </w:r>
          </w:p>
        </w:tc>
      </w:tr>
      <w:tr w14:paraId="5CAE5D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5692FB7A">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9</w:t>
            </w:r>
          </w:p>
        </w:tc>
        <w:tc>
          <w:tcPr>
            <w:tcW w:w="851" w:type="pct"/>
            <w:vAlign w:val="center"/>
          </w:tcPr>
          <w:p w14:paraId="7FB1E2C7">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是否采用电子招标投标</w:t>
            </w:r>
          </w:p>
        </w:tc>
        <w:tc>
          <w:tcPr>
            <w:tcW w:w="3445" w:type="pct"/>
            <w:vAlign w:val="center"/>
          </w:tcPr>
          <w:p w14:paraId="44EBAC72">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lang w:eastAsia="zh-CN"/>
              </w:rPr>
              <w:t>否</w:t>
            </w:r>
          </w:p>
        </w:tc>
      </w:tr>
      <w:tr w14:paraId="5407A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329CF92A">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w:t>
            </w:r>
          </w:p>
        </w:tc>
        <w:tc>
          <w:tcPr>
            <w:tcW w:w="4296" w:type="pct"/>
            <w:gridSpan w:val="2"/>
            <w:vAlign w:val="center"/>
          </w:tcPr>
          <w:p w14:paraId="36436A15">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需要补充的其他内容</w:t>
            </w:r>
          </w:p>
        </w:tc>
      </w:tr>
      <w:tr w14:paraId="5037CA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7A9470D9">
            <w:pPr>
              <w:keepNext w:val="0"/>
              <w:keepLines w:val="0"/>
              <w:suppressLineNumbers w:val="0"/>
              <w:adjustRightInd w:val="0"/>
              <w:snapToGrid w:val="0"/>
              <w:spacing w:before="0" w:beforeAutospacing="0" w:after="0" w:afterLines="0" w:afterAutospacing="0" w:line="400" w:lineRule="exact"/>
              <w:ind w:left="0" w:leftChars="0" w:right="0" w:rightChars="0"/>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lang w:val="en-US" w:eastAsia="zh-CN"/>
              </w:rPr>
              <w:t>1</w:t>
            </w:r>
          </w:p>
        </w:tc>
        <w:tc>
          <w:tcPr>
            <w:tcW w:w="851" w:type="pct"/>
            <w:vAlign w:val="center"/>
          </w:tcPr>
          <w:p w14:paraId="7D006101">
            <w:pPr>
              <w:keepNext w:val="0"/>
              <w:keepLines w:val="0"/>
              <w:suppressLineNumbers w:val="0"/>
              <w:adjustRightInd w:val="0"/>
              <w:snapToGrid w:val="0"/>
              <w:spacing w:before="0" w:beforeAutospacing="0" w:after="0" w:afterLines="0" w:afterAutospacing="0" w:line="400" w:lineRule="exact"/>
              <w:ind w:left="0" w:leftChars="0" w:right="0" w:right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异议、投诉处理</w:t>
            </w:r>
          </w:p>
        </w:tc>
        <w:tc>
          <w:tcPr>
            <w:tcW w:w="3445" w:type="pct"/>
            <w:vAlign w:val="center"/>
          </w:tcPr>
          <w:p w14:paraId="6B084895">
            <w:pPr>
              <w:keepNext w:val="0"/>
              <w:keepLines w:val="0"/>
              <w:widowControl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1. 投标人或者其他利害关系人就本项目的招标文件（含澄清修改）、开标情况、评标结果等事项提出投诉的，应当先向招标人采购部门提出异议；招标人应当在规定时间内答复；对招标人的答复不满意，可向招标人监督部门投诉。</w:t>
            </w:r>
          </w:p>
          <w:p w14:paraId="2A0F2D5E">
            <w:pPr>
              <w:keepNext w:val="0"/>
              <w:keepLines w:val="0"/>
              <w:widowControl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提出异议或投诉时应当包括下列内容：</w:t>
            </w:r>
          </w:p>
          <w:p w14:paraId="7408EC0B">
            <w:pPr>
              <w:keepNext w:val="0"/>
              <w:keepLines w:val="0"/>
              <w:widowControl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（1）异议人或投诉人的姓名/名称、地址及有效联系方式；</w:t>
            </w:r>
          </w:p>
          <w:p w14:paraId="44878270">
            <w:pPr>
              <w:keepNext w:val="0"/>
              <w:keepLines w:val="0"/>
              <w:widowControl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（2）被异议人或被投诉人的名称、地址及有效联系方式；</w:t>
            </w:r>
          </w:p>
          <w:p w14:paraId="505AC3FF">
            <w:pPr>
              <w:keepNext w:val="0"/>
              <w:keepLines w:val="0"/>
              <w:widowControl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（3）异议或投诉事项的基本事实；</w:t>
            </w:r>
          </w:p>
          <w:p w14:paraId="31691D38">
            <w:pPr>
              <w:keepNext w:val="0"/>
              <w:keepLines w:val="0"/>
              <w:widowControl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（4）请求及主张；</w:t>
            </w:r>
          </w:p>
          <w:p w14:paraId="7E521C93">
            <w:pPr>
              <w:keepNext w:val="0"/>
              <w:keepLines w:val="0"/>
              <w:widowControl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（5）涉及事项的证据、证明材料。</w:t>
            </w:r>
          </w:p>
          <w:p w14:paraId="55144EE6">
            <w:pPr>
              <w:keepNext w:val="0"/>
              <w:keepLines w:val="0"/>
              <w:widowControl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异议人或投诉人是法人的，异议书或投诉书必须由其法定代表人或者委托代理人签名并加盖单位公章；异议人或投诉人是其他组织或者自然人的，异议书或投诉书必须由其主要负责人签名或者异议人（或投诉人）本人签名，并附有效身份证明。如有关材料是外文，应当同时提供中文译本。</w:t>
            </w:r>
          </w:p>
          <w:p w14:paraId="6EB279AB">
            <w:pPr>
              <w:keepNext w:val="0"/>
              <w:keepLines w:val="0"/>
              <w:widowControl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2. 根据《重庆市工程建设领域招标投标信用管理暂行办法》的规定，投标人捏造事实、伪造材料，或者以非法手段获取证明材料进行质疑或者投诉的，将被列入黑名单管理；给他人造成损失的，依法承担赔偿责任。</w:t>
            </w:r>
          </w:p>
          <w:p w14:paraId="3F6931A6">
            <w:pPr>
              <w:keepNext w:val="0"/>
              <w:keepLines w:val="0"/>
              <w:widowControl w:val="0"/>
              <w:suppressLineNumbers w:val="0"/>
              <w:adjustRightInd w:val="0"/>
              <w:snapToGrid w:val="0"/>
              <w:spacing w:before="0" w:beforeAutospacing="0" w:after="0" w:afterLines="0" w:afterAutospacing="0" w:line="400" w:lineRule="exact"/>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3.</w:t>
            </w:r>
            <w:r>
              <w:rPr>
                <w:rFonts w:hint="eastAsia" w:ascii="宋体" w:hAnsi="宋体" w:eastAsia="宋体" w:cs="宋体"/>
                <w:kern w:val="2"/>
                <w:sz w:val="21"/>
                <w:szCs w:val="21"/>
                <w:highlight w:val="none"/>
                <w:lang w:val="en-US" w:eastAsia="zh-CN" w:bidi="ar"/>
              </w:rPr>
              <w:t xml:space="preserve"> </w:t>
            </w:r>
            <w:r>
              <w:rPr>
                <w:rFonts w:hint="eastAsia" w:ascii="宋体" w:hAnsi="宋体" w:eastAsia="宋体" w:cs="宋体"/>
                <w:kern w:val="0"/>
                <w:sz w:val="21"/>
                <w:szCs w:val="21"/>
                <w:highlight w:val="none"/>
                <w:lang w:val="en-US" w:eastAsia="zh-CN" w:bidi="ar"/>
              </w:rPr>
              <w:t>异议受理单位：重庆首讯科技股份有限公司供应链管理部</w:t>
            </w:r>
          </w:p>
          <w:p w14:paraId="02FF9082">
            <w:pPr>
              <w:keepNext w:val="0"/>
              <w:keepLines w:val="0"/>
              <w:suppressLineNumbers w:val="0"/>
              <w:adjustRightInd w:val="0"/>
              <w:snapToGrid w:val="0"/>
              <w:spacing w:before="0" w:beforeAutospacing="0" w:after="0" w:afterLines="0" w:afterAutospacing="0" w:line="400" w:lineRule="exact"/>
              <w:ind w:left="0" w:right="0" w:firstLine="420" w:firstLineChars="200"/>
              <w:rPr>
                <w:rFonts w:hint="default"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联系电话：023-63131274</w:t>
            </w:r>
          </w:p>
          <w:p w14:paraId="11E69C74">
            <w:pPr>
              <w:keepNext w:val="0"/>
              <w:keepLines w:val="0"/>
              <w:widowControl/>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投诉受理部门：重庆首讯科技股份有限公司风险管理部</w:t>
            </w:r>
          </w:p>
          <w:p w14:paraId="0C5F1853">
            <w:pPr>
              <w:keepNext w:val="0"/>
              <w:keepLines w:val="0"/>
              <w:widowControl w:val="0"/>
              <w:suppressLineNumbers w:val="0"/>
              <w:adjustRightInd w:val="0"/>
              <w:snapToGrid w:val="0"/>
              <w:spacing w:before="0" w:beforeAutospacing="0" w:after="0" w:afterLines="0" w:afterAutospacing="0" w:line="400" w:lineRule="exact"/>
              <w:ind w:left="0" w:leftChars="0" w:right="0" w:rightChars="0"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kern w:val="0"/>
                <w:sz w:val="21"/>
                <w:szCs w:val="21"/>
                <w:highlight w:val="none"/>
                <w:lang w:val="en-US" w:eastAsia="zh-CN" w:bidi="ar"/>
              </w:rPr>
              <w:t>联系电话：023-63132246</w:t>
            </w:r>
          </w:p>
        </w:tc>
      </w:tr>
      <w:tr w14:paraId="617B28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72297B24">
            <w:pPr>
              <w:keepNext w:val="0"/>
              <w:keepLines w:val="0"/>
              <w:suppressLineNumbers w:val="0"/>
              <w:adjustRightInd w:val="0"/>
              <w:snapToGrid w:val="0"/>
              <w:spacing w:before="0" w:beforeAutospacing="0" w:after="0" w:afterLines="0" w:afterAutospacing="0" w:line="400" w:lineRule="exact"/>
              <w:ind w:left="0" w:leftChars="0" w:right="0" w:right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lang w:val="en-US" w:eastAsia="zh-CN"/>
              </w:rPr>
              <w:t>2</w:t>
            </w:r>
          </w:p>
        </w:tc>
        <w:tc>
          <w:tcPr>
            <w:tcW w:w="851" w:type="pct"/>
            <w:vAlign w:val="center"/>
          </w:tcPr>
          <w:p w14:paraId="7201DFB5">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工程量清单</w:t>
            </w:r>
          </w:p>
          <w:p w14:paraId="6BACB6BD">
            <w:pPr>
              <w:keepNext w:val="0"/>
              <w:keepLines w:val="0"/>
              <w:suppressLineNumbers w:val="0"/>
              <w:adjustRightInd w:val="0"/>
              <w:snapToGrid w:val="0"/>
              <w:spacing w:before="0" w:beforeAutospacing="0" w:after="0" w:afterLines="0" w:afterAutospacing="0" w:line="400" w:lineRule="exact"/>
              <w:ind w:left="0" w:leftChars="0" w:right="0" w:right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编制说明</w:t>
            </w:r>
          </w:p>
        </w:tc>
        <w:tc>
          <w:tcPr>
            <w:tcW w:w="3445" w:type="pct"/>
            <w:vAlign w:val="center"/>
          </w:tcPr>
          <w:p w14:paraId="5DABBC49">
            <w:pPr>
              <w:keepNext w:val="0"/>
              <w:keepLines w:val="0"/>
              <w:widowControl/>
              <w:suppressLineNumbers w:val="0"/>
              <w:adjustRightInd w:val="0"/>
              <w:snapToGrid w:val="0"/>
              <w:spacing w:before="0" w:beforeAutospacing="0" w:after="0" w:afterLines="0" w:afterAutospacing="0" w:line="400" w:lineRule="exact"/>
              <w:ind w:left="0" w:leftChars="0" w:right="0" w:rightChars="0"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详见清单</w:t>
            </w:r>
          </w:p>
        </w:tc>
      </w:tr>
      <w:tr w14:paraId="5488F8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5303A43E">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lang w:val="en-US" w:eastAsia="zh-CN"/>
              </w:rPr>
              <w:t>3</w:t>
            </w:r>
          </w:p>
        </w:tc>
        <w:tc>
          <w:tcPr>
            <w:tcW w:w="851" w:type="pct"/>
            <w:vAlign w:val="center"/>
          </w:tcPr>
          <w:p w14:paraId="11F2BB5C">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关于对招标文件及投标争议的解释</w:t>
            </w:r>
          </w:p>
        </w:tc>
        <w:tc>
          <w:tcPr>
            <w:tcW w:w="3445" w:type="pct"/>
            <w:vAlign w:val="center"/>
          </w:tcPr>
          <w:p w14:paraId="7D176F21">
            <w:pPr>
              <w:keepNext w:val="0"/>
              <w:keepLines w:val="0"/>
              <w:suppressLineNumbers w:val="0"/>
              <w:autoSpaceDE w:val="0"/>
              <w:autoSpaceDN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对资格预审文件或者招标文件的评标标准和方法，以及资格审查和否决投标条款理解有争议的，应当作出不利于招标人的解释，但违背国家利益、社会公共利益的除外。</w:t>
            </w:r>
          </w:p>
          <w:p w14:paraId="6AC4425E">
            <w:pPr>
              <w:keepNext w:val="0"/>
              <w:keepLines w:val="0"/>
              <w:suppressLineNumbers w:val="0"/>
              <w:autoSpaceDE w:val="0"/>
              <w:autoSpaceDN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对投标文件理解有争议的，应当作出不利于提交该投标文件的投标人的解释。</w:t>
            </w:r>
          </w:p>
        </w:tc>
      </w:tr>
      <w:tr w14:paraId="0494B0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226E0367">
            <w:pPr>
              <w:keepNext w:val="0"/>
              <w:keepLines w:val="0"/>
              <w:suppressLineNumbers w:val="0"/>
              <w:adjustRightInd w:val="0"/>
              <w:snapToGrid w:val="0"/>
              <w:spacing w:before="0" w:beforeAutospacing="0" w:after="0" w:afterLines="0" w:afterAutospacing="0" w:line="400" w:lineRule="exact"/>
              <w:ind w:left="0" w:leftChars="0" w:right="0" w:rightChars="0"/>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lang w:val="en-US" w:eastAsia="zh-CN"/>
              </w:rPr>
              <w:t>4</w:t>
            </w:r>
          </w:p>
        </w:tc>
        <w:tc>
          <w:tcPr>
            <w:tcW w:w="851" w:type="pct"/>
            <w:vAlign w:val="center"/>
          </w:tcPr>
          <w:p w14:paraId="26538F05">
            <w:pPr>
              <w:keepNext w:val="0"/>
              <w:keepLines w:val="0"/>
              <w:suppressLineNumbers w:val="0"/>
              <w:adjustRightInd w:val="0"/>
              <w:snapToGrid w:val="0"/>
              <w:spacing w:before="0" w:beforeAutospacing="0" w:after="0" w:afterLines="0" w:afterAutospacing="0" w:line="400" w:lineRule="exact"/>
              <w:ind w:left="0" w:leftChars="0" w:right="0" w:right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重新招标</w:t>
            </w:r>
            <w:r>
              <w:rPr>
                <w:rFonts w:hint="eastAsia" w:ascii="宋体" w:hAnsi="宋体" w:eastAsia="宋体" w:cs="宋体"/>
                <w:color w:val="auto"/>
                <w:kern w:val="0"/>
                <w:szCs w:val="21"/>
                <w:highlight w:val="none"/>
                <w:lang w:val="en-US" w:eastAsia="zh-CN"/>
              </w:rPr>
              <w:t>的情形</w:t>
            </w:r>
          </w:p>
        </w:tc>
        <w:tc>
          <w:tcPr>
            <w:tcW w:w="3445" w:type="pct"/>
            <w:vAlign w:val="center"/>
          </w:tcPr>
          <w:p w14:paraId="23258D8D">
            <w:pPr>
              <w:keepNext w:val="0"/>
              <w:keepLines w:val="0"/>
              <w:suppressLineNumbers w:val="0"/>
              <w:autoSpaceDE w:val="0"/>
              <w:autoSpaceDN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有下列情形之一的，招标人将重新招标：</w:t>
            </w:r>
          </w:p>
          <w:p w14:paraId="4657A48C">
            <w:pPr>
              <w:keepNext w:val="0"/>
              <w:keepLines w:val="0"/>
              <w:suppressLineNumbers w:val="0"/>
              <w:autoSpaceDE w:val="0"/>
              <w:autoSpaceDN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（1）投标截止时间止，投标人少于 3 个的；</w:t>
            </w:r>
          </w:p>
          <w:p w14:paraId="6CAC61CC">
            <w:pPr>
              <w:keepNext w:val="0"/>
              <w:keepLines w:val="0"/>
              <w:suppressLineNumbers w:val="0"/>
              <w:autoSpaceDE w:val="0"/>
              <w:autoSpaceDN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（2）经评标委员会评审后否决所有投标的；</w:t>
            </w:r>
          </w:p>
          <w:p w14:paraId="29129F60">
            <w:pPr>
              <w:keepNext w:val="0"/>
              <w:keepLines w:val="0"/>
              <w:suppressLineNumbers w:val="0"/>
              <w:autoSpaceDE w:val="0"/>
              <w:autoSpaceDN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（3）经评标委员会评审后部分投标被否决，导致有效投标人不足</w:t>
            </w:r>
            <w:r>
              <w:rPr>
                <w:rFonts w:hint="eastAsia" w:ascii="宋体" w:hAnsi="宋体" w:cs="宋体"/>
                <w:snapToGrid w:val="0"/>
                <w:color w:val="auto"/>
                <w:kern w:val="0"/>
                <w:szCs w:val="21"/>
                <w:highlight w:val="none"/>
                <w:lang w:val="en-US" w:eastAsia="zh-CN"/>
              </w:rPr>
              <w:t>二</w:t>
            </w:r>
            <w:r>
              <w:rPr>
                <w:rFonts w:hint="eastAsia" w:ascii="宋体" w:hAnsi="宋体" w:eastAsia="宋体" w:cs="宋体"/>
                <w:snapToGrid w:val="0"/>
                <w:color w:val="auto"/>
                <w:kern w:val="0"/>
                <w:szCs w:val="21"/>
                <w:highlight w:val="none"/>
              </w:rPr>
              <w:t>个的，评标委员会应当否决所有投标。但是有效投标人的经济、技术等指标仍然具有市场竞争力，能够满足招标文件要求的，评标委员会可以继续评标并确定中标候选人；</w:t>
            </w:r>
          </w:p>
          <w:p w14:paraId="3AB926D8">
            <w:pPr>
              <w:keepNext w:val="0"/>
              <w:keepLines w:val="0"/>
              <w:suppressLineNumbers w:val="0"/>
              <w:autoSpaceDE w:val="0"/>
              <w:autoSpaceDN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（4）法律法规规定的其他情形。</w:t>
            </w:r>
          </w:p>
          <w:p w14:paraId="648E62CB">
            <w:pPr>
              <w:keepNext w:val="0"/>
              <w:keepLines w:val="0"/>
              <w:suppressLineNumbers w:val="0"/>
              <w:autoSpaceDE w:val="0"/>
              <w:autoSpaceDN w:val="0"/>
              <w:adjustRightInd w:val="0"/>
              <w:snapToGrid w:val="0"/>
              <w:spacing w:before="0" w:beforeAutospacing="0" w:after="0" w:afterLines="0" w:afterAutospacing="0" w:line="400" w:lineRule="exact"/>
              <w:ind w:left="0" w:leftChars="0" w:right="0" w:rightChars="0"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注：本款只适用于首次招标。</w:t>
            </w:r>
          </w:p>
        </w:tc>
      </w:tr>
      <w:tr w14:paraId="0B1847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24337A10">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lang w:val="en-US" w:eastAsia="zh-CN"/>
              </w:rPr>
              <w:t>5</w:t>
            </w:r>
          </w:p>
        </w:tc>
        <w:tc>
          <w:tcPr>
            <w:tcW w:w="851" w:type="pct"/>
            <w:vAlign w:val="center"/>
          </w:tcPr>
          <w:p w14:paraId="503DC5DA">
            <w:pPr>
              <w:keepNext w:val="0"/>
              <w:keepLines w:val="0"/>
              <w:suppressLineNumbers w:val="0"/>
              <w:adjustRightInd w:val="0"/>
              <w:snapToGrid w:val="0"/>
              <w:spacing w:before="0" w:beforeAutospacing="0" w:after="0" w:afterLines="0" w:afterAutospacing="0" w:line="400" w:lineRule="exact"/>
              <w:ind w:left="0" w:leftChars="0" w:right="0" w:rightChars="0"/>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重新</w:t>
            </w:r>
            <w:r>
              <w:rPr>
                <w:rFonts w:hint="eastAsia" w:ascii="宋体" w:hAnsi="宋体" w:eastAsia="宋体" w:cs="宋体"/>
                <w:color w:val="auto"/>
                <w:kern w:val="0"/>
                <w:szCs w:val="21"/>
                <w:highlight w:val="none"/>
              </w:rPr>
              <w:t>招标和不再招标</w:t>
            </w:r>
          </w:p>
        </w:tc>
        <w:tc>
          <w:tcPr>
            <w:tcW w:w="3445" w:type="pct"/>
            <w:vAlign w:val="center"/>
          </w:tcPr>
          <w:p w14:paraId="4F3A6F53">
            <w:pPr>
              <w:keepNext w:val="0"/>
              <w:keepLines w:val="0"/>
              <w:suppressLineNumbers w:val="0"/>
              <w:autoSpaceDE w:val="0"/>
              <w:autoSpaceDN w:val="0"/>
              <w:adjustRightInd w:val="0"/>
              <w:snapToGrid w:val="0"/>
              <w:spacing w:before="0" w:beforeAutospacing="0" w:after="0" w:afterLines="0" w:afterAutospacing="0" w:line="400" w:lineRule="exact"/>
              <w:ind w:left="0" w:leftChars="0" w:right="0" w:rightChars="0"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p>
        </w:tc>
      </w:tr>
      <w:tr w14:paraId="644442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6E446658">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kern w:val="0"/>
                <w:szCs w:val="21"/>
                <w:highlight w:val="none"/>
                <w:lang w:val="en-US" w:eastAsia="zh-CN"/>
              </w:rPr>
            </w:pPr>
            <w:r>
              <w:rPr>
                <w:rFonts w:hint="eastAsia" w:ascii="宋体" w:hAnsi="宋体" w:eastAsia="宋体" w:cs="宋体"/>
                <w:color w:val="auto"/>
                <w:kern w:val="0"/>
                <w:szCs w:val="21"/>
                <w:highlight w:val="none"/>
                <w:lang w:val="en-US" w:eastAsia="zh-CN"/>
              </w:rPr>
              <w:t>10.6</w:t>
            </w:r>
          </w:p>
        </w:tc>
        <w:tc>
          <w:tcPr>
            <w:tcW w:w="851" w:type="pct"/>
            <w:vAlign w:val="center"/>
          </w:tcPr>
          <w:p w14:paraId="69584833">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lang w:val="en-US" w:eastAsia="zh-CN"/>
              </w:rPr>
            </w:pPr>
            <w:r>
              <w:rPr>
                <w:rFonts w:hint="eastAsia" w:ascii="宋体" w:hAnsi="宋体" w:eastAsia="宋体" w:cs="宋体"/>
                <w:kern w:val="0"/>
                <w:szCs w:val="21"/>
                <w:highlight w:val="none"/>
                <w:lang w:val="en-US" w:eastAsia="zh-CN"/>
              </w:rPr>
              <w:t>不允许负数报价</w:t>
            </w:r>
          </w:p>
        </w:tc>
        <w:tc>
          <w:tcPr>
            <w:tcW w:w="3445" w:type="pct"/>
            <w:vAlign w:val="center"/>
          </w:tcPr>
          <w:p w14:paraId="4B7D0CDD">
            <w:pPr>
              <w:keepNext w:val="0"/>
              <w:keepLines w:val="0"/>
              <w:suppressLineNumbers w:val="0"/>
              <w:autoSpaceDE w:val="0"/>
              <w:autoSpaceDN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kern w:val="0"/>
                <w:szCs w:val="21"/>
                <w:highlight w:val="none"/>
                <w:u w:val="single"/>
              </w:rPr>
            </w:pPr>
            <w:r>
              <w:rPr>
                <w:rFonts w:hint="eastAsia" w:ascii="宋体" w:hAnsi="宋体" w:eastAsia="宋体" w:cs="宋体"/>
                <w:kern w:val="0"/>
                <w:szCs w:val="21"/>
                <w:highlight w:val="none"/>
                <w:u w:val="single"/>
              </w:rPr>
              <w:t>投标人的</w:t>
            </w:r>
            <w:r>
              <w:rPr>
                <w:rFonts w:hint="eastAsia" w:ascii="宋体" w:hAnsi="宋体" w:eastAsia="宋体" w:cs="宋体"/>
                <w:kern w:val="0"/>
                <w:szCs w:val="21"/>
                <w:highlight w:val="none"/>
                <w:u w:val="single"/>
                <w:lang w:val="en-US" w:eastAsia="zh-CN"/>
              </w:rPr>
              <w:t>各项</w:t>
            </w:r>
            <w:r>
              <w:rPr>
                <w:rFonts w:hint="eastAsia" w:ascii="宋体" w:hAnsi="宋体" w:eastAsia="宋体" w:cs="宋体"/>
                <w:kern w:val="0"/>
                <w:szCs w:val="21"/>
                <w:highlight w:val="none"/>
                <w:u w:val="single"/>
              </w:rPr>
              <w:t>报价不得</w:t>
            </w:r>
            <w:r>
              <w:rPr>
                <w:rFonts w:hint="eastAsia" w:ascii="宋体" w:hAnsi="宋体" w:eastAsia="宋体" w:cs="宋体"/>
                <w:kern w:val="0"/>
                <w:szCs w:val="21"/>
                <w:highlight w:val="none"/>
                <w:u w:val="single"/>
                <w:lang w:val="en-US" w:eastAsia="zh-CN"/>
              </w:rPr>
              <w:t>为负数</w:t>
            </w:r>
            <w:r>
              <w:rPr>
                <w:rFonts w:hint="eastAsia" w:ascii="宋体" w:hAnsi="宋体" w:eastAsia="宋体" w:cs="宋体"/>
                <w:kern w:val="0"/>
                <w:szCs w:val="21"/>
                <w:highlight w:val="none"/>
                <w:u w:val="single"/>
              </w:rPr>
              <w:t>。招标人在发出中标通知书前将对中标人</w:t>
            </w:r>
            <w:r>
              <w:rPr>
                <w:rFonts w:hint="eastAsia" w:ascii="宋体" w:hAnsi="宋体" w:eastAsia="宋体" w:cs="宋体"/>
                <w:kern w:val="0"/>
                <w:szCs w:val="21"/>
                <w:highlight w:val="none"/>
                <w:u w:val="single"/>
                <w:lang w:val="en-US" w:eastAsia="zh-CN"/>
              </w:rPr>
              <w:t>的各项报价</w:t>
            </w:r>
            <w:r>
              <w:rPr>
                <w:rFonts w:hint="eastAsia" w:ascii="宋体" w:hAnsi="宋体" w:eastAsia="宋体" w:cs="宋体"/>
                <w:kern w:val="0"/>
                <w:szCs w:val="21"/>
                <w:highlight w:val="none"/>
                <w:u w:val="single"/>
              </w:rPr>
              <w:t>进行复核，若发现中标人</w:t>
            </w:r>
            <w:r>
              <w:rPr>
                <w:rFonts w:hint="eastAsia" w:ascii="宋体" w:hAnsi="宋体" w:eastAsia="宋体" w:cs="宋体"/>
                <w:kern w:val="0"/>
                <w:szCs w:val="21"/>
                <w:highlight w:val="none"/>
                <w:u w:val="single"/>
                <w:lang w:val="en-US" w:eastAsia="zh-CN"/>
              </w:rPr>
              <w:t>各项报价</w:t>
            </w:r>
            <w:r>
              <w:rPr>
                <w:rFonts w:hint="eastAsia" w:ascii="宋体" w:hAnsi="宋体" w:eastAsia="宋体" w:cs="宋体"/>
                <w:kern w:val="0"/>
                <w:szCs w:val="21"/>
                <w:highlight w:val="none"/>
                <w:u w:val="single"/>
              </w:rPr>
              <w:t>中存在</w:t>
            </w:r>
            <w:r>
              <w:rPr>
                <w:rFonts w:hint="eastAsia" w:ascii="宋体" w:hAnsi="宋体" w:eastAsia="宋体" w:cs="宋体"/>
                <w:kern w:val="0"/>
                <w:szCs w:val="21"/>
                <w:highlight w:val="none"/>
                <w:u w:val="single"/>
                <w:lang w:val="en-US" w:eastAsia="zh-CN"/>
              </w:rPr>
              <w:t>负数报价</w:t>
            </w:r>
            <w:r>
              <w:rPr>
                <w:rFonts w:hint="eastAsia" w:ascii="宋体" w:hAnsi="宋体" w:eastAsia="宋体" w:cs="宋体"/>
                <w:kern w:val="0"/>
                <w:szCs w:val="21"/>
                <w:highlight w:val="none"/>
                <w:u w:val="single"/>
              </w:rPr>
              <w:t>的情形，招标人按相关规定取消其中标资格，其投标保证金不予退还，中标人承担因此造成的相关责任并赔偿相应损失。</w:t>
            </w:r>
          </w:p>
        </w:tc>
      </w:tr>
      <w:tr w14:paraId="3A4D75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14:paraId="5F3BC55E">
            <w:pPr>
              <w:keepNext w:val="0"/>
              <w:keepLines w:val="0"/>
              <w:suppressLineNumbers w:val="0"/>
              <w:adjustRightInd w:val="0"/>
              <w:snapToGrid w:val="0"/>
              <w:spacing w:before="0" w:beforeAutospacing="0" w:after="0" w:afterLines="0" w:afterAutospacing="0" w:line="400" w:lineRule="exact"/>
              <w:ind w:left="0" w:right="0"/>
              <w:jc w:val="center"/>
              <w:rPr>
                <w:rFonts w:hint="default" w:ascii="宋体" w:hAnsi="宋体" w:eastAsia="宋体" w:cs="宋体"/>
                <w:color w:val="auto"/>
                <w:kern w:val="0"/>
                <w:szCs w:val="21"/>
                <w:highlight w:val="none"/>
                <w:lang w:val="en-US" w:eastAsia="zh-CN"/>
              </w:rPr>
            </w:pPr>
            <w:bookmarkStart w:id="94" w:name="_Toc277082552"/>
            <w:bookmarkStart w:id="95" w:name="_Toc224103317"/>
            <w:bookmarkStart w:id="96" w:name="_Toc287620685"/>
            <w:bookmarkStart w:id="97" w:name="_Toc287607746"/>
            <w:bookmarkStart w:id="98" w:name="_Toc430530435"/>
            <w:bookmarkStart w:id="99" w:name="_Toc200513126"/>
            <w:r>
              <w:rPr>
                <w:rFonts w:hint="eastAsia" w:ascii="宋体" w:hAnsi="宋体" w:cs="宋体"/>
                <w:color w:val="auto"/>
                <w:kern w:val="0"/>
                <w:szCs w:val="21"/>
                <w:highlight w:val="none"/>
                <w:lang w:val="en-US" w:eastAsia="zh-CN"/>
              </w:rPr>
              <w:t>10.7</w:t>
            </w:r>
          </w:p>
        </w:tc>
        <w:tc>
          <w:tcPr>
            <w:tcW w:w="851" w:type="pct"/>
            <w:vAlign w:val="center"/>
          </w:tcPr>
          <w:p w14:paraId="1ABC1FF7">
            <w:pPr>
              <w:keepNext w:val="0"/>
              <w:keepLines w:val="0"/>
              <w:suppressLineNumbers w:val="0"/>
              <w:adjustRightInd w:val="0"/>
              <w:snapToGrid w:val="0"/>
              <w:spacing w:before="0" w:beforeAutospacing="0" w:after="0" w:afterLines="0" w:afterAutospacing="0" w:line="400" w:lineRule="exact"/>
              <w:ind w:left="0" w:right="0"/>
              <w:jc w:val="center"/>
              <w:rPr>
                <w:rFonts w:hint="default"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投标要求</w:t>
            </w:r>
          </w:p>
        </w:tc>
        <w:tc>
          <w:tcPr>
            <w:tcW w:w="3445" w:type="pct"/>
            <w:vAlign w:val="center"/>
          </w:tcPr>
          <w:p w14:paraId="08A0AE99">
            <w:pPr>
              <w:keepNext w:val="0"/>
              <w:keepLines w:val="0"/>
              <w:suppressLineNumbers w:val="0"/>
              <w:autoSpaceDE w:val="0"/>
              <w:autoSpaceDN w:val="0"/>
              <w:adjustRightInd w:val="0"/>
              <w:snapToGrid w:val="0"/>
              <w:spacing w:before="0" w:beforeAutospacing="0" w:after="0" w:afterLines="0" w:afterAutospacing="0" w:line="400" w:lineRule="exact"/>
              <w:ind w:left="0" w:right="0" w:firstLine="420" w:firstLineChars="200"/>
              <w:rPr>
                <w:rFonts w:hint="eastAsia" w:ascii="宋体" w:hAnsi="宋体" w:cs="宋体"/>
                <w:kern w:val="0"/>
                <w:szCs w:val="21"/>
                <w:highlight w:val="none"/>
                <w:u w:val="single"/>
              </w:rPr>
            </w:pPr>
            <w:r>
              <w:rPr>
                <w:rFonts w:hint="eastAsia" w:ascii="宋体" w:hAnsi="宋体" w:cs="宋体"/>
                <w:kern w:val="0"/>
                <w:szCs w:val="21"/>
                <w:highlight w:val="none"/>
                <w:u w:val="single"/>
              </w:rPr>
              <w:t>投标人必须同时参加本项目</w:t>
            </w:r>
            <w:r>
              <w:rPr>
                <w:rFonts w:hint="eastAsia" w:ascii="宋体" w:hAnsi="宋体" w:cs="宋体"/>
                <w:kern w:val="0"/>
                <w:szCs w:val="21"/>
                <w:highlight w:val="none"/>
                <w:u w:val="single"/>
                <w:lang w:eastAsia="zh-CN"/>
              </w:rPr>
              <w:t>两</w:t>
            </w:r>
            <w:r>
              <w:rPr>
                <w:rFonts w:hint="eastAsia" w:ascii="宋体" w:hAnsi="宋体" w:cs="宋体"/>
                <w:kern w:val="0"/>
                <w:szCs w:val="21"/>
                <w:highlight w:val="none"/>
                <w:u w:val="single"/>
              </w:rPr>
              <w:t>个标段的投标（否则作废标处理），但只能成为其中一个标段的中标人；</w:t>
            </w:r>
          </w:p>
          <w:p w14:paraId="341245C8">
            <w:pPr>
              <w:keepNext w:val="0"/>
              <w:keepLines w:val="0"/>
              <w:suppressLineNumbers w:val="0"/>
              <w:autoSpaceDE w:val="0"/>
              <w:autoSpaceDN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kern w:val="0"/>
                <w:szCs w:val="21"/>
                <w:highlight w:val="none"/>
                <w:u w:val="single"/>
              </w:rPr>
            </w:pPr>
            <w:r>
              <w:rPr>
                <w:rFonts w:hint="eastAsia" w:ascii="宋体" w:hAnsi="宋体" w:cs="宋体"/>
                <w:kern w:val="0"/>
                <w:szCs w:val="21"/>
                <w:highlight w:val="none"/>
                <w:u w:val="single"/>
              </w:rPr>
              <w:t>当投标人同时成为两个及以上标段的第一中标候选人时，则投标人只能成为投标总价最高的一个标段的中标人，自愿放弃其他标段的中标资格，剩余标段由招标人按照评标委员会提出的中标候选人名单排序依次确定其他中标候选人为中标人。投标人参与投标的，视为同意本条款。</w:t>
            </w:r>
          </w:p>
        </w:tc>
      </w:tr>
    </w:tbl>
    <w:p w14:paraId="3661A4CF">
      <w:pPr>
        <w:spacing w:line="360" w:lineRule="auto"/>
        <w:jc w:val="left"/>
        <w:rPr>
          <w:rFonts w:hint="eastAsia" w:ascii="宋体" w:hAnsi="宋体" w:eastAsia="宋体" w:cs="宋体"/>
          <w:color w:val="auto"/>
          <w:szCs w:val="21"/>
          <w:highlight w:val="none"/>
        </w:rPr>
      </w:pPr>
      <w:r>
        <w:rPr>
          <w:rFonts w:hint="eastAsia" w:ascii="宋体" w:hAnsi="宋体" w:eastAsia="宋体" w:cs="宋体"/>
          <w:b/>
          <w:bCs/>
          <w:color w:val="auto"/>
          <w:sz w:val="28"/>
          <w:szCs w:val="28"/>
          <w:highlight w:val="none"/>
        </w:rPr>
        <w:t xml:space="preserve"> </w:t>
      </w:r>
      <w:bookmarkEnd w:id="94"/>
      <w:bookmarkEnd w:id="95"/>
      <w:bookmarkEnd w:id="96"/>
      <w:bookmarkEnd w:id="97"/>
      <w:bookmarkEnd w:id="98"/>
      <w:bookmarkEnd w:id="99"/>
      <w:r>
        <w:rPr>
          <w:rFonts w:hint="eastAsia" w:ascii="宋体" w:hAnsi="宋体" w:eastAsia="宋体" w:cs="宋体"/>
          <w:b/>
          <w:color w:val="auto"/>
          <w:szCs w:val="21"/>
          <w:highlight w:val="none"/>
        </w:rPr>
        <w:br w:type="page"/>
      </w:r>
      <w:r>
        <w:rPr>
          <w:rFonts w:hint="eastAsia" w:ascii="宋体" w:hAnsi="宋体" w:eastAsia="宋体" w:cs="宋体"/>
          <w:b/>
          <w:color w:val="auto"/>
          <w:szCs w:val="21"/>
          <w:highlight w:val="none"/>
        </w:rPr>
        <w:t>以下部分为投标人须知正文。</w:t>
      </w:r>
    </w:p>
    <w:p w14:paraId="1CF84A4E">
      <w:pPr>
        <w:pStyle w:val="4"/>
        <w:spacing w:before="0" w:after="0" w:line="360" w:lineRule="auto"/>
        <w:rPr>
          <w:rFonts w:hint="eastAsia" w:ascii="宋体" w:hAnsi="宋体" w:eastAsia="宋体" w:cs="宋体"/>
          <w:color w:val="auto"/>
          <w:sz w:val="28"/>
          <w:szCs w:val="28"/>
          <w:highlight w:val="none"/>
        </w:rPr>
      </w:pPr>
      <w:bookmarkStart w:id="100" w:name="_Toc14038"/>
      <w:r>
        <w:rPr>
          <w:rFonts w:hint="eastAsia" w:ascii="宋体" w:hAnsi="宋体" w:eastAsia="宋体" w:cs="宋体"/>
          <w:color w:val="auto"/>
          <w:sz w:val="28"/>
          <w:szCs w:val="28"/>
          <w:highlight w:val="none"/>
        </w:rPr>
        <w:t>1. 总则</w:t>
      </w:r>
      <w:bookmarkEnd w:id="100"/>
    </w:p>
    <w:p w14:paraId="56D8AA2C">
      <w:pPr>
        <w:pStyle w:val="5"/>
        <w:spacing w:before="0" w:after="0" w:line="360" w:lineRule="auto"/>
        <w:rPr>
          <w:rFonts w:hint="eastAsia" w:ascii="宋体" w:hAnsi="宋体" w:eastAsia="宋体" w:cs="宋体"/>
          <w:color w:val="auto"/>
          <w:sz w:val="21"/>
          <w:szCs w:val="21"/>
          <w:highlight w:val="none"/>
        </w:rPr>
      </w:pPr>
      <w:bookmarkStart w:id="101" w:name="_Toc23752"/>
      <w:r>
        <w:rPr>
          <w:rFonts w:hint="eastAsia" w:ascii="宋体" w:hAnsi="宋体" w:eastAsia="宋体" w:cs="宋体"/>
          <w:color w:val="auto"/>
          <w:sz w:val="21"/>
          <w:szCs w:val="21"/>
          <w:highlight w:val="none"/>
        </w:rPr>
        <w:t>1.1 项目概况</w:t>
      </w:r>
      <w:bookmarkEnd w:id="101"/>
    </w:p>
    <w:p w14:paraId="6843015E">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1.1.1 </w:t>
      </w:r>
      <w:r>
        <w:rPr>
          <w:rFonts w:hint="eastAsia" w:ascii="宋体" w:hAnsi="宋体" w:eastAsia="宋体" w:cs="宋体"/>
          <w:color w:val="auto"/>
          <w:spacing w:val="-1"/>
          <w:sz w:val="21"/>
          <w:szCs w:val="21"/>
          <w:highlight w:val="none"/>
          <w:lang w:eastAsia="zh-CN"/>
        </w:rPr>
        <w:t>根据《中华人民</w:t>
      </w:r>
      <w:r>
        <w:rPr>
          <w:rFonts w:hint="eastAsia" w:ascii="宋体" w:hAnsi="宋体" w:eastAsia="宋体" w:cs="宋体"/>
          <w:color w:val="auto"/>
          <w:sz w:val="21"/>
          <w:szCs w:val="21"/>
          <w:highlight w:val="none"/>
          <w:lang w:eastAsia="zh-CN"/>
        </w:rPr>
        <w:t>共和国招标投标法》《中华人民共和国招标投标法实施条例》《公路工程建设项目招标投标管理办法》等有关法律、法规和规章的规定，本招标项目已具备的招标条件见投标人须知前附表，现对本标段施工进行招标。</w:t>
      </w:r>
    </w:p>
    <w:p w14:paraId="55ABEF03">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 本招标项目招标人：见投标人须知前附表。</w:t>
      </w:r>
    </w:p>
    <w:p w14:paraId="558F7488">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1.1.3 本</w:t>
      </w:r>
      <w:r>
        <w:rPr>
          <w:rFonts w:hint="eastAsia" w:ascii="宋体" w:hAnsi="宋体" w:eastAsia="宋体" w:cs="宋体"/>
          <w:color w:val="auto"/>
          <w:sz w:val="21"/>
          <w:szCs w:val="21"/>
          <w:highlight w:val="none"/>
          <w:lang w:val="en-US" w:eastAsia="zh-CN"/>
        </w:rPr>
        <w:t>招标项目</w:t>
      </w:r>
      <w:r>
        <w:rPr>
          <w:rFonts w:hint="eastAsia" w:ascii="宋体" w:hAnsi="宋体" w:eastAsia="宋体" w:cs="宋体"/>
          <w:color w:val="auto"/>
          <w:sz w:val="21"/>
          <w:szCs w:val="21"/>
          <w:highlight w:val="none"/>
          <w:lang w:eastAsia="zh-CN"/>
        </w:rPr>
        <w:t>招标代理机构：见投标人须知前附表。</w:t>
      </w:r>
    </w:p>
    <w:p w14:paraId="15C9DD09">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1.1.4 本招标项目名称：见投标人须知前附表。</w:t>
      </w:r>
    </w:p>
    <w:p w14:paraId="328B5174">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1.1.5 本</w:t>
      </w:r>
      <w:r>
        <w:rPr>
          <w:rFonts w:hint="eastAsia" w:ascii="宋体" w:hAnsi="宋体" w:eastAsia="宋体" w:cs="宋体"/>
          <w:color w:val="auto"/>
          <w:sz w:val="21"/>
          <w:szCs w:val="21"/>
          <w:highlight w:val="none"/>
          <w:lang w:val="en-US" w:eastAsia="zh-CN"/>
        </w:rPr>
        <w:t>招标项目</w:t>
      </w:r>
      <w:r>
        <w:rPr>
          <w:rFonts w:hint="eastAsia" w:ascii="宋体" w:hAnsi="宋体" w:eastAsia="宋体" w:cs="宋体"/>
          <w:color w:val="auto"/>
          <w:sz w:val="21"/>
          <w:szCs w:val="21"/>
          <w:highlight w:val="none"/>
          <w:lang w:eastAsia="zh-CN"/>
        </w:rPr>
        <w:t>建设地点：见投标人须知前附表。</w:t>
      </w:r>
    </w:p>
    <w:p w14:paraId="1471FEF3">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1.1.6 本</w:t>
      </w:r>
      <w:r>
        <w:rPr>
          <w:rFonts w:hint="eastAsia" w:ascii="宋体" w:hAnsi="宋体" w:eastAsia="宋体" w:cs="宋体"/>
          <w:color w:val="auto"/>
          <w:sz w:val="21"/>
          <w:szCs w:val="21"/>
          <w:highlight w:val="none"/>
          <w:lang w:val="en-US" w:eastAsia="zh-CN"/>
        </w:rPr>
        <w:t>招标</w:t>
      </w:r>
      <w:r>
        <w:rPr>
          <w:rFonts w:hint="eastAsia" w:ascii="宋体" w:hAnsi="宋体" w:eastAsia="宋体" w:cs="宋体"/>
          <w:color w:val="auto"/>
          <w:sz w:val="21"/>
          <w:szCs w:val="21"/>
          <w:highlight w:val="none"/>
          <w:lang w:eastAsia="zh-CN"/>
        </w:rPr>
        <w:t>项目相关单位：见投标人须知前附表。</w:t>
      </w:r>
    </w:p>
    <w:p w14:paraId="1275B177">
      <w:pPr>
        <w:pStyle w:val="5"/>
        <w:spacing w:before="0" w:after="0" w:line="360" w:lineRule="auto"/>
        <w:rPr>
          <w:rFonts w:hint="eastAsia" w:ascii="宋体" w:hAnsi="宋体" w:eastAsia="宋体" w:cs="宋体"/>
          <w:color w:val="auto"/>
          <w:sz w:val="21"/>
          <w:szCs w:val="21"/>
          <w:highlight w:val="none"/>
        </w:rPr>
      </w:pPr>
      <w:bookmarkStart w:id="102" w:name="_Toc29"/>
      <w:r>
        <w:rPr>
          <w:rFonts w:hint="eastAsia" w:ascii="宋体" w:hAnsi="宋体" w:eastAsia="宋体" w:cs="宋体"/>
          <w:color w:val="auto"/>
          <w:sz w:val="21"/>
          <w:szCs w:val="21"/>
          <w:highlight w:val="none"/>
        </w:rPr>
        <w:t>1.2 招标项目的资金来源和落实情况</w:t>
      </w:r>
      <w:bookmarkEnd w:id="102"/>
    </w:p>
    <w:p w14:paraId="4C1BA38C">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1.2.1 资金来源及比例：见投标人须知前附表。</w:t>
      </w:r>
    </w:p>
    <w:p w14:paraId="37DBFA2E">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1.2.2 资金落实情况：见投标人须知前附表。</w:t>
      </w:r>
    </w:p>
    <w:p w14:paraId="780A7180">
      <w:pPr>
        <w:pStyle w:val="5"/>
        <w:spacing w:before="0" w:after="0" w:line="360" w:lineRule="auto"/>
        <w:rPr>
          <w:rFonts w:hint="eastAsia" w:ascii="宋体" w:hAnsi="宋体" w:eastAsia="宋体" w:cs="宋体"/>
          <w:color w:val="auto"/>
          <w:sz w:val="21"/>
          <w:szCs w:val="21"/>
          <w:highlight w:val="none"/>
        </w:rPr>
      </w:pPr>
      <w:bookmarkStart w:id="103" w:name="_Toc5007"/>
      <w:r>
        <w:rPr>
          <w:rFonts w:hint="eastAsia" w:ascii="宋体" w:hAnsi="宋体" w:eastAsia="宋体" w:cs="宋体"/>
          <w:color w:val="auto"/>
          <w:sz w:val="21"/>
          <w:szCs w:val="21"/>
          <w:highlight w:val="none"/>
        </w:rPr>
        <w:t>1.3 招标范围、计划工期、质量要求和安全目标</w:t>
      </w:r>
      <w:bookmarkEnd w:id="103"/>
    </w:p>
    <w:p w14:paraId="5D87923F">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1.3.1 招标范围：见投标人须知前附表。</w:t>
      </w:r>
    </w:p>
    <w:p w14:paraId="6395B5A7">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1.3.2</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计划工期：见投标人须知前附表。</w:t>
      </w:r>
    </w:p>
    <w:p w14:paraId="624DB5E7">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1.3.3 质量要求：</w:t>
      </w:r>
      <w:r>
        <w:rPr>
          <w:rFonts w:hint="eastAsia" w:ascii="宋体" w:hAnsi="宋体" w:eastAsia="宋体" w:cs="宋体"/>
          <w:color w:val="auto"/>
          <w:sz w:val="21"/>
          <w:szCs w:val="21"/>
          <w:highlight w:val="none"/>
          <w:lang w:eastAsia="zh-CN"/>
        </w:rPr>
        <w:t>见投标人须知前附表。</w:t>
      </w:r>
    </w:p>
    <w:p w14:paraId="122D3341">
      <w:pPr>
        <w:pStyle w:val="71"/>
        <w:spacing w:before="0" w:after="0" w:line="360" w:lineRule="auto"/>
        <w:ind w:firstLine="420" w:firstLineChars="20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1.3.4 安全目标：</w:t>
      </w:r>
      <w:r>
        <w:rPr>
          <w:rFonts w:hint="eastAsia" w:ascii="宋体" w:hAnsi="宋体" w:eastAsia="宋体" w:cs="宋体"/>
          <w:color w:val="auto"/>
          <w:sz w:val="21"/>
          <w:szCs w:val="21"/>
          <w:highlight w:val="none"/>
          <w:lang w:eastAsia="zh-CN"/>
        </w:rPr>
        <w:t>见投标人须知前附表。</w:t>
      </w:r>
    </w:p>
    <w:p w14:paraId="3966005E">
      <w:pPr>
        <w:pStyle w:val="5"/>
        <w:spacing w:before="0" w:after="0" w:line="360" w:lineRule="auto"/>
        <w:rPr>
          <w:rFonts w:hint="eastAsia" w:ascii="宋体" w:hAnsi="宋体" w:eastAsia="宋体" w:cs="宋体"/>
          <w:color w:val="auto"/>
          <w:sz w:val="21"/>
          <w:szCs w:val="21"/>
          <w:highlight w:val="none"/>
        </w:rPr>
      </w:pPr>
      <w:bookmarkStart w:id="104" w:name="_Toc27158"/>
      <w:r>
        <w:rPr>
          <w:rFonts w:hint="eastAsia" w:ascii="宋体" w:hAnsi="宋体" w:eastAsia="宋体" w:cs="宋体"/>
          <w:color w:val="auto"/>
          <w:sz w:val="21"/>
          <w:szCs w:val="21"/>
          <w:highlight w:val="none"/>
        </w:rPr>
        <w:t>1.4 投标人资格要求（适用于已进行资格预审的）</w:t>
      </w:r>
      <w:bookmarkEnd w:id="104"/>
    </w:p>
    <w:p w14:paraId="6D32A64E">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投标人应当是收到招标人发出投标邀请书的单位。</w:t>
      </w:r>
    </w:p>
    <w:p w14:paraId="631A7368">
      <w:pPr>
        <w:pStyle w:val="5"/>
        <w:spacing w:before="0" w:after="0" w:line="360" w:lineRule="auto"/>
        <w:rPr>
          <w:rFonts w:hint="eastAsia" w:ascii="宋体" w:hAnsi="宋体" w:eastAsia="宋体" w:cs="宋体"/>
          <w:color w:val="auto"/>
          <w:sz w:val="21"/>
          <w:szCs w:val="21"/>
          <w:highlight w:val="none"/>
        </w:rPr>
      </w:pPr>
      <w:bookmarkStart w:id="105" w:name="_Toc22615"/>
      <w:r>
        <w:rPr>
          <w:rFonts w:hint="eastAsia" w:ascii="宋体" w:hAnsi="宋体" w:eastAsia="宋体" w:cs="宋体"/>
          <w:color w:val="auto"/>
          <w:sz w:val="21"/>
          <w:szCs w:val="21"/>
          <w:highlight w:val="none"/>
        </w:rPr>
        <w:t>1.4 投标人资格要求（适用于未进行资格预审的）</w:t>
      </w:r>
      <w:bookmarkEnd w:id="105"/>
    </w:p>
    <w:p w14:paraId="487127A6">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1.4.1 投标人应具备承担本项目施工的资质条件、能力和信誉。</w:t>
      </w:r>
    </w:p>
    <w:p w14:paraId="4E34935F">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（1）资质条件、营业执照及安全生产条件：见投标人须知前附表；</w:t>
      </w:r>
    </w:p>
    <w:p w14:paraId="2849849D">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（2）财务要求：见投标人须知前附表；</w:t>
      </w:r>
    </w:p>
    <w:p w14:paraId="75899C07">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（3）业绩要求：见投标人须知前附表；</w:t>
      </w:r>
    </w:p>
    <w:p w14:paraId="52D0BD2F">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w:t>
      </w:r>
      <w:r>
        <w:rPr>
          <w:rFonts w:hint="eastAsia" w:ascii="宋体" w:hAnsi="宋体" w:eastAsia="宋体" w:cs="宋体"/>
          <w:color w:val="auto"/>
          <w:sz w:val="21"/>
          <w:szCs w:val="21"/>
          <w:highlight w:val="none"/>
          <w:lang w:eastAsia="zh-CN" w:bidi="ar"/>
        </w:rPr>
        <w:t>投标截止日投标资格情况要求</w:t>
      </w:r>
      <w:r>
        <w:rPr>
          <w:rFonts w:hint="eastAsia" w:ascii="宋体" w:hAnsi="宋体" w:eastAsia="宋体" w:cs="宋体"/>
          <w:color w:val="auto"/>
          <w:sz w:val="21"/>
          <w:szCs w:val="21"/>
          <w:highlight w:val="none"/>
          <w:lang w:eastAsia="zh-CN"/>
        </w:rPr>
        <w:t>：见投标人须知前附表；</w:t>
      </w:r>
    </w:p>
    <w:p w14:paraId="6A9A3402">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（5）项目经理和项目总工资格：见投标人须知前附表；</w:t>
      </w:r>
    </w:p>
    <w:p w14:paraId="60A5A8B4">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（6）其他管理和技术人员要求：见投标人须知前附表；</w:t>
      </w:r>
    </w:p>
    <w:p w14:paraId="3C000970">
      <w:pPr>
        <w:pStyle w:val="56"/>
        <w:tabs>
          <w:tab w:val="left" w:pos="1647"/>
        </w:tabs>
        <w:spacing w:line="360" w:lineRule="auto"/>
        <w:ind w:left="0" w:firstLineChars="200"/>
        <w:rPr>
          <w:rFonts w:hint="eastAsia" w:ascii="宋体" w:hAnsi="宋体" w:eastAsia="宋体" w:cs="宋体"/>
          <w:color w:val="auto"/>
          <w:sz w:val="21"/>
          <w:szCs w:val="21"/>
          <w:highlight w:val="none"/>
          <w:lang w:val="ru-RU" w:bidi="ar-SA"/>
        </w:rPr>
      </w:pPr>
      <w:r>
        <w:rPr>
          <w:rFonts w:hint="eastAsia" w:ascii="宋体" w:hAnsi="宋体" w:eastAsia="宋体" w:cs="宋体"/>
          <w:color w:val="auto"/>
          <w:sz w:val="21"/>
          <w:szCs w:val="21"/>
          <w:highlight w:val="none"/>
          <w:lang w:val="ru-RU" w:bidi="ar-SA"/>
        </w:rPr>
        <w:t>（7）主要机械设备和试验检测设备要求：见投标人须知前附表；</w:t>
      </w:r>
    </w:p>
    <w:p w14:paraId="205FE8D0">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（8）其他要求：见投标人须知前附表。</w:t>
      </w:r>
    </w:p>
    <w:p w14:paraId="3B2E0501">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1.4.2 投标人须知前附表规定接受联合体投标的，联合体应当符合本</w:t>
      </w:r>
      <w:r>
        <w:rPr>
          <w:rFonts w:hint="eastAsia" w:ascii="宋体" w:hAnsi="宋体" w:eastAsia="宋体" w:cs="宋体"/>
          <w:color w:val="auto"/>
          <w:sz w:val="21"/>
          <w:szCs w:val="21"/>
          <w:highlight w:val="none"/>
          <w:lang w:val="en-US" w:eastAsia="zh-CN"/>
        </w:rPr>
        <w:t>章第</w:t>
      </w:r>
      <w:r>
        <w:rPr>
          <w:rFonts w:hint="eastAsia" w:ascii="宋体" w:hAnsi="宋体" w:eastAsia="宋体" w:cs="宋体"/>
          <w:color w:val="auto"/>
          <w:sz w:val="21"/>
          <w:szCs w:val="21"/>
          <w:highlight w:val="none"/>
          <w:lang w:eastAsia="zh-CN"/>
        </w:rPr>
        <w:t>1.4.1 项和投标人须知前附表的要求外，还应遵守以下规定：</w:t>
      </w:r>
    </w:p>
    <w:p w14:paraId="4A25745B">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（1）联合体各方应按招标文件提供的格式签订联合体协议书，明确联合体牵头人和各方权利义务 ，并承诺就中标项目向招标人承担连带责任；</w:t>
      </w:r>
    </w:p>
    <w:p w14:paraId="72F8E016">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（2）由同一专业的单位组成的联合体，按照资质等级较低的单位确定资质等级；</w:t>
      </w:r>
    </w:p>
    <w:p w14:paraId="3600039C">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（3）联合体各方不得再以自己名义单独或参加其他联合体在同一标段中投标；</w:t>
      </w:r>
    </w:p>
    <w:p w14:paraId="44FBA237">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联合体各方应分别按照本招标文件的要求，填写投标文件中的相应表格，并由联合体牵头人负责对联合体各成员的资料进行统一汇总后一并提交给招标人；联合体牵头人所提交的投标文件应认为已代表了联合体各成员的真实情况；</w:t>
      </w:r>
    </w:p>
    <w:p w14:paraId="0728C697">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（5）尽管委任了联合体牵头人，但联合体各成员在投标、签约与履约合同过程中，仍负有连带的和各自的法律责任。</w:t>
      </w:r>
    </w:p>
    <w:p w14:paraId="1C63337A">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 xml:space="preserve">1.4.3 </w:t>
      </w:r>
      <w:r>
        <w:rPr>
          <w:rFonts w:hint="eastAsia" w:ascii="宋体" w:hAnsi="宋体" w:eastAsia="宋体" w:cs="宋体"/>
          <w:color w:val="auto"/>
          <w:sz w:val="21"/>
          <w:szCs w:val="21"/>
          <w:highlight w:val="none"/>
          <w:lang w:eastAsia="zh-CN"/>
        </w:rPr>
        <w:t>投标人（包括联合体各成员）不得与本标段相关单位存在下列关联关系：</w:t>
      </w:r>
    </w:p>
    <w:p w14:paraId="00F3BD42">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（1）为招标人不具有独立法人资格的附属机构（单位）；</w:t>
      </w:r>
    </w:p>
    <w:p w14:paraId="0BDD0FF8">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（2）与招标人存在利害关系且可能影响招标公正性；</w:t>
      </w:r>
    </w:p>
    <w:p w14:paraId="2AC1B404">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（3）与本标段的其他投标人同为一个单位负责人；</w:t>
      </w:r>
    </w:p>
    <w:p w14:paraId="192979ED">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（4）与本标段的其他投标人存在控股、管理关系；</w:t>
      </w:r>
    </w:p>
    <w:p w14:paraId="6893EFF0">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（5）为本标段前期准备提供设计或咨询服务的法人或其任何附属机构（单位）；</w:t>
      </w:r>
    </w:p>
    <w:p w14:paraId="09AAF427">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（6）为本标段的监理人；</w:t>
      </w:r>
    </w:p>
    <w:p w14:paraId="43A9172D">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（7）为本标段的代建人；</w:t>
      </w:r>
    </w:p>
    <w:p w14:paraId="60C3D9D1">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（8）为本标段的招标代理机构；</w:t>
      </w:r>
    </w:p>
    <w:p w14:paraId="3A2428AC">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lang w:eastAsia="zh-CN"/>
        </w:rPr>
        <w:t>）与本标段的监理人或代建人或招标代理机构同为一个法定代表人；</w:t>
      </w:r>
    </w:p>
    <w:p w14:paraId="05AE25D5">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（10）与本标段的监理人或代建人或招标代理机构存在控股或参股关系；</w:t>
      </w:r>
    </w:p>
    <w:p w14:paraId="02E53E6B">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11</w:t>
      </w:r>
      <w:r>
        <w:rPr>
          <w:rFonts w:hint="eastAsia" w:ascii="宋体" w:hAnsi="宋体" w:eastAsia="宋体" w:cs="宋体"/>
          <w:color w:val="auto"/>
          <w:sz w:val="21"/>
          <w:szCs w:val="21"/>
          <w:highlight w:val="none"/>
          <w:lang w:eastAsia="zh-CN"/>
        </w:rPr>
        <w:t>）法律法规或投标人须知前附表规定的其他情形。</w:t>
      </w:r>
    </w:p>
    <w:p w14:paraId="18AD7B67">
      <w:pPr>
        <w:pStyle w:val="5"/>
        <w:spacing w:before="0" w:after="0" w:line="360" w:lineRule="auto"/>
        <w:rPr>
          <w:rFonts w:hint="eastAsia" w:ascii="宋体" w:hAnsi="宋体" w:eastAsia="宋体" w:cs="宋体"/>
          <w:color w:val="auto"/>
          <w:sz w:val="21"/>
          <w:szCs w:val="21"/>
          <w:highlight w:val="none"/>
        </w:rPr>
      </w:pPr>
      <w:bookmarkStart w:id="106" w:name="_Toc2758"/>
      <w:r>
        <w:rPr>
          <w:rFonts w:hint="eastAsia" w:ascii="宋体" w:hAnsi="宋体" w:eastAsia="宋体" w:cs="宋体"/>
          <w:color w:val="auto"/>
          <w:sz w:val="21"/>
          <w:szCs w:val="21"/>
          <w:highlight w:val="none"/>
        </w:rPr>
        <w:t>1.5 费用承担</w:t>
      </w:r>
      <w:bookmarkEnd w:id="106"/>
    </w:p>
    <w:p w14:paraId="587D8101">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投标人准备和参加投标活动发生的费用自理。</w:t>
      </w:r>
    </w:p>
    <w:p w14:paraId="67F72FE9">
      <w:pPr>
        <w:pStyle w:val="5"/>
        <w:spacing w:before="0" w:after="0" w:line="360" w:lineRule="auto"/>
        <w:rPr>
          <w:rFonts w:hint="eastAsia" w:ascii="宋体" w:hAnsi="宋体" w:eastAsia="宋体" w:cs="宋体"/>
          <w:color w:val="auto"/>
          <w:sz w:val="21"/>
          <w:szCs w:val="21"/>
          <w:highlight w:val="none"/>
        </w:rPr>
      </w:pPr>
      <w:bookmarkStart w:id="107" w:name="_Toc17365"/>
      <w:r>
        <w:rPr>
          <w:rFonts w:hint="eastAsia" w:ascii="宋体" w:hAnsi="宋体" w:eastAsia="宋体" w:cs="宋体"/>
          <w:color w:val="auto"/>
          <w:sz w:val="21"/>
          <w:szCs w:val="21"/>
          <w:highlight w:val="none"/>
        </w:rPr>
        <w:t>1.6 保密</w:t>
      </w:r>
      <w:bookmarkEnd w:id="107"/>
    </w:p>
    <w:p w14:paraId="4B3A2859">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参与招标投标活动的各方应对招标文件和投标文件中的商业和技术等秘密保密，否则应承担相应的法律责任。</w:t>
      </w:r>
    </w:p>
    <w:p w14:paraId="0CCCA1F1">
      <w:pPr>
        <w:pStyle w:val="5"/>
        <w:spacing w:before="0" w:after="0" w:line="360" w:lineRule="auto"/>
        <w:rPr>
          <w:rFonts w:hint="eastAsia" w:ascii="宋体" w:hAnsi="宋体" w:eastAsia="宋体" w:cs="宋体"/>
          <w:color w:val="auto"/>
          <w:sz w:val="21"/>
          <w:szCs w:val="21"/>
          <w:highlight w:val="none"/>
        </w:rPr>
      </w:pPr>
      <w:bookmarkStart w:id="108" w:name="_Toc4034"/>
      <w:r>
        <w:rPr>
          <w:rFonts w:hint="eastAsia" w:ascii="宋体" w:hAnsi="宋体" w:eastAsia="宋体" w:cs="宋体"/>
          <w:color w:val="auto"/>
          <w:sz w:val="21"/>
          <w:szCs w:val="21"/>
          <w:highlight w:val="none"/>
        </w:rPr>
        <w:t>1.7 语言文字</w:t>
      </w:r>
      <w:bookmarkEnd w:id="108"/>
    </w:p>
    <w:p w14:paraId="6289939F">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招标投标文件使用的语言文字为中文。专用术语使用外文的，应附有中文注释。</w:t>
      </w:r>
    </w:p>
    <w:p w14:paraId="2B0AEF4C">
      <w:pPr>
        <w:pStyle w:val="5"/>
        <w:spacing w:before="0" w:after="0" w:line="360" w:lineRule="auto"/>
        <w:rPr>
          <w:rFonts w:hint="eastAsia" w:ascii="宋体" w:hAnsi="宋体" w:eastAsia="宋体" w:cs="宋体"/>
          <w:color w:val="auto"/>
          <w:sz w:val="21"/>
          <w:szCs w:val="21"/>
          <w:highlight w:val="none"/>
        </w:rPr>
      </w:pPr>
      <w:bookmarkStart w:id="109" w:name="_Toc19995"/>
      <w:r>
        <w:rPr>
          <w:rFonts w:hint="eastAsia" w:ascii="宋体" w:hAnsi="宋体" w:eastAsia="宋体" w:cs="宋体"/>
          <w:color w:val="auto"/>
          <w:sz w:val="21"/>
          <w:szCs w:val="21"/>
          <w:highlight w:val="none"/>
        </w:rPr>
        <w:t>1.8 计量单位</w:t>
      </w:r>
      <w:bookmarkEnd w:id="109"/>
    </w:p>
    <w:p w14:paraId="73E021F5">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所有计量均采用中华人民共和国法定计量单位。</w:t>
      </w:r>
    </w:p>
    <w:p w14:paraId="5C3FB304">
      <w:pPr>
        <w:pStyle w:val="5"/>
        <w:spacing w:before="0" w:after="0" w:line="360" w:lineRule="auto"/>
        <w:rPr>
          <w:rFonts w:hint="eastAsia" w:ascii="宋体" w:hAnsi="宋体" w:eastAsia="宋体" w:cs="宋体"/>
          <w:color w:val="auto"/>
          <w:sz w:val="21"/>
          <w:szCs w:val="21"/>
          <w:highlight w:val="none"/>
        </w:rPr>
      </w:pPr>
      <w:bookmarkStart w:id="110" w:name="_Toc22117"/>
      <w:r>
        <w:rPr>
          <w:rFonts w:hint="eastAsia" w:ascii="宋体" w:hAnsi="宋体" w:eastAsia="宋体" w:cs="宋体"/>
          <w:color w:val="auto"/>
          <w:sz w:val="21"/>
          <w:szCs w:val="21"/>
          <w:highlight w:val="none"/>
        </w:rPr>
        <w:t>1.9 踏勘现场</w:t>
      </w:r>
      <w:bookmarkEnd w:id="110"/>
    </w:p>
    <w:p w14:paraId="77ED42AE">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1.9.1投标人须知前附表规定组织踏勘现场的，招标人按投标人须知前附表规定的时间、地点组织投标人踏勘项目现场。</w:t>
      </w:r>
    </w:p>
    <w:p w14:paraId="7608AA5E">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1.9.2投标人踏勘现场发生的费用自理。</w:t>
      </w:r>
    </w:p>
    <w:p w14:paraId="0BB0E1DA">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1.9.3除招标人的原因外，投标人自行负责在踏勘现场中所发生的人员伤亡和财产损失。</w:t>
      </w:r>
    </w:p>
    <w:p w14:paraId="4921F2E8">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1.9.4招标人提供的本合同工程的水文、地质、气象和料场分布、取土场、弃土场位置等参考资料，并不构成合同文件的组成部分，投标人应对自己就上述资料的解释、推论和应用负责，招标人不对投标人据此作出的判断和决策承担任何责任。</w:t>
      </w:r>
    </w:p>
    <w:p w14:paraId="0091789C">
      <w:pPr>
        <w:pStyle w:val="5"/>
        <w:spacing w:before="0" w:after="0" w:line="360" w:lineRule="auto"/>
        <w:rPr>
          <w:rFonts w:hint="eastAsia" w:ascii="宋体" w:hAnsi="宋体" w:eastAsia="宋体" w:cs="宋体"/>
          <w:color w:val="auto"/>
          <w:sz w:val="21"/>
          <w:szCs w:val="21"/>
          <w:highlight w:val="none"/>
        </w:rPr>
      </w:pPr>
      <w:bookmarkStart w:id="111" w:name="_Toc13945"/>
      <w:r>
        <w:rPr>
          <w:rFonts w:hint="eastAsia" w:ascii="宋体" w:hAnsi="宋体" w:eastAsia="宋体" w:cs="宋体"/>
          <w:color w:val="auto"/>
          <w:sz w:val="21"/>
          <w:szCs w:val="21"/>
          <w:highlight w:val="none"/>
        </w:rPr>
        <w:t>1.10 投标预备会</w:t>
      </w:r>
      <w:bookmarkEnd w:id="111"/>
    </w:p>
    <w:p w14:paraId="16BB1450">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1.10.1 投标人须知前附表规定召开投标预备会的，招标人按投标人须知前附表规定的时间和地点召开投标预备会，澄清投标人提出的问题。</w:t>
      </w:r>
    </w:p>
    <w:p w14:paraId="56EA44E8">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1.10.2 投标人应在投标人须知前附表规定的时间前，以书面形式将提出的问题送达招标人，以便招标人在会议期间澄清。</w:t>
      </w:r>
    </w:p>
    <w:p w14:paraId="64229FB5">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1.10.3 投标预备会后，招标人在投标人须知前附表规定的时间内，将对投标人所提问题的澄清，以投标人须知前附表规定的形式通知所有投标人。该澄清内容为招标文件的组成部分。</w:t>
      </w:r>
    </w:p>
    <w:p w14:paraId="4632E317">
      <w:pPr>
        <w:pStyle w:val="5"/>
        <w:spacing w:before="0" w:after="0" w:line="360" w:lineRule="auto"/>
        <w:rPr>
          <w:rFonts w:hint="eastAsia" w:ascii="宋体" w:hAnsi="宋体" w:eastAsia="宋体" w:cs="宋体"/>
          <w:color w:val="auto"/>
          <w:sz w:val="21"/>
          <w:szCs w:val="21"/>
          <w:highlight w:val="none"/>
        </w:rPr>
      </w:pPr>
      <w:bookmarkStart w:id="112" w:name="_Toc8849"/>
      <w:r>
        <w:rPr>
          <w:rFonts w:hint="eastAsia" w:ascii="宋体" w:hAnsi="宋体" w:eastAsia="宋体" w:cs="宋体"/>
          <w:color w:val="auto"/>
          <w:sz w:val="21"/>
          <w:szCs w:val="21"/>
          <w:highlight w:val="none"/>
        </w:rPr>
        <w:t>1.11 分包</w:t>
      </w:r>
      <w:bookmarkEnd w:id="112"/>
    </w:p>
    <w:p w14:paraId="04550C70">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1.11.1 投标人拟在中标后将中标项目的部分非主体、非关键性工作进行分包的，应符合以下规定：</w:t>
      </w:r>
    </w:p>
    <w:p w14:paraId="7861B366">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（1）分包内容要求：允许分包的工程范围仅限于非关键性工程或适合专业化队伍施工的专项工程。招标人允许分包或不允许分包的专项工程（如有）应在投标人须知前附表中载明。</w:t>
      </w:r>
    </w:p>
    <w:p w14:paraId="4F9C26BC">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（2）接受分包的第三人资格要求：分包人的资格能力应与其分包工程的标准和规模相适应，且具备投标人须知前附表中规定的资格条件。</w:t>
      </w:r>
    </w:p>
    <w:p w14:paraId="7CA70F22">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（3）其他要求：投标人如有分包计划，应按第九章“投标文件格式”的要求填写“拟分包项目情况表”，明确拟分包的工程及规模，且投标人中标后的分包应满足合同条款第 4.3 款的相关要求。</w:t>
      </w:r>
    </w:p>
    <w:p w14:paraId="0A0DB064">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1.11.2 中标人不得向他人转让中标项目，接受分包的人不得再次分包。中标人应就分包项目向招标人负责，接受分包的人就分包项目承担连带责任。</w:t>
      </w:r>
    </w:p>
    <w:p w14:paraId="18F325AF">
      <w:pPr>
        <w:pStyle w:val="5"/>
        <w:spacing w:before="0" w:after="0" w:line="360" w:lineRule="auto"/>
        <w:rPr>
          <w:rFonts w:hint="eastAsia" w:ascii="宋体" w:hAnsi="宋体" w:eastAsia="宋体" w:cs="宋体"/>
          <w:color w:val="auto"/>
          <w:sz w:val="21"/>
          <w:szCs w:val="21"/>
          <w:highlight w:val="none"/>
        </w:rPr>
      </w:pPr>
      <w:bookmarkStart w:id="113" w:name="_Toc5053"/>
      <w:r>
        <w:rPr>
          <w:rFonts w:hint="eastAsia" w:ascii="宋体" w:hAnsi="宋体" w:eastAsia="宋体" w:cs="宋体"/>
          <w:color w:val="auto"/>
          <w:sz w:val="21"/>
          <w:szCs w:val="21"/>
          <w:highlight w:val="none"/>
        </w:rPr>
        <w:t>1.12 响应和偏差</w:t>
      </w:r>
      <w:bookmarkEnd w:id="113"/>
    </w:p>
    <w:p w14:paraId="3FF92EAA">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1.12.1 投标文件偏离招标文件某些要求，视为投标文件存在偏差。偏差包括重大偏差和细微偏差。</w:t>
      </w:r>
    </w:p>
    <w:p w14:paraId="088820BE">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1.12.2 投标文件应对招标文件的实质性要求和条件作出满足性或更有利于招标人的响应，否则，视为投标文件存在重大偏差，投标人的投标将被否决。</w:t>
      </w:r>
    </w:p>
    <w:p w14:paraId="48310D86">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投标文件存在第三章“评标办法”中所列任一否决投标情形的，均属于存在重大偏差。</w:t>
      </w:r>
    </w:p>
    <w:p w14:paraId="5D03284E">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1.12.3 投标文件中的下列偏差为细微偏差：</w:t>
      </w:r>
    </w:p>
    <w:p w14:paraId="42DFAA3C">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在按照第三章“评标办法”的规定对投标价进行算术性错误修正及其他错误修正后，最终投标报价未超过最高投标限价（如有）的情况下，出现第三章“评标办法”规定的算术性错误和投标报价的其他错误；</w:t>
      </w:r>
    </w:p>
    <w:p w14:paraId="024E74E3">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1.12.4 评标委员会对投标文件中的细微偏差按如下规定处理：</w:t>
      </w:r>
    </w:p>
    <w:p w14:paraId="48878448">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对于本章第 1.12.3 项所述的细微偏差，按照第三章“评标办法”的规定予以修正并要求投标人进行澄清；</w:t>
      </w:r>
    </w:p>
    <w:p w14:paraId="2E8FCD8C">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1.12.5 投标人应根据招标文件的要求提供施工组织设计等内容以对招标文件作出响应。</w:t>
      </w:r>
    </w:p>
    <w:p w14:paraId="2AD63BCD">
      <w:pPr>
        <w:pStyle w:val="4"/>
        <w:spacing w:before="0" w:after="0" w:line="360" w:lineRule="auto"/>
        <w:rPr>
          <w:rFonts w:hint="eastAsia" w:ascii="宋体" w:hAnsi="宋体" w:eastAsia="宋体" w:cs="宋体"/>
          <w:color w:val="auto"/>
          <w:sz w:val="28"/>
          <w:szCs w:val="28"/>
          <w:highlight w:val="none"/>
        </w:rPr>
      </w:pPr>
      <w:bookmarkStart w:id="114" w:name="_Toc20620"/>
      <w:r>
        <w:rPr>
          <w:rFonts w:hint="eastAsia" w:ascii="宋体" w:hAnsi="宋体" w:eastAsia="宋体" w:cs="宋体"/>
          <w:color w:val="auto"/>
          <w:sz w:val="28"/>
          <w:szCs w:val="28"/>
          <w:highlight w:val="none"/>
        </w:rPr>
        <w:t>2. 招标文件</w:t>
      </w:r>
      <w:bookmarkEnd w:id="114"/>
    </w:p>
    <w:p w14:paraId="7FC27BE9">
      <w:pPr>
        <w:pStyle w:val="5"/>
        <w:spacing w:before="0" w:after="0" w:line="360" w:lineRule="auto"/>
        <w:rPr>
          <w:rFonts w:hint="eastAsia" w:ascii="宋体" w:hAnsi="宋体" w:eastAsia="宋体" w:cs="宋体"/>
          <w:color w:val="auto"/>
          <w:sz w:val="21"/>
          <w:szCs w:val="21"/>
          <w:highlight w:val="none"/>
        </w:rPr>
      </w:pPr>
      <w:bookmarkStart w:id="115" w:name="_Toc5912"/>
      <w:r>
        <w:rPr>
          <w:rFonts w:hint="eastAsia" w:ascii="宋体" w:hAnsi="宋体" w:eastAsia="宋体" w:cs="宋体"/>
          <w:color w:val="auto"/>
          <w:sz w:val="21"/>
          <w:szCs w:val="21"/>
          <w:highlight w:val="none"/>
        </w:rPr>
        <w:t>2.1 招标文件的组成</w:t>
      </w:r>
      <w:bookmarkEnd w:id="115"/>
    </w:p>
    <w:p w14:paraId="1F54EAF1">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本招标文件包括：</w:t>
      </w:r>
    </w:p>
    <w:p w14:paraId="2275347C">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（1）招标公告（或投标邀请书）；</w:t>
      </w:r>
    </w:p>
    <w:p w14:paraId="0A6668FE">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（2）投标人须知；</w:t>
      </w:r>
    </w:p>
    <w:p w14:paraId="5D81607D">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（3）评标办法；</w:t>
      </w:r>
    </w:p>
    <w:p w14:paraId="52B23A77">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（4）合同条款及格式；</w:t>
      </w:r>
    </w:p>
    <w:p w14:paraId="3B7A61DE">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（5）工程量清单；</w:t>
      </w:r>
    </w:p>
    <w:p w14:paraId="5E60B989">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（6）图纸；</w:t>
      </w:r>
    </w:p>
    <w:p w14:paraId="42AF33E9">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（7）技术规范；</w:t>
      </w:r>
    </w:p>
    <w:p w14:paraId="263FC4E7">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（8）工程量清单计量规则；</w:t>
      </w:r>
    </w:p>
    <w:p w14:paraId="518B2C35">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（9）投标文件格式；</w:t>
      </w:r>
    </w:p>
    <w:p w14:paraId="51B494AC">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（10）投标人须知前附表规定的其他资料。</w:t>
      </w:r>
    </w:p>
    <w:p w14:paraId="7B78C3BB">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根据本章第1.10 款、第2.2 款和第2.3 款对招标文件所作的澄清、修改，构成招标文件的组成部分。</w:t>
      </w:r>
    </w:p>
    <w:p w14:paraId="0937B8FD">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当招标文件、招标文件的澄清或修改等在同一内容的表述上不一致时，以最后发出的书面文件为准。当对招标文件的理解有争议的，应当作出不利于招标人的解释，但违背国家利益、社会公共利益的除外。</w:t>
      </w:r>
    </w:p>
    <w:p w14:paraId="1891936F">
      <w:pPr>
        <w:pStyle w:val="5"/>
        <w:spacing w:before="0" w:after="0" w:line="360" w:lineRule="auto"/>
        <w:rPr>
          <w:rFonts w:hint="eastAsia" w:ascii="宋体" w:hAnsi="宋体" w:eastAsia="宋体" w:cs="宋体"/>
          <w:color w:val="auto"/>
          <w:sz w:val="21"/>
          <w:szCs w:val="21"/>
          <w:highlight w:val="none"/>
        </w:rPr>
      </w:pPr>
      <w:bookmarkStart w:id="116" w:name="_Toc699"/>
      <w:r>
        <w:rPr>
          <w:rFonts w:hint="eastAsia" w:ascii="宋体" w:hAnsi="宋体" w:eastAsia="宋体" w:cs="宋体"/>
          <w:color w:val="auto"/>
          <w:sz w:val="21"/>
          <w:szCs w:val="21"/>
          <w:highlight w:val="none"/>
        </w:rPr>
        <w:t>2.2 招标文件的澄清</w:t>
      </w:r>
      <w:bookmarkEnd w:id="116"/>
    </w:p>
    <w:p w14:paraId="0A4B46E3">
      <w:pPr>
        <w:pStyle w:val="71"/>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sz w:val="21"/>
          <w:szCs w:val="21"/>
          <w:highlight w:val="none"/>
          <w:lang w:eastAsia="zh-CN"/>
        </w:rPr>
        <w:t>2.2.1 投标人应仔细阅读和检查招标文件的全部内容。如发现缺页或附件不全，应及时向招标人提出，以便补齐。如有疑问，应在投标人须知前附表规定的时间前</w:t>
      </w:r>
      <w:r>
        <w:rPr>
          <w:rFonts w:hint="eastAsia" w:ascii="宋体" w:hAnsi="宋体" w:eastAsia="宋体" w:cs="宋体"/>
          <w:color w:val="auto"/>
          <w:sz w:val="21"/>
          <w:szCs w:val="21"/>
          <w:highlight w:val="none"/>
          <w:lang w:eastAsia="zh-CN"/>
        </w:rPr>
        <w:t>在相应法定网站提问</w:t>
      </w:r>
      <w:r>
        <w:rPr>
          <w:rFonts w:hint="eastAsia" w:ascii="宋体" w:hAnsi="宋体" w:eastAsia="宋体" w:cs="宋体"/>
          <w:snapToGrid w:val="0"/>
          <w:color w:val="auto"/>
          <w:sz w:val="21"/>
          <w:szCs w:val="21"/>
          <w:highlight w:val="none"/>
          <w:lang w:eastAsia="zh-CN"/>
        </w:rPr>
        <w:t>，要求招标人对招标文件予以澄清。</w:t>
      </w:r>
    </w:p>
    <w:p w14:paraId="035CF57A">
      <w:pPr>
        <w:pStyle w:val="5"/>
        <w:spacing w:before="0" w:after="0" w:line="360" w:lineRule="auto"/>
        <w:rPr>
          <w:rFonts w:hint="eastAsia" w:ascii="宋体" w:hAnsi="宋体" w:eastAsia="宋体" w:cs="宋体"/>
          <w:color w:val="auto"/>
          <w:sz w:val="21"/>
          <w:szCs w:val="21"/>
          <w:highlight w:val="none"/>
        </w:rPr>
      </w:pPr>
      <w:bookmarkStart w:id="117" w:name="_Toc8041"/>
      <w:r>
        <w:rPr>
          <w:rFonts w:hint="eastAsia" w:ascii="宋体" w:hAnsi="宋体" w:eastAsia="宋体" w:cs="宋体"/>
          <w:color w:val="auto"/>
          <w:sz w:val="21"/>
          <w:szCs w:val="21"/>
          <w:highlight w:val="none"/>
        </w:rPr>
        <w:t>2.3 招标文件的修改</w:t>
      </w:r>
      <w:bookmarkEnd w:id="117"/>
    </w:p>
    <w:p w14:paraId="544F1A95">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按照本章第2.2款招标文件的澄清相关内容及方式执行。</w:t>
      </w:r>
    </w:p>
    <w:p w14:paraId="2CC06DBE">
      <w:pPr>
        <w:pStyle w:val="4"/>
        <w:spacing w:before="0" w:after="0" w:line="360" w:lineRule="auto"/>
        <w:rPr>
          <w:rFonts w:hint="eastAsia" w:ascii="宋体" w:hAnsi="宋体" w:eastAsia="宋体" w:cs="宋体"/>
          <w:color w:val="auto"/>
          <w:sz w:val="28"/>
          <w:szCs w:val="28"/>
          <w:highlight w:val="none"/>
        </w:rPr>
      </w:pPr>
      <w:bookmarkStart w:id="118" w:name="_Toc4685"/>
      <w:r>
        <w:rPr>
          <w:rFonts w:hint="eastAsia" w:ascii="宋体" w:hAnsi="宋体" w:eastAsia="宋体" w:cs="宋体"/>
          <w:color w:val="auto"/>
          <w:sz w:val="28"/>
          <w:szCs w:val="28"/>
          <w:highlight w:val="none"/>
        </w:rPr>
        <w:t>3. 投标文件</w:t>
      </w:r>
      <w:bookmarkEnd w:id="118"/>
    </w:p>
    <w:p w14:paraId="13EBB216">
      <w:pPr>
        <w:pStyle w:val="5"/>
        <w:spacing w:before="0" w:after="0" w:line="360" w:lineRule="auto"/>
        <w:rPr>
          <w:rFonts w:hint="eastAsia" w:ascii="宋体" w:hAnsi="宋体" w:eastAsia="宋体" w:cs="宋体"/>
          <w:color w:val="auto"/>
          <w:sz w:val="21"/>
          <w:szCs w:val="21"/>
          <w:highlight w:val="none"/>
        </w:rPr>
      </w:pPr>
      <w:bookmarkStart w:id="119" w:name="_Toc26570"/>
      <w:r>
        <w:rPr>
          <w:rFonts w:hint="eastAsia" w:ascii="宋体" w:hAnsi="宋体" w:eastAsia="宋体" w:cs="宋体"/>
          <w:color w:val="auto"/>
          <w:sz w:val="21"/>
          <w:szCs w:val="21"/>
          <w:highlight w:val="none"/>
        </w:rPr>
        <w:t>3.1投标文件的组成</w:t>
      </w:r>
      <w:bookmarkEnd w:id="119"/>
    </w:p>
    <w:p w14:paraId="5C2C24D8">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3.1.1 投标文件应包括下列内容：</w:t>
      </w:r>
    </w:p>
    <w:p w14:paraId="46C8324C">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3.1.1.1投标函部分</w:t>
      </w:r>
    </w:p>
    <w:p w14:paraId="5823355B">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（1）投标函</w:t>
      </w:r>
    </w:p>
    <w:p w14:paraId="2586A9A1">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（2）投标函附录</w:t>
      </w:r>
    </w:p>
    <w:p w14:paraId="39C91A00">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（3）法定代表人身份证明或附有法定代表人身份证明的授权委托书</w:t>
      </w:r>
    </w:p>
    <w:p w14:paraId="0D4917D4">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（4）低价风险担保</w:t>
      </w:r>
      <w:r>
        <w:rPr>
          <w:rFonts w:hint="eastAsia" w:ascii="宋体" w:hAnsi="宋体" w:eastAsia="宋体" w:cs="宋体"/>
          <w:color w:val="auto"/>
          <w:kern w:val="0"/>
          <w:szCs w:val="21"/>
          <w:highlight w:val="none"/>
          <w:lang w:val="en-US" w:eastAsia="zh-CN"/>
        </w:rPr>
        <w:t>提交</w:t>
      </w:r>
      <w:r>
        <w:rPr>
          <w:rFonts w:hint="eastAsia" w:ascii="宋体" w:hAnsi="宋体" w:eastAsia="宋体" w:cs="宋体"/>
          <w:color w:val="auto"/>
          <w:kern w:val="0"/>
          <w:szCs w:val="21"/>
          <w:highlight w:val="none"/>
          <w:lang w:val="ru-RU"/>
        </w:rPr>
        <w:t>承诺书（如有）</w:t>
      </w:r>
    </w:p>
    <w:p w14:paraId="302552D3">
      <w:pPr>
        <w:spacing w:line="360" w:lineRule="auto"/>
        <w:ind w:firstLine="420" w:firstLineChars="200"/>
        <w:rPr>
          <w:rFonts w:hint="eastAsia" w:ascii="宋体" w:hAnsi="宋体" w:eastAsia="宋体" w:cs="宋体"/>
          <w:color w:val="auto"/>
          <w:highlight w:val="none"/>
          <w:lang w:val="ru-RU"/>
        </w:rPr>
      </w:pPr>
      <w:r>
        <w:rPr>
          <w:rFonts w:hint="eastAsia" w:ascii="宋体" w:hAnsi="宋体" w:eastAsia="宋体" w:cs="宋体"/>
          <w:color w:val="auto"/>
          <w:kern w:val="0"/>
          <w:szCs w:val="21"/>
          <w:highlight w:val="none"/>
          <w:lang w:val="ru-RU"/>
        </w:rPr>
        <w:t>3.1.1.</w:t>
      </w:r>
      <w:r>
        <w:rPr>
          <w:rFonts w:hint="eastAsia" w:ascii="宋体" w:hAnsi="宋体" w:eastAsia="宋体" w:cs="宋体"/>
          <w:color w:val="auto"/>
          <w:kern w:val="0"/>
          <w:szCs w:val="21"/>
          <w:highlight w:val="none"/>
        </w:rPr>
        <w:t>2经济</w:t>
      </w:r>
      <w:r>
        <w:rPr>
          <w:rFonts w:hint="eastAsia" w:ascii="宋体" w:hAnsi="宋体" w:eastAsia="宋体" w:cs="宋体"/>
          <w:color w:val="auto"/>
          <w:kern w:val="0"/>
          <w:szCs w:val="21"/>
          <w:highlight w:val="none"/>
          <w:lang w:val="ru-RU"/>
        </w:rPr>
        <w:t>部分</w:t>
      </w:r>
    </w:p>
    <w:p w14:paraId="061F3140">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w:t>
      </w: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ru-RU"/>
        </w:rPr>
        <w:t>）已标价工程量清单</w:t>
      </w:r>
    </w:p>
    <w:p w14:paraId="5F808A08">
      <w:pPr>
        <w:spacing w:line="360" w:lineRule="auto"/>
        <w:ind w:firstLine="420" w:firstLineChars="200"/>
        <w:rPr>
          <w:rFonts w:hint="eastAsia" w:ascii="宋体" w:hAnsi="宋体" w:eastAsia="宋体" w:cs="宋体"/>
          <w:color w:val="auto"/>
          <w:highlight w:val="none"/>
          <w:lang w:val="ru-RU"/>
        </w:rPr>
      </w:pPr>
      <w:r>
        <w:rPr>
          <w:rFonts w:hint="eastAsia" w:ascii="宋体" w:hAnsi="宋体" w:eastAsia="宋体" w:cs="宋体"/>
          <w:color w:val="auto"/>
          <w:kern w:val="0"/>
          <w:szCs w:val="21"/>
          <w:highlight w:val="none"/>
          <w:lang w:val="ru-RU"/>
        </w:rPr>
        <w:t>3.1.1.</w:t>
      </w:r>
      <w:r>
        <w:rPr>
          <w:rFonts w:hint="eastAsia" w:ascii="宋体" w:hAnsi="宋体" w:eastAsia="宋体" w:cs="宋体"/>
          <w:color w:val="auto"/>
          <w:kern w:val="0"/>
          <w:szCs w:val="21"/>
          <w:highlight w:val="none"/>
        </w:rPr>
        <w:t>3商务</w:t>
      </w:r>
      <w:r>
        <w:rPr>
          <w:rFonts w:hint="eastAsia" w:ascii="宋体" w:hAnsi="宋体" w:eastAsia="宋体" w:cs="宋体"/>
          <w:color w:val="auto"/>
          <w:kern w:val="0"/>
          <w:szCs w:val="21"/>
          <w:highlight w:val="none"/>
          <w:lang w:val="ru-RU"/>
        </w:rPr>
        <w:t>部分（不设置商务部分评审的不设此部分）</w:t>
      </w:r>
    </w:p>
    <w:p w14:paraId="03293DDF">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3.1.1.</w:t>
      </w:r>
      <w:r>
        <w:rPr>
          <w:rFonts w:hint="eastAsia" w:ascii="宋体" w:hAnsi="宋体" w:eastAsia="宋体" w:cs="宋体"/>
          <w:color w:val="auto"/>
          <w:kern w:val="0"/>
          <w:szCs w:val="21"/>
          <w:highlight w:val="none"/>
        </w:rPr>
        <w:t>4</w:t>
      </w:r>
      <w:r>
        <w:rPr>
          <w:rFonts w:hint="eastAsia" w:ascii="宋体" w:hAnsi="宋体" w:eastAsia="宋体" w:cs="宋体"/>
          <w:color w:val="auto"/>
          <w:kern w:val="0"/>
          <w:szCs w:val="21"/>
          <w:highlight w:val="none"/>
          <w:lang w:val="ru-RU"/>
        </w:rPr>
        <w:t>技术部分（不设置技术方案评审的不设此部分）</w:t>
      </w:r>
    </w:p>
    <w:p w14:paraId="45441149">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3.1.1.</w:t>
      </w:r>
      <w:r>
        <w:rPr>
          <w:rFonts w:hint="eastAsia" w:ascii="宋体" w:hAnsi="宋体" w:eastAsia="宋体" w:cs="宋体"/>
          <w:color w:val="auto"/>
          <w:kern w:val="0"/>
          <w:szCs w:val="21"/>
          <w:highlight w:val="none"/>
        </w:rPr>
        <w:t>5</w:t>
      </w:r>
      <w:r>
        <w:rPr>
          <w:rFonts w:hint="eastAsia" w:ascii="宋体" w:hAnsi="宋体" w:eastAsia="宋体" w:cs="宋体"/>
          <w:color w:val="auto"/>
          <w:kern w:val="0"/>
          <w:szCs w:val="21"/>
          <w:highlight w:val="none"/>
          <w:lang w:val="ru-RU"/>
        </w:rPr>
        <w:t>资格审查部分</w:t>
      </w:r>
    </w:p>
    <w:p w14:paraId="3662EE4E">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（1）法定代表人身份证明或附有法定代表人身份证明的授权委托书</w:t>
      </w:r>
    </w:p>
    <w:p w14:paraId="3832A20E">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（2）联合体协议书（如有）</w:t>
      </w:r>
    </w:p>
    <w:p w14:paraId="4F5BF40C">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（3）投标人基本情况表</w:t>
      </w:r>
    </w:p>
    <w:p w14:paraId="4D2F6A7D">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（4）项目管理机构</w:t>
      </w:r>
    </w:p>
    <w:p w14:paraId="7660987A">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（5）近年财务状况表</w:t>
      </w:r>
    </w:p>
    <w:p w14:paraId="064F6AE7">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（6）类似项目情况表</w:t>
      </w:r>
    </w:p>
    <w:p w14:paraId="76DCBD18">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（7）</w:t>
      </w:r>
      <w:r>
        <w:rPr>
          <w:rFonts w:hint="eastAsia" w:ascii="宋体" w:hAnsi="宋体" w:eastAsia="宋体" w:cs="宋体"/>
          <w:color w:val="auto"/>
          <w:kern w:val="0"/>
          <w:szCs w:val="21"/>
          <w:highlight w:val="none"/>
        </w:rPr>
        <w:t>承诺</w:t>
      </w:r>
    </w:p>
    <w:p w14:paraId="1B07BF16">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（8）其他资料</w:t>
      </w:r>
    </w:p>
    <w:p w14:paraId="0F1863DD">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投标人在评标过程中作出的符合法律法规和招标文件规定的澄清确认，构成投标文件的组成部分。</w:t>
      </w:r>
    </w:p>
    <w:p w14:paraId="1D3706C2">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3.1.2投标人须知前附表规定不接受联合体投标的，或投标人没有组成联合体的，投标文件不包括联合体协议书。</w:t>
      </w:r>
    </w:p>
    <w:p w14:paraId="6D2AAA64">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3.1.3 投标人须知前附表未要求提交投标保证金的，投标文件不包括投标保证金。</w:t>
      </w:r>
    </w:p>
    <w:p w14:paraId="4A843E02">
      <w:pPr>
        <w:pStyle w:val="5"/>
        <w:spacing w:before="0" w:after="0" w:line="360" w:lineRule="auto"/>
        <w:rPr>
          <w:rFonts w:hint="eastAsia" w:ascii="宋体" w:hAnsi="宋体" w:eastAsia="宋体" w:cs="宋体"/>
          <w:color w:val="auto"/>
          <w:sz w:val="21"/>
          <w:szCs w:val="21"/>
          <w:highlight w:val="none"/>
        </w:rPr>
      </w:pPr>
      <w:bookmarkStart w:id="120" w:name="_Toc523"/>
      <w:r>
        <w:rPr>
          <w:rFonts w:hint="eastAsia" w:ascii="宋体" w:hAnsi="宋体" w:eastAsia="宋体" w:cs="宋体"/>
          <w:color w:val="auto"/>
          <w:sz w:val="21"/>
          <w:szCs w:val="21"/>
          <w:highlight w:val="none"/>
        </w:rPr>
        <w:t>3.2 投标报价</w:t>
      </w:r>
      <w:bookmarkEnd w:id="120"/>
    </w:p>
    <w:p w14:paraId="373B074E">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3.2.1 投标报价应包括国家规定的增值税税金，除投标人须知前附表另有规定外，增值税税金按一般计税方法计算。投标人应按第九章“投标文件格式”的要求在投标函中进行报价并填写工程量清单相应表格。</w:t>
      </w:r>
    </w:p>
    <w:p w14:paraId="49D62D79">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3.2.2 投标人应充分了解本项目的总体情况以及影响投标报价的其他要素。</w:t>
      </w:r>
    </w:p>
    <w:p w14:paraId="0DBF6DC8">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3.2.3 本项目的报价方式见投标人须知前附表。投标人在投标截止时间前修改投标函中的投标总报价，应同时修改投标文件“已标价工程量清单”中的相应报价。此修改须符合本章第 4.3 款的有关要求。</w:t>
      </w:r>
    </w:p>
    <w:p w14:paraId="6CCA222E">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3.2.4 投标人如果发现工程量清单中的数量与图纸中数量不一致时，应立即通知招标人核查，除非招标人按照本章第2.2 款或2.3 款的有关要求，以招标文件澄清或修改的方式予以更正，否则，应以工程量清单中列出的数量为准。</w:t>
      </w:r>
    </w:p>
    <w:p w14:paraId="0BE704A3">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3.2.5 投标人应根据《公路水运工程安全生产监督管理办法》，在投标总价中计入安全生产费用，安全生产费用应符合合同条款第 9.2.5 项的规定。工程量清单第 100章内列有上述安全生产费的支付子目，由投标人按招标文件的规定填写总额价。</w:t>
      </w:r>
      <w:r>
        <w:rPr>
          <w:rFonts w:hint="eastAsia" w:ascii="宋体" w:hAnsi="宋体" w:eastAsia="宋体" w:cs="宋体"/>
          <w:color w:val="auto"/>
          <w:sz w:val="21"/>
          <w:szCs w:val="21"/>
          <w:highlight w:val="none"/>
          <w:lang w:val="en-US" w:eastAsia="zh-CN"/>
        </w:rPr>
        <w:t>中标人</w:t>
      </w:r>
      <w:r>
        <w:rPr>
          <w:rFonts w:hint="eastAsia" w:ascii="宋体" w:hAnsi="宋体" w:eastAsia="宋体" w:cs="宋体"/>
          <w:color w:val="auto"/>
          <w:sz w:val="21"/>
          <w:szCs w:val="21"/>
          <w:highlight w:val="none"/>
          <w:lang w:eastAsia="zh-CN"/>
        </w:rPr>
        <w:t>应按照</w:t>
      </w:r>
      <w:r>
        <w:rPr>
          <w:rFonts w:hint="eastAsia" w:ascii="宋体" w:hAnsi="宋体" w:eastAsia="宋体" w:cs="宋体"/>
          <w:color w:val="auto"/>
          <w:sz w:val="21"/>
          <w:szCs w:val="21"/>
          <w:highlight w:val="none"/>
          <w:lang w:val="en-US" w:eastAsia="zh-CN"/>
        </w:rPr>
        <w:t>招标人</w:t>
      </w:r>
      <w:r>
        <w:rPr>
          <w:rFonts w:hint="eastAsia" w:ascii="宋体" w:hAnsi="宋体" w:eastAsia="宋体" w:cs="宋体"/>
          <w:color w:val="auto"/>
          <w:sz w:val="21"/>
          <w:szCs w:val="21"/>
          <w:highlight w:val="none"/>
          <w:lang w:eastAsia="zh-CN"/>
        </w:rPr>
        <w:t>《关于工程(维护)类安全生产费据实支付的业务指引》（详见附件）中安全生产法结算的要求，提供相应结算材料，确保安全生产投入。</w:t>
      </w:r>
    </w:p>
    <w:p w14:paraId="7CE73972">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3.2.6 除投标人须知前附表另有规定外，招标人不接受调价函。</w:t>
      </w:r>
    </w:p>
    <w:p w14:paraId="37CF8A60">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3.2.7 在合同实施期间，投标人填写的单价、合价和总额价是否由于物价波动进行价格调整按照合同条款第 16.1 款的规定处理。如果按照合同条款第 16.1.1 项的规定采用价格调整公式进行价格调整，由招标人根据项目实际情况测算确定价格调整公式中的变值权重范围，并在投标函附录价格指数和权重表中约定范围；投标人在此范围内填写各可调因子的权重，合同实施期间将按此权重进行调价。</w:t>
      </w:r>
    </w:p>
    <w:p w14:paraId="7A6E003F">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3.2.8 招标人设有最高投标限价的，投标人的投标报价不得超过最高投标限价，最高投标限价在投标人须知前附表中载明。</w:t>
      </w:r>
    </w:p>
    <w:p w14:paraId="51098ED4">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3.2.9 投标报价的其他要求见投标人须知前附表。</w:t>
      </w:r>
    </w:p>
    <w:p w14:paraId="0098A81F">
      <w:pPr>
        <w:pStyle w:val="5"/>
        <w:spacing w:before="0" w:after="0" w:line="360" w:lineRule="auto"/>
        <w:rPr>
          <w:rFonts w:hint="eastAsia" w:ascii="宋体" w:hAnsi="宋体" w:eastAsia="宋体" w:cs="宋体"/>
          <w:color w:val="auto"/>
          <w:sz w:val="21"/>
          <w:szCs w:val="21"/>
          <w:highlight w:val="none"/>
        </w:rPr>
      </w:pPr>
      <w:bookmarkStart w:id="121" w:name="_Toc13195"/>
      <w:r>
        <w:rPr>
          <w:rFonts w:hint="eastAsia" w:ascii="宋体" w:hAnsi="宋体" w:eastAsia="宋体" w:cs="宋体"/>
          <w:color w:val="auto"/>
          <w:sz w:val="21"/>
          <w:szCs w:val="21"/>
          <w:highlight w:val="none"/>
        </w:rPr>
        <w:t>3.3投标有效期</w:t>
      </w:r>
      <w:bookmarkEnd w:id="121"/>
    </w:p>
    <w:p w14:paraId="2E3F6142">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3.3.1 除投标人须知前附表另有规定外，投标有效期为 90 日。</w:t>
      </w:r>
    </w:p>
    <w:p w14:paraId="0605098B">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3.3.2 在投标有效期内，投标人撤销投标文件的，应承担招标文件和法律规定的责任。</w:t>
      </w:r>
    </w:p>
    <w:p w14:paraId="762B1C19">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3.3.3 出现特殊情况需要延长投标有效期的，招标人在投标人须知前附表载明的网站，以公告形式通知所有投标人延长投标有效期。在公告发布的 24 小时内， 若招标人未接到投标人拒绝延长的书面答复，就视为所有投标人都同意延长，投标人应当相应延长其投标保证金的有效期，但不得要求或被允许修改其投标文件；投标人拒绝延长的，其投标失效，但投标人有权收回其投标保证金及以现金或支票形式递交的投标保证金的银 行同期活期存款利息。</w:t>
      </w:r>
    </w:p>
    <w:p w14:paraId="3219E5EF">
      <w:pPr>
        <w:pStyle w:val="5"/>
        <w:spacing w:before="0" w:after="0" w:line="360" w:lineRule="auto"/>
        <w:rPr>
          <w:rFonts w:hint="eastAsia" w:ascii="宋体" w:hAnsi="宋体" w:eastAsia="宋体" w:cs="宋体"/>
          <w:color w:val="auto"/>
          <w:sz w:val="21"/>
          <w:szCs w:val="21"/>
          <w:highlight w:val="none"/>
        </w:rPr>
      </w:pPr>
      <w:bookmarkStart w:id="122" w:name="_Toc27889"/>
      <w:r>
        <w:rPr>
          <w:rFonts w:hint="eastAsia" w:ascii="宋体" w:hAnsi="宋体" w:eastAsia="宋体" w:cs="宋体"/>
          <w:color w:val="auto"/>
          <w:sz w:val="21"/>
          <w:szCs w:val="21"/>
          <w:highlight w:val="none"/>
        </w:rPr>
        <w:t>3.4 投标保证金</w:t>
      </w:r>
      <w:bookmarkEnd w:id="122"/>
    </w:p>
    <w:p w14:paraId="16AD8FC1">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3.4.1 投标人在递交投标文件的同时，应按投标人须知前附表规定的金额、担保形式和</w:t>
      </w:r>
      <w:r>
        <w:rPr>
          <w:rFonts w:hint="eastAsia" w:ascii="宋体" w:hAnsi="宋体" w:eastAsia="宋体" w:cs="宋体"/>
          <w:color w:val="auto"/>
          <w:sz w:val="21"/>
          <w:szCs w:val="21"/>
          <w:highlight w:val="none"/>
          <w:lang w:val="en-US" w:eastAsia="zh-CN"/>
        </w:rPr>
        <w:t>其他</w:t>
      </w:r>
      <w:r>
        <w:rPr>
          <w:rFonts w:hint="eastAsia" w:ascii="宋体" w:hAnsi="宋体" w:eastAsia="宋体" w:cs="宋体"/>
          <w:color w:val="auto"/>
          <w:sz w:val="21"/>
          <w:szCs w:val="21"/>
          <w:highlight w:val="none"/>
          <w:lang w:eastAsia="zh-CN"/>
        </w:rPr>
        <w:t>要求递交投标保证金，并作为其投标文件的组成部分。联合体投标的，其投标保证金由牵头人递交，并应符合投标人须知前附表的规定。</w:t>
      </w:r>
    </w:p>
    <w:p w14:paraId="0CF0D0A4">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投标保证金应采用现金、支票、银行保函或招标人在投标人须知前附表规定的其他形式。</w:t>
      </w:r>
    </w:p>
    <w:p w14:paraId="2E707699">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无论采取何种形式的投标保证金，投标保证金有效期均应与投标有效期一致。招标人如果按本章第 3.3.3 项的规定延长了投标有效期，则投标保证金的有效期也相应延长。</w:t>
      </w:r>
    </w:p>
    <w:p w14:paraId="0C687C2A">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3.4.2 投标人不按本章第 3.4.1 项要求提交投标保证金的，评标委员会将否决其投标。</w:t>
      </w:r>
    </w:p>
    <w:p w14:paraId="76544CF9">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3.4.3 招标人最迟将在中标通知书发出后 5 日内向中标候选人以外的其他投标人退还投标保证金，与中标人签订合同后 5 日内向中标人和其他中标候选人退还投标保证金。投标保证金以现金或支票形式递交的，招标人应同时退还投标保证金的银行同期活期存款利息，且退还至投标人的基本账户。</w:t>
      </w:r>
    </w:p>
    <w:p w14:paraId="370FF4E0">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利息计算原则见投标人须知前附表。</w:t>
      </w:r>
    </w:p>
    <w:p w14:paraId="44E12694">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3.4.4 有下列情形之一的，投标保证金将不予退还：</w:t>
      </w:r>
    </w:p>
    <w:p w14:paraId="41B6559A">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（1）投标人在投标有效期内撤销投标文件；</w:t>
      </w:r>
    </w:p>
    <w:p w14:paraId="66D04688">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w:t>
      </w:r>
      <w:r>
        <w:rPr>
          <w:rFonts w:hint="eastAsia" w:ascii="宋体" w:hAnsi="宋体" w:eastAsia="宋体" w:cs="宋体"/>
          <w:kern w:val="0"/>
          <w:sz w:val="21"/>
          <w:szCs w:val="21"/>
          <w:highlight w:val="none"/>
        </w:rPr>
        <w:t>中标人在收到中标通知书后，无正当理由不与招标人订立合同，在签订合同时向招标人提出附加条件，或者不按照招标文件要求提交履约保证金</w:t>
      </w:r>
      <w:r>
        <w:rPr>
          <w:rFonts w:hint="eastAsia" w:ascii="宋体" w:hAnsi="宋体" w:eastAsia="宋体" w:cs="宋体"/>
          <w:color w:val="auto"/>
          <w:sz w:val="21"/>
          <w:szCs w:val="21"/>
          <w:highlight w:val="none"/>
          <w:lang w:eastAsia="zh-CN"/>
        </w:rPr>
        <w:t>；</w:t>
      </w:r>
    </w:p>
    <w:p w14:paraId="2F721219">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kern w:val="0"/>
          <w:sz w:val="21"/>
          <w:szCs w:val="21"/>
          <w:highlight w:val="none"/>
        </w:rPr>
        <w:t>中标人</w:t>
      </w:r>
      <w:r>
        <w:rPr>
          <w:rFonts w:hint="eastAsia" w:ascii="宋体" w:hAnsi="宋体" w:eastAsia="宋体" w:cs="宋体"/>
          <w:kern w:val="0"/>
          <w:sz w:val="21"/>
          <w:szCs w:val="21"/>
          <w:highlight w:val="none"/>
          <w:lang w:eastAsia="zh-CN"/>
        </w:rPr>
        <w:t>（或拟中标人）</w:t>
      </w:r>
      <w:r>
        <w:rPr>
          <w:rFonts w:hint="eastAsia" w:ascii="宋体" w:hAnsi="宋体" w:eastAsia="宋体" w:cs="宋体"/>
          <w:kern w:val="0"/>
          <w:sz w:val="21"/>
          <w:szCs w:val="21"/>
          <w:highlight w:val="none"/>
        </w:rPr>
        <w:t>拒不提供或者不按时提供低价风险担保（适用于经评审的最低投标价法）</w:t>
      </w:r>
      <w:r>
        <w:rPr>
          <w:rFonts w:hint="eastAsia" w:ascii="宋体" w:hAnsi="宋体" w:eastAsia="宋体" w:cs="宋体"/>
          <w:kern w:val="0"/>
          <w:sz w:val="21"/>
          <w:szCs w:val="21"/>
          <w:highlight w:val="none"/>
          <w:lang w:eastAsia="zh-CN"/>
        </w:rPr>
        <w:t>；</w:t>
      </w:r>
    </w:p>
    <w:p w14:paraId="798F15A2">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）投标人被发现</w:t>
      </w:r>
      <w:r>
        <w:rPr>
          <w:rFonts w:hint="eastAsia" w:ascii="宋体" w:hAnsi="宋体" w:eastAsia="宋体" w:cs="宋体"/>
          <w:color w:val="auto"/>
          <w:sz w:val="21"/>
          <w:szCs w:val="21"/>
          <w:highlight w:val="none"/>
          <w:lang w:val="en-US" w:eastAsia="zh-CN"/>
        </w:rPr>
        <w:t>本次投标</w:t>
      </w:r>
      <w:r>
        <w:rPr>
          <w:rFonts w:hint="eastAsia" w:ascii="宋体" w:hAnsi="宋体" w:eastAsia="宋体" w:cs="宋体"/>
          <w:color w:val="auto"/>
          <w:sz w:val="21"/>
          <w:szCs w:val="21"/>
          <w:highlight w:val="none"/>
          <w:lang w:eastAsia="zh-CN"/>
        </w:rPr>
        <w:t>存在串通投标、弄虚造假、行贿等违法行为的；</w:t>
      </w:r>
    </w:p>
    <w:p w14:paraId="4C7F24E8">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）发生投标人须知前附表规定的其他可以不予退还投标保证金的情形。</w:t>
      </w:r>
    </w:p>
    <w:p w14:paraId="36E730AD">
      <w:pPr>
        <w:pStyle w:val="5"/>
        <w:spacing w:before="0" w:after="0" w:line="360" w:lineRule="auto"/>
        <w:rPr>
          <w:rFonts w:hint="eastAsia" w:ascii="宋体" w:hAnsi="宋体" w:eastAsia="宋体" w:cs="宋体"/>
          <w:color w:val="auto"/>
          <w:sz w:val="21"/>
          <w:szCs w:val="21"/>
          <w:highlight w:val="none"/>
        </w:rPr>
      </w:pPr>
      <w:bookmarkStart w:id="123" w:name="_Toc11009"/>
      <w:r>
        <w:rPr>
          <w:rFonts w:hint="eastAsia" w:ascii="宋体" w:hAnsi="宋体" w:eastAsia="宋体" w:cs="宋体"/>
          <w:color w:val="auto"/>
          <w:sz w:val="21"/>
          <w:szCs w:val="21"/>
          <w:highlight w:val="none"/>
        </w:rPr>
        <w:t>3.5 资格审查资料</w:t>
      </w:r>
    </w:p>
    <w:p w14:paraId="4C587D15">
      <w:pPr>
        <w:pStyle w:val="71"/>
        <w:spacing w:before="0" w:after="0" w:line="360" w:lineRule="auto"/>
        <w:ind w:firstLine="440" w:firstLineChars="200"/>
        <w:jc w:val="left"/>
        <w:rPr>
          <w:rFonts w:hint="eastAsia" w:ascii="宋体" w:hAnsi="宋体" w:eastAsia="宋体" w:cs="宋体"/>
          <w:color w:val="auto"/>
          <w:sz w:val="21"/>
          <w:szCs w:val="21"/>
          <w:highlight w:val="none"/>
          <w:lang w:eastAsia="zh-CN"/>
        </w:rPr>
      </w:pPr>
      <w:r>
        <w:rPr>
          <w:rFonts w:ascii="宋体" w:hAnsi="宋体"/>
          <w:color w:val="auto"/>
          <w:szCs w:val="21"/>
          <w:lang w:eastAsia="zh-CN"/>
        </w:rPr>
        <w:t>投标人</w:t>
      </w:r>
      <w:r>
        <w:rPr>
          <w:rFonts w:hint="eastAsia" w:ascii="宋体" w:hAnsi="宋体"/>
          <w:color w:val="auto"/>
          <w:szCs w:val="21"/>
          <w:lang w:eastAsia="zh-CN"/>
        </w:rPr>
        <w:t>应附投标人须知前附表第1</w:t>
      </w:r>
      <w:r>
        <w:rPr>
          <w:rFonts w:ascii="宋体" w:hAnsi="宋体"/>
          <w:color w:val="auto"/>
          <w:szCs w:val="21"/>
          <w:lang w:eastAsia="zh-CN"/>
        </w:rPr>
        <w:t>.4.1项</w:t>
      </w:r>
      <w:r>
        <w:rPr>
          <w:rFonts w:hint="eastAsia" w:ascii="宋体" w:hAnsi="宋体"/>
          <w:color w:val="auto"/>
          <w:szCs w:val="21"/>
          <w:lang w:eastAsia="zh-CN"/>
        </w:rPr>
        <w:t>中要求的相关证明材料</w:t>
      </w:r>
      <w:r>
        <w:rPr>
          <w:rFonts w:hint="eastAsia" w:ascii="宋体" w:hAnsi="宋体" w:eastAsia="宋体" w:cs="宋体"/>
          <w:color w:val="auto"/>
          <w:sz w:val="21"/>
          <w:szCs w:val="21"/>
          <w:lang w:eastAsia="zh-CN"/>
        </w:rPr>
        <w:t>。</w:t>
      </w:r>
      <w:bookmarkEnd w:id="123"/>
    </w:p>
    <w:p w14:paraId="1190720A">
      <w:pPr>
        <w:pStyle w:val="5"/>
        <w:spacing w:before="0" w:after="0" w:line="360" w:lineRule="auto"/>
        <w:rPr>
          <w:rFonts w:hint="eastAsia" w:ascii="宋体" w:hAnsi="宋体" w:eastAsia="宋体" w:cs="宋体"/>
          <w:color w:val="auto"/>
          <w:sz w:val="21"/>
          <w:szCs w:val="21"/>
          <w:highlight w:val="none"/>
        </w:rPr>
      </w:pPr>
      <w:bookmarkStart w:id="124" w:name="_Toc12012"/>
      <w:r>
        <w:rPr>
          <w:rFonts w:hint="eastAsia" w:ascii="宋体" w:hAnsi="宋体" w:eastAsia="宋体" w:cs="宋体"/>
          <w:color w:val="auto"/>
          <w:sz w:val="21"/>
          <w:szCs w:val="21"/>
          <w:highlight w:val="none"/>
        </w:rPr>
        <w:t>3.6 备选投标方案</w:t>
      </w:r>
      <w:bookmarkEnd w:id="124"/>
    </w:p>
    <w:p w14:paraId="2996B49F">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3.6.1 除投标人须知前附表规定允许外，投标人不得递交备选投标方案，否则其投标将被否决。</w:t>
      </w:r>
    </w:p>
    <w:p w14:paraId="74046554">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14:paraId="4FAB5CA4">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3.6.3 投标人提供两个或两个以上投标报价，或在投标文件中提供一个报价，但同时提供两个或两个以上施工组织设计的，视为提供备选方案。</w:t>
      </w:r>
    </w:p>
    <w:p w14:paraId="175461E9">
      <w:pPr>
        <w:pStyle w:val="5"/>
        <w:spacing w:before="0" w:after="0" w:line="360" w:lineRule="auto"/>
        <w:rPr>
          <w:rFonts w:hint="eastAsia" w:ascii="宋体" w:hAnsi="宋体" w:eastAsia="宋体" w:cs="宋体"/>
          <w:color w:val="auto"/>
          <w:sz w:val="21"/>
          <w:szCs w:val="21"/>
          <w:highlight w:val="none"/>
        </w:rPr>
      </w:pPr>
      <w:bookmarkStart w:id="125" w:name="_Toc25781"/>
      <w:r>
        <w:rPr>
          <w:rFonts w:hint="eastAsia" w:ascii="宋体" w:hAnsi="宋体" w:eastAsia="宋体" w:cs="宋体"/>
          <w:color w:val="auto"/>
          <w:sz w:val="21"/>
          <w:szCs w:val="21"/>
          <w:highlight w:val="none"/>
        </w:rPr>
        <w:t>3.7 投标文件的编制</w:t>
      </w:r>
      <w:bookmarkEnd w:id="125"/>
    </w:p>
    <w:p w14:paraId="3879481F">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3.7.1 投标文件应按第九章“投标文件格式”进行编写，如有必要，可以增加附页，作为投标文件的组成部分。其中，投标函附录在满足招标文件实质性要求的基础上，可以提出比招标文件要求更有利于招标人的承诺。</w:t>
      </w:r>
    </w:p>
    <w:p w14:paraId="6346C40A">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3.7.2 投标文件应对招标文件有关工期、投标有效期、质量要求、安全目标、技术标准和要求、招标范围等实质性内容作出响应。</w:t>
      </w:r>
    </w:p>
    <w:p w14:paraId="14B9A611">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3.7.3 投标文件的签名盖章要求：按本章投标人须知前附表第3.7.3项执行。</w:t>
      </w:r>
    </w:p>
    <w:p w14:paraId="0AF4D2CD">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3.7.4 投标文件份数：见投标人须知前附表。</w:t>
      </w:r>
    </w:p>
    <w:p w14:paraId="2324E0CC">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3.7.5 投标文件应按规定格式排版，并编制目录，具体编制要求见投标人须知前附表规定。</w:t>
      </w:r>
    </w:p>
    <w:p w14:paraId="427B6463">
      <w:pPr>
        <w:pStyle w:val="4"/>
        <w:spacing w:before="0" w:after="0" w:line="360" w:lineRule="auto"/>
        <w:rPr>
          <w:rFonts w:hint="eastAsia" w:ascii="宋体" w:hAnsi="宋体" w:eastAsia="宋体" w:cs="宋体"/>
          <w:color w:val="auto"/>
          <w:sz w:val="28"/>
          <w:szCs w:val="28"/>
          <w:highlight w:val="none"/>
        </w:rPr>
      </w:pPr>
      <w:bookmarkStart w:id="126" w:name="_Toc17771"/>
      <w:r>
        <w:rPr>
          <w:rFonts w:hint="eastAsia" w:ascii="宋体" w:hAnsi="宋体" w:eastAsia="宋体" w:cs="宋体"/>
          <w:color w:val="auto"/>
          <w:sz w:val="28"/>
          <w:szCs w:val="28"/>
          <w:highlight w:val="none"/>
        </w:rPr>
        <w:t>4. 投标</w:t>
      </w:r>
      <w:bookmarkEnd w:id="126"/>
    </w:p>
    <w:p w14:paraId="3F5F713F">
      <w:pPr>
        <w:pStyle w:val="5"/>
        <w:spacing w:before="0" w:after="0" w:line="360" w:lineRule="auto"/>
        <w:rPr>
          <w:rFonts w:hint="eastAsia" w:ascii="宋体" w:hAnsi="宋体" w:eastAsia="宋体" w:cs="宋体"/>
          <w:color w:val="auto"/>
          <w:sz w:val="21"/>
          <w:szCs w:val="21"/>
          <w:highlight w:val="none"/>
        </w:rPr>
      </w:pPr>
      <w:bookmarkStart w:id="127" w:name="_Toc9099"/>
      <w:r>
        <w:rPr>
          <w:rFonts w:hint="eastAsia" w:ascii="宋体" w:hAnsi="宋体" w:eastAsia="宋体" w:cs="宋体"/>
          <w:color w:val="auto"/>
          <w:sz w:val="21"/>
          <w:szCs w:val="21"/>
          <w:highlight w:val="none"/>
        </w:rPr>
        <w:t>4.1 投标文件的密封和标识</w:t>
      </w:r>
      <w:bookmarkEnd w:id="127"/>
    </w:p>
    <w:p w14:paraId="4AF09918">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4.1.1 投标文件的密封：见投标人须知前附表。</w:t>
      </w:r>
    </w:p>
    <w:p w14:paraId="311E62B1">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4.1.2 投标文件</w:t>
      </w:r>
      <w:r>
        <w:rPr>
          <w:rFonts w:hint="eastAsia" w:ascii="宋体" w:hAnsi="宋体" w:eastAsia="宋体" w:cs="宋体"/>
          <w:color w:val="auto"/>
          <w:sz w:val="21"/>
          <w:szCs w:val="21"/>
          <w:highlight w:val="none"/>
          <w:lang w:val="en-US" w:eastAsia="zh-CN"/>
        </w:rPr>
        <w:t>的</w:t>
      </w:r>
      <w:r>
        <w:rPr>
          <w:rFonts w:hint="eastAsia" w:ascii="宋体" w:hAnsi="宋体" w:eastAsia="宋体" w:cs="宋体"/>
          <w:color w:val="auto"/>
          <w:sz w:val="21"/>
          <w:szCs w:val="21"/>
          <w:highlight w:val="none"/>
          <w:lang w:eastAsia="zh-CN"/>
        </w:rPr>
        <w:t>封套上应写明的内容：见投标人须知前附表。</w:t>
      </w:r>
    </w:p>
    <w:p w14:paraId="1C7C9AD9">
      <w:pPr>
        <w:pStyle w:val="5"/>
        <w:spacing w:before="0" w:after="0" w:line="360" w:lineRule="auto"/>
        <w:rPr>
          <w:rFonts w:hint="eastAsia" w:ascii="宋体" w:hAnsi="宋体" w:eastAsia="宋体" w:cs="宋体"/>
          <w:color w:val="auto"/>
          <w:sz w:val="21"/>
          <w:szCs w:val="21"/>
          <w:highlight w:val="none"/>
        </w:rPr>
      </w:pPr>
      <w:bookmarkStart w:id="128" w:name="_Toc13585"/>
      <w:r>
        <w:rPr>
          <w:rFonts w:hint="eastAsia" w:ascii="宋体" w:hAnsi="宋体" w:eastAsia="宋体" w:cs="宋体"/>
          <w:color w:val="auto"/>
          <w:sz w:val="21"/>
          <w:szCs w:val="21"/>
          <w:highlight w:val="none"/>
        </w:rPr>
        <w:t>4.2投标文件的递交</w:t>
      </w:r>
      <w:bookmarkEnd w:id="128"/>
    </w:p>
    <w:p w14:paraId="0871E09D">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4.2.1 投标人应在投标人须知前附表第 2.2.2 项规定的投标截止时间前递交投标文件。。</w:t>
      </w:r>
    </w:p>
    <w:p w14:paraId="286A25CC">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4.2.2 投标人递交投标文件的地点：见投标人须知前附表。</w:t>
      </w:r>
    </w:p>
    <w:p w14:paraId="704085D6">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4.2.3 除投标人须知前附表另有规定外，投标人所递交的投标文件不予退还。</w:t>
      </w:r>
    </w:p>
    <w:p w14:paraId="21918FC4">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4.2.4逾期送达的或者未送达指定地点的投标文件，招标人不予受理。</w:t>
      </w:r>
    </w:p>
    <w:p w14:paraId="1A038826">
      <w:pPr>
        <w:pStyle w:val="5"/>
        <w:spacing w:before="0" w:after="0" w:line="360" w:lineRule="auto"/>
        <w:rPr>
          <w:rFonts w:hint="eastAsia" w:ascii="宋体" w:hAnsi="宋体" w:eastAsia="宋体" w:cs="宋体"/>
          <w:color w:val="auto"/>
          <w:sz w:val="21"/>
          <w:szCs w:val="21"/>
          <w:highlight w:val="none"/>
        </w:rPr>
      </w:pPr>
      <w:bookmarkStart w:id="129" w:name="_Toc14014"/>
      <w:r>
        <w:rPr>
          <w:rFonts w:hint="eastAsia" w:ascii="宋体" w:hAnsi="宋体" w:eastAsia="宋体" w:cs="宋体"/>
          <w:color w:val="auto"/>
          <w:sz w:val="21"/>
          <w:szCs w:val="21"/>
          <w:highlight w:val="none"/>
        </w:rPr>
        <w:t>4.3 投标文件的修改与撤回</w:t>
      </w:r>
      <w:bookmarkEnd w:id="129"/>
    </w:p>
    <w:p w14:paraId="7040752A">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4.3.1 </w:t>
      </w:r>
      <w:r>
        <w:rPr>
          <w:rFonts w:hint="eastAsia" w:ascii="宋体" w:hAnsi="宋体" w:eastAsia="宋体" w:cs="宋体"/>
          <w:snapToGrid w:val="0"/>
          <w:color w:val="auto"/>
          <w:sz w:val="21"/>
          <w:szCs w:val="21"/>
          <w:highlight w:val="none"/>
          <w:lang w:eastAsia="zh-CN"/>
        </w:rPr>
        <w:t>在投标人须知前附表第2.2.2项规定的投标截止时间前</w:t>
      </w:r>
      <w:r>
        <w:rPr>
          <w:rFonts w:hint="eastAsia" w:ascii="宋体" w:hAnsi="宋体" w:eastAsia="宋体" w:cs="宋体"/>
          <w:color w:val="auto"/>
          <w:sz w:val="21"/>
          <w:szCs w:val="21"/>
          <w:highlight w:val="none"/>
          <w:lang w:eastAsia="zh-CN"/>
        </w:rPr>
        <w:t>，投标人可以修改或撤回已递交的投标文件。</w:t>
      </w:r>
    </w:p>
    <w:p w14:paraId="68F1D145">
      <w:pPr>
        <w:pStyle w:val="4"/>
        <w:spacing w:before="0" w:after="0" w:line="360" w:lineRule="auto"/>
        <w:rPr>
          <w:rFonts w:hint="eastAsia" w:ascii="宋体" w:hAnsi="宋体" w:eastAsia="宋体" w:cs="宋体"/>
          <w:color w:val="auto"/>
          <w:sz w:val="28"/>
          <w:szCs w:val="28"/>
          <w:highlight w:val="none"/>
        </w:rPr>
      </w:pPr>
      <w:bookmarkStart w:id="130" w:name="_Toc8491"/>
      <w:r>
        <w:rPr>
          <w:rFonts w:hint="eastAsia" w:ascii="宋体" w:hAnsi="宋体" w:eastAsia="宋体" w:cs="宋体"/>
          <w:color w:val="auto"/>
          <w:sz w:val="28"/>
          <w:szCs w:val="28"/>
          <w:highlight w:val="none"/>
        </w:rPr>
        <w:t>5. 开标</w:t>
      </w:r>
      <w:bookmarkEnd w:id="130"/>
    </w:p>
    <w:p w14:paraId="77AA519A">
      <w:pPr>
        <w:pStyle w:val="5"/>
        <w:spacing w:before="0" w:after="0" w:line="360" w:lineRule="auto"/>
        <w:rPr>
          <w:rFonts w:hint="eastAsia" w:ascii="宋体" w:hAnsi="宋体" w:eastAsia="宋体" w:cs="宋体"/>
          <w:color w:val="auto"/>
          <w:sz w:val="21"/>
          <w:szCs w:val="21"/>
          <w:highlight w:val="none"/>
        </w:rPr>
      </w:pPr>
      <w:bookmarkStart w:id="131" w:name="_Toc7416"/>
      <w:r>
        <w:rPr>
          <w:rFonts w:hint="eastAsia" w:ascii="宋体" w:hAnsi="宋体" w:eastAsia="宋体" w:cs="宋体"/>
          <w:color w:val="auto"/>
          <w:sz w:val="21"/>
          <w:szCs w:val="21"/>
          <w:highlight w:val="none"/>
        </w:rPr>
        <w:t>5.1 开标时间和地点</w:t>
      </w:r>
      <w:bookmarkEnd w:id="131"/>
    </w:p>
    <w:p w14:paraId="4ADD50E5">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5.1.1</w:t>
      </w:r>
      <w:r>
        <w:rPr>
          <w:rFonts w:hint="eastAsia" w:ascii="宋体" w:hAnsi="宋体" w:eastAsia="宋体" w:cs="宋体"/>
          <w:color w:val="auto"/>
          <w:sz w:val="21"/>
          <w:szCs w:val="21"/>
          <w:highlight w:val="none"/>
          <w:lang w:eastAsia="zh-CN"/>
        </w:rPr>
        <w:t>招标人在本章第 4.2.1 项规定的投标截止时间（开标时间）和投标人须知前附表规定的地点对收到的投标文件公开开标，并邀请所有投标人的法定代表人或其委托代理人准时参加。</w:t>
      </w:r>
    </w:p>
    <w:p w14:paraId="42D87D9E">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投标人若未派法定代表人或委托代理人出席开标活动，视为该投标人默认开标结果。</w:t>
      </w:r>
    </w:p>
    <w:p w14:paraId="7296774E">
      <w:pPr>
        <w:pStyle w:val="5"/>
        <w:spacing w:before="0" w:after="0" w:line="360" w:lineRule="auto"/>
        <w:rPr>
          <w:rFonts w:hint="eastAsia" w:ascii="宋体" w:hAnsi="宋体" w:eastAsia="宋体" w:cs="宋体"/>
          <w:color w:val="auto"/>
          <w:sz w:val="21"/>
          <w:szCs w:val="21"/>
          <w:highlight w:val="none"/>
        </w:rPr>
      </w:pPr>
      <w:bookmarkStart w:id="132" w:name="_Toc7171"/>
      <w:r>
        <w:rPr>
          <w:rFonts w:hint="eastAsia" w:ascii="宋体" w:hAnsi="宋体" w:eastAsia="宋体" w:cs="宋体"/>
          <w:color w:val="auto"/>
          <w:sz w:val="21"/>
          <w:szCs w:val="21"/>
          <w:highlight w:val="none"/>
        </w:rPr>
        <w:t>5.2开标程序</w:t>
      </w:r>
      <w:bookmarkEnd w:id="132"/>
    </w:p>
    <w:p w14:paraId="7276EEB1">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详见投标人须知前附表第5.2款开标程序。</w:t>
      </w:r>
    </w:p>
    <w:p w14:paraId="2896E661">
      <w:pPr>
        <w:pStyle w:val="5"/>
        <w:spacing w:before="0" w:after="0" w:line="360" w:lineRule="auto"/>
        <w:rPr>
          <w:rFonts w:hint="eastAsia" w:ascii="宋体" w:hAnsi="宋体" w:eastAsia="宋体" w:cs="宋体"/>
          <w:color w:val="auto"/>
          <w:sz w:val="21"/>
          <w:szCs w:val="21"/>
          <w:highlight w:val="none"/>
        </w:rPr>
      </w:pPr>
      <w:bookmarkStart w:id="133" w:name="_Toc7297"/>
      <w:r>
        <w:rPr>
          <w:rFonts w:hint="eastAsia" w:ascii="宋体" w:hAnsi="宋体" w:eastAsia="宋体" w:cs="宋体"/>
          <w:color w:val="auto"/>
          <w:sz w:val="21"/>
          <w:szCs w:val="21"/>
          <w:highlight w:val="none"/>
        </w:rPr>
        <w:t>5.3 开标异议</w:t>
      </w:r>
      <w:bookmarkEnd w:id="133"/>
    </w:p>
    <w:p w14:paraId="50BBD3B5">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对开标有异议的，应在开标现场提出，开标现场提出异议的，应出示法定代表人身份证明或附有法定代表人身份证明的授权委托书。招标人当场作出答复，并制作记录，有异议的投标人代表、招标人代表、记录人等有关人员在记录上签名确认。</w:t>
      </w:r>
    </w:p>
    <w:p w14:paraId="5E053369">
      <w:pPr>
        <w:pStyle w:val="4"/>
        <w:spacing w:before="0" w:after="0" w:line="360" w:lineRule="auto"/>
        <w:rPr>
          <w:rFonts w:hint="eastAsia" w:ascii="宋体" w:hAnsi="宋体" w:eastAsia="宋体" w:cs="宋体"/>
          <w:color w:val="auto"/>
          <w:sz w:val="28"/>
          <w:szCs w:val="28"/>
          <w:highlight w:val="none"/>
        </w:rPr>
      </w:pPr>
      <w:bookmarkStart w:id="134" w:name="_Toc25435"/>
      <w:r>
        <w:rPr>
          <w:rFonts w:hint="eastAsia" w:ascii="宋体" w:hAnsi="宋体" w:eastAsia="宋体" w:cs="宋体"/>
          <w:color w:val="auto"/>
          <w:sz w:val="28"/>
          <w:szCs w:val="28"/>
          <w:highlight w:val="none"/>
        </w:rPr>
        <w:t>6. 评标</w:t>
      </w:r>
      <w:bookmarkEnd w:id="134"/>
    </w:p>
    <w:p w14:paraId="6648FE2E">
      <w:pPr>
        <w:pStyle w:val="5"/>
        <w:spacing w:before="0" w:after="0" w:line="360" w:lineRule="auto"/>
        <w:rPr>
          <w:rFonts w:hint="eastAsia" w:ascii="宋体" w:hAnsi="宋体" w:eastAsia="宋体" w:cs="宋体"/>
          <w:color w:val="auto"/>
          <w:sz w:val="21"/>
          <w:szCs w:val="21"/>
          <w:highlight w:val="none"/>
        </w:rPr>
      </w:pPr>
      <w:bookmarkStart w:id="135" w:name="_Toc12863"/>
      <w:r>
        <w:rPr>
          <w:rFonts w:hint="eastAsia" w:ascii="宋体" w:hAnsi="宋体" w:eastAsia="宋体" w:cs="宋体"/>
          <w:color w:val="auto"/>
          <w:sz w:val="21"/>
          <w:szCs w:val="21"/>
          <w:highlight w:val="none"/>
        </w:rPr>
        <w:t>6.1 评标委员会</w:t>
      </w:r>
      <w:bookmarkEnd w:id="135"/>
    </w:p>
    <w:p w14:paraId="75B0B5E8">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6.1.1</w:t>
      </w:r>
      <w:r>
        <w:rPr>
          <w:rFonts w:hint="eastAsia" w:ascii="宋体" w:hAnsi="宋体" w:eastAsia="宋体" w:cs="宋体"/>
          <w:color w:val="auto"/>
          <w:sz w:val="21"/>
          <w:szCs w:val="21"/>
          <w:highlight w:val="none"/>
          <w:lang w:val="en-US" w:eastAsia="zh-CN"/>
        </w:rPr>
        <w:t>评标委员会的组建：</w:t>
      </w:r>
      <w:r>
        <w:rPr>
          <w:rFonts w:hint="eastAsia" w:ascii="宋体" w:hAnsi="宋体" w:eastAsia="宋体" w:cs="宋体"/>
          <w:color w:val="auto"/>
          <w:sz w:val="21"/>
          <w:szCs w:val="21"/>
          <w:highlight w:val="none"/>
          <w:lang w:eastAsia="zh-CN"/>
        </w:rPr>
        <w:t>见投标人须知前附表。</w:t>
      </w:r>
    </w:p>
    <w:p w14:paraId="758C40B9">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6.1.2 评标委员会成员有下列情形之一的，应主动提出回避：</w:t>
      </w:r>
    </w:p>
    <w:p w14:paraId="148894F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（1）为负责招标项目监督管理的交通运输主管部门的工作人员，或招标项目的主管部门的工作人员，或对该项目有监督职责的行政监督部门的工作人员；</w:t>
      </w:r>
    </w:p>
    <w:p w14:paraId="00D8D2D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（2）招标人或招标代理机构主要负责人的近亲属，或与投标人法定代表人或其委托代理人有近亲属关系；</w:t>
      </w:r>
    </w:p>
    <w:p w14:paraId="0C42CFD0">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（3）为投标人的工作人员或退休人员；</w:t>
      </w:r>
    </w:p>
    <w:p w14:paraId="5889DED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（4）与投标人有其他利害关系，可能影响评标活动公正性；</w:t>
      </w:r>
    </w:p>
    <w:p w14:paraId="1B5374E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（5）在与招标投标有关的活动中有过违法违规行为、曾受过行政处罚或刑事处罚；</w:t>
      </w:r>
    </w:p>
    <w:p w14:paraId="4EFAAD3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（6）招标人及其子公司、招标人的上级主管部门或者控股公司、招标代理机构的工作人员或者退休人员；</w:t>
      </w:r>
    </w:p>
    <w:p w14:paraId="6663233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（7）近3年在招标人、投标人或招标代理机构工作过的人员。</w:t>
      </w:r>
    </w:p>
    <w:p w14:paraId="44C45B01">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6.1.3评标过程中，评标委员会成员有回避事由、擅离职守或者因健康等原因不能继续评标的，应当及时更换。被更换的评标委员会成员作出的评审结论无效，由更换后的评标委员会成员重新进行评审。</w:t>
      </w:r>
    </w:p>
    <w:p w14:paraId="28A4B8B6">
      <w:pPr>
        <w:pStyle w:val="5"/>
        <w:spacing w:before="0" w:after="0" w:line="360" w:lineRule="auto"/>
        <w:rPr>
          <w:rFonts w:hint="eastAsia" w:ascii="宋体" w:hAnsi="宋体" w:eastAsia="宋体" w:cs="宋体"/>
          <w:color w:val="auto"/>
          <w:sz w:val="21"/>
          <w:szCs w:val="21"/>
          <w:highlight w:val="none"/>
        </w:rPr>
      </w:pPr>
      <w:bookmarkStart w:id="136" w:name="_Toc9708"/>
      <w:r>
        <w:rPr>
          <w:rFonts w:hint="eastAsia" w:ascii="宋体" w:hAnsi="宋体" w:eastAsia="宋体" w:cs="宋体"/>
          <w:color w:val="auto"/>
          <w:sz w:val="21"/>
          <w:szCs w:val="21"/>
          <w:highlight w:val="none"/>
        </w:rPr>
        <w:t>6.2 评标原则</w:t>
      </w:r>
      <w:bookmarkEnd w:id="136"/>
    </w:p>
    <w:p w14:paraId="2E4189A2">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评标活动遵循公平、公正、科学和择优的原则。</w:t>
      </w:r>
    </w:p>
    <w:p w14:paraId="1AC9D0FC">
      <w:pPr>
        <w:pStyle w:val="5"/>
        <w:spacing w:before="0" w:after="0" w:line="360" w:lineRule="auto"/>
        <w:rPr>
          <w:rFonts w:hint="eastAsia" w:ascii="宋体" w:hAnsi="宋体" w:eastAsia="宋体" w:cs="宋体"/>
          <w:color w:val="auto"/>
          <w:sz w:val="21"/>
          <w:szCs w:val="21"/>
          <w:highlight w:val="none"/>
        </w:rPr>
      </w:pPr>
      <w:bookmarkStart w:id="137" w:name="_Toc2510"/>
      <w:r>
        <w:rPr>
          <w:rFonts w:hint="eastAsia" w:ascii="宋体" w:hAnsi="宋体" w:eastAsia="宋体" w:cs="宋体"/>
          <w:color w:val="auto"/>
          <w:sz w:val="21"/>
          <w:szCs w:val="21"/>
          <w:highlight w:val="none"/>
        </w:rPr>
        <w:t>6.3 评标</w:t>
      </w:r>
      <w:bookmarkEnd w:id="137"/>
    </w:p>
    <w:p w14:paraId="43FB5F88">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6.3.1</w:t>
      </w:r>
      <w:r>
        <w:rPr>
          <w:rFonts w:hint="eastAsia" w:ascii="宋体" w:hAnsi="宋体" w:eastAsia="宋体" w:cs="宋体"/>
          <w:color w:val="auto"/>
          <w:sz w:val="21"/>
          <w:szCs w:val="21"/>
          <w:highlight w:val="none"/>
          <w:lang w:eastAsia="zh-CN"/>
        </w:rPr>
        <w:t>评标委员会按照第三章“评标办法”规定的方法、评审因素、标准和程序对投标文件进行评审。第三章“评标办法”没有规定的方法、评审因素和标准，不作为评标依据。</w:t>
      </w:r>
    </w:p>
    <w:p w14:paraId="58CD6B5B">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6.3.2</w:t>
      </w:r>
      <w:r>
        <w:rPr>
          <w:rFonts w:hint="eastAsia" w:ascii="宋体" w:hAnsi="宋体" w:eastAsia="宋体" w:cs="宋体"/>
          <w:color w:val="auto"/>
          <w:sz w:val="21"/>
          <w:szCs w:val="21"/>
          <w:highlight w:val="none"/>
          <w:lang w:eastAsia="zh-CN"/>
        </w:rPr>
        <w:t>评标完成后，评标委员会应向招标人提交书面评标报告和中标候选人名单。评标委员会推荐中标候选人的人数见投标人须知前附表。</w:t>
      </w:r>
    </w:p>
    <w:p w14:paraId="36E534A2">
      <w:pPr>
        <w:pStyle w:val="4"/>
        <w:spacing w:before="0" w:after="0" w:line="360" w:lineRule="auto"/>
        <w:rPr>
          <w:rFonts w:hint="eastAsia" w:ascii="宋体" w:hAnsi="宋体" w:eastAsia="宋体" w:cs="宋体"/>
          <w:color w:val="auto"/>
          <w:sz w:val="28"/>
          <w:szCs w:val="28"/>
          <w:highlight w:val="none"/>
        </w:rPr>
      </w:pPr>
      <w:bookmarkStart w:id="138" w:name="_Toc16792"/>
      <w:r>
        <w:rPr>
          <w:rFonts w:hint="eastAsia" w:ascii="宋体" w:hAnsi="宋体" w:eastAsia="宋体" w:cs="宋体"/>
          <w:color w:val="auto"/>
          <w:sz w:val="28"/>
          <w:szCs w:val="28"/>
          <w:highlight w:val="none"/>
        </w:rPr>
        <w:t>7. 合同授予</w:t>
      </w:r>
      <w:bookmarkEnd w:id="138"/>
    </w:p>
    <w:p w14:paraId="244B0DEA">
      <w:pPr>
        <w:pStyle w:val="5"/>
        <w:spacing w:before="0" w:after="0" w:line="360" w:lineRule="auto"/>
        <w:rPr>
          <w:rFonts w:hint="eastAsia" w:ascii="宋体" w:hAnsi="宋体" w:eastAsia="宋体" w:cs="宋体"/>
          <w:color w:val="auto"/>
          <w:sz w:val="21"/>
          <w:szCs w:val="21"/>
          <w:highlight w:val="none"/>
        </w:rPr>
      </w:pPr>
      <w:bookmarkStart w:id="139" w:name="_Toc20312"/>
      <w:r>
        <w:rPr>
          <w:rFonts w:hint="eastAsia" w:ascii="宋体" w:hAnsi="宋体" w:eastAsia="宋体" w:cs="宋体"/>
          <w:color w:val="auto"/>
          <w:sz w:val="21"/>
          <w:szCs w:val="21"/>
          <w:highlight w:val="none"/>
        </w:rPr>
        <w:t>7.1 中标候选人公示</w:t>
      </w:r>
      <w:bookmarkEnd w:id="139"/>
    </w:p>
    <w:p w14:paraId="448E4741">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招标人在收到评标报告之日起 3 日内，按照投标人须知前附表规定的公示媒介和期限公示中标候选人，公示期不得少于 3 日。</w:t>
      </w:r>
    </w:p>
    <w:p w14:paraId="26C838E8">
      <w:pPr>
        <w:pStyle w:val="5"/>
        <w:spacing w:before="0" w:after="0" w:line="360" w:lineRule="auto"/>
        <w:rPr>
          <w:rFonts w:hint="eastAsia" w:ascii="宋体" w:hAnsi="宋体" w:eastAsia="宋体" w:cs="宋体"/>
          <w:color w:val="auto"/>
          <w:sz w:val="21"/>
          <w:szCs w:val="21"/>
          <w:highlight w:val="none"/>
        </w:rPr>
      </w:pPr>
      <w:bookmarkStart w:id="140" w:name="_Toc10353"/>
      <w:r>
        <w:rPr>
          <w:rFonts w:hint="eastAsia" w:ascii="宋体" w:hAnsi="宋体" w:eastAsia="宋体" w:cs="宋体"/>
          <w:color w:val="auto"/>
          <w:sz w:val="21"/>
          <w:szCs w:val="21"/>
          <w:highlight w:val="none"/>
        </w:rPr>
        <w:t>7.2 评标结果异议</w:t>
      </w:r>
      <w:bookmarkEnd w:id="140"/>
    </w:p>
    <w:p w14:paraId="77B236D5">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投标人或其他利害关系人对依法必须进行招标的项目的评标结果有异议的，应在中标候选人公示期间提出。招标人将在收到异议之日起 3 日内作出答复；作出答复前，将暂停招标投标活动。</w:t>
      </w:r>
    </w:p>
    <w:p w14:paraId="580FF629">
      <w:pPr>
        <w:pStyle w:val="5"/>
        <w:spacing w:before="0" w:after="0" w:line="360" w:lineRule="auto"/>
        <w:rPr>
          <w:rFonts w:hint="eastAsia" w:ascii="宋体" w:hAnsi="宋体" w:eastAsia="宋体" w:cs="宋体"/>
          <w:color w:val="auto"/>
          <w:sz w:val="21"/>
          <w:szCs w:val="21"/>
          <w:highlight w:val="none"/>
        </w:rPr>
      </w:pPr>
      <w:bookmarkStart w:id="141" w:name="_Toc28937"/>
      <w:r>
        <w:rPr>
          <w:rFonts w:hint="eastAsia" w:ascii="宋体" w:hAnsi="宋体" w:eastAsia="宋体" w:cs="宋体"/>
          <w:color w:val="auto"/>
          <w:sz w:val="21"/>
          <w:szCs w:val="21"/>
          <w:highlight w:val="none"/>
        </w:rPr>
        <w:t>7.3 中标候选人履约能力审查</w:t>
      </w:r>
      <w:bookmarkEnd w:id="141"/>
    </w:p>
    <w:p w14:paraId="17803E63">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中标候选人的经营、财务状况发生较大变化或存在违法行为，招标人认为可能影响其履约能力的，将在发出中标通知书前提请原评标委员会按照招标文件规定的标准和方法进行审查确认。</w:t>
      </w:r>
    </w:p>
    <w:p w14:paraId="4B8E180E">
      <w:pPr>
        <w:pStyle w:val="5"/>
        <w:spacing w:before="0" w:after="0" w:line="360" w:lineRule="auto"/>
        <w:rPr>
          <w:rFonts w:hint="eastAsia" w:ascii="宋体" w:hAnsi="宋体" w:eastAsia="宋体" w:cs="宋体"/>
          <w:color w:val="auto"/>
          <w:sz w:val="21"/>
          <w:szCs w:val="21"/>
          <w:highlight w:val="none"/>
        </w:rPr>
      </w:pPr>
      <w:bookmarkStart w:id="142" w:name="_Toc19146"/>
      <w:r>
        <w:rPr>
          <w:rFonts w:hint="eastAsia" w:ascii="宋体" w:hAnsi="宋体" w:eastAsia="宋体" w:cs="宋体"/>
          <w:color w:val="auto"/>
          <w:sz w:val="21"/>
          <w:szCs w:val="21"/>
          <w:highlight w:val="none"/>
        </w:rPr>
        <w:t>7.4 定标</w:t>
      </w:r>
      <w:bookmarkEnd w:id="142"/>
    </w:p>
    <w:p w14:paraId="744466E9">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按照投标人须知前附表的规定，招标人或招标人授权的评标委员会依法确定中标人。</w:t>
      </w:r>
    </w:p>
    <w:p w14:paraId="5F3155C5">
      <w:pPr>
        <w:pStyle w:val="5"/>
        <w:spacing w:before="0" w:after="0" w:line="360" w:lineRule="auto"/>
        <w:rPr>
          <w:rFonts w:hint="eastAsia" w:ascii="宋体" w:hAnsi="宋体" w:eastAsia="宋体" w:cs="宋体"/>
          <w:color w:val="auto"/>
          <w:sz w:val="21"/>
          <w:szCs w:val="21"/>
          <w:highlight w:val="none"/>
        </w:rPr>
      </w:pPr>
      <w:bookmarkStart w:id="143" w:name="_Toc21849"/>
      <w:r>
        <w:rPr>
          <w:rFonts w:hint="eastAsia" w:ascii="宋体" w:hAnsi="宋体" w:eastAsia="宋体" w:cs="宋体"/>
          <w:color w:val="auto"/>
          <w:sz w:val="21"/>
          <w:szCs w:val="21"/>
          <w:highlight w:val="none"/>
        </w:rPr>
        <w:t>7.5 中标通知</w:t>
      </w:r>
      <w:bookmarkEnd w:id="143"/>
    </w:p>
    <w:p w14:paraId="6B0D10DD">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在本章第 3.3 款规定的投标有效期内，招标人以投标人须知前附表规定的形式向中标人发出中标通知书，同时将中标结果通知未中标的投标人。</w:t>
      </w:r>
    </w:p>
    <w:p w14:paraId="51ADBF72">
      <w:pPr>
        <w:pStyle w:val="5"/>
        <w:spacing w:before="0" w:after="0" w:line="360" w:lineRule="auto"/>
        <w:rPr>
          <w:rFonts w:hint="eastAsia" w:ascii="宋体" w:hAnsi="宋体" w:eastAsia="宋体" w:cs="宋体"/>
          <w:color w:val="auto"/>
          <w:sz w:val="21"/>
          <w:szCs w:val="21"/>
          <w:highlight w:val="none"/>
        </w:rPr>
      </w:pPr>
      <w:bookmarkStart w:id="144" w:name="_Toc5861"/>
      <w:r>
        <w:rPr>
          <w:rFonts w:hint="eastAsia" w:ascii="宋体" w:hAnsi="宋体" w:eastAsia="宋体" w:cs="宋体"/>
          <w:color w:val="auto"/>
          <w:sz w:val="21"/>
          <w:szCs w:val="21"/>
          <w:highlight w:val="none"/>
        </w:rPr>
        <w:t>7.6 中标结果公告</w:t>
      </w:r>
      <w:bookmarkEnd w:id="144"/>
    </w:p>
    <w:p w14:paraId="4E3DB7C0">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招标人在确定中标人之日起 3 日内，按照投标人须知前附表规定的公告媒介和期限公告中标结果，公告期不得少于 3 日。公告内容包括中标人名称、中标价。</w:t>
      </w:r>
    </w:p>
    <w:p w14:paraId="102089CD">
      <w:pPr>
        <w:pStyle w:val="5"/>
        <w:spacing w:before="0" w:after="0" w:line="360" w:lineRule="auto"/>
        <w:rPr>
          <w:rFonts w:hint="eastAsia" w:ascii="宋体" w:hAnsi="宋体" w:eastAsia="宋体" w:cs="宋体"/>
          <w:color w:val="auto"/>
          <w:sz w:val="21"/>
          <w:szCs w:val="21"/>
          <w:highlight w:val="none"/>
        </w:rPr>
      </w:pPr>
      <w:bookmarkStart w:id="145" w:name="_Toc29832"/>
      <w:r>
        <w:rPr>
          <w:rFonts w:hint="eastAsia" w:ascii="宋体" w:hAnsi="宋体" w:eastAsia="宋体" w:cs="宋体"/>
          <w:color w:val="auto"/>
          <w:sz w:val="21"/>
          <w:szCs w:val="21"/>
          <w:highlight w:val="none"/>
        </w:rPr>
        <w:t>7.7 履约保证金</w:t>
      </w:r>
      <w:bookmarkEnd w:id="145"/>
    </w:p>
    <w:p w14:paraId="33F6594C">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7.7.1 在签订合同前，中标人应按投标人须知前附表规定的形式、金额和招标文件第四章“合同条款及格式”规定的或事先经过招标人书面认可的履约保证金格式向招标人提交履约保证金。除投标人须知前附表另有规定外，履约保证金为签约合同价的</w:t>
      </w: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lang w:eastAsia="zh-CN"/>
        </w:rPr>
        <w:t>%。联合体中标的，其履约保证金以联合体各方或联合体中牵头人的名义提交。</w:t>
      </w:r>
    </w:p>
    <w:p w14:paraId="72232212">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采用银行保函时，应由符合投标人须知前附表规定级别的银行开具，所需的费用由中标人承担，中标人应保证银行保函有效。</w:t>
      </w:r>
    </w:p>
    <w:p w14:paraId="5DA8156C">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7.7.2 中标人不能按本章第 7.7.1 项要求提交履约保证金的，视为放弃中标，其投标保证金不予退还，给招标人造成的损失超过投标保证金数额的，中标人还应对超过部分予以赔偿。</w:t>
      </w:r>
    </w:p>
    <w:p w14:paraId="209F49F0">
      <w:pPr>
        <w:pStyle w:val="5"/>
        <w:spacing w:before="0" w:after="0" w:line="360" w:lineRule="auto"/>
        <w:rPr>
          <w:rFonts w:hint="eastAsia" w:ascii="宋体" w:hAnsi="宋体" w:eastAsia="宋体" w:cs="宋体"/>
          <w:color w:val="auto"/>
          <w:sz w:val="21"/>
          <w:szCs w:val="21"/>
          <w:highlight w:val="none"/>
        </w:rPr>
      </w:pPr>
      <w:bookmarkStart w:id="146" w:name="_Toc25340"/>
      <w:r>
        <w:rPr>
          <w:rFonts w:hint="eastAsia" w:ascii="宋体" w:hAnsi="宋体" w:eastAsia="宋体" w:cs="宋体"/>
          <w:color w:val="auto"/>
          <w:sz w:val="21"/>
          <w:szCs w:val="21"/>
          <w:highlight w:val="none"/>
        </w:rPr>
        <w:t>7.8 签订合同</w:t>
      </w:r>
      <w:bookmarkEnd w:id="146"/>
    </w:p>
    <w:p w14:paraId="18D8C869">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7.8.1 招标人和中标人应在中标通知书发出之日起 30 日内，根据招标文件和中标人的投标文件订立书面合同。中标人放弃中标项目，无正当理由拒签合同，在签订合同时向招标人提出附加条件或者更改合同实质性内容，或不按照招标文件要求提交低价风险担保（适用于经评审最低投标价法）或履约保证金的，招标人取消其中标资格，其投标保证金不予退还；给招标人造成的损失超过投标保证金数额的，中标人还应对超过部分予以赔偿。</w:t>
      </w:r>
    </w:p>
    <w:p w14:paraId="5E8A6CC7">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7.8.2 发出中标通知书后，招标人无正当理由拒签合同，或在签订合同时向中标人提出附加条件的，招标人向中标人退还投标保证金；给中标人造成损失的，还应赔偿损失。</w:t>
      </w:r>
    </w:p>
    <w:p w14:paraId="2C0BE9B1">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7.8.3 签约合同价的确定原则如下：</w:t>
      </w:r>
    </w:p>
    <w:p w14:paraId="3E35EB9E">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（1）按照评标办法规定对投标报价进行修正后，若修正后的最终投标报价小于开标时的投标函大写金额报价，则签订合同时以修正后的最终投标报价为准；</w:t>
      </w:r>
    </w:p>
    <w:p w14:paraId="7F9A0D35">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（2）按照评标办法规定对投标报价进行修正后，若修正后的最终投标报价大于开标时的投标函大写金额报价，则签订合同时以开标时的投标函大写金额报价为准，同时按比例修正相应子目的单价或合价。</w:t>
      </w:r>
    </w:p>
    <w:p w14:paraId="7833BBB6">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7.8.4 联合体中标的，联合体各方应共同与招标人签订合同，就中标项目向招标人承担连带责任。</w:t>
      </w:r>
    </w:p>
    <w:p w14:paraId="08BEF0C0">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7.8.5 招标人和中标人在签订合同协议书的同时，须按照本招标文件规定的格式和要求签订廉政合同及安全生产合同，明确双方在廉政建设和安全生产方面的权利和义务以及应承担的违约责任。</w:t>
      </w:r>
    </w:p>
    <w:p w14:paraId="015EE060">
      <w:pPr>
        <w:pStyle w:val="4"/>
        <w:spacing w:before="0" w:after="0" w:line="360" w:lineRule="auto"/>
        <w:rPr>
          <w:rFonts w:hint="eastAsia" w:ascii="宋体" w:hAnsi="宋体" w:eastAsia="宋体" w:cs="宋体"/>
          <w:color w:val="auto"/>
          <w:sz w:val="28"/>
          <w:szCs w:val="28"/>
          <w:highlight w:val="none"/>
        </w:rPr>
      </w:pPr>
      <w:bookmarkStart w:id="147" w:name="_Toc30453"/>
      <w:r>
        <w:rPr>
          <w:rFonts w:hint="eastAsia" w:ascii="宋体" w:hAnsi="宋体" w:eastAsia="宋体" w:cs="宋体"/>
          <w:color w:val="auto"/>
          <w:sz w:val="28"/>
          <w:szCs w:val="28"/>
          <w:highlight w:val="none"/>
        </w:rPr>
        <w:t>8. 纪律和监督</w:t>
      </w:r>
      <w:bookmarkEnd w:id="147"/>
    </w:p>
    <w:p w14:paraId="5494B570">
      <w:pPr>
        <w:pStyle w:val="5"/>
        <w:spacing w:before="0" w:after="0" w:line="360" w:lineRule="auto"/>
        <w:rPr>
          <w:rFonts w:hint="eastAsia" w:ascii="宋体" w:hAnsi="宋体" w:eastAsia="宋体" w:cs="宋体"/>
          <w:color w:val="auto"/>
          <w:sz w:val="21"/>
          <w:szCs w:val="21"/>
          <w:highlight w:val="none"/>
        </w:rPr>
      </w:pPr>
      <w:bookmarkStart w:id="148" w:name="_Toc31932"/>
      <w:r>
        <w:rPr>
          <w:rFonts w:hint="eastAsia" w:ascii="宋体" w:hAnsi="宋体" w:eastAsia="宋体" w:cs="宋体"/>
          <w:color w:val="auto"/>
          <w:sz w:val="21"/>
          <w:szCs w:val="21"/>
          <w:highlight w:val="none"/>
        </w:rPr>
        <w:t>8.1 对招标人的纪律要求</w:t>
      </w:r>
      <w:bookmarkEnd w:id="148"/>
    </w:p>
    <w:p w14:paraId="0DBCE15F">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招标人不得泄露招标投标活动中应保密的情况和资料，不得与投标人串通损害国家利益、社会公共利益或他人合法权益。</w:t>
      </w:r>
    </w:p>
    <w:p w14:paraId="7B6B70CC">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有下列情形之一的，属于招标人与投标人串通投标：</w:t>
      </w:r>
    </w:p>
    <w:p w14:paraId="28A150C3">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（1）招标人在开标前开启投标文件并将有关信息泄露给其他投标人；</w:t>
      </w:r>
    </w:p>
    <w:p w14:paraId="20F6F9DC">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（2）招标人直接或者间接向投标人泄露标底、评标委员会成员等信息；</w:t>
      </w:r>
    </w:p>
    <w:p w14:paraId="2667CEA9">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（3）招标人明示或者暗示投标人压低或者抬高投标报价；</w:t>
      </w:r>
    </w:p>
    <w:p w14:paraId="690A6A79">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（4）招标人授意投标人撤换、修改投标文件；</w:t>
      </w:r>
    </w:p>
    <w:p w14:paraId="6B7DE9A5">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（5）招标人明示或者暗示投标人为特定投标人中标提供方便；</w:t>
      </w:r>
    </w:p>
    <w:p w14:paraId="36835E05">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（6）招标人与投标人为谋求特定投标人中标而采取的其他串通行为。</w:t>
      </w:r>
    </w:p>
    <w:p w14:paraId="1697075A">
      <w:pPr>
        <w:pStyle w:val="5"/>
        <w:spacing w:before="0" w:after="0" w:line="360" w:lineRule="auto"/>
        <w:rPr>
          <w:rFonts w:hint="eastAsia" w:ascii="宋体" w:hAnsi="宋体" w:eastAsia="宋体" w:cs="宋体"/>
          <w:color w:val="auto"/>
          <w:sz w:val="21"/>
          <w:szCs w:val="21"/>
          <w:highlight w:val="none"/>
        </w:rPr>
      </w:pPr>
      <w:bookmarkStart w:id="149" w:name="_Toc18237"/>
      <w:r>
        <w:rPr>
          <w:rFonts w:hint="eastAsia" w:ascii="宋体" w:hAnsi="宋体" w:eastAsia="宋体" w:cs="宋体"/>
          <w:color w:val="auto"/>
          <w:sz w:val="21"/>
          <w:szCs w:val="21"/>
          <w:highlight w:val="none"/>
        </w:rPr>
        <w:t>8.2 对投标人的纪律要求</w:t>
      </w:r>
      <w:bookmarkEnd w:id="149"/>
    </w:p>
    <w:p w14:paraId="7D1C1BE0">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投标人不得相互串通投标或与招标人串通投标，不得向招标人或评标委员会成员行贿谋取中标，不得以他人名义投标或以其他方式弄虚作假骗取中标；投标人不得以任何方式干扰、影响评标工作。</w:t>
      </w:r>
    </w:p>
    <w:p w14:paraId="3A4B7584">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8.2.1 有下列情形之一的，属于投标人相互串通投标：</w:t>
      </w:r>
    </w:p>
    <w:p w14:paraId="6B17F992">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（1）投标人之间协商投标报价等投标文件的实质性内容；</w:t>
      </w:r>
    </w:p>
    <w:p w14:paraId="47CBAC91">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（2）投标人之间约定中标人；</w:t>
      </w:r>
    </w:p>
    <w:p w14:paraId="53A377EC">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（3）投标人之间约定部分投标人放弃投标或者中标；</w:t>
      </w:r>
    </w:p>
    <w:p w14:paraId="1A48EA1E">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（4）属于同一集团、协会、商会等组织成员的投标人按照该组织要求协同投标；</w:t>
      </w:r>
    </w:p>
    <w:p w14:paraId="34365F9F">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（5）投标人之间为谋取中标或者排斥特定投标人而采取的其他联合行动。</w:t>
      </w:r>
    </w:p>
    <w:p w14:paraId="403EA77A">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8.2.2 有下列情形之一的，视为投标人相互串通投标：</w:t>
      </w:r>
    </w:p>
    <w:p w14:paraId="1DCB98E9">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（1）不同投标人的投标文件由同一单位或者个人编制；</w:t>
      </w:r>
    </w:p>
    <w:p w14:paraId="3C577205">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（2）不同投标人委托同一单位或者个人办理投标事宜；</w:t>
      </w:r>
    </w:p>
    <w:p w14:paraId="7864B394">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（3）不同投标人的投标文件载明的项目管理成员为同一人；</w:t>
      </w:r>
    </w:p>
    <w:p w14:paraId="16BE2CE2">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（4）不同投标人的投标文件异常一致或者投标报价呈规律性差异；</w:t>
      </w:r>
    </w:p>
    <w:p w14:paraId="22D4ED1E">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（5）不同投标人的投标文件相互混装；</w:t>
      </w:r>
    </w:p>
    <w:p w14:paraId="67B01E77">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（6）不同投标人的投标保证金从同一单位或者个人的账户转出；</w:t>
      </w:r>
    </w:p>
    <w:p w14:paraId="7E4C656B">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（7）不同投标人的电子投标文件MAC地址相同。</w:t>
      </w:r>
    </w:p>
    <w:p w14:paraId="36BEDEB4">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8.2.3 使用通过受让或者租借等方式获取的资格、资质证书投标的，属于以他人名义投标。</w:t>
      </w:r>
    </w:p>
    <w:p w14:paraId="2EABD3C1">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8.2.4 投标人有下列情形之一的，属于以其他方式弄虚作假的行为：</w:t>
      </w:r>
    </w:p>
    <w:p w14:paraId="41345C50">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（1）使用伪造、变造的许可证件；</w:t>
      </w:r>
    </w:p>
    <w:p w14:paraId="1E6221AB">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（2）提供虚假的财务状况或者业绩；</w:t>
      </w:r>
    </w:p>
    <w:p w14:paraId="00CED712">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（3）提供虚假的项目负责人或者主要技术人员简历、劳动关系证明；</w:t>
      </w:r>
    </w:p>
    <w:p w14:paraId="76B19B1C">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（4）提供虚假的信用状况；</w:t>
      </w:r>
    </w:p>
    <w:p w14:paraId="5DBD70DA">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（5）其他弄虚作假的行为。</w:t>
      </w:r>
    </w:p>
    <w:p w14:paraId="5AC6E20D">
      <w:pPr>
        <w:pStyle w:val="5"/>
        <w:spacing w:before="0" w:after="0" w:line="360" w:lineRule="auto"/>
        <w:rPr>
          <w:rFonts w:hint="eastAsia" w:ascii="宋体" w:hAnsi="宋体" w:eastAsia="宋体" w:cs="宋体"/>
          <w:color w:val="auto"/>
          <w:sz w:val="21"/>
          <w:szCs w:val="21"/>
          <w:highlight w:val="none"/>
        </w:rPr>
      </w:pPr>
      <w:bookmarkStart w:id="150" w:name="_Toc12651"/>
      <w:r>
        <w:rPr>
          <w:rFonts w:hint="eastAsia" w:ascii="宋体" w:hAnsi="宋体" w:eastAsia="宋体" w:cs="宋体"/>
          <w:color w:val="auto"/>
          <w:sz w:val="21"/>
          <w:szCs w:val="21"/>
          <w:highlight w:val="none"/>
        </w:rPr>
        <w:t>8.3 对评标委员会成员的纪律要求</w:t>
      </w:r>
      <w:bookmarkEnd w:id="150"/>
    </w:p>
    <w:p w14:paraId="222FCCD0">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评标委员会成员不得收受他人的财物或其他好处，不得向他人透露对投标文件的评审和比较、中标候选人的推荐情况以及评标有关的其他情况。在评标活动中，评标委员会成员应客观、公正地履行职责，遵守职业道德，不得擅离职守，影响评标程序正常进行，不得使用第三章“评标办法”没有规定的评审因素和标准进行评标。不得对招标文件中《否决投标情况一览表》以外的内容予以否决投标，否则对评标委员会成员按《重庆市综合评标专家库和评标专家管理暂行办法》进行处理。</w:t>
      </w:r>
    </w:p>
    <w:p w14:paraId="4A1DF0F1">
      <w:pPr>
        <w:pStyle w:val="5"/>
        <w:spacing w:before="0" w:after="0" w:line="360" w:lineRule="auto"/>
        <w:rPr>
          <w:rFonts w:hint="eastAsia" w:ascii="宋体" w:hAnsi="宋体" w:eastAsia="宋体" w:cs="宋体"/>
          <w:color w:val="auto"/>
          <w:sz w:val="21"/>
          <w:szCs w:val="21"/>
          <w:highlight w:val="none"/>
        </w:rPr>
      </w:pPr>
      <w:bookmarkStart w:id="151" w:name="_Toc15939"/>
      <w:r>
        <w:rPr>
          <w:rFonts w:hint="eastAsia" w:ascii="宋体" w:hAnsi="宋体" w:eastAsia="宋体" w:cs="宋体"/>
          <w:color w:val="auto"/>
          <w:sz w:val="21"/>
          <w:szCs w:val="21"/>
          <w:highlight w:val="none"/>
        </w:rPr>
        <w:t>8.4 对与评标活动有关的工作人员的纪律要求</w:t>
      </w:r>
      <w:bookmarkEnd w:id="151"/>
    </w:p>
    <w:p w14:paraId="651D5DC0">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与评标活动有关的工作人员不得收受他人的财物或其他好处，不得向他人透露对投标文件的评审和比较、中标候选人的推荐情况以及评标有关的其他情况。在评标活动中，与评标活动有关的工作人员不得擅离职守，影响评标程序正常进行。</w:t>
      </w:r>
    </w:p>
    <w:p w14:paraId="59052311">
      <w:pPr>
        <w:pStyle w:val="5"/>
        <w:spacing w:before="0" w:after="0" w:line="360" w:lineRule="auto"/>
        <w:rPr>
          <w:rFonts w:hint="eastAsia" w:ascii="宋体" w:hAnsi="宋体" w:eastAsia="宋体" w:cs="宋体"/>
          <w:color w:val="auto"/>
          <w:sz w:val="21"/>
          <w:szCs w:val="21"/>
          <w:highlight w:val="none"/>
        </w:rPr>
      </w:pPr>
      <w:bookmarkStart w:id="152" w:name="_Toc31811"/>
      <w:r>
        <w:rPr>
          <w:rFonts w:hint="eastAsia" w:ascii="宋体" w:hAnsi="宋体" w:eastAsia="宋体" w:cs="宋体"/>
          <w:color w:val="auto"/>
          <w:sz w:val="21"/>
          <w:szCs w:val="21"/>
          <w:highlight w:val="none"/>
        </w:rPr>
        <w:t>8.5 投诉</w:t>
      </w:r>
      <w:bookmarkEnd w:id="152"/>
    </w:p>
    <w:p w14:paraId="21999980">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8.5.1 投标人或其他利害关系人认为招标投标活动不符合法律、行政法规规定的，可以自知道或应当知道之日起 10 日内向有关行政监督部门投诉。投诉应有明确的请求和必要的证明材料。</w:t>
      </w:r>
    </w:p>
    <w:p w14:paraId="7D2DDFC1">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监督部门的联系方式见投标人须知前附表。</w:t>
      </w:r>
    </w:p>
    <w:p w14:paraId="6AE9A3D1">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8.5.2 投标人或其他利害关系人对招标文件、开标和评标结果提出投诉的，应按照本章第 2.2 款、第 5.3 款和第 7.2 款的规定先向招标人提出异议。异议答复期间不计算在第 8.5.1 项规定的期限内。</w:t>
      </w:r>
    </w:p>
    <w:p w14:paraId="134D09AF">
      <w:pPr>
        <w:pStyle w:val="4"/>
        <w:spacing w:before="0" w:after="0" w:line="360" w:lineRule="auto"/>
        <w:rPr>
          <w:rFonts w:hint="eastAsia" w:ascii="宋体" w:hAnsi="宋体" w:eastAsia="宋体" w:cs="宋体"/>
          <w:color w:val="auto"/>
          <w:sz w:val="28"/>
          <w:szCs w:val="28"/>
          <w:highlight w:val="none"/>
        </w:rPr>
      </w:pPr>
      <w:bookmarkStart w:id="153" w:name="_Toc149"/>
      <w:r>
        <w:rPr>
          <w:rFonts w:hint="eastAsia" w:ascii="宋体" w:hAnsi="宋体" w:eastAsia="宋体" w:cs="宋体"/>
          <w:color w:val="auto"/>
          <w:sz w:val="28"/>
          <w:szCs w:val="28"/>
          <w:highlight w:val="none"/>
        </w:rPr>
        <w:t>9. 是否采用电子招标投标</w:t>
      </w:r>
      <w:bookmarkEnd w:id="153"/>
    </w:p>
    <w:p w14:paraId="223B6178">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本招标项目是否采用电子招标投标方式：见投标人须知前附表。</w:t>
      </w:r>
    </w:p>
    <w:p w14:paraId="7E5B170B">
      <w:pPr>
        <w:pStyle w:val="4"/>
        <w:spacing w:before="0" w:after="0" w:line="360" w:lineRule="auto"/>
        <w:rPr>
          <w:rFonts w:hint="eastAsia" w:ascii="宋体" w:hAnsi="宋体" w:eastAsia="宋体" w:cs="宋体"/>
          <w:color w:val="auto"/>
          <w:sz w:val="28"/>
          <w:szCs w:val="28"/>
          <w:highlight w:val="none"/>
        </w:rPr>
      </w:pPr>
      <w:bookmarkStart w:id="154" w:name="_Toc13532"/>
      <w:r>
        <w:rPr>
          <w:rFonts w:hint="eastAsia" w:ascii="宋体" w:hAnsi="宋体" w:eastAsia="宋体" w:cs="宋体"/>
          <w:color w:val="auto"/>
          <w:sz w:val="28"/>
          <w:szCs w:val="28"/>
          <w:highlight w:val="none"/>
        </w:rPr>
        <w:t>10. 需要补充的其他内容</w:t>
      </w:r>
      <w:bookmarkEnd w:id="154"/>
    </w:p>
    <w:p w14:paraId="126CB94E">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需要补充的其他内容：见投标人须知前附表。</w:t>
      </w:r>
    </w:p>
    <w:p w14:paraId="08F47590">
      <w:pPr>
        <w:autoSpaceDE w:val="0"/>
        <w:autoSpaceDN w:val="0"/>
        <w:adjustRightInd w:val="0"/>
        <w:snapToGrid w:val="0"/>
        <w:spacing w:line="360" w:lineRule="auto"/>
        <w:ind w:firstLine="420"/>
        <w:jc w:val="left"/>
        <w:rPr>
          <w:rFonts w:hint="eastAsia" w:ascii="宋体" w:hAnsi="宋体" w:eastAsia="宋体" w:cs="宋体"/>
          <w:snapToGrid w:val="0"/>
          <w:color w:val="auto"/>
          <w:kern w:val="0"/>
          <w:szCs w:val="21"/>
          <w:highlight w:val="none"/>
          <w:lang w:val="ru-RU"/>
        </w:rPr>
        <w:sectPr>
          <w:footerReference r:id="rId6" w:type="default"/>
          <w:pgSz w:w="11906" w:h="16838"/>
          <w:pgMar w:top="1304" w:right="1134" w:bottom="1304" w:left="1304" w:header="851" w:footer="992" w:gutter="0"/>
          <w:cols w:space="720" w:num="1"/>
          <w:docGrid w:type="lines" w:linePitch="312" w:charSpace="0"/>
        </w:sectPr>
      </w:pPr>
    </w:p>
    <w:p w14:paraId="0A68BCB5">
      <w:pPr>
        <w:autoSpaceDE w:val="0"/>
        <w:autoSpaceDN w:val="0"/>
        <w:adjustRightInd w:val="0"/>
        <w:snapToGrid w:val="0"/>
        <w:spacing w:line="360" w:lineRule="auto"/>
        <w:ind w:firstLine="420"/>
        <w:jc w:val="left"/>
        <w:rPr>
          <w:rFonts w:hint="eastAsia" w:ascii="宋体" w:hAnsi="宋体" w:eastAsia="宋体" w:cs="宋体"/>
          <w:snapToGrid w:val="0"/>
          <w:color w:val="auto"/>
          <w:kern w:val="0"/>
          <w:szCs w:val="21"/>
          <w:highlight w:val="none"/>
          <w:lang w:val="ru-RU"/>
        </w:rPr>
      </w:pPr>
    </w:p>
    <w:p w14:paraId="567F5E6A">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14:paraId="0E116932">
      <w:pPr>
        <w:autoSpaceDE w:val="0"/>
        <w:autoSpaceDN w:val="0"/>
        <w:adjustRightInd w:val="0"/>
        <w:snapToGrid w:val="0"/>
        <w:spacing w:line="360" w:lineRule="auto"/>
        <w:jc w:val="left"/>
        <w:rPr>
          <w:rFonts w:hint="eastAsia" w:ascii="宋体" w:hAnsi="宋体" w:eastAsia="宋体" w:cs="宋体"/>
          <w:b/>
          <w:snapToGrid w:val="0"/>
          <w:color w:val="auto"/>
          <w:kern w:val="0"/>
          <w:highlight w:val="none"/>
        </w:rPr>
      </w:pPr>
      <w:r>
        <w:rPr>
          <w:rFonts w:hint="eastAsia" w:ascii="宋体" w:hAnsi="宋体" w:eastAsia="宋体" w:cs="宋体"/>
          <w:b/>
          <w:snapToGrid w:val="0"/>
          <w:color w:val="auto"/>
          <w:kern w:val="0"/>
          <w:highlight w:val="none"/>
        </w:rPr>
        <w:t>附表一：开标记录表</w:t>
      </w:r>
    </w:p>
    <w:p w14:paraId="4857D6AD">
      <w:pPr>
        <w:autoSpaceDE w:val="0"/>
        <w:autoSpaceDN w:val="0"/>
        <w:adjustRightInd w:val="0"/>
        <w:snapToGrid w:val="0"/>
        <w:spacing w:line="360" w:lineRule="auto"/>
        <w:jc w:val="left"/>
        <w:rPr>
          <w:rFonts w:hint="eastAsia" w:ascii="宋体" w:hAnsi="宋体" w:eastAsia="宋体" w:cs="宋体"/>
          <w:b/>
          <w:snapToGrid w:val="0"/>
          <w:color w:val="auto"/>
          <w:kern w:val="0"/>
          <w:highlight w:val="none"/>
        </w:rPr>
      </w:pPr>
    </w:p>
    <w:p w14:paraId="58E5F158">
      <w:pPr>
        <w:tabs>
          <w:tab w:val="left" w:pos="3529"/>
          <w:tab w:val="left" w:pos="5060"/>
        </w:tabs>
        <w:autoSpaceDE w:val="0"/>
        <w:autoSpaceDN w:val="0"/>
        <w:adjustRightInd w:val="0"/>
        <w:snapToGrid w:val="0"/>
        <w:spacing w:line="360" w:lineRule="auto"/>
        <w:jc w:val="left"/>
        <w:rPr>
          <w:rFonts w:hint="eastAsia" w:ascii="宋体" w:hAnsi="宋体" w:eastAsia="宋体" w:cs="宋体"/>
          <w:b/>
          <w:snapToGrid w:val="0"/>
          <w:color w:val="auto"/>
          <w:kern w:val="0"/>
          <w:sz w:val="28"/>
          <w:szCs w:val="28"/>
          <w:highlight w:val="none"/>
        </w:rPr>
      </w:pPr>
      <w:r>
        <w:rPr>
          <w:rFonts w:hint="eastAsia" w:ascii="宋体" w:hAnsi="宋体" w:cs="宋体"/>
          <w:b/>
          <w:snapToGrid w:val="0"/>
          <w:color w:val="auto"/>
          <w:w w:val="99"/>
          <w:kern w:val="0"/>
          <w:sz w:val="28"/>
          <w:szCs w:val="28"/>
          <w:highlight w:val="none"/>
          <w:u w:val="single"/>
          <w:lang w:eastAsia="zh-CN"/>
        </w:rPr>
        <w:t>巫溪至开州高速公路项目机电工程高压外电接入施工专项分包</w:t>
      </w:r>
      <w:r>
        <w:rPr>
          <w:rFonts w:hint="eastAsia" w:ascii="宋体" w:hAnsi="宋体" w:eastAsia="宋体" w:cs="宋体"/>
          <w:b/>
          <w:snapToGrid w:val="0"/>
          <w:color w:val="auto"/>
          <w:w w:val="99"/>
          <w:kern w:val="0"/>
          <w:sz w:val="28"/>
          <w:szCs w:val="28"/>
          <w:highlight w:val="none"/>
        </w:rPr>
        <w:t>开标记录表</w:t>
      </w:r>
    </w:p>
    <w:p w14:paraId="0E5BEF9E">
      <w:pPr>
        <w:tabs>
          <w:tab w:val="left" w:pos="2260"/>
          <w:tab w:val="left" w:pos="5060"/>
        </w:tabs>
        <w:autoSpaceDE w:val="0"/>
        <w:autoSpaceDN w:val="0"/>
        <w:adjustRightInd w:val="0"/>
        <w:snapToGrid w:val="0"/>
        <w:spacing w:line="360" w:lineRule="auto"/>
        <w:jc w:val="right"/>
        <w:rPr>
          <w:rFonts w:hint="eastAsia" w:ascii="宋体" w:hAnsi="宋体" w:eastAsia="宋体" w:cs="宋体"/>
          <w:snapToGrid w:val="0"/>
          <w:color w:val="auto"/>
          <w:kern w:val="0"/>
          <w:szCs w:val="21"/>
          <w:highlight w:val="none"/>
        </w:rPr>
      </w:pPr>
      <w:r>
        <w:rPr>
          <w:rFonts w:hint="eastAsia" w:ascii="宋体" w:hAnsi="宋体" w:eastAsia="宋体" w:cs="宋体"/>
          <w:b/>
          <w:snapToGrid w:val="0"/>
          <w:color w:val="auto"/>
          <w:kern w:val="0"/>
          <w:sz w:val="28"/>
          <w:szCs w:val="28"/>
          <w:highlight w:val="none"/>
        </w:rPr>
        <w:t xml:space="preserve">                             </w:t>
      </w:r>
      <w:r>
        <w:rPr>
          <w:rFonts w:hint="eastAsia" w:ascii="宋体" w:hAnsi="宋体" w:eastAsia="宋体" w:cs="宋体"/>
          <w:snapToGrid w:val="0"/>
          <w:color w:val="auto"/>
          <w:kern w:val="0"/>
          <w:szCs w:val="21"/>
          <w:highlight w:val="none"/>
        </w:rPr>
        <w:t>开标时间：</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时</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分</w:t>
      </w:r>
    </w:p>
    <w:tbl>
      <w:tblPr>
        <w:tblStyle w:val="34"/>
        <w:tblW w:w="1407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820"/>
        <w:gridCol w:w="5814"/>
        <w:gridCol w:w="2805"/>
        <w:gridCol w:w="1820"/>
        <w:gridCol w:w="1820"/>
      </w:tblGrid>
      <w:tr w14:paraId="1FCF0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32A3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Style w:val="93"/>
                <w:lang w:val="en-US" w:eastAsia="zh-CN" w:bidi="ar"/>
              </w:rPr>
              <w:t>序号</w:t>
            </w:r>
          </w:p>
        </w:tc>
        <w:tc>
          <w:tcPr>
            <w:tcW w:w="5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A660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Style w:val="93"/>
                <w:lang w:val="en-US" w:eastAsia="zh-CN" w:bidi="ar"/>
              </w:rPr>
              <w:t>投标人</w:t>
            </w: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0FF8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Style w:val="93"/>
                <w:lang w:val="en-US" w:eastAsia="zh-CN" w:bidi="ar"/>
              </w:rPr>
              <w:t>投标总报价</w:t>
            </w: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2639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Style w:val="93"/>
                <w:lang w:val="en-US" w:eastAsia="zh-CN" w:bidi="ar"/>
              </w:rPr>
              <w:t>备注</w:t>
            </w: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02EA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Style w:val="93"/>
                <w:lang w:val="en-US" w:eastAsia="zh-CN" w:bidi="ar"/>
              </w:rPr>
              <w:t>签名</w:t>
            </w:r>
          </w:p>
        </w:tc>
      </w:tr>
      <w:tr w14:paraId="28CE9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 w:hRule="atLeast"/>
        </w:trPr>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7350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D8CA1">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8"/>
                <w:szCs w:val="28"/>
                <w:u w:val="none"/>
              </w:rPr>
            </w:pP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5E093">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8"/>
                <w:szCs w:val="28"/>
                <w:u w:val="none"/>
              </w:rPr>
            </w:pP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FAB8D">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8"/>
                <w:szCs w:val="28"/>
                <w:u w:val="none"/>
              </w:rPr>
            </w:pP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151A6">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8"/>
                <w:szCs w:val="28"/>
                <w:u w:val="none"/>
              </w:rPr>
            </w:pPr>
          </w:p>
        </w:tc>
      </w:tr>
      <w:tr w14:paraId="2E660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 w:hRule="atLeast"/>
        </w:trPr>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3E05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5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98161">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8"/>
                <w:szCs w:val="28"/>
                <w:u w:val="none"/>
              </w:rPr>
            </w:pP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47556">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8"/>
                <w:szCs w:val="28"/>
                <w:u w:val="none"/>
              </w:rPr>
            </w:pP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54334">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8"/>
                <w:szCs w:val="28"/>
                <w:u w:val="none"/>
              </w:rPr>
            </w:pP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78893">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8"/>
                <w:szCs w:val="28"/>
                <w:u w:val="none"/>
              </w:rPr>
            </w:pPr>
          </w:p>
        </w:tc>
      </w:tr>
      <w:tr w14:paraId="50577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3" w:hRule="atLeast"/>
        </w:trPr>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3B9B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5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DBACE">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8"/>
                <w:szCs w:val="28"/>
                <w:u w:val="none"/>
              </w:rPr>
            </w:pP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9E5A0">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8"/>
                <w:szCs w:val="28"/>
                <w:u w:val="none"/>
              </w:rPr>
            </w:pP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95A6B">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8"/>
                <w:szCs w:val="28"/>
                <w:u w:val="none"/>
              </w:rPr>
            </w:pP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83519">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8"/>
                <w:szCs w:val="28"/>
                <w:u w:val="none"/>
              </w:rPr>
            </w:pPr>
          </w:p>
        </w:tc>
      </w:tr>
      <w:tr w14:paraId="2D2B3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3" w:hRule="atLeast"/>
        </w:trPr>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DB83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5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F9C5C">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8"/>
                <w:szCs w:val="28"/>
                <w:u w:val="none"/>
              </w:rPr>
            </w:pP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E1B8C">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8"/>
                <w:szCs w:val="28"/>
                <w:u w:val="none"/>
              </w:rPr>
            </w:pP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F803B">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8"/>
                <w:szCs w:val="28"/>
                <w:u w:val="none"/>
              </w:rPr>
            </w:pP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95327">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8"/>
                <w:szCs w:val="28"/>
                <w:u w:val="none"/>
              </w:rPr>
            </w:pPr>
          </w:p>
        </w:tc>
      </w:tr>
      <w:tr w14:paraId="76B80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 w:hRule="atLeast"/>
        </w:trPr>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790A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5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BD99A">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8"/>
                <w:szCs w:val="28"/>
                <w:u w:val="none"/>
              </w:rPr>
            </w:pPr>
          </w:p>
        </w:tc>
        <w:tc>
          <w:tcPr>
            <w:tcW w:w="2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14A11">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8"/>
                <w:szCs w:val="28"/>
                <w:u w:val="none"/>
              </w:rPr>
            </w:pP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A3ADC">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8"/>
                <w:szCs w:val="28"/>
                <w:u w:val="none"/>
              </w:rPr>
            </w:pP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87105">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8"/>
                <w:szCs w:val="28"/>
                <w:u w:val="none"/>
              </w:rPr>
            </w:pPr>
          </w:p>
        </w:tc>
      </w:tr>
      <w:tr w14:paraId="3384D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76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9DA5C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Style w:val="93"/>
                <w:lang w:val="en-US" w:eastAsia="zh-CN" w:bidi="ar"/>
              </w:rPr>
              <w:t>最高限价</w:t>
            </w:r>
          </w:p>
        </w:tc>
        <w:tc>
          <w:tcPr>
            <w:tcW w:w="64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4554EAD">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1"/>
                <w:szCs w:val="21"/>
                <w:u w:val="none"/>
              </w:rPr>
            </w:pPr>
          </w:p>
        </w:tc>
      </w:tr>
      <w:tr w14:paraId="5925B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 w:hRule="atLeast"/>
        </w:trPr>
        <w:tc>
          <w:tcPr>
            <w:tcW w:w="76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B0508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Style w:val="93"/>
                <w:lang w:val="en-US" w:eastAsia="zh-CN" w:bidi="ar"/>
              </w:rPr>
              <w:t>异常情况</w:t>
            </w:r>
          </w:p>
        </w:tc>
        <w:tc>
          <w:tcPr>
            <w:tcW w:w="644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EB423">
            <w:pPr>
              <w:keepNext w:val="0"/>
              <w:keepLines w:val="0"/>
              <w:suppressLineNumbers w:val="0"/>
              <w:spacing w:before="0" w:beforeAutospacing="0" w:after="0" w:afterAutospacing="0"/>
              <w:ind w:left="0" w:right="0"/>
              <w:rPr>
                <w:rFonts w:hint="eastAsia" w:ascii="宋体" w:hAnsi="宋体" w:eastAsia="宋体" w:cs="宋体"/>
                <w:i w:val="0"/>
                <w:iCs w:val="0"/>
                <w:color w:val="000000"/>
                <w:sz w:val="22"/>
                <w:szCs w:val="22"/>
                <w:u w:val="none"/>
              </w:rPr>
            </w:pPr>
          </w:p>
        </w:tc>
      </w:tr>
    </w:tbl>
    <w:p w14:paraId="66333A0C">
      <w:pPr>
        <w:tabs>
          <w:tab w:val="left" w:pos="2740"/>
          <w:tab w:val="left" w:pos="4940"/>
          <w:tab w:val="left" w:pos="7140"/>
        </w:tabs>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14:paraId="27C8B4AD">
      <w:pPr>
        <w:autoSpaceDE w:val="0"/>
        <w:autoSpaceDN w:val="0"/>
        <w:adjustRightInd w:val="0"/>
        <w:snapToGrid w:val="0"/>
        <w:spacing w:before="62" w:beforeLines="20" w:line="360" w:lineRule="auto"/>
        <w:jc w:val="right"/>
        <w:rPr>
          <w:rFonts w:hint="eastAsia" w:ascii="宋体" w:hAnsi="宋体" w:eastAsia="宋体" w:cs="宋体"/>
          <w:snapToGrid w:val="0"/>
          <w:color w:val="auto"/>
          <w:kern w:val="0"/>
          <w:szCs w:val="21"/>
          <w:highlight w:val="none"/>
        </w:rPr>
      </w:pPr>
      <w:r>
        <w:rPr>
          <w:rFonts w:hint="eastAsia" w:ascii="宋体" w:hAnsi="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p>
    <w:p w14:paraId="5C2E0FE4">
      <w:pPr>
        <w:autoSpaceDE w:val="0"/>
        <w:autoSpaceDN w:val="0"/>
        <w:adjustRightInd w:val="0"/>
        <w:snapToGrid w:val="0"/>
        <w:spacing w:before="62" w:beforeLines="20" w:line="360" w:lineRule="auto"/>
        <w:jc w:val="both"/>
        <w:rPr>
          <w:rFonts w:hint="eastAsia" w:ascii="宋体" w:hAnsi="宋体" w:eastAsia="宋体" w:cs="宋体"/>
          <w:snapToGrid w:val="0"/>
          <w:color w:val="auto"/>
          <w:kern w:val="0"/>
          <w:sz w:val="24"/>
          <w:highlight w:val="none"/>
        </w:rPr>
      </w:pPr>
      <w:r>
        <w:rPr>
          <w:rFonts w:hint="eastAsia" w:ascii="宋体" w:hAnsi="宋体" w:eastAsia="宋体" w:cs="宋体"/>
          <w:snapToGrid w:val="0"/>
          <w:color w:val="auto"/>
          <w:kern w:val="0"/>
          <w:szCs w:val="21"/>
          <w:highlight w:val="none"/>
        </w:rPr>
        <w:br w:type="page"/>
      </w:r>
      <w:r>
        <w:rPr>
          <w:rFonts w:hint="eastAsia" w:ascii="宋体" w:hAnsi="宋体" w:eastAsia="宋体" w:cs="宋体"/>
          <w:b/>
          <w:snapToGrid w:val="0"/>
          <w:color w:val="auto"/>
          <w:kern w:val="0"/>
          <w:highlight w:val="none"/>
        </w:rPr>
        <w:t>附表</w:t>
      </w:r>
      <w:r>
        <w:rPr>
          <w:rFonts w:hint="eastAsia" w:ascii="宋体" w:hAnsi="宋体" w:eastAsia="宋体" w:cs="宋体"/>
          <w:b/>
          <w:snapToGrid w:val="0"/>
          <w:color w:val="auto"/>
          <w:kern w:val="0"/>
          <w:highlight w:val="none"/>
          <w:lang w:val="en-US" w:eastAsia="zh-CN"/>
        </w:rPr>
        <w:t>二</w:t>
      </w:r>
      <w:r>
        <w:rPr>
          <w:rFonts w:hint="eastAsia" w:ascii="宋体" w:hAnsi="宋体" w:eastAsia="宋体" w:cs="宋体"/>
          <w:b/>
          <w:snapToGrid w:val="0"/>
          <w:color w:val="auto"/>
          <w:kern w:val="0"/>
          <w:highlight w:val="none"/>
        </w:rPr>
        <w:t>：</w:t>
      </w:r>
      <w:r>
        <w:rPr>
          <w:rFonts w:hint="eastAsia" w:ascii="宋体" w:hAnsi="宋体" w:eastAsia="宋体" w:cs="宋体"/>
          <w:b/>
          <w:snapToGrid w:val="0"/>
          <w:color w:val="auto"/>
          <w:w w:val="100"/>
          <w:kern w:val="0"/>
          <w:sz w:val="21"/>
          <w:szCs w:val="24"/>
          <w:highlight w:val="none"/>
          <w:u w:val="none"/>
          <w:lang w:val="en-US" w:eastAsia="zh-CN"/>
        </w:rPr>
        <w:t>纸质投标保函递交情况一览表（如有）</w:t>
      </w:r>
    </w:p>
    <w:p w14:paraId="4916C12E">
      <w:pPr>
        <w:autoSpaceDE w:val="0"/>
        <w:autoSpaceDN w:val="0"/>
        <w:adjustRightInd w:val="0"/>
        <w:snapToGrid w:val="0"/>
        <w:spacing w:before="62" w:beforeLines="20" w:line="360" w:lineRule="auto"/>
        <w:jc w:val="center"/>
        <w:rPr>
          <w:rFonts w:hint="eastAsia" w:ascii="宋体" w:hAnsi="宋体" w:eastAsia="宋体" w:cs="宋体"/>
          <w:color w:val="auto"/>
          <w:szCs w:val="21"/>
          <w:highlight w:val="none"/>
          <w:lang w:val="en-US" w:eastAsia="zh-CN"/>
        </w:rPr>
      </w:pPr>
      <w:r>
        <w:rPr>
          <w:rFonts w:hint="eastAsia" w:ascii="宋体" w:hAnsi="宋体" w:cs="宋体"/>
          <w:b/>
          <w:snapToGrid w:val="0"/>
          <w:color w:val="auto"/>
          <w:w w:val="99"/>
          <w:kern w:val="0"/>
          <w:sz w:val="28"/>
          <w:szCs w:val="28"/>
          <w:highlight w:val="none"/>
          <w:u w:val="single"/>
          <w:lang w:eastAsia="zh-CN"/>
        </w:rPr>
        <w:t>巫溪至开州高速公路项目机电工程高压外电接入施工专项分包</w:t>
      </w:r>
      <w:r>
        <w:rPr>
          <w:rFonts w:hint="eastAsia" w:ascii="宋体" w:hAnsi="宋体" w:eastAsia="宋体" w:cs="宋体"/>
          <w:b/>
          <w:snapToGrid w:val="0"/>
          <w:color w:val="auto"/>
          <w:w w:val="99"/>
          <w:kern w:val="0"/>
          <w:sz w:val="28"/>
          <w:szCs w:val="28"/>
          <w:highlight w:val="none"/>
          <w:u w:val="single"/>
          <w:lang w:val="en-US" w:eastAsia="zh-CN"/>
        </w:rPr>
        <w:t>纸质投标保函递交情况一览表</w:t>
      </w:r>
    </w:p>
    <w:p w14:paraId="3F9E8DE2">
      <w:pPr>
        <w:autoSpaceDE w:val="0"/>
        <w:autoSpaceDN w:val="0"/>
        <w:adjustRightInd w:val="0"/>
        <w:snapToGrid w:val="0"/>
        <w:spacing w:before="62" w:beforeLines="20" w:line="360" w:lineRule="auto"/>
        <w:ind w:firstLine="8610" w:firstLineChars="4100"/>
        <w:jc w:val="both"/>
        <w:rPr>
          <w:rFonts w:hint="eastAsia" w:ascii="宋体" w:hAnsi="宋体" w:eastAsia="宋体" w:cs="宋体"/>
          <w:color w:val="auto"/>
          <w:szCs w:val="21"/>
          <w:highlight w:val="none"/>
          <w:lang w:val="en-US" w:eastAsia="zh-CN"/>
        </w:rPr>
      </w:pPr>
      <w:r>
        <w:rPr>
          <w:rFonts w:hint="eastAsia" w:ascii="宋体" w:hAnsi="宋体" w:eastAsia="宋体" w:cs="宋体"/>
          <w:snapToGrid w:val="0"/>
          <w:color w:val="auto"/>
          <w:kern w:val="0"/>
          <w:szCs w:val="21"/>
          <w:highlight w:val="none"/>
          <w:lang w:val="en-US" w:eastAsia="zh-CN"/>
        </w:rPr>
        <w:t>投标截止时间</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时</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分</w:t>
      </w:r>
    </w:p>
    <w:tbl>
      <w:tblPr>
        <w:tblStyle w:val="34"/>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4160"/>
        <w:gridCol w:w="3088"/>
        <w:gridCol w:w="2987"/>
        <w:gridCol w:w="3175"/>
      </w:tblGrid>
      <w:tr w14:paraId="2BA5C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14:paraId="77F9D047">
            <w:pPr>
              <w:keepNext w:val="0"/>
              <w:keepLines w:val="0"/>
              <w:suppressLineNumbers w:val="0"/>
              <w:autoSpaceDE w:val="0"/>
              <w:autoSpaceDN w:val="0"/>
              <w:adjustRightInd w:val="0"/>
              <w:snapToGrid w:val="0"/>
              <w:spacing w:before="62" w:beforeLines="20" w:beforeAutospacing="0" w:after="0" w:afterAutospacing="0" w:line="360" w:lineRule="auto"/>
              <w:ind w:left="0" w:right="0"/>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序号</w:t>
            </w:r>
          </w:p>
        </w:tc>
        <w:tc>
          <w:tcPr>
            <w:tcW w:w="4160" w:type="dxa"/>
          </w:tcPr>
          <w:p w14:paraId="703A5B80">
            <w:pPr>
              <w:keepNext w:val="0"/>
              <w:keepLines w:val="0"/>
              <w:suppressLineNumbers w:val="0"/>
              <w:autoSpaceDE w:val="0"/>
              <w:autoSpaceDN w:val="0"/>
              <w:adjustRightInd w:val="0"/>
              <w:snapToGrid w:val="0"/>
              <w:spacing w:before="62" w:beforeLines="20" w:beforeAutospacing="0" w:after="0" w:afterAutospacing="0" w:line="360" w:lineRule="auto"/>
              <w:ind w:left="0" w:right="0"/>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投标人</w:t>
            </w:r>
          </w:p>
        </w:tc>
        <w:tc>
          <w:tcPr>
            <w:tcW w:w="3088" w:type="dxa"/>
          </w:tcPr>
          <w:p w14:paraId="70C3C3AE">
            <w:pPr>
              <w:keepNext w:val="0"/>
              <w:keepLines w:val="0"/>
              <w:suppressLineNumbers w:val="0"/>
              <w:autoSpaceDE w:val="0"/>
              <w:autoSpaceDN w:val="0"/>
              <w:adjustRightInd w:val="0"/>
              <w:snapToGrid w:val="0"/>
              <w:spacing w:before="62" w:beforeLines="20" w:beforeAutospacing="0" w:after="0" w:afterAutospacing="0" w:line="360" w:lineRule="auto"/>
              <w:ind w:left="0" w:right="0"/>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金额（元）</w:t>
            </w:r>
          </w:p>
        </w:tc>
        <w:tc>
          <w:tcPr>
            <w:tcW w:w="2987" w:type="dxa"/>
          </w:tcPr>
          <w:p w14:paraId="4EC6DBBD">
            <w:pPr>
              <w:keepNext w:val="0"/>
              <w:keepLines w:val="0"/>
              <w:suppressLineNumbers w:val="0"/>
              <w:autoSpaceDE w:val="0"/>
              <w:autoSpaceDN w:val="0"/>
              <w:adjustRightInd w:val="0"/>
              <w:snapToGrid w:val="0"/>
              <w:spacing w:before="62" w:beforeLines="20" w:beforeAutospacing="0" w:after="0" w:afterAutospacing="0" w:line="360" w:lineRule="auto"/>
              <w:ind w:left="0" w:right="0"/>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递交时间</w:t>
            </w:r>
          </w:p>
        </w:tc>
        <w:tc>
          <w:tcPr>
            <w:tcW w:w="3175" w:type="dxa"/>
          </w:tcPr>
          <w:p w14:paraId="7466499E">
            <w:pPr>
              <w:keepNext w:val="0"/>
              <w:keepLines w:val="0"/>
              <w:suppressLineNumbers w:val="0"/>
              <w:autoSpaceDE w:val="0"/>
              <w:autoSpaceDN w:val="0"/>
              <w:adjustRightInd w:val="0"/>
              <w:snapToGrid w:val="0"/>
              <w:spacing w:before="62" w:beforeLines="20" w:beforeAutospacing="0" w:after="0" w:afterAutospacing="0" w:line="360" w:lineRule="auto"/>
              <w:ind w:left="0" w:right="0"/>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备注</w:t>
            </w:r>
          </w:p>
        </w:tc>
      </w:tr>
      <w:tr w14:paraId="3AAF1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14:paraId="13B661A2">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4160" w:type="dxa"/>
          </w:tcPr>
          <w:p w14:paraId="42A1E7F1">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088" w:type="dxa"/>
          </w:tcPr>
          <w:p w14:paraId="60A8CB2B">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2987" w:type="dxa"/>
          </w:tcPr>
          <w:p w14:paraId="1F5E26E2">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175" w:type="dxa"/>
          </w:tcPr>
          <w:p w14:paraId="6B892E9C">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r>
      <w:tr w14:paraId="03CEE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14:paraId="775B9A46">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4160" w:type="dxa"/>
          </w:tcPr>
          <w:p w14:paraId="32E387B1">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088" w:type="dxa"/>
          </w:tcPr>
          <w:p w14:paraId="10106049">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2987" w:type="dxa"/>
          </w:tcPr>
          <w:p w14:paraId="6A21BBA4">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175" w:type="dxa"/>
          </w:tcPr>
          <w:p w14:paraId="4B457BC1">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r>
      <w:tr w14:paraId="20C7A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14:paraId="0855F84A">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4160" w:type="dxa"/>
          </w:tcPr>
          <w:p w14:paraId="40B217E2">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088" w:type="dxa"/>
          </w:tcPr>
          <w:p w14:paraId="62A1CEAF">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2987" w:type="dxa"/>
          </w:tcPr>
          <w:p w14:paraId="007CFEA5">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175" w:type="dxa"/>
          </w:tcPr>
          <w:p w14:paraId="1D6D8E9B">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r>
      <w:tr w14:paraId="7D5A6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14:paraId="0D6067D3">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4160" w:type="dxa"/>
          </w:tcPr>
          <w:p w14:paraId="17DC99D8">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088" w:type="dxa"/>
          </w:tcPr>
          <w:p w14:paraId="172403EB">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2987" w:type="dxa"/>
          </w:tcPr>
          <w:p w14:paraId="3BB08B24">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175" w:type="dxa"/>
          </w:tcPr>
          <w:p w14:paraId="1D9F3519">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r>
      <w:tr w14:paraId="79BD0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14:paraId="5943AD5D">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4160" w:type="dxa"/>
          </w:tcPr>
          <w:p w14:paraId="497964A4">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088" w:type="dxa"/>
          </w:tcPr>
          <w:p w14:paraId="3F4F46B1">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2987" w:type="dxa"/>
          </w:tcPr>
          <w:p w14:paraId="52F3B4D2">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175" w:type="dxa"/>
          </w:tcPr>
          <w:p w14:paraId="2AE4ED5F">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r>
      <w:tr w14:paraId="1CAD5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14:paraId="3265C6E6">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4160" w:type="dxa"/>
          </w:tcPr>
          <w:p w14:paraId="2A83FD5A">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088" w:type="dxa"/>
          </w:tcPr>
          <w:p w14:paraId="1C14D0FE">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2987" w:type="dxa"/>
          </w:tcPr>
          <w:p w14:paraId="2D75FDDD">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175" w:type="dxa"/>
          </w:tcPr>
          <w:p w14:paraId="75325A7B">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r>
      <w:tr w14:paraId="0F0EB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14:paraId="376EF620">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4160" w:type="dxa"/>
          </w:tcPr>
          <w:p w14:paraId="003FB53C">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088" w:type="dxa"/>
          </w:tcPr>
          <w:p w14:paraId="6DBE2C80">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2987" w:type="dxa"/>
          </w:tcPr>
          <w:p w14:paraId="678A37D6">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175" w:type="dxa"/>
          </w:tcPr>
          <w:p w14:paraId="6FD80D0F">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r>
      <w:tr w14:paraId="42625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14:paraId="6BE2D84F">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4160" w:type="dxa"/>
          </w:tcPr>
          <w:p w14:paraId="745A067A">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088" w:type="dxa"/>
          </w:tcPr>
          <w:p w14:paraId="6DC63BA3">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2987" w:type="dxa"/>
          </w:tcPr>
          <w:p w14:paraId="409DE7E2">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175" w:type="dxa"/>
          </w:tcPr>
          <w:p w14:paraId="304A569D">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r>
      <w:tr w14:paraId="1BEB0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14:paraId="65E8158A">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4160" w:type="dxa"/>
          </w:tcPr>
          <w:p w14:paraId="576EBFD7">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088" w:type="dxa"/>
          </w:tcPr>
          <w:p w14:paraId="6FBDEC3F">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2987" w:type="dxa"/>
          </w:tcPr>
          <w:p w14:paraId="3A53BE04">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175" w:type="dxa"/>
          </w:tcPr>
          <w:p w14:paraId="26F3059E">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r>
      <w:tr w14:paraId="51278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14:paraId="2362C99A">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4160" w:type="dxa"/>
          </w:tcPr>
          <w:p w14:paraId="2375FF63">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088" w:type="dxa"/>
          </w:tcPr>
          <w:p w14:paraId="37310100">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2987" w:type="dxa"/>
          </w:tcPr>
          <w:p w14:paraId="67F0CF4A">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175" w:type="dxa"/>
          </w:tcPr>
          <w:p w14:paraId="66C51FBE">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r>
      <w:tr w14:paraId="2977C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14:paraId="3195E5A8">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4160" w:type="dxa"/>
          </w:tcPr>
          <w:p w14:paraId="285CAE1B">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088" w:type="dxa"/>
          </w:tcPr>
          <w:p w14:paraId="64CB6882">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2987" w:type="dxa"/>
          </w:tcPr>
          <w:p w14:paraId="47AC10FE">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175" w:type="dxa"/>
          </w:tcPr>
          <w:p w14:paraId="58EBBF52">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r>
      <w:tr w14:paraId="72B5C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14:paraId="00B3648A">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4160" w:type="dxa"/>
          </w:tcPr>
          <w:p w14:paraId="748101E3">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088" w:type="dxa"/>
          </w:tcPr>
          <w:p w14:paraId="1F8A25C4">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2987" w:type="dxa"/>
          </w:tcPr>
          <w:p w14:paraId="338C58A7">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c>
          <w:tcPr>
            <w:tcW w:w="3175" w:type="dxa"/>
          </w:tcPr>
          <w:p w14:paraId="3949B7C0">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eastAsia" w:ascii="宋体" w:hAnsi="宋体" w:eastAsia="宋体" w:cs="宋体"/>
                <w:color w:val="auto"/>
                <w:szCs w:val="21"/>
                <w:highlight w:val="none"/>
                <w:vertAlign w:val="baseline"/>
                <w:lang w:val="en-US" w:eastAsia="zh-CN"/>
              </w:rPr>
            </w:pPr>
          </w:p>
        </w:tc>
      </w:tr>
    </w:tbl>
    <w:p w14:paraId="035FB90A">
      <w:pPr>
        <w:tabs>
          <w:tab w:val="left" w:pos="2740"/>
          <w:tab w:val="left" w:pos="4940"/>
          <w:tab w:val="left" w:pos="6930"/>
        </w:tabs>
        <w:autoSpaceDE w:val="0"/>
        <w:autoSpaceDN w:val="0"/>
        <w:adjustRightInd w:val="0"/>
        <w:snapToGrid w:val="0"/>
        <w:spacing w:line="360" w:lineRule="auto"/>
        <w:jc w:val="left"/>
        <w:rPr>
          <w:rFonts w:hint="eastAsia" w:ascii="宋体" w:hAnsi="宋体" w:eastAsia="宋体" w:cs="宋体"/>
          <w:snapToGrid w:val="0"/>
          <w:color w:val="auto"/>
          <w:w w:val="200"/>
          <w:kern w:val="0"/>
          <w:szCs w:val="21"/>
          <w:highlight w:val="none"/>
          <w:u w:val="single"/>
        </w:rPr>
      </w:pPr>
      <w:r>
        <w:rPr>
          <w:rFonts w:hint="eastAsia" w:ascii="宋体" w:hAnsi="宋体" w:eastAsia="宋体" w:cs="宋体"/>
          <w:snapToGrid w:val="0"/>
          <w:color w:val="auto"/>
          <w:kern w:val="0"/>
          <w:szCs w:val="21"/>
          <w:highlight w:val="none"/>
        </w:rPr>
        <w:t>监标人：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w w:val="200"/>
          <w:kern w:val="0"/>
          <w:szCs w:val="21"/>
          <w:highlight w:val="none"/>
        </w:rPr>
        <w:t xml:space="preserve">      </w:t>
      </w:r>
      <w:r>
        <w:rPr>
          <w:rFonts w:hint="eastAsia" w:ascii="宋体" w:hAnsi="宋体" w:eastAsia="宋体" w:cs="宋体"/>
          <w:snapToGrid w:val="0"/>
          <w:color w:val="auto"/>
          <w:w w:val="200"/>
          <w:kern w:val="0"/>
          <w:szCs w:val="21"/>
          <w:highlight w:val="none"/>
          <w:lang w:val="en-US" w:eastAsia="zh-CN"/>
        </w:rPr>
        <w:t xml:space="preserve">      </w:t>
      </w:r>
      <w:r>
        <w:rPr>
          <w:rFonts w:hint="eastAsia" w:ascii="宋体" w:hAnsi="宋体" w:eastAsia="宋体" w:cs="宋体"/>
          <w:snapToGrid w:val="0"/>
          <w:color w:val="auto"/>
          <w:kern w:val="0"/>
          <w:szCs w:val="21"/>
          <w:highlight w:val="none"/>
        </w:rPr>
        <w:t>记录人：</w:t>
      </w:r>
      <w:r>
        <w:rPr>
          <w:rFonts w:hint="eastAsia" w:ascii="宋体" w:hAnsi="宋体" w:eastAsia="宋体" w:cs="宋体"/>
          <w:snapToGrid w:val="0"/>
          <w:color w:val="auto"/>
          <w:w w:val="200"/>
          <w:kern w:val="0"/>
          <w:szCs w:val="21"/>
          <w:highlight w:val="none"/>
          <w:u w:val="single"/>
        </w:rPr>
        <w:t xml:space="preserve">      </w:t>
      </w:r>
    </w:p>
    <w:p w14:paraId="556B4D46">
      <w:pPr>
        <w:autoSpaceDE w:val="0"/>
        <w:autoSpaceDN w:val="0"/>
        <w:adjustRightInd w:val="0"/>
        <w:snapToGrid w:val="0"/>
        <w:spacing w:before="62" w:beforeLines="20" w:line="360" w:lineRule="auto"/>
        <w:jc w:val="right"/>
        <w:rPr>
          <w:rFonts w:hint="eastAsia" w:ascii="宋体" w:hAnsi="宋体" w:eastAsia="宋体" w:cs="宋体"/>
          <w:snapToGrid w:val="0"/>
          <w:color w:val="auto"/>
          <w:kern w:val="0"/>
          <w:szCs w:val="21"/>
          <w:highlight w:val="none"/>
        </w:rPr>
        <w:sectPr>
          <w:pgSz w:w="16838" w:h="11906" w:orient="landscape"/>
          <w:pgMar w:top="1304" w:right="1304" w:bottom="1134" w:left="1304" w:header="851" w:footer="992" w:gutter="0"/>
          <w:cols w:space="720" w:num="1"/>
          <w:docGrid w:type="lines" w:linePitch="312" w:charSpace="0"/>
        </w:sectPr>
      </w:pP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r>
        <w:rPr>
          <w:rFonts w:hint="eastAsia" w:ascii="宋体" w:hAnsi="宋体" w:eastAsia="宋体" w:cs="宋体"/>
          <w:snapToGrid w:val="0"/>
          <w:color w:val="auto"/>
          <w:kern w:val="0"/>
          <w:sz w:val="24"/>
          <w:highlight w:val="none"/>
          <w:u w:val="single"/>
        </w:rPr>
        <w:t xml:space="preserve">    </w:t>
      </w:r>
    </w:p>
    <w:p w14:paraId="73BDCE72">
      <w:pPr>
        <w:autoSpaceDE w:val="0"/>
        <w:autoSpaceDN w:val="0"/>
        <w:adjustRightInd w:val="0"/>
        <w:snapToGrid w:val="0"/>
        <w:spacing w:before="62" w:beforeLines="20" w:line="360" w:lineRule="auto"/>
        <w:jc w:val="both"/>
        <w:rPr>
          <w:rFonts w:hint="eastAsia" w:ascii="宋体" w:hAnsi="宋体" w:eastAsia="宋体" w:cs="宋体"/>
          <w:snapToGrid w:val="0"/>
          <w:color w:val="auto"/>
          <w:kern w:val="0"/>
          <w:sz w:val="24"/>
          <w:highlight w:val="none"/>
        </w:rPr>
      </w:pPr>
    </w:p>
    <w:p w14:paraId="47E66B36">
      <w:pPr>
        <w:pStyle w:val="2"/>
        <w:rPr>
          <w:rFonts w:hint="eastAsia" w:ascii="宋体" w:hAnsi="宋体" w:eastAsia="宋体" w:cs="宋体"/>
          <w:color w:val="auto"/>
          <w:highlight w:val="none"/>
        </w:rPr>
      </w:pPr>
    </w:p>
    <w:p w14:paraId="48BADA76">
      <w:pPr>
        <w:autoSpaceDE w:val="0"/>
        <w:autoSpaceDN w:val="0"/>
        <w:adjustRightInd w:val="0"/>
        <w:snapToGrid w:val="0"/>
        <w:spacing w:line="360" w:lineRule="auto"/>
        <w:jc w:val="left"/>
        <w:rPr>
          <w:rFonts w:hint="eastAsia" w:ascii="宋体" w:hAnsi="宋体" w:eastAsia="宋体" w:cs="宋体"/>
          <w:b/>
          <w:snapToGrid w:val="0"/>
          <w:color w:val="auto"/>
          <w:kern w:val="0"/>
          <w:highlight w:val="none"/>
        </w:rPr>
      </w:pPr>
      <w:r>
        <w:rPr>
          <w:rFonts w:hint="eastAsia" w:ascii="宋体" w:hAnsi="宋体" w:eastAsia="宋体" w:cs="宋体"/>
          <w:b/>
          <w:snapToGrid w:val="0"/>
          <w:color w:val="auto"/>
          <w:kern w:val="0"/>
          <w:highlight w:val="none"/>
        </w:rPr>
        <w:t>附表</w:t>
      </w:r>
      <w:r>
        <w:rPr>
          <w:rFonts w:hint="eastAsia" w:ascii="宋体" w:hAnsi="宋体" w:eastAsia="宋体" w:cs="宋体"/>
          <w:b/>
          <w:snapToGrid w:val="0"/>
          <w:color w:val="auto"/>
          <w:kern w:val="0"/>
          <w:highlight w:val="none"/>
          <w:lang w:val="en-US" w:eastAsia="zh-CN"/>
        </w:rPr>
        <w:t>三</w:t>
      </w:r>
      <w:r>
        <w:rPr>
          <w:rFonts w:hint="eastAsia" w:ascii="宋体" w:hAnsi="宋体" w:eastAsia="宋体" w:cs="宋体"/>
          <w:b/>
          <w:snapToGrid w:val="0"/>
          <w:color w:val="auto"/>
          <w:kern w:val="0"/>
          <w:highlight w:val="none"/>
        </w:rPr>
        <w:t>：问题澄清通知</w:t>
      </w:r>
    </w:p>
    <w:p w14:paraId="7B622036">
      <w:pPr>
        <w:pStyle w:val="2"/>
        <w:rPr>
          <w:rFonts w:hint="eastAsia" w:ascii="宋体" w:hAnsi="宋体" w:eastAsia="宋体" w:cs="宋体"/>
          <w:color w:val="auto"/>
          <w:highlight w:val="none"/>
        </w:rPr>
      </w:pPr>
    </w:p>
    <w:p w14:paraId="59C8659E">
      <w:pPr>
        <w:autoSpaceDE w:val="0"/>
        <w:autoSpaceDN w:val="0"/>
        <w:adjustRightInd w:val="0"/>
        <w:snapToGrid w:val="0"/>
        <w:spacing w:line="360" w:lineRule="auto"/>
        <w:jc w:val="center"/>
        <w:rPr>
          <w:rFonts w:hint="eastAsia" w:ascii="宋体" w:hAnsi="宋体" w:eastAsia="宋体" w:cs="宋体"/>
          <w:b/>
          <w:snapToGrid w:val="0"/>
          <w:color w:val="auto"/>
          <w:kern w:val="0"/>
          <w:sz w:val="32"/>
          <w:szCs w:val="32"/>
          <w:highlight w:val="none"/>
        </w:rPr>
      </w:pPr>
      <w:r>
        <w:rPr>
          <w:rFonts w:hint="eastAsia" w:ascii="宋体" w:hAnsi="宋体" w:eastAsia="宋体" w:cs="宋体"/>
          <w:b/>
          <w:snapToGrid w:val="0"/>
          <w:color w:val="auto"/>
          <w:w w:val="99"/>
          <w:kern w:val="0"/>
          <w:sz w:val="32"/>
          <w:szCs w:val="32"/>
          <w:highlight w:val="none"/>
        </w:rPr>
        <w:t>问题澄清通知</w:t>
      </w:r>
    </w:p>
    <w:p w14:paraId="46704895">
      <w:pPr>
        <w:autoSpaceDE w:val="0"/>
        <w:autoSpaceDN w:val="0"/>
        <w:adjustRightInd w:val="0"/>
        <w:snapToGrid w:val="0"/>
        <w:spacing w:line="360" w:lineRule="auto"/>
        <w:ind w:firstLine="3255" w:firstLineChars="1550"/>
        <w:jc w:val="left"/>
        <w:rPr>
          <w:rFonts w:hint="eastAsia" w:ascii="宋体" w:hAnsi="宋体" w:eastAsia="宋体" w:cs="宋体"/>
          <w:snapToGrid w:val="0"/>
          <w:color w:val="auto"/>
          <w:kern w:val="0"/>
          <w:szCs w:val="21"/>
          <w:highlight w:val="none"/>
        </w:rPr>
      </w:pPr>
    </w:p>
    <w:p w14:paraId="0A5629D8">
      <w:pPr>
        <w:autoSpaceDE w:val="0"/>
        <w:autoSpaceDN w:val="0"/>
        <w:adjustRightInd w:val="0"/>
        <w:snapToGrid w:val="0"/>
        <w:spacing w:line="360" w:lineRule="auto"/>
        <w:ind w:firstLine="3255" w:firstLineChars="155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编号：</w:t>
      </w:r>
      <w:r>
        <w:rPr>
          <w:rFonts w:hint="eastAsia" w:ascii="宋体" w:hAnsi="宋体" w:eastAsia="宋体" w:cs="宋体"/>
          <w:snapToGrid w:val="0"/>
          <w:color w:val="auto"/>
          <w:kern w:val="0"/>
          <w:szCs w:val="21"/>
          <w:highlight w:val="none"/>
          <w:u w:val="single"/>
        </w:rPr>
        <w:t xml:space="preserve">                     </w:t>
      </w:r>
    </w:p>
    <w:p w14:paraId="3A8228D6">
      <w:pPr>
        <w:autoSpaceDE w:val="0"/>
        <w:autoSpaceDN w:val="0"/>
        <w:adjustRightInd w:val="0"/>
        <w:snapToGrid w:val="0"/>
        <w:spacing w:line="360" w:lineRule="auto"/>
        <w:jc w:val="left"/>
        <w:rPr>
          <w:rFonts w:hint="eastAsia" w:ascii="宋体" w:hAnsi="宋体" w:eastAsia="宋体" w:cs="宋体"/>
          <w:b/>
          <w:snapToGrid w:val="0"/>
          <w:color w:val="auto"/>
          <w:kern w:val="0"/>
          <w:sz w:val="24"/>
          <w:highlight w:val="none"/>
        </w:rPr>
      </w:pPr>
    </w:p>
    <w:p w14:paraId="32484147">
      <w:pPr>
        <w:autoSpaceDE w:val="0"/>
        <w:autoSpaceDN w:val="0"/>
        <w:adjustRightInd w:val="0"/>
        <w:snapToGrid w:val="0"/>
        <w:spacing w:line="360" w:lineRule="auto"/>
        <w:rPr>
          <w:rFonts w:hint="eastAsia" w:ascii="宋体" w:hAnsi="宋体" w:eastAsia="宋体" w:cs="宋体"/>
          <w:snapToGrid w:val="0"/>
          <w:color w:val="auto"/>
          <w:kern w:val="0"/>
          <w:sz w:val="28"/>
          <w:szCs w:val="28"/>
          <w:highlight w:val="none"/>
        </w:rPr>
      </w:pPr>
    </w:p>
    <w:p w14:paraId="25522FE5">
      <w:pPr>
        <w:tabs>
          <w:tab w:val="left" w:pos="1580"/>
        </w:tabs>
        <w:autoSpaceDE w:val="0"/>
        <w:autoSpaceDN w:val="0"/>
        <w:adjustRightInd w:val="0"/>
        <w:snapToGrid w:val="0"/>
        <w:spacing w:line="48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（投标人名称）</w:t>
      </w:r>
      <w:r>
        <w:rPr>
          <w:rFonts w:hint="eastAsia" w:ascii="宋体" w:hAnsi="宋体" w:eastAsia="宋体" w:cs="宋体"/>
          <w:snapToGrid w:val="0"/>
          <w:color w:val="auto"/>
          <w:kern w:val="0"/>
          <w:szCs w:val="21"/>
          <w:highlight w:val="none"/>
        </w:rPr>
        <w:t>：</w:t>
      </w:r>
    </w:p>
    <w:p w14:paraId="464FDE3C">
      <w:pPr>
        <w:tabs>
          <w:tab w:val="left" w:pos="2320"/>
          <w:tab w:val="left" w:pos="4460"/>
        </w:tabs>
        <w:autoSpaceDE w:val="0"/>
        <w:autoSpaceDN w:val="0"/>
        <w:adjustRightInd w:val="0"/>
        <w:snapToGrid w:val="0"/>
        <w:spacing w:line="480" w:lineRule="auto"/>
        <w:ind w:firstLine="424" w:firstLineChars="101"/>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cs="宋体"/>
          <w:snapToGrid w:val="0"/>
          <w:color w:val="auto"/>
          <w:kern w:val="0"/>
          <w:szCs w:val="21"/>
          <w:highlight w:val="none"/>
          <w:u w:val="single"/>
          <w:lang w:eastAsia="zh-CN"/>
        </w:rPr>
        <w:t>巫溪至开州高速公路项目机电工程高压外电接入施工专项分包</w:t>
      </w:r>
      <w:r>
        <w:rPr>
          <w:rFonts w:hint="eastAsia" w:ascii="宋体" w:hAnsi="宋体" w:eastAsia="宋体" w:cs="宋体"/>
          <w:snapToGrid w:val="0"/>
          <w:color w:val="auto"/>
          <w:kern w:val="0"/>
          <w:szCs w:val="21"/>
          <w:highlight w:val="none"/>
        </w:rPr>
        <w:t>招标的评标委员会，对你方的投标文件进行了仔细的审查，现需你方对下列问题予以澄清：</w:t>
      </w:r>
    </w:p>
    <w:p w14:paraId="6EE0342A">
      <w:pPr>
        <w:autoSpaceDE w:val="0"/>
        <w:autoSpaceDN w:val="0"/>
        <w:adjustRightInd w:val="0"/>
        <w:snapToGrid w:val="0"/>
        <w:spacing w:line="360" w:lineRule="auto"/>
        <w:jc w:val="left"/>
        <w:rPr>
          <w:rFonts w:hint="eastAsia" w:ascii="宋体" w:hAnsi="宋体" w:eastAsia="宋体" w:cs="宋体"/>
          <w:snapToGrid w:val="0"/>
          <w:color w:val="auto"/>
          <w:kern w:val="0"/>
          <w:sz w:val="24"/>
          <w:highlight w:val="none"/>
        </w:rPr>
      </w:pPr>
    </w:p>
    <w:p w14:paraId="52BB91DF">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1. </w:t>
      </w:r>
    </w:p>
    <w:p w14:paraId="33D0C7CD">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14:paraId="756E73ED">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14:paraId="52EB3BD3">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14:paraId="2C90C9D3">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2. </w:t>
      </w:r>
    </w:p>
    <w:p w14:paraId="44CDA6B0">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14:paraId="247072DE">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p w14:paraId="6A89C9BA">
      <w:pPr>
        <w:autoSpaceDE w:val="0"/>
        <w:autoSpaceDN w:val="0"/>
        <w:adjustRightInd w:val="0"/>
        <w:snapToGrid w:val="0"/>
        <w:spacing w:line="360" w:lineRule="auto"/>
        <w:jc w:val="left"/>
        <w:rPr>
          <w:rFonts w:hint="eastAsia" w:ascii="宋体" w:hAnsi="宋体" w:eastAsia="宋体" w:cs="宋体"/>
          <w:snapToGrid w:val="0"/>
          <w:color w:val="auto"/>
          <w:kern w:val="0"/>
          <w:sz w:val="14"/>
          <w:szCs w:val="14"/>
          <w:highlight w:val="none"/>
        </w:rPr>
      </w:pPr>
    </w:p>
    <w:p w14:paraId="05CBF43F">
      <w:pPr>
        <w:autoSpaceDE w:val="0"/>
        <w:autoSpaceDN w:val="0"/>
        <w:adjustRightInd w:val="0"/>
        <w:snapToGrid w:val="0"/>
        <w:spacing w:line="360" w:lineRule="auto"/>
        <w:jc w:val="left"/>
        <w:rPr>
          <w:rFonts w:hint="eastAsia" w:ascii="宋体" w:hAnsi="宋体" w:eastAsia="宋体" w:cs="宋体"/>
          <w:snapToGrid w:val="0"/>
          <w:color w:val="auto"/>
          <w:kern w:val="0"/>
          <w:sz w:val="14"/>
          <w:szCs w:val="14"/>
          <w:highlight w:val="none"/>
        </w:rPr>
      </w:pPr>
    </w:p>
    <w:p w14:paraId="3498614A">
      <w:pPr>
        <w:autoSpaceDE w:val="0"/>
        <w:autoSpaceDN w:val="0"/>
        <w:adjustRightInd w:val="0"/>
        <w:snapToGrid w:val="0"/>
        <w:spacing w:line="360" w:lineRule="auto"/>
        <w:jc w:val="left"/>
        <w:rPr>
          <w:rFonts w:hint="eastAsia" w:ascii="宋体" w:hAnsi="宋体" w:eastAsia="宋体" w:cs="宋体"/>
          <w:snapToGrid w:val="0"/>
          <w:color w:val="auto"/>
          <w:kern w:val="0"/>
          <w:sz w:val="14"/>
          <w:szCs w:val="14"/>
          <w:highlight w:val="none"/>
        </w:rPr>
      </w:pPr>
    </w:p>
    <w:p w14:paraId="4573F683">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14:paraId="54591090">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请将上述问题的澄清于</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时前提交。</w:t>
      </w:r>
    </w:p>
    <w:p w14:paraId="07D079EF">
      <w:pPr>
        <w:pStyle w:val="2"/>
        <w:rPr>
          <w:rFonts w:hint="eastAsia" w:ascii="宋体" w:hAnsi="宋体" w:eastAsia="宋体" w:cs="宋体"/>
          <w:color w:val="auto"/>
          <w:highlight w:val="none"/>
        </w:rPr>
      </w:pPr>
    </w:p>
    <w:p w14:paraId="62AE804D">
      <w:pPr>
        <w:tabs>
          <w:tab w:val="left" w:pos="6400"/>
        </w:tabs>
        <w:autoSpaceDE w:val="0"/>
        <w:autoSpaceDN w:val="0"/>
        <w:adjustRightInd w:val="0"/>
        <w:snapToGrid w:val="0"/>
        <w:spacing w:line="360" w:lineRule="auto"/>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评标委员会：</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w:t>
      </w:r>
    </w:p>
    <w:p w14:paraId="58045F6C">
      <w:pPr>
        <w:autoSpaceDE w:val="0"/>
        <w:autoSpaceDN w:val="0"/>
        <w:adjustRightInd w:val="0"/>
        <w:snapToGrid w:val="0"/>
        <w:spacing w:line="360" w:lineRule="auto"/>
        <w:ind w:firstLine="315" w:firstLineChars="150"/>
        <w:jc w:val="right"/>
        <w:rPr>
          <w:rFonts w:hint="eastAsia" w:ascii="宋体" w:hAnsi="宋体" w:eastAsia="宋体" w:cs="宋体"/>
          <w:snapToGrid w:val="0"/>
          <w:color w:val="auto"/>
          <w:kern w:val="0"/>
          <w:szCs w:val="21"/>
          <w:highlight w:val="none"/>
        </w:rPr>
      </w:pPr>
    </w:p>
    <w:p w14:paraId="773DB91B">
      <w:pPr>
        <w:wordWrap w:val="0"/>
        <w:autoSpaceDE w:val="0"/>
        <w:autoSpaceDN w:val="0"/>
        <w:adjustRightInd w:val="0"/>
        <w:snapToGrid w:val="0"/>
        <w:spacing w:line="360" w:lineRule="auto"/>
        <w:ind w:firstLine="850" w:firstLineChars="405"/>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p>
    <w:p w14:paraId="7B3B1A78">
      <w:pPr>
        <w:autoSpaceDE w:val="0"/>
        <w:autoSpaceDN w:val="0"/>
        <w:adjustRightInd w:val="0"/>
        <w:snapToGrid w:val="0"/>
        <w:spacing w:line="360" w:lineRule="auto"/>
        <w:jc w:val="left"/>
        <w:rPr>
          <w:rFonts w:hint="eastAsia" w:ascii="宋体" w:hAnsi="宋体" w:eastAsia="宋体" w:cs="宋体"/>
          <w:b/>
          <w:snapToGrid w:val="0"/>
          <w:color w:val="auto"/>
          <w:kern w:val="0"/>
          <w:highlight w:val="none"/>
        </w:rPr>
      </w:pPr>
      <w:r>
        <w:rPr>
          <w:rFonts w:hint="eastAsia" w:ascii="宋体" w:hAnsi="宋体" w:eastAsia="宋体" w:cs="宋体"/>
          <w:b/>
          <w:snapToGrid w:val="0"/>
          <w:color w:val="auto"/>
          <w:kern w:val="0"/>
          <w:highlight w:val="none"/>
        </w:rPr>
        <w:br w:type="page"/>
      </w:r>
      <w:r>
        <w:rPr>
          <w:rFonts w:hint="eastAsia" w:ascii="宋体" w:hAnsi="宋体" w:eastAsia="宋体" w:cs="宋体"/>
          <w:b/>
          <w:snapToGrid w:val="0"/>
          <w:color w:val="auto"/>
          <w:kern w:val="0"/>
          <w:highlight w:val="none"/>
        </w:rPr>
        <w:t>附表</w:t>
      </w:r>
      <w:r>
        <w:rPr>
          <w:rFonts w:hint="eastAsia" w:ascii="宋体" w:hAnsi="宋体" w:eastAsia="宋体" w:cs="宋体"/>
          <w:b/>
          <w:snapToGrid w:val="0"/>
          <w:color w:val="auto"/>
          <w:kern w:val="0"/>
          <w:highlight w:val="none"/>
          <w:lang w:val="en-US" w:eastAsia="zh-CN"/>
        </w:rPr>
        <w:t>四</w:t>
      </w:r>
      <w:r>
        <w:rPr>
          <w:rFonts w:hint="eastAsia" w:ascii="宋体" w:hAnsi="宋体" w:eastAsia="宋体" w:cs="宋体"/>
          <w:b/>
          <w:snapToGrid w:val="0"/>
          <w:color w:val="auto"/>
          <w:kern w:val="0"/>
          <w:highlight w:val="none"/>
        </w:rPr>
        <w:t>：问题的澄清</w:t>
      </w:r>
    </w:p>
    <w:p w14:paraId="6B85F912">
      <w:pPr>
        <w:autoSpaceDE w:val="0"/>
        <w:autoSpaceDN w:val="0"/>
        <w:adjustRightInd w:val="0"/>
        <w:snapToGrid w:val="0"/>
        <w:spacing w:line="360" w:lineRule="auto"/>
        <w:jc w:val="left"/>
        <w:rPr>
          <w:rFonts w:hint="eastAsia" w:ascii="宋体" w:hAnsi="宋体" w:eastAsia="宋体" w:cs="宋体"/>
          <w:b/>
          <w:snapToGrid w:val="0"/>
          <w:color w:val="auto"/>
          <w:kern w:val="0"/>
          <w:sz w:val="10"/>
          <w:szCs w:val="10"/>
          <w:highlight w:val="none"/>
        </w:rPr>
      </w:pPr>
    </w:p>
    <w:p w14:paraId="280F6302">
      <w:pPr>
        <w:autoSpaceDE w:val="0"/>
        <w:autoSpaceDN w:val="0"/>
        <w:adjustRightInd w:val="0"/>
        <w:snapToGrid w:val="0"/>
        <w:spacing w:line="360" w:lineRule="auto"/>
        <w:rPr>
          <w:rFonts w:hint="eastAsia" w:ascii="宋体" w:hAnsi="宋体" w:eastAsia="宋体" w:cs="宋体"/>
          <w:b/>
          <w:snapToGrid w:val="0"/>
          <w:color w:val="auto"/>
          <w:w w:val="99"/>
          <w:kern w:val="0"/>
          <w:sz w:val="32"/>
          <w:szCs w:val="32"/>
          <w:highlight w:val="none"/>
        </w:rPr>
      </w:pPr>
    </w:p>
    <w:p w14:paraId="7BBFF3FA">
      <w:pPr>
        <w:autoSpaceDE w:val="0"/>
        <w:autoSpaceDN w:val="0"/>
        <w:adjustRightInd w:val="0"/>
        <w:snapToGrid w:val="0"/>
        <w:spacing w:line="360" w:lineRule="auto"/>
        <w:jc w:val="center"/>
        <w:rPr>
          <w:rFonts w:hint="eastAsia" w:ascii="宋体" w:hAnsi="宋体" w:eastAsia="宋体" w:cs="宋体"/>
          <w:b/>
          <w:snapToGrid w:val="0"/>
          <w:color w:val="auto"/>
          <w:kern w:val="0"/>
          <w:sz w:val="32"/>
          <w:szCs w:val="32"/>
          <w:highlight w:val="none"/>
        </w:rPr>
      </w:pPr>
      <w:r>
        <w:rPr>
          <w:rFonts w:hint="eastAsia" w:ascii="宋体" w:hAnsi="宋体" w:eastAsia="宋体" w:cs="宋体"/>
          <w:b/>
          <w:snapToGrid w:val="0"/>
          <w:color w:val="auto"/>
          <w:w w:val="99"/>
          <w:kern w:val="0"/>
          <w:sz w:val="32"/>
          <w:szCs w:val="32"/>
          <w:highlight w:val="none"/>
        </w:rPr>
        <w:t>问题的澄清</w:t>
      </w:r>
    </w:p>
    <w:p w14:paraId="2D7EDDCC">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14:paraId="553052D4">
      <w:pPr>
        <w:autoSpaceDE w:val="0"/>
        <w:autoSpaceDN w:val="0"/>
        <w:adjustRightInd w:val="0"/>
        <w:snapToGrid w:val="0"/>
        <w:spacing w:line="360" w:lineRule="auto"/>
        <w:ind w:firstLine="3255" w:firstLineChars="155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编号：</w:t>
      </w:r>
      <w:r>
        <w:rPr>
          <w:rFonts w:hint="eastAsia" w:ascii="宋体" w:hAnsi="宋体" w:eastAsia="宋体" w:cs="宋体"/>
          <w:snapToGrid w:val="0"/>
          <w:color w:val="auto"/>
          <w:kern w:val="0"/>
          <w:szCs w:val="21"/>
          <w:highlight w:val="none"/>
          <w:u w:val="single"/>
        </w:rPr>
        <w:t xml:space="preserve">                     </w:t>
      </w:r>
    </w:p>
    <w:p w14:paraId="557678D4">
      <w:pPr>
        <w:autoSpaceDE w:val="0"/>
        <w:autoSpaceDN w:val="0"/>
        <w:adjustRightInd w:val="0"/>
        <w:snapToGrid w:val="0"/>
        <w:spacing w:line="360" w:lineRule="auto"/>
        <w:rPr>
          <w:rFonts w:hint="eastAsia" w:ascii="宋体" w:hAnsi="宋体" w:eastAsia="宋体" w:cs="宋体"/>
          <w:snapToGrid w:val="0"/>
          <w:color w:val="auto"/>
          <w:kern w:val="0"/>
          <w:szCs w:val="21"/>
          <w:highlight w:val="none"/>
        </w:rPr>
      </w:pPr>
    </w:p>
    <w:p w14:paraId="272897BD">
      <w:pPr>
        <w:autoSpaceDE w:val="0"/>
        <w:autoSpaceDN w:val="0"/>
        <w:adjustRightInd w:val="0"/>
        <w:snapToGrid w:val="0"/>
        <w:spacing w:line="360" w:lineRule="auto"/>
        <w:rPr>
          <w:rFonts w:hint="eastAsia" w:ascii="宋体" w:hAnsi="宋体" w:eastAsia="宋体" w:cs="宋体"/>
          <w:snapToGrid w:val="0"/>
          <w:color w:val="auto"/>
          <w:kern w:val="0"/>
          <w:szCs w:val="21"/>
          <w:highlight w:val="none"/>
        </w:rPr>
      </w:pPr>
    </w:p>
    <w:p w14:paraId="2603C110">
      <w:pPr>
        <w:tabs>
          <w:tab w:val="left" w:pos="2415"/>
          <w:tab w:val="left" w:pos="3480"/>
          <w:tab w:val="left" w:pos="4200"/>
        </w:tabs>
        <w:autoSpaceDE w:val="0"/>
        <w:autoSpaceDN w:val="0"/>
        <w:adjustRightInd w:val="0"/>
        <w:snapToGrid w:val="0"/>
        <w:spacing w:line="48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w w:val="200"/>
          <w:kern w:val="0"/>
          <w:szCs w:val="21"/>
          <w:highlight w:val="none"/>
          <w:u w:val="single"/>
        </w:rPr>
        <w:t xml:space="preserve">  </w:t>
      </w:r>
      <w:r>
        <w:rPr>
          <w:rFonts w:hint="eastAsia" w:ascii="宋体" w:hAnsi="宋体" w:cs="宋体"/>
          <w:snapToGrid w:val="0"/>
          <w:color w:val="auto"/>
          <w:kern w:val="0"/>
          <w:szCs w:val="21"/>
          <w:highlight w:val="none"/>
          <w:u w:val="single"/>
          <w:lang w:eastAsia="zh-CN"/>
        </w:rPr>
        <w:t>巫溪至开州高速公路项目机电工程高压外电接入施工专项分包</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招标评标委员会：</w:t>
      </w:r>
    </w:p>
    <w:p w14:paraId="263118F5">
      <w:pPr>
        <w:tabs>
          <w:tab w:val="left" w:pos="2000"/>
          <w:tab w:val="left" w:pos="3480"/>
          <w:tab w:val="left" w:pos="4200"/>
        </w:tabs>
        <w:autoSpaceDE w:val="0"/>
        <w:autoSpaceDN w:val="0"/>
        <w:adjustRightInd w:val="0"/>
        <w:snapToGrid w:val="0"/>
        <w:spacing w:line="48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问题澄清通知（编号：</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rPr>
        <w:t>）已收悉，现澄清如下：</w:t>
      </w:r>
    </w:p>
    <w:p w14:paraId="67B8BC09">
      <w:pPr>
        <w:tabs>
          <w:tab w:val="left" w:pos="2000"/>
          <w:tab w:val="left" w:pos="3480"/>
          <w:tab w:val="left" w:pos="4200"/>
        </w:tabs>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14:paraId="47C0AFE0">
      <w:pPr>
        <w:tabs>
          <w:tab w:val="left" w:pos="2000"/>
          <w:tab w:val="left" w:pos="3480"/>
          <w:tab w:val="left" w:pos="4200"/>
        </w:tabs>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14:paraId="2AB9D7E9">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1. </w:t>
      </w:r>
    </w:p>
    <w:p w14:paraId="46005A77">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14:paraId="3E1CC258">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14:paraId="28B9EF85">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14:paraId="46A50541">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2. </w:t>
      </w:r>
    </w:p>
    <w:p w14:paraId="13046D66">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14:paraId="6D98D39C">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14:paraId="6D93C2E9">
      <w:pPr>
        <w:autoSpaceDE w:val="0"/>
        <w:autoSpaceDN w:val="0"/>
        <w:adjustRightInd w:val="0"/>
        <w:snapToGrid w:val="0"/>
        <w:spacing w:line="360" w:lineRule="auto"/>
        <w:jc w:val="left"/>
        <w:rPr>
          <w:rFonts w:hint="eastAsia" w:ascii="宋体" w:hAnsi="宋体" w:eastAsia="宋体" w:cs="宋体"/>
          <w:snapToGrid w:val="0"/>
          <w:color w:val="auto"/>
          <w:kern w:val="0"/>
          <w:sz w:val="22"/>
          <w:szCs w:val="22"/>
          <w:highlight w:val="none"/>
        </w:rPr>
      </w:pPr>
    </w:p>
    <w:p w14:paraId="78E8798F">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p w14:paraId="5C9A2A07">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14:paraId="4CEC7D5A">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14:paraId="1CE81DF5">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14:paraId="7EC0877C">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14:paraId="18E95DD5">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14:paraId="68CF3EA0">
      <w:pPr>
        <w:tabs>
          <w:tab w:val="left" w:pos="7035"/>
        </w:tabs>
        <w:autoSpaceDE w:val="0"/>
        <w:autoSpaceDN w:val="0"/>
        <w:adjustRightInd w:val="0"/>
        <w:snapToGrid w:val="0"/>
        <w:spacing w:line="480" w:lineRule="auto"/>
        <w:ind w:firstLine="2551" w:firstLineChars="1215"/>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w:t>
      </w:r>
    </w:p>
    <w:p w14:paraId="4B71703D">
      <w:pPr>
        <w:tabs>
          <w:tab w:val="left" w:pos="6620"/>
          <w:tab w:val="left" w:pos="7040"/>
        </w:tabs>
        <w:autoSpaceDE w:val="0"/>
        <w:autoSpaceDN w:val="0"/>
        <w:adjustRightInd w:val="0"/>
        <w:snapToGrid w:val="0"/>
        <w:spacing w:line="480" w:lineRule="auto"/>
        <w:ind w:firstLine="2551" w:firstLineChars="1215"/>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或盖章）</w:t>
      </w:r>
    </w:p>
    <w:p w14:paraId="76BB0664">
      <w:pPr>
        <w:autoSpaceDE w:val="0"/>
        <w:autoSpaceDN w:val="0"/>
        <w:adjustRightInd w:val="0"/>
        <w:snapToGrid w:val="0"/>
        <w:spacing w:line="360" w:lineRule="auto"/>
        <w:jc w:val="right"/>
        <w:rPr>
          <w:rFonts w:hint="eastAsia" w:ascii="宋体" w:hAnsi="宋体" w:eastAsia="宋体" w:cs="宋体"/>
          <w:snapToGrid w:val="0"/>
          <w:color w:val="auto"/>
          <w:kern w:val="0"/>
          <w:sz w:val="20"/>
          <w:szCs w:val="20"/>
          <w:highlight w:val="none"/>
        </w:rPr>
      </w:pPr>
    </w:p>
    <w:p w14:paraId="0B690475">
      <w:pPr>
        <w:wordWrap w:val="0"/>
        <w:autoSpaceDE w:val="0"/>
        <w:autoSpaceDN w:val="0"/>
        <w:adjustRightInd w:val="0"/>
        <w:snapToGrid w:val="0"/>
        <w:spacing w:line="360" w:lineRule="auto"/>
        <w:ind w:firstLine="315" w:firstLineChars="150"/>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p>
    <w:p w14:paraId="1C68EE50">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r>
        <w:rPr>
          <w:rFonts w:hint="eastAsia" w:ascii="宋体" w:hAnsi="宋体" w:eastAsia="宋体" w:cs="宋体"/>
          <w:b/>
          <w:snapToGrid w:val="0"/>
          <w:color w:val="auto"/>
          <w:kern w:val="0"/>
          <w:highlight w:val="none"/>
        </w:rPr>
        <w:br w:type="page"/>
      </w:r>
      <w:r>
        <w:rPr>
          <w:rFonts w:hint="eastAsia" w:ascii="宋体" w:hAnsi="宋体" w:eastAsia="宋体" w:cs="宋体"/>
          <w:b/>
          <w:snapToGrid w:val="0"/>
          <w:color w:val="auto"/>
          <w:kern w:val="0"/>
          <w:highlight w:val="none"/>
        </w:rPr>
        <w:t>附表</w:t>
      </w:r>
      <w:r>
        <w:rPr>
          <w:rFonts w:hint="eastAsia" w:ascii="宋体" w:hAnsi="宋体" w:eastAsia="宋体" w:cs="宋体"/>
          <w:b/>
          <w:snapToGrid w:val="0"/>
          <w:color w:val="auto"/>
          <w:kern w:val="0"/>
          <w:highlight w:val="none"/>
          <w:lang w:val="en-US" w:eastAsia="zh-CN"/>
        </w:rPr>
        <w:t>五</w:t>
      </w:r>
      <w:r>
        <w:rPr>
          <w:rFonts w:hint="eastAsia" w:ascii="宋体" w:hAnsi="宋体" w:eastAsia="宋体" w:cs="宋体"/>
          <w:b/>
          <w:snapToGrid w:val="0"/>
          <w:color w:val="auto"/>
          <w:kern w:val="0"/>
          <w:highlight w:val="none"/>
        </w:rPr>
        <w:t>：中标通知书</w:t>
      </w:r>
    </w:p>
    <w:p w14:paraId="5B967EB2">
      <w:pPr>
        <w:autoSpaceDE w:val="0"/>
        <w:autoSpaceDN w:val="0"/>
        <w:adjustRightInd w:val="0"/>
        <w:spacing w:line="360" w:lineRule="auto"/>
        <w:jc w:val="left"/>
        <w:rPr>
          <w:rFonts w:hint="eastAsia" w:ascii="宋体" w:hAnsi="宋体" w:eastAsia="宋体" w:cs="宋体"/>
          <w:snapToGrid w:val="0"/>
          <w:color w:val="auto"/>
          <w:kern w:val="0"/>
          <w:sz w:val="20"/>
          <w:szCs w:val="20"/>
          <w:highlight w:val="none"/>
        </w:rPr>
      </w:pPr>
    </w:p>
    <w:p w14:paraId="4B5C3159">
      <w:pPr>
        <w:widowControl/>
        <w:spacing w:before="100" w:beforeAutospacing="1" w:after="100" w:afterAutospacing="1" w:line="360" w:lineRule="auto"/>
        <w:jc w:val="center"/>
        <w:rPr>
          <w:rFonts w:hint="eastAsia" w:ascii="宋体" w:hAnsi="宋体" w:eastAsia="宋体" w:cs="宋体"/>
          <w:b/>
          <w:color w:val="auto"/>
          <w:kern w:val="0"/>
          <w:sz w:val="32"/>
          <w:szCs w:val="32"/>
          <w:highlight w:val="none"/>
        </w:rPr>
      </w:pPr>
      <w:r>
        <w:rPr>
          <w:rFonts w:hint="eastAsia" w:ascii="宋体" w:hAnsi="宋体" w:eastAsia="宋体" w:cs="宋体"/>
          <w:b/>
          <w:bCs/>
          <w:color w:val="auto"/>
          <w:kern w:val="0"/>
          <w:sz w:val="32"/>
          <w:szCs w:val="32"/>
          <w:highlight w:val="none"/>
        </w:rPr>
        <w:t>中标通知书</w:t>
      </w:r>
    </w:p>
    <w:p w14:paraId="58A57FB4">
      <w:pPr>
        <w:spacing w:line="360" w:lineRule="auto"/>
        <w:rPr>
          <w:rFonts w:hint="eastAsia" w:ascii="宋体" w:hAnsi="宋体" w:eastAsia="宋体" w:cs="宋体"/>
          <w:bCs/>
          <w:color w:val="auto"/>
          <w:kern w:val="0"/>
          <w:szCs w:val="21"/>
          <w:highlight w:val="none"/>
          <w:u w:val="single"/>
        </w:rPr>
      </w:pPr>
      <w:r>
        <w:rPr>
          <w:rFonts w:hint="eastAsia" w:ascii="宋体" w:hAnsi="宋体" w:eastAsia="宋体" w:cs="宋体"/>
          <w:bCs/>
          <w:color w:val="auto"/>
          <w:kern w:val="0"/>
          <w:sz w:val="24"/>
          <w:highlight w:val="none"/>
          <w:u w:val="single"/>
        </w:rPr>
        <w:t xml:space="preserve">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u w:val="single"/>
        </w:rPr>
        <w:t>中标单位</w:t>
      </w:r>
      <w:r>
        <w:rPr>
          <w:rFonts w:hint="eastAsia" w:ascii="宋体" w:hAnsi="宋体" w:eastAsia="宋体" w:cs="宋体"/>
          <w:bCs/>
          <w:color w:val="auto"/>
          <w:kern w:val="0"/>
          <w:sz w:val="24"/>
          <w:highlight w:val="none"/>
          <w:u w:val="single"/>
        </w:rPr>
        <w:t xml:space="preserve">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bCs/>
          <w:color w:val="auto"/>
          <w:kern w:val="0"/>
          <w:szCs w:val="21"/>
          <w:highlight w:val="none"/>
        </w:rPr>
        <w:t>：</w:t>
      </w:r>
    </w:p>
    <w:p w14:paraId="29574BB9">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我单位拟建的 </w:t>
      </w:r>
      <w:r>
        <w:rPr>
          <w:rFonts w:hint="eastAsia" w:ascii="宋体" w:hAnsi="宋体" w:eastAsia="宋体" w:cs="宋体"/>
          <w:bCs/>
          <w:color w:val="auto"/>
          <w:kern w:val="0"/>
          <w:szCs w:val="21"/>
          <w:highlight w:val="none"/>
          <w:u w:val="single"/>
        </w:rPr>
        <w:t xml:space="preserve">    </w:t>
      </w:r>
      <w:r>
        <w:rPr>
          <w:rFonts w:hint="eastAsia" w:ascii="宋体" w:hAnsi="宋体" w:cs="宋体"/>
          <w:bCs/>
          <w:color w:val="auto"/>
          <w:kern w:val="0"/>
          <w:szCs w:val="21"/>
          <w:highlight w:val="none"/>
          <w:u w:val="single"/>
          <w:lang w:eastAsia="zh-CN"/>
        </w:rPr>
        <w:t>巫溪至开州高速公路项目机电工程高压外电接入施工专项分包</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于</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日开标，经评标委员会评定，确定你单位为中标人，中标额为（大写）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。中标工程范围：</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 xml:space="preserve">，工程规模为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 xml:space="preserve">，中标工期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u w:val="single"/>
        </w:rPr>
        <w:t>日历天</w:t>
      </w:r>
      <w:r>
        <w:rPr>
          <w:rFonts w:hint="eastAsia" w:ascii="宋体" w:hAnsi="宋体" w:eastAsia="宋体" w:cs="宋体"/>
          <w:color w:val="auto"/>
          <w:kern w:val="0"/>
          <w:szCs w:val="21"/>
          <w:highlight w:val="none"/>
        </w:rPr>
        <w:t>，工程质量要求：</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，工程安全目标：</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，项目经理由</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担任，项目总工由</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担任。</w:t>
      </w:r>
    </w:p>
    <w:p w14:paraId="7EE49D28">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你单位收到中标通知书后，在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日内到我单位签订承发包合同。</w:t>
      </w:r>
      <w:r>
        <w:rPr>
          <w:rFonts w:hint="eastAsia" w:ascii="宋体" w:hAnsi="宋体" w:eastAsia="宋体" w:cs="宋体"/>
          <w:color w:val="auto"/>
          <w:szCs w:val="21"/>
          <w:highlight w:val="none"/>
        </w:rPr>
        <w:t>在此之前按招标文件第二章“投标人须知”第7.7款规定向我方提交履约担保。</w:t>
      </w:r>
    </w:p>
    <w:p w14:paraId="2D8D7CA0">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特此通知。</w:t>
      </w:r>
    </w:p>
    <w:p w14:paraId="1EA86C78">
      <w:pPr>
        <w:spacing w:line="480" w:lineRule="auto"/>
        <w:rPr>
          <w:rFonts w:hint="eastAsia" w:ascii="宋体" w:hAnsi="宋体" w:eastAsia="宋体" w:cs="宋体"/>
          <w:color w:val="auto"/>
          <w:kern w:val="0"/>
          <w:szCs w:val="21"/>
          <w:highlight w:val="none"/>
        </w:rPr>
      </w:pPr>
    </w:p>
    <w:p w14:paraId="43B5BB79">
      <w:pPr>
        <w:spacing w:line="480" w:lineRule="auto"/>
        <w:rPr>
          <w:rFonts w:hint="eastAsia" w:ascii="宋体" w:hAnsi="宋体" w:eastAsia="宋体" w:cs="宋体"/>
          <w:color w:val="auto"/>
          <w:kern w:val="0"/>
          <w:sz w:val="24"/>
          <w:highlight w:val="none"/>
        </w:rPr>
      </w:pPr>
    </w:p>
    <w:p w14:paraId="4C4E97CC">
      <w:pPr>
        <w:spacing w:line="480" w:lineRule="auto"/>
        <w:rPr>
          <w:rFonts w:hint="eastAsia" w:ascii="宋体" w:hAnsi="宋体" w:eastAsia="宋体" w:cs="宋体"/>
          <w:color w:val="auto"/>
          <w:kern w:val="0"/>
          <w:sz w:val="24"/>
          <w:highlight w:val="none"/>
        </w:rPr>
      </w:pPr>
    </w:p>
    <w:p w14:paraId="7CE0C549">
      <w:pPr>
        <w:spacing w:line="48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Cs w:val="21"/>
          <w:highlight w:val="none"/>
        </w:rPr>
        <w:t>招标人</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snapToGrid w:val="0"/>
          <w:color w:val="auto"/>
          <w:kern w:val="0"/>
          <w:szCs w:val="21"/>
          <w:highlight w:val="none"/>
        </w:rPr>
        <w:t>盖单位法人章</w:t>
      </w:r>
      <w:r>
        <w:rPr>
          <w:rFonts w:hint="eastAsia" w:ascii="宋体" w:hAnsi="宋体" w:eastAsia="宋体" w:cs="宋体"/>
          <w:color w:val="auto"/>
          <w:kern w:val="0"/>
          <w:szCs w:val="21"/>
          <w:highlight w:val="none"/>
        </w:rPr>
        <w:t>）</w:t>
      </w:r>
    </w:p>
    <w:p w14:paraId="3993FC4D">
      <w:pPr>
        <w:spacing w:line="48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w:t>
      </w:r>
    </w:p>
    <w:p w14:paraId="0E703252">
      <w:pPr>
        <w:spacing w:line="480" w:lineRule="auto"/>
        <w:jc w:val="right"/>
        <w:rPr>
          <w:rFonts w:hint="eastAsia" w:ascii="宋体" w:hAnsi="宋体" w:eastAsia="宋体" w:cs="宋体"/>
          <w:color w:val="auto"/>
          <w:kern w:val="0"/>
          <w:szCs w:val="21"/>
          <w:highlight w:val="none"/>
        </w:rPr>
      </w:pPr>
    </w:p>
    <w:p w14:paraId="5D1F7C85">
      <w:pPr>
        <w:spacing w:line="480" w:lineRule="auto"/>
        <w:jc w:val="right"/>
        <w:rPr>
          <w:rFonts w:hint="eastAsia" w:ascii="宋体" w:hAnsi="宋体" w:eastAsia="宋体" w:cs="宋体"/>
          <w:color w:val="auto"/>
          <w:kern w:val="0"/>
          <w:szCs w:val="21"/>
          <w:highlight w:val="none"/>
        </w:rPr>
      </w:pPr>
    </w:p>
    <w:p w14:paraId="7D006D45">
      <w:pPr>
        <w:spacing w:line="480" w:lineRule="auto"/>
        <w:jc w:val="righ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签发日期</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14:paraId="343B5EBB">
      <w:pPr>
        <w:spacing w:line="200" w:lineRule="exact"/>
        <w:rPr>
          <w:rFonts w:hint="eastAsia" w:ascii="宋体" w:hAnsi="宋体" w:eastAsia="宋体" w:cs="宋体"/>
          <w:color w:val="auto"/>
          <w:kern w:val="0"/>
          <w:highlight w:val="none"/>
        </w:rPr>
      </w:pPr>
      <w:r>
        <w:rPr>
          <w:rFonts w:hint="eastAsia" w:ascii="宋体" w:hAnsi="宋体" w:eastAsia="宋体" w:cs="宋体"/>
          <w:snapToGrid w:val="0"/>
          <w:color w:val="auto"/>
          <w:kern w:val="0"/>
          <w:highlight w:val="none"/>
        </w:rPr>
        <w:br w:type="page"/>
      </w:r>
      <w:bookmarkStart w:id="155" w:name="_Toc224103370"/>
    </w:p>
    <w:bookmarkEnd w:id="155"/>
    <w:p w14:paraId="14860B86">
      <w:pPr>
        <w:pStyle w:val="3"/>
        <w:spacing w:line="360" w:lineRule="auto"/>
        <w:jc w:val="center"/>
        <w:rPr>
          <w:rFonts w:hint="eastAsia" w:ascii="宋体" w:hAnsi="宋体" w:eastAsia="宋体" w:cs="宋体"/>
          <w:b w:val="0"/>
          <w:bCs w:val="0"/>
          <w:color w:val="auto"/>
          <w:highlight w:val="none"/>
        </w:rPr>
      </w:pPr>
      <w:bookmarkStart w:id="156" w:name="招标文件03章02评标办法综合评估法00"/>
      <w:bookmarkEnd w:id="156"/>
      <w:bookmarkStart w:id="157" w:name="招标文件03章02评标办法综合评估法"/>
      <w:bookmarkEnd w:id="157"/>
      <w:bookmarkStart w:id="158" w:name="_Toc8129"/>
      <w:bookmarkStart w:id="159" w:name="_Toc509218774"/>
      <w:bookmarkStart w:id="160" w:name="_Toc224103384"/>
      <w:bookmarkStart w:id="161" w:name="_Toc287620751"/>
      <w:bookmarkStart w:id="162" w:name="_Toc287607812"/>
      <w:bookmarkStart w:id="163" w:name="_Toc430530500"/>
      <w:bookmarkStart w:id="164" w:name="_Toc200513198"/>
      <w:bookmarkStart w:id="165" w:name="_Toc277082618"/>
      <w:r>
        <w:rPr>
          <w:rFonts w:hint="eastAsia" w:ascii="宋体" w:hAnsi="宋体" w:eastAsia="宋体" w:cs="宋体"/>
          <w:color w:val="auto"/>
          <w:highlight w:val="none"/>
        </w:rPr>
        <w:t>第三章  评标办法（综合评估法）</w:t>
      </w:r>
      <w:bookmarkEnd w:id="158"/>
      <w:bookmarkEnd w:id="159"/>
      <w:bookmarkStart w:id="166" w:name="_Toc287607811"/>
      <w:bookmarkStart w:id="167" w:name="_Toc287620750"/>
      <w:bookmarkStart w:id="168" w:name="_Toc277082617"/>
      <w:bookmarkStart w:id="169" w:name="_Toc430530499"/>
      <w:bookmarkStart w:id="170" w:name="_Toc224103383"/>
    </w:p>
    <w:bookmarkEnd w:id="160"/>
    <w:bookmarkEnd w:id="161"/>
    <w:bookmarkEnd w:id="162"/>
    <w:bookmarkEnd w:id="163"/>
    <w:bookmarkEnd w:id="164"/>
    <w:bookmarkEnd w:id="165"/>
    <w:bookmarkEnd w:id="166"/>
    <w:bookmarkEnd w:id="167"/>
    <w:bookmarkEnd w:id="168"/>
    <w:bookmarkEnd w:id="169"/>
    <w:bookmarkEnd w:id="170"/>
    <w:p w14:paraId="0ACA7BAB">
      <w:pPr>
        <w:pStyle w:val="4"/>
        <w:spacing w:before="100" w:after="100" w:line="360" w:lineRule="auto"/>
        <w:rPr>
          <w:rFonts w:hint="eastAsia" w:ascii="宋体" w:hAnsi="宋体" w:eastAsia="宋体" w:cs="宋体"/>
          <w:bCs w:val="0"/>
          <w:color w:val="auto"/>
          <w:sz w:val="28"/>
          <w:szCs w:val="28"/>
          <w:highlight w:val="none"/>
        </w:rPr>
      </w:pPr>
      <w:bookmarkStart w:id="171" w:name="_Toc9615"/>
      <w:r>
        <w:rPr>
          <w:rFonts w:hint="eastAsia" w:ascii="宋体" w:hAnsi="宋体" w:eastAsia="宋体" w:cs="宋体"/>
          <w:bCs w:val="0"/>
          <w:color w:val="auto"/>
          <w:sz w:val="28"/>
          <w:szCs w:val="28"/>
          <w:highlight w:val="none"/>
        </w:rPr>
        <w:t>评标办法前附表</w:t>
      </w:r>
      <w:bookmarkEnd w:id="171"/>
    </w:p>
    <w:p w14:paraId="48DE3BA4">
      <w:pPr>
        <w:spacing w:line="400" w:lineRule="exact"/>
        <w:ind w:firstLine="420" w:firstLineChars="200"/>
        <w:rPr>
          <w:rFonts w:hint="eastAsia" w:ascii="宋体" w:hAnsi="宋体" w:eastAsia="宋体" w:cs="宋体"/>
          <w:color w:val="auto"/>
          <w:spacing w:val="4"/>
          <w:kern w:val="0"/>
          <w:szCs w:val="21"/>
          <w:highlight w:val="none"/>
        </w:rPr>
      </w:pPr>
      <w:r>
        <w:rPr>
          <w:rFonts w:hint="eastAsia" w:ascii="宋体" w:hAnsi="宋体" w:eastAsia="宋体" w:cs="宋体"/>
          <w:color w:val="auto"/>
          <w:szCs w:val="21"/>
          <w:highlight w:val="none"/>
        </w:rPr>
        <w:t>评标办法中的评审内容必须和投标人须知中的对应内容一致，若投标人须知中未作要求的内容，不得列入评标办法作为评定依据。</w:t>
      </w:r>
    </w:p>
    <w:tbl>
      <w:tblPr>
        <w:tblStyle w:val="34"/>
        <w:tblW w:w="98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0"/>
        <w:gridCol w:w="1599"/>
        <w:gridCol w:w="705"/>
        <w:gridCol w:w="1650"/>
        <w:gridCol w:w="5048"/>
      </w:tblGrid>
      <w:tr w14:paraId="1077C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14:paraId="70346A09">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b/>
                <w:color w:val="auto"/>
                <w:highlight w:val="none"/>
              </w:rPr>
            </w:pPr>
            <w:r>
              <w:rPr>
                <w:rFonts w:hint="eastAsia" w:ascii="宋体" w:hAnsi="宋体" w:eastAsia="宋体" w:cs="宋体"/>
                <w:b/>
                <w:color w:val="auto"/>
                <w:highlight w:val="none"/>
              </w:rPr>
              <w:t>条款号</w:t>
            </w:r>
          </w:p>
        </w:tc>
        <w:tc>
          <w:tcPr>
            <w:tcW w:w="1599" w:type="dxa"/>
            <w:tcBorders>
              <w:top w:val="single" w:color="auto" w:sz="4" w:space="0"/>
              <w:left w:val="single" w:color="auto" w:sz="4" w:space="0"/>
              <w:bottom w:val="single" w:color="auto" w:sz="4" w:space="0"/>
              <w:right w:val="single" w:color="auto" w:sz="4" w:space="0"/>
            </w:tcBorders>
            <w:vAlign w:val="center"/>
          </w:tcPr>
          <w:p w14:paraId="4D49E3C0">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b/>
                <w:color w:val="auto"/>
                <w:highlight w:val="none"/>
              </w:rPr>
            </w:pPr>
            <w:r>
              <w:rPr>
                <w:rFonts w:hint="eastAsia" w:ascii="宋体" w:hAnsi="宋体" w:eastAsia="宋体" w:cs="宋体"/>
                <w:b/>
                <w:color w:val="auto"/>
                <w:highlight w:val="none"/>
              </w:rPr>
              <w:t>评审因素</w:t>
            </w:r>
          </w:p>
        </w:tc>
        <w:tc>
          <w:tcPr>
            <w:tcW w:w="7403" w:type="dxa"/>
            <w:gridSpan w:val="3"/>
            <w:tcBorders>
              <w:top w:val="single" w:color="auto" w:sz="4" w:space="0"/>
              <w:left w:val="single" w:color="auto" w:sz="4" w:space="0"/>
              <w:bottom w:val="single" w:color="auto" w:sz="4" w:space="0"/>
              <w:right w:val="single" w:color="auto" w:sz="4" w:space="0"/>
            </w:tcBorders>
            <w:vAlign w:val="center"/>
          </w:tcPr>
          <w:p w14:paraId="729330FE">
            <w:pPr>
              <w:keepNext w:val="0"/>
              <w:keepLines w:val="0"/>
              <w:suppressLineNumbers w:val="0"/>
              <w:adjustRightInd w:val="0"/>
              <w:snapToGrid w:val="0"/>
              <w:spacing w:before="0" w:beforeAutospacing="0" w:after="0" w:afterLines="0" w:afterAutospacing="0" w:line="400" w:lineRule="exact"/>
              <w:ind w:left="0" w:right="0" w:firstLine="420"/>
              <w:jc w:val="center"/>
              <w:rPr>
                <w:rFonts w:hint="eastAsia" w:ascii="宋体" w:hAnsi="宋体" w:eastAsia="宋体" w:cs="宋体"/>
                <w:b/>
                <w:color w:val="auto"/>
                <w:highlight w:val="none"/>
              </w:rPr>
            </w:pPr>
            <w:r>
              <w:rPr>
                <w:rFonts w:hint="eastAsia" w:ascii="宋体" w:hAnsi="宋体" w:eastAsia="宋体" w:cs="宋体"/>
                <w:b/>
                <w:color w:val="auto"/>
                <w:highlight w:val="none"/>
              </w:rPr>
              <w:t>评审标准</w:t>
            </w:r>
          </w:p>
        </w:tc>
      </w:tr>
      <w:tr w14:paraId="3D313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14:paraId="47276C7E">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highlight w:val="none"/>
              </w:rPr>
            </w:pPr>
            <w:r>
              <w:rPr>
                <w:rFonts w:hint="eastAsia" w:ascii="宋体" w:hAnsi="宋体" w:eastAsia="宋体" w:cs="宋体"/>
                <w:color w:val="auto"/>
                <w:highlight w:val="none"/>
              </w:rPr>
              <w:t>1</w:t>
            </w:r>
          </w:p>
        </w:tc>
        <w:tc>
          <w:tcPr>
            <w:tcW w:w="1599" w:type="dxa"/>
            <w:tcBorders>
              <w:top w:val="single" w:color="auto" w:sz="4" w:space="0"/>
              <w:left w:val="single" w:color="auto" w:sz="4" w:space="0"/>
              <w:bottom w:val="single" w:color="auto" w:sz="4" w:space="0"/>
              <w:right w:val="single" w:color="auto" w:sz="4" w:space="0"/>
            </w:tcBorders>
            <w:vAlign w:val="center"/>
          </w:tcPr>
          <w:p w14:paraId="1B7C3A3B">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highlight w:val="none"/>
              </w:rPr>
            </w:pPr>
            <w:r>
              <w:rPr>
                <w:rFonts w:hint="eastAsia" w:ascii="宋体" w:hAnsi="宋体" w:eastAsia="宋体" w:cs="宋体"/>
                <w:color w:val="auto"/>
                <w:kern w:val="0"/>
                <w:highlight w:val="none"/>
              </w:rPr>
              <w:t>评标办法</w:t>
            </w:r>
          </w:p>
        </w:tc>
        <w:tc>
          <w:tcPr>
            <w:tcW w:w="7403" w:type="dxa"/>
            <w:gridSpan w:val="3"/>
            <w:tcBorders>
              <w:top w:val="single" w:color="auto" w:sz="4" w:space="0"/>
              <w:left w:val="single" w:color="auto" w:sz="4" w:space="0"/>
              <w:bottom w:val="single" w:color="auto" w:sz="4" w:space="0"/>
              <w:right w:val="single" w:color="auto" w:sz="4" w:space="0"/>
            </w:tcBorders>
            <w:vAlign w:val="center"/>
          </w:tcPr>
          <w:p w14:paraId="37B2C759">
            <w:pPr>
              <w:keepNext w:val="0"/>
              <w:keepLines w:val="0"/>
              <w:widowControl w:val="0"/>
              <w:suppressLineNumbers w:val="0"/>
              <w:adjustRightInd w:val="0"/>
              <w:snapToGrid w:val="0"/>
              <w:spacing w:before="0" w:beforeAutospacing="0" w:after="0" w:afterLines="0" w:afterAutospacing="0" w:line="400" w:lineRule="exact"/>
              <w:ind w:left="0" w:right="0" w:firstLine="436" w:firstLineChars="200"/>
              <w:jc w:val="both"/>
              <w:rPr>
                <w:rFonts w:hint="eastAsia" w:ascii="宋体" w:hAnsi="宋体" w:eastAsia="宋体" w:cs="宋体"/>
                <w:i/>
                <w:color w:val="auto"/>
                <w:spacing w:val="4"/>
                <w:kern w:val="0"/>
                <w:szCs w:val="21"/>
                <w:highlight w:val="none"/>
              </w:rPr>
            </w:pPr>
            <w:r>
              <w:rPr>
                <w:rFonts w:hint="eastAsia" w:ascii="宋体" w:hAnsi="宋体" w:eastAsia="宋体" w:cs="宋体"/>
                <w:color w:val="auto"/>
                <w:spacing w:val="4"/>
                <w:kern w:val="0"/>
                <w:szCs w:val="21"/>
                <w:highlight w:val="none"/>
              </w:rPr>
              <w:t>本次评标采用</w:t>
            </w:r>
            <w:r>
              <w:rPr>
                <w:rFonts w:hint="eastAsia" w:ascii="宋体" w:hAnsi="宋体" w:cs="宋体"/>
                <w:color w:val="auto"/>
                <w:spacing w:val="4"/>
                <w:kern w:val="0"/>
                <w:szCs w:val="21"/>
                <w:highlight w:val="none"/>
                <w:lang w:eastAsia="zh-CN"/>
              </w:rPr>
              <w:t>综合评估</w:t>
            </w:r>
            <w:r>
              <w:rPr>
                <w:rFonts w:hint="eastAsia" w:ascii="宋体" w:hAnsi="宋体" w:eastAsia="宋体" w:cs="宋体"/>
                <w:color w:val="auto"/>
                <w:spacing w:val="4"/>
                <w:kern w:val="0"/>
                <w:szCs w:val="21"/>
                <w:highlight w:val="none"/>
              </w:rPr>
              <w:t>法，若出现投标人</w:t>
            </w:r>
            <w:r>
              <w:rPr>
                <w:rFonts w:hint="eastAsia" w:ascii="宋体" w:hAnsi="宋体" w:cs="宋体"/>
                <w:color w:val="auto"/>
                <w:spacing w:val="4"/>
                <w:kern w:val="0"/>
                <w:szCs w:val="21"/>
                <w:highlight w:val="none"/>
                <w:lang w:eastAsia="zh-CN"/>
              </w:rPr>
              <w:t>综合</w:t>
            </w:r>
            <w:r>
              <w:rPr>
                <w:rFonts w:hint="eastAsia" w:ascii="宋体" w:hAnsi="宋体" w:cs="宋体"/>
                <w:color w:val="auto"/>
                <w:spacing w:val="4"/>
                <w:kern w:val="0"/>
                <w:szCs w:val="21"/>
                <w:highlight w:val="none"/>
                <w:lang w:val="en-US" w:eastAsia="zh-CN"/>
              </w:rPr>
              <w:t>评分</w:t>
            </w:r>
            <w:r>
              <w:rPr>
                <w:rFonts w:hint="eastAsia" w:ascii="宋体" w:hAnsi="宋体" w:eastAsia="宋体" w:cs="宋体"/>
                <w:color w:val="auto"/>
                <w:spacing w:val="4"/>
                <w:kern w:val="0"/>
                <w:szCs w:val="21"/>
                <w:highlight w:val="none"/>
              </w:rPr>
              <w:t>相等时，评标委员会依次按照以下优先顺序推荐中标候选人：以评标价低的优先；若出现评标价相同的，</w:t>
            </w:r>
            <w:r>
              <w:rPr>
                <w:rFonts w:hint="eastAsia" w:ascii="宋体" w:hAnsi="宋体" w:eastAsia="宋体" w:cs="宋体"/>
                <w:spacing w:val="4"/>
                <w:kern w:val="0"/>
                <w:sz w:val="21"/>
                <w:szCs w:val="21"/>
                <w:highlight w:val="none"/>
                <w:lang w:val="en-US" w:eastAsia="zh-CN" w:bidi="ar"/>
              </w:rPr>
              <w:t>由评标委员会按照由评标委员会按照优先免缴投标担保和履约担保单位的原则排序，若均为免缴单位，则以递交投标文件先后顺序，若均不为免缴单位，则以缴纳投标保证金的先后顺序排列。</w:t>
            </w:r>
          </w:p>
        </w:tc>
      </w:tr>
      <w:tr w14:paraId="132BA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restart"/>
            <w:tcBorders>
              <w:top w:val="single" w:color="auto" w:sz="4" w:space="0"/>
              <w:left w:val="single" w:color="auto" w:sz="4" w:space="0"/>
              <w:right w:val="single" w:color="auto" w:sz="4" w:space="0"/>
            </w:tcBorders>
            <w:vAlign w:val="center"/>
          </w:tcPr>
          <w:p w14:paraId="7392F1BC">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highlight w:val="none"/>
              </w:rPr>
            </w:pPr>
            <w:r>
              <w:rPr>
                <w:rFonts w:hint="eastAsia" w:ascii="宋体" w:hAnsi="宋体" w:eastAsia="宋体" w:cs="宋体"/>
                <w:color w:val="auto"/>
                <w:kern w:val="0"/>
                <w:highlight w:val="none"/>
              </w:rPr>
              <w:t>2.1.1</w:t>
            </w:r>
          </w:p>
        </w:tc>
        <w:tc>
          <w:tcPr>
            <w:tcW w:w="1599" w:type="dxa"/>
            <w:vMerge w:val="restart"/>
            <w:tcBorders>
              <w:top w:val="single" w:color="auto" w:sz="4" w:space="0"/>
              <w:left w:val="single" w:color="auto" w:sz="4" w:space="0"/>
              <w:right w:val="single" w:color="auto" w:sz="4" w:space="0"/>
            </w:tcBorders>
            <w:vAlign w:val="center"/>
          </w:tcPr>
          <w:p w14:paraId="2EB59687">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highlight w:val="none"/>
              </w:rPr>
            </w:pPr>
            <w:r>
              <w:rPr>
                <w:rFonts w:hint="eastAsia" w:ascii="宋体" w:hAnsi="宋体" w:eastAsia="宋体" w:cs="宋体"/>
                <w:color w:val="auto"/>
                <w:kern w:val="0"/>
                <w:highlight w:val="none"/>
              </w:rPr>
              <w:t>资格评审标准</w:t>
            </w:r>
          </w:p>
        </w:tc>
        <w:tc>
          <w:tcPr>
            <w:tcW w:w="2355" w:type="dxa"/>
            <w:gridSpan w:val="2"/>
            <w:tcBorders>
              <w:top w:val="single" w:color="auto" w:sz="4" w:space="0"/>
              <w:left w:val="single" w:color="auto" w:sz="4" w:space="0"/>
              <w:bottom w:val="single" w:color="auto" w:sz="4" w:space="0"/>
              <w:right w:val="single" w:color="auto" w:sz="4" w:space="0"/>
            </w:tcBorders>
            <w:vAlign w:val="center"/>
          </w:tcPr>
          <w:p w14:paraId="6D46951C">
            <w:pPr>
              <w:keepNext w:val="0"/>
              <w:keepLines w:val="0"/>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i/>
                <w:color w:val="auto"/>
                <w:spacing w:val="4"/>
                <w:kern w:val="0"/>
                <w:szCs w:val="21"/>
                <w:highlight w:val="none"/>
              </w:rPr>
            </w:pPr>
            <w:r>
              <w:rPr>
                <w:rFonts w:hint="eastAsia" w:ascii="宋体" w:hAnsi="宋体" w:eastAsia="宋体" w:cs="宋体"/>
                <w:color w:val="auto"/>
                <w:kern w:val="0"/>
                <w:highlight w:val="none"/>
              </w:rPr>
              <w:t>资质条件</w:t>
            </w:r>
          </w:p>
        </w:tc>
        <w:tc>
          <w:tcPr>
            <w:tcW w:w="5048" w:type="dxa"/>
            <w:tcBorders>
              <w:top w:val="single" w:color="auto" w:sz="4" w:space="0"/>
              <w:left w:val="single" w:color="auto" w:sz="4" w:space="0"/>
              <w:bottom w:val="single" w:color="auto" w:sz="4" w:space="0"/>
              <w:right w:val="single" w:color="auto" w:sz="4" w:space="0"/>
            </w:tcBorders>
            <w:vAlign w:val="center"/>
          </w:tcPr>
          <w:p w14:paraId="01C4AAFA">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i/>
                <w:color w:val="auto"/>
                <w:spacing w:val="4"/>
                <w:kern w:val="0"/>
                <w:szCs w:val="21"/>
                <w:highlight w:val="none"/>
              </w:rPr>
            </w:pPr>
            <w:r>
              <w:rPr>
                <w:rFonts w:hint="eastAsia" w:ascii="宋体" w:hAnsi="宋体" w:eastAsia="宋体" w:cs="宋体"/>
                <w:color w:val="auto"/>
                <w:kern w:val="0"/>
                <w:highlight w:val="none"/>
              </w:rPr>
              <w:t>符合第二章“投标人须知”第1.4.1项规定</w:t>
            </w:r>
          </w:p>
        </w:tc>
      </w:tr>
      <w:tr w14:paraId="43E8A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14:paraId="65594BF4">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1599" w:type="dxa"/>
            <w:vMerge w:val="continue"/>
            <w:tcBorders>
              <w:left w:val="single" w:color="auto" w:sz="4" w:space="0"/>
              <w:right w:val="single" w:color="auto" w:sz="4" w:space="0"/>
            </w:tcBorders>
            <w:vAlign w:val="center"/>
          </w:tcPr>
          <w:p w14:paraId="4B553CFF">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14:paraId="2EE2665B">
            <w:pPr>
              <w:keepNext w:val="0"/>
              <w:keepLines w:val="0"/>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i/>
                <w:color w:val="auto"/>
                <w:spacing w:val="4"/>
                <w:kern w:val="0"/>
                <w:szCs w:val="21"/>
                <w:highlight w:val="none"/>
              </w:rPr>
            </w:pPr>
            <w:r>
              <w:rPr>
                <w:rFonts w:hint="eastAsia" w:ascii="宋体" w:hAnsi="宋体" w:eastAsia="宋体" w:cs="宋体"/>
                <w:color w:val="auto"/>
                <w:kern w:val="0"/>
                <w:highlight w:val="none"/>
              </w:rPr>
              <w:t>营业执照</w:t>
            </w:r>
          </w:p>
        </w:tc>
        <w:tc>
          <w:tcPr>
            <w:tcW w:w="5048" w:type="dxa"/>
            <w:tcBorders>
              <w:top w:val="single" w:color="auto" w:sz="4" w:space="0"/>
              <w:left w:val="single" w:color="auto" w:sz="4" w:space="0"/>
              <w:bottom w:val="single" w:color="auto" w:sz="4" w:space="0"/>
              <w:right w:val="single" w:color="auto" w:sz="4" w:space="0"/>
            </w:tcBorders>
            <w:vAlign w:val="center"/>
          </w:tcPr>
          <w:p w14:paraId="0E0D0393">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i/>
                <w:color w:val="auto"/>
                <w:spacing w:val="4"/>
                <w:kern w:val="0"/>
                <w:szCs w:val="21"/>
                <w:highlight w:val="none"/>
              </w:rPr>
            </w:pPr>
            <w:r>
              <w:rPr>
                <w:rFonts w:hint="eastAsia" w:ascii="宋体" w:hAnsi="宋体" w:eastAsia="宋体" w:cs="宋体"/>
                <w:color w:val="auto"/>
                <w:kern w:val="0"/>
                <w:highlight w:val="none"/>
              </w:rPr>
              <w:t>符合第二章“投标人须知”第1.4.1项规定</w:t>
            </w:r>
          </w:p>
        </w:tc>
      </w:tr>
      <w:tr w14:paraId="7F205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14:paraId="5F6108B9">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1599" w:type="dxa"/>
            <w:vMerge w:val="continue"/>
            <w:tcBorders>
              <w:left w:val="single" w:color="auto" w:sz="4" w:space="0"/>
              <w:right w:val="single" w:color="auto" w:sz="4" w:space="0"/>
            </w:tcBorders>
            <w:vAlign w:val="center"/>
          </w:tcPr>
          <w:p w14:paraId="62D2B1F7">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14:paraId="54FC2C75">
            <w:pPr>
              <w:keepNext w:val="0"/>
              <w:keepLines w:val="0"/>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i/>
                <w:color w:val="auto"/>
                <w:spacing w:val="4"/>
                <w:kern w:val="0"/>
                <w:szCs w:val="21"/>
                <w:highlight w:val="none"/>
              </w:rPr>
            </w:pPr>
            <w:r>
              <w:rPr>
                <w:rFonts w:hint="eastAsia" w:ascii="宋体" w:hAnsi="宋体" w:eastAsia="宋体" w:cs="宋体"/>
                <w:color w:val="auto"/>
                <w:kern w:val="0"/>
                <w:highlight w:val="none"/>
              </w:rPr>
              <w:t>安全生产条件</w:t>
            </w:r>
          </w:p>
        </w:tc>
        <w:tc>
          <w:tcPr>
            <w:tcW w:w="5048" w:type="dxa"/>
            <w:tcBorders>
              <w:top w:val="single" w:color="auto" w:sz="4" w:space="0"/>
              <w:left w:val="single" w:color="auto" w:sz="4" w:space="0"/>
              <w:bottom w:val="single" w:color="auto" w:sz="4" w:space="0"/>
              <w:right w:val="single" w:color="auto" w:sz="4" w:space="0"/>
            </w:tcBorders>
            <w:vAlign w:val="center"/>
          </w:tcPr>
          <w:p w14:paraId="3EA855EF">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i/>
                <w:color w:val="auto"/>
                <w:spacing w:val="4"/>
                <w:kern w:val="0"/>
                <w:szCs w:val="21"/>
                <w:highlight w:val="none"/>
              </w:rPr>
            </w:pPr>
            <w:r>
              <w:rPr>
                <w:rFonts w:hint="eastAsia" w:ascii="宋体" w:hAnsi="宋体" w:eastAsia="宋体" w:cs="宋体"/>
                <w:color w:val="auto"/>
                <w:kern w:val="0"/>
                <w:highlight w:val="none"/>
              </w:rPr>
              <w:t>符合第二章“投标人须知”第1.4.1项规定</w:t>
            </w:r>
          </w:p>
        </w:tc>
      </w:tr>
      <w:tr w14:paraId="63BC4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14:paraId="08438F53">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1599" w:type="dxa"/>
            <w:vMerge w:val="continue"/>
            <w:tcBorders>
              <w:left w:val="single" w:color="auto" w:sz="4" w:space="0"/>
              <w:right w:val="single" w:color="auto" w:sz="4" w:space="0"/>
            </w:tcBorders>
            <w:vAlign w:val="center"/>
          </w:tcPr>
          <w:p w14:paraId="19E0782A">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14:paraId="606860F6">
            <w:pPr>
              <w:keepNext w:val="0"/>
              <w:keepLines w:val="0"/>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lang w:val="en-US" w:eastAsia="zh-CN"/>
              </w:rPr>
              <w:t>关键设备授权要求</w:t>
            </w:r>
          </w:p>
        </w:tc>
        <w:tc>
          <w:tcPr>
            <w:tcW w:w="5048" w:type="dxa"/>
            <w:tcBorders>
              <w:top w:val="single" w:color="auto" w:sz="4" w:space="0"/>
              <w:left w:val="single" w:color="auto" w:sz="4" w:space="0"/>
              <w:bottom w:val="single" w:color="auto" w:sz="4" w:space="0"/>
              <w:right w:val="single" w:color="auto" w:sz="4" w:space="0"/>
            </w:tcBorders>
            <w:vAlign w:val="center"/>
          </w:tcPr>
          <w:p w14:paraId="0176B379">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14:paraId="5621A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14:paraId="7035521F">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1599" w:type="dxa"/>
            <w:vMerge w:val="continue"/>
            <w:tcBorders>
              <w:left w:val="single" w:color="auto" w:sz="4" w:space="0"/>
              <w:right w:val="single" w:color="auto" w:sz="4" w:space="0"/>
            </w:tcBorders>
            <w:vAlign w:val="center"/>
          </w:tcPr>
          <w:p w14:paraId="41F19EF5">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14:paraId="351D8468">
            <w:pPr>
              <w:keepNext w:val="0"/>
              <w:keepLines w:val="0"/>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i/>
                <w:color w:val="auto"/>
                <w:spacing w:val="4"/>
                <w:kern w:val="0"/>
                <w:szCs w:val="21"/>
                <w:highlight w:val="none"/>
              </w:rPr>
            </w:pPr>
            <w:r>
              <w:rPr>
                <w:rFonts w:hint="eastAsia" w:ascii="宋体" w:hAnsi="宋体" w:eastAsia="宋体" w:cs="宋体"/>
                <w:color w:val="auto"/>
                <w:kern w:val="0"/>
                <w:highlight w:val="none"/>
              </w:rPr>
              <w:t>业绩要求</w:t>
            </w:r>
          </w:p>
        </w:tc>
        <w:tc>
          <w:tcPr>
            <w:tcW w:w="5048" w:type="dxa"/>
            <w:tcBorders>
              <w:top w:val="single" w:color="auto" w:sz="4" w:space="0"/>
              <w:left w:val="single" w:color="auto" w:sz="4" w:space="0"/>
              <w:bottom w:val="single" w:color="auto" w:sz="4" w:space="0"/>
              <w:right w:val="single" w:color="auto" w:sz="4" w:space="0"/>
            </w:tcBorders>
            <w:vAlign w:val="center"/>
          </w:tcPr>
          <w:p w14:paraId="70424179">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i/>
                <w:color w:val="auto"/>
                <w:spacing w:val="4"/>
                <w:kern w:val="0"/>
                <w:szCs w:val="21"/>
                <w:highlight w:val="none"/>
              </w:rPr>
            </w:pPr>
            <w:r>
              <w:rPr>
                <w:rFonts w:hint="eastAsia" w:ascii="宋体" w:hAnsi="宋体" w:eastAsia="宋体" w:cs="宋体"/>
                <w:color w:val="auto"/>
                <w:kern w:val="0"/>
                <w:highlight w:val="none"/>
              </w:rPr>
              <w:t>符合第二章“投标人须知”第1.4.1项规定</w:t>
            </w:r>
          </w:p>
        </w:tc>
      </w:tr>
      <w:tr w14:paraId="1B457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14:paraId="7FB1A254">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1599" w:type="dxa"/>
            <w:vMerge w:val="continue"/>
            <w:tcBorders>
              <w:left w:val="single" w:color="auto" w:sz="4" w:space="0"/>
              <w:right w:val="single" w:color="auto" w:sz="4" w:space="0"/>
            </w:tcBorders>
            <w:vAlign w:val="center"/>
          </w:tcPr>
          <w:p w14:paraId="04FAB744">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14:paraId="4733D72B">
            <w:pPr>
              <w:keepNext w:val="0"/>
              <w:keepLines w:val="0"/>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i/>
                <w:color w:val="auto"/>
                <w:spacing w:val="4"/>
                <w:kern w:val="0"/>
                <w:szCs w:val="21"/>
                <w:highlight w:val="none"/>
              </w:rPr>
            </w:pPr>
            <w:r>
              <w:rPr>
                <w:rFonts w:hint="eastAsia" w:ascii="宋体" w:hAnsi="宋体" w:eastAsia="宋体" w:cs="宋体"/>
                <w:color w:val="auto"/>
                <w:szCs w:val="21"/>
                <w:highlight w:val="none"/>
              </w:rPr>
              <w:t>投标截止日投标资格情况</w:t>
            </w:r>
          </w:p>
        </w:tc>
        <w:tc>
          <w:tcPr>
            <w:tcW w:w="5048" w:type="dxa"/>
            <w:tcBorders>
              <w:top w:val="single" w:color="auto" w:sz="4" w:space="0"/>
              <w:left w:val="single" w:color="auto" w:sz="4" w:space="0"/>
              <w:bottom w:val="single" w:color="auto" w:sz="4" w:space="0"/>
              <w:right w:val="single" w:color="auto" w:sz="4" w:space="0"/>
            </w:tcBorders>
            <w:vAlign w:val="center"/>
          </w:tcPr>
          <w:p w14:paraId="0DBFDB21">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i/>
                <w:color w:val="auto"/>
                <w:spacing w:val="4"/>
                <w:kern w:val="0"/>
                <w:szCs w:val="21"/>
                <w:highlight w:val="none"/>
              </w:rPr>
            </w:pPr>
            <w:r>
              <w:rPr>
                <w:rFonts w:hint="eastAsia" w:ascii="宋体" w:hAnsi="宋体" w:eastAsia="宋体" w:cs="宋体"/>
                <w:color w:val="auto"/>
                <w:kern w:val="0"/>
                <w:highlight w:val="none"/>
              </w:rPr>
              <w:t>符合第二章“投标人须知”第1.4.1项规定</w:t>
            </w:r>
          </w:p>
        </w:tc>
      </w:tr>
      <w:tr w14:paraId="46F6D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14:paraId="52164DB0">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1599" w:type="dxa"/>
            <w:vMerge w:val="continue"/>
            <w:tcBorders>
              <w:left w:val="single" w:color="auto" w:sz="4" w:space="0"/>
              <w:right w:val="single" w:color="auto" w:sz="4" w:space="0"/>
            </w:tcBorders>
            <w:vAlign w:val="center"/>
          </w:tcPr>
          <w:p w14:paraId="43B2E411">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14:paraId="6DD5694B">
            <w:pPr>
              <w:keepNext w:val="0"/>
              <w:keepLines w:val="0"/>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i/>
                <w:color w:val="auto"/>
                <w:spacing w:val="4"/>
                <w:kern w:val="0"/>
                <w:szCs w:val="21"/>
                <w:highlight w:val="none"/>
              </w:rPr>
            </w:pPr>
            <w:r>
              <w:rPr>
                <w:rFonts w:hint="eastAsia" w:ascii="宋体" w:hAnsi="宋体" w:eastAsia="宋体" w:cs="宋体"/>
                <w:color w:val="auto"/>
                <w:kern w:val="0"/>
                <w:highlight w:val="none"/>
              </w:rPr>
              <w:t>项目经理资格要求</w:t>
            </w:r>
          </w:p>
        </w:tc>
        <w:tc>
          <w:tcPr>
            <w:tcW w:w="5048" w:type="dxa"/>
            <w:tcBorders>
              <w:top w:val="single" w:color="auto" w:sz="4" w:space="0"/>
              <w:left w:val="single" w:color="auto" w:sz="4" w:space="0"/>
              <w:bottom w:val="single" w:color="auto" w:sz="4" w:space="0"/>
              <w:right w:val="single" w:color="auto" w:sz="4" w:space="0"/>
            </w:tcBorders>
            <w:vAlign w:val="center"/>
          </w:tcPr>
          <w:p w14:paraId="38245F75">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i/>
                <w:color w:val="auto"/>
                <w:spacing w:val="4"/>
                <w:kern w:val="0"/>
                <w:szCs w:val="21"/>
                <w:highlight w:val="none"/>
              </w:rPr>
            </w:pPr>
            <w:r>
              <w:rPr>
                <w:rFonts w:hint="eastAsia" w:ascii="宋体" w:hAnsi="宋体" w:eastAsia="宋体" w:cs="宋体"/>
                <w:color w:val="auto"/>
                <w:kern w:val="0"/>
                <w:highlight w:val="none"/>
              </w:rPr>
              <w:t>符合第二章“投标人须知”第1.4.1项规定</w:t>
            </w:r>
          </w:p>
        </w:tc>
      </w:tr>
      <w:tr w14:paraId="42A64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14:paraId="57AD24C1">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1599" w:type="dxa"/>
            <w:vMerge w:val="continue"/>
            <w:tcBorders>
              <w:left w:val="single" w:color="auto" w:sz="4" w:space="0"/>
              <w:right w:val="single" w:color="auto" w:sz="4" w:space="0"/>
            </w:tcBorders>
            <w:vAlign w:val="center"/>
          </w:tcPr>
          <w:p w14:paraId="3C4483E1">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14:paraId="0358894C">
            <w:pPr>
              <w:keepNext w:val="0"/>
              <w:keepLines w:val="0"/>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项目总工资格要求</w:t>
            </w:r>
          </w:p>
        </w:tc>
        <w:tc>
          <w:tcPr>
            <w:tcW w:w="5048" w:type="dxa"/>
            <w:tcBorders>
              <w:top w:val="single" w:color="auto" w:sz="4" w:space="0"/>
              <w:left w:val="single" w:color="auto" w:sz="4" w:space="0"/>
              <w:bottom w:val="single" w:color="auto" w:sz="4" w:space="0"/>
              <w:right w:val="single" w:color="auto" w:sz="4" w:space="0"/>
            </w:tcBorders>
            <w:vAlign w:val="center"/>
          </w:tcPr>
          <w:p w14:paraId="38DB02A2">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14:paraId="3F02C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14:paraId="46FB9D7F">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1599" w:type="dxa"/>
            <w:vMerge w:val="continue"/>
            <w:tcBorders>
              <w:left w:val="single" w:color="auto" w:sz="4" w:space="0"/>
              <w:right w:val="single" w:color="auto" w:sz="4" w:space="0"/>
            </w:tcBorders>
            <w:vAlign w:val="center"/>
          </w:tcPr>
          <w:p w14:paraId="73855D2F">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14:paraId="277A1BAD">
            <w:pPr>
              <w:keepNext w:val="0"/>
              <w:keepLines w:val="0"/>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color w:val="auto"/>
                <w:kern w:val="0"/>
                <w:highlight w:val="none"/>
                <w:lang w:eastAsia="zh-CN"/>
              </w:rPr>
            </w:pPr>
            <w:r>
              <w:rPr>
                <w:rFonts w:hint="eastAsia" w:ascii="宋体" w:hAnsi="宋体" w:eastAsia="宋体" w:cs="宋体"/>
                <w:color w:val="auto"/>
                <w:kern w:val="0"/>
                <w:highlight w:val="none"/>
                <w:lang w:eastAsia="zh-CN"/>
              </w:rPr>
              <w:t>专职安全员资格要求</w:t>
            </w:r>
          </w:p>
        </w:tc>
        <w:tc>
          <w:tcPr>
            <w:tcW w:w="5048" w:type="dxa"/>
            <w:tcBorders>
              <w:top w:val="single" w:color="auto" w:sz="4" w:space="0"/>
              <w:left w:val="single" w:color="auto" w:sz="4" w:space="0"/>
              <w:bottom w:val="single" w:color="auto" w:sz="4" w:space="0"/>
              <w:right w:val="single" w:color="auto" w:sz="4" w:space="0"/>
            </w:tcBorders>
            <w:vAlign w:val="center"/>
          </w:tcPr>
          <w:p w14:paraId="1A13A74A">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14:paraId="53052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14:paraId="10C54C0D">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1599" w:type="dxa"/>
            <w:vMerge w:val="continue"/>
            <w:tcBorders>
              <w:left w:val="single" w:color="auto" w:sz="4" w:space="0"/>
              <w:right w:val="single" w:color="auto" w:sz="4" w:space="0"/>
            </w:tcBorders>
            <w:vAlign w:val="center"/>
          </w:tcPr>
          <w:p w14:paraId="69053B21">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14:paraId="6F15CB99">
            <w:pPr>
              <w:keepNext w:val="0"/>
              <w:keepLines w:val="0"/>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其他管理和技术人员最低要求</w:t>
            </w:r>
          </w:p>
        </w:tc>
        <w:tc>
          <w:tcPr>
            <w:tcW w:w="5048" w:type="dxa"/>
            <w:tcBorders>
              <w:top w:val="single" w:color="auto" w:sz="4" w:space="0"/>
              <w:left w:val="single" w:color="auto" w:sz="4" w:space="0"/>
              <w:bottom w:val="single" w:color="auto" w:sz="4" w:space="0"/>
              <w:right w:val="single" w:color="auto" w:sz="4" w:space="0"/>
            </w:tcBorders>
            <w:vAlign w:val="center"/>
          </w:tcPr>
          <w:p w14:paraId="050144DE">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14:paraId="4C3AD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14:paraId="5965E1BC">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1599" w:type="dxa"/>
            <w:vMerge w:val="continue"/>
            <w:tcBorders>
              <w:left w:val="single" w:color="auto" w:sz="4" w:space="0"/>
              <w:right w:val="single" w:color="auto" w:sz="4" w:space="0"/>
            </w:tcBorders>
            <w:vAlign w:val="center"/>
          </w:tcPr>
          <w:p w14:paraId="2950DB7B">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14:paraId="0A790F29">
            <w:pPr>
              <w:keepNext w:val="0"/>
              <w:keepLines w:val="0"/>
              <w:suppressLineNumbers w:val="0"/>
              <w:adjustRightInd w:val="0"/>
              <w:snapToGrid w:val="0"/>
              <w:spacing w:before="0" w:beforeAutospacing="0" w:after="0" w:afterLines="0" w:afterAutospacing="0" w:line="400" w:lineRule="exact"/>
              <w:ind w:left="0" w:right="0"/>
              <w:rPr>
                <w:rFonts w:hint="eastAsia" w:ascii="宋体" w:hAnsi="宋体" w:eastAsia="宋体" w:cs="宋体"/>
                <w:color w:val="auto"/>
                <w:kern w:val="0"/>
                <w:highlight w:val="none"/>
              </w:rPr>
            </w:pPr>
            <w:r>
              <w:rPr>
                <w:rFonts w:hint="eastAsia" w:ascii="宋体" w:hAnsi="宋体" w:eastAsia="宋体" w:cs="宋体"/>
                <w:color w:val="auto"/>
                <w:kern w:val="0"/>
                <w:highlight w:val="none"/>
              </w:rPr>
              <w:t>主要机械设备和试验检测设备最低要求</w:t>
            </w:r>
          </w:p>
        </w:tc>
        <w:tc>
          <w:tcPr>
            <w:tcW w:w="5048" w:type="dxa"/>
            <w:tcBorders>
              <w:top w:val="single" w:color="auto" w:sz="4" w:space="0"/>
              <w:left w:val="single" w:color="auto" w:sz="4" w:space="0"/>
              <w:bottom w:val="single" w:color="auto" w:sz="4" w:space="0"/>
              <w:right w:val="single" w:color="auto" w:sz="4" w:space="0"/>
            </w:tcBorders>
            <w:vAlign w:val="center"/>
          </w:tcPr>
          <w:p w14:paraId="18F27CD2">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14:paraId="6A7E1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14:paraId="3E7AB16C">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1599" w:type="dxa"/>
            <w:vMerge w:val="continue"/>
            <w:tcBorders>
              <w:left w:val="single" w:color="auto" w:sz="4" w:space="0"/>
              <w:right w:val="single" w:color="auto" w:sz="4" w:space="0"/>
            </w:tcBorders>
            <w:vAlign w:val="center"/>
          </w:tcPr>
          <w:p w14:paraId="0377CE2F">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14:paraId="7CBD2180">
            <w:pPr>
              <w:keepNext w:val="0"/>
              <w:keepLines w:val="0"/>
              <w:suppressLineNumbers w:val="0"/>
              <w:adjustRightInd w:val="0"/>
              <w:snapToGrid w:val="0"/>
              <w:spacing w:before="0" w:beforeAutospacing="0" w:after="0" w:afterLines="0" w:afterAutospacing="0" w:line="400" w:lineRule="exact"/>
              <w:ind w:left="0" w:leftChars="0" w:right="0" w:rightChars="0"/>
              <w:rPr>
                <w:rFonts w:hint="eastAsia" w:ascii="宋体" w:hAnsi="宋体" w:eastAsia="宋体" w:cs="宋体"/>
                <w:color w:val="auto"/>
                <w:kern w:val="0"/>
                <w:highlight w:val="none"/>
              </w:rPr>
            </w:pPr>
            <w:r>
              <w:rPr>
                <w:rFonts w:hint="eastAsia" w:ascii="宋体" w:hAnsi="宋体" w:eastAsia="宋体" w:cs="宋体"/>
                <w:color w:val="auto"/>
                <w:kern w:val="0"/>
                <w:highlight w:val="none"/>
              </w:rPr>
              <w:t>委托代理人</w:t>
            </w:r>
          </w:p>
        </w:tc>
        <w:tc>
          <w:tcPr>
            <w:tcW w:w="5048" w:type="dxa"/>
            <w:tcBorders>
              <w:top w:val="single" w:color="auto" w:sz="4" w:space="0"/>
              <w:left w:val="single" w:color="auto" w:sz="4" w:space="0"/>
              <w:bottom w:val="single" w:color="auto" w:sz="4" w:space="0"/>
              <w:right w:val="single" w:color="auto" w:sz="4" w:space="0"/>
            </w:tcBorders>
            <w:vAlign w:val="center"/>
          </w:tcPr>
          <w:p w14:paraId="4ED554BC">
            <w:pPr>
              <w:keepNext w:val="0"/>
              <w:keepLines w:val="0"/>
              <w:suppressLineNumbers w:val="0"/>
              <w:adjustRightInd w:val="0"/>
              <w:snapToGrid w:val="0"/>
              <w:spacing w:before="0" w:beforeAutospacing="0" w:after="0" w:afterLines="0" w:afterAutospacing="0" w:line="400" w:lineRule="exact"/>
              <w:ind w:left="0" w:leftChars="0" w:right="0" w:rightChars="0"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14:paraId="239BC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14:paraId="77C4C899">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1599" w:type="dxa"/>
            <w:vMerge w:val="continue"/>
            <w:tcBorders>
              <w:left w:val="single" w:color="auto" w:sz="4" w:space="0"/>
              <w:right w:val="single" w:color="auto" w:sz="4" w:space="0"/>
            </w:tcBorders>
            <w:vAlign w:val="center"/>
          </w:tcPr>
          <w:p w14:paraId="09E8001D">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14:paraId="04B9EE9F">
            <w:pPr>
              <w:keepNext w:val="0"/>
              <w:keepLines w:val="0"/>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i/>
                <w:color w:val="auto"/>
                <w:spacing w:val="4"/>
                <w:kern w:val="0"/>
                <w:szCs w:val="21"/>
                <w:highlight w:val="none"/>
              </w:rPr>
            </w:pPr>
            <w:r>
              <w:rPr>
                <w:rFonts w:hint="eastAsia" w:ascii="宋体" w:hAnsi="宋体" w:eastAsia="宋体" w:cs="宋体"/>
                <w:color w:val="auto"/>
                <w:kern w:val="0"/>
                <w:highlight w:val="none"/>
              </w:rPr>
              <w:t>其他要求</w:t>
            </w:r>
          </w:p>
        </w:tc>
        <w:tc>
          <w:tcPr>
            <w:tcW w:w="5048" w:type="dxa"/>
            <w:tcBorders>
              <w:top w:val="single" w:color="auto" w:sz="4" w:space="0"/>
              <w:left w:val="single" w:color="auto" w:sz="4" w:space="0"/>
              <w:bottom w:val="single" w:color="auto" w:sz="4" w:space="0"/>
              <w:right w:val="single" w:color="auto" w:sz="4" w:space="0"/>
            </w:tcBorders>
            <w:vAlign w:val="center"/>
          </w:tcPr>
          <w:p w14:paraId="54F91C45">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i/>
                <w:color w:val="auto"/>
                <w:spacing w:val="4"/>
                <w:kern w:val="0"/>
                <w:szCs w:val="21"/>
                <w:highlight w:val="none"/>
              </w:rPr>
            </w:pPr>
            <w:r>
              <w:rPr>
                <w:rFonts w:hint="eastAsia" w:ascii="宋体" w:hAnsi="宋体" w:eastAsia="宋体" w:cs="宋体"/>
                <w:color w:val="auto"/>
                <w:kern w:val="0"/>
                <w:highlight w:val="none"/>
              </w:rPr>
              <w:t>符合第二章“投标人须知”第1.4.1项规定</w:t>
            </w:r>
          </w:p>
        </w:tc>
      </w:tr>
      <w:tr w14:paraId="78829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restart"/>
            <w:tcBorders>
              <w:left w:val="single" w:color="auto" w:sz="4" w:space="0"/>
              <w:right w:val="single" w:color="auto" w:sz="4" w:space="0"/>
            </w:tcBorders>
            <w:vAlign w:val="center"/>
          </w:tcPr>
          <w:p w14:paraId="1F837AC6">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highlight w:val="none"/>
              </w:rPr>
            </w:pPr>
            <w:r>
              <w:rPr>
                <w:rFonts w:hint="eastAsia" w:ascii="宋体" w:hAnsi="宋体" w:eastAsia="宋体" w:cs="宋体"/>
                <w:color w:val="auto"/>
                <w:kern w:val="0"/>
                <w:highlight w:val="none"/>
              </w:rPr>
              <w:t>2.1.2</w:t>
            </w:r>
          </w:p>
        </w:tc>
        <w:tc>
          <w:tcPr>
            <w:tcW w:w="1599" w:type="dxa"/>
            <w:vMerge w:val="restart"/>
            <w:tcBorders>
              <w:left w:val="single" w:color="auto" w:sz="4" w:space="0"/>
              <w:right w:val="single" w:color="auto" w:sz="4" w:space="0"/>
            </w:tcBorders>
            <w:vAlign w:val="center"/>
          </w:tcPr>
          <w:p w14:paraId="2BC45578">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highlight w:val="none"/>
              </w:rPr>
            </w:pPr>
            <w:r>
              <w:rPr>
                <w:rFonts w:hint="eastAsia" w:ascii="宋体" w:hAnsi="宋体" w:eastAsia="宋体" w:cs="宋体"/>
                <w:color w:val="auto"/>
                <w:kern w:val="0"/>
                <w:highlight w:val="none"/>
              </w:rPr>
              <w:t>形式评审标准</w:t>
            </w:r>
          </w:p>
        </w:tc>
        <w:tc>
          <w:tcPr>
            <w:tcW w:w="2355" w:type="dxa"/>
            <w:gridSpan w:val="2"/>
            <w:tcBorders>
              <w:top w:val="single" w:color="auto" w:sz="4" w:space="0"/>
              <w:left w:val="single" w:color="auto" w:sz="4" w:space="0"/>
              <w:bottom w:val="single" w:color="auto" w:sz="4" w:space="0"/>
              <w:right w:val="single" w:color="auto" w:sz="4" w:space="0"/>
            </w:tcBorders>
            <w:vAlign w:val="center"/>
          </w:tcPr>
          <w:p w14:paraId="11ACA1E3">
            <w:pPr>
              <w:keepNext w:val="0"/>
              <w:keepLines w:val="0"/>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投标人名称</w:t>
            </w:r>
          </w:p>
        </w:tc>
        <w:tc>
          <w:tcPr>
            <w:tcW w:w="5048" w:type="dxa"/>
            <w:tcBorders>
              <w:top w:val="single" w:color="auto" w:sz="4" w:space="0"/>
              <w:left w:val="single" w:color="auto" w:sz="4" w:space="0"/>
              <w:bottom w:val="single" w:color="auto" w:sz="4" w:space="0"/>
              <w:right w:val="single" w:color="auto" w:sz="4" w:space="0"/>
            </w:tcBorders>
            <w:vAlign w:val="center"/>
          </w:tcPr>
          <w:p w14:paraId="22A6156E">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与营业执照、资质证书、安全生产许可证一致，依法变更名称的应提交相应证明材料。</w:t>
            </w:r>
          </w:p>
        </w:tc>
      </w:tr>
      <w:tr w14:paraId="79927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14:paraId="1993F584">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1599" w:type="dxa"/>
            <w:vMerge w:val="continue"/>
            <w:tcBorders>
              <w:left w:val="single" w:color="auto" w:sz="4" w:space="0"/>
              <w:right w:val="single" w:color="auto" w:sz="4" w:space="0"/>
            </w:tcBorders>
            <w:vAlign w:val="center"/>
          </w:tcPr>
          <w:p w14:paraId="0E0E3F67">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14:paraId="0150DB81">
            <w:pPr>
              <w:keepNext w:val="0"/>
              <w:keepLines w:val="0"/>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投标文件格式</w:t>
            </w:r>
          </w:p>
        </w:tc>
        <w:tc>
          <w:tcPr>
            <w:tcW w:w="5048" w:type="dxa"/>
            <w:tcBorders>
              <w:top w:val="single" w:color="auto" w:sz="4" w:space="0"/>
              <w:left w:val="single" w:color="auto" w:sz="4" w:space="0"/>
              <w:bottom w:val="single" w:color="auto" w:sz="4" w:space="0"/>
              <w:right w:val="single" w:color="auto" w:sz="4" w:space="0"/>
            </w:tcBorders>
            <w:vAlign w:val="center"/>
          </w:tcPr>
          <w:p w14:paraId="0449687F">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符合第二章“投标人须知”第3.7款的要求（不含投标函部分）。</w:t>
            </w:r>
          </w:p>
        </w:tc>
      </w:tr>
      <w:tr w14:paraId="6599B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14:paraId="31BABDBB">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1599" w:type="dxa"/>
            <w:vMerge w:val="continue"/>
            <w:tcBorders>
              <w:left w:val="single" w:color="auto" w:sz="4" w:space="0"/>
              <w:right w:val="single" w:color="auto" w:sz="4" w:space="0"/>
            </w:tcBorders>
            <w:vAlign w:val="center"/>
          </w:tcPr>
          <w:p w14:paraId="63036AEF">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14:paraId="0F446D23">
            <w:pPr>
              <w:keepNext w:val="0"/>
              <w:keepLines w:val="0"/>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投标文件的签署</w:t>
            </w:r>
          </w:p>
        </w:tc>
        <w:tc>
          <w:tcPr>
            <w:tcW w:w="5048" w:type="dxa"/>
            <w:tcBorders>
              <w:top w:val="single" w:color="auto" w:sz="4" w:space="0"/>
              <w:left w:val="single" w:color="auto" w:sz="4" w:space="0"/>
              <w:bottom w:val="single" w:color="auto" w:sz="4" w:space="0"/>
              <w:right w:val="single" w:color="auto" w:sz="4" w:space="0"/>
            </w:tcBorders>
            <w:vAlign w:val="center"/>
          </w:tcPr>
          <w:p w14:paraId="38CCB4CF">
            <w:pPr>
              <w:keepNext w:val="0"/>
              <w:keepLines w:val="0"/>
              <w:suppressLineNumbers w:val="0"/>
              <w:autoSpaceDE w:val="0"/>
              <w:autoSpaceDN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rPr>
              <w:t>投标文件（不含投标函部分）格式要求法定代表人或其委托代理人签名（或盖章）的须齐全</w:t>
            </w:r>
            <w:r>
              <w:rPr>
                <w:rFonts w:hint="eastAsia" w:ascii="宋体" w:hAnsi="宋体" w:eastAsia="宋体" w:cs="宋体"/>
                <w:color w:val="auto"/>
                <w:kern w:val="0"/>
                <w:highlight w:val="none"/>
                <w:lang w:eastAsia="zh-CN"/>
              </w:rPr>
              <w:t>。</w:t>
            </w:r>
          </w:p>
        </w:tc>
      </w:tr>
      <w:tr w14:paraId="434DB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0" w:type="dxa"/>
            <w:vMerge w:val="continue"/>
            <w:tcBorders>
              <w:left w:val="single" w:color="auto" w:sz="4" w:space="0"/>
              <w:bottom w:val="single" w:color="auto" w:sz="4" w:space="0"/>
              <w:right w:val="single" w:color="auto" w:sz="4" w:space="0"/>
            </w:tcBorders>
            <w:vAlign w:val="center"/>
          </w:tcPr>
          <w:p w14:paraId="293CBBE1">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1599" w:type="dxa"/>
            <w:vMerge w:val="continue"/>
            <w:tcBorders>
              <w:left w:val="single" w:color="auto" w:sz="4" w:space="0"/>
              <w:bottom w:val="single" w:color="auto" w:sz="4" w:space="0"/>
              <w:right w:val="single" w:color="auto" w:sz="4" w:space="0"/>
            </w:tcBorders>
            <w:vAlign w:val="center"/>
          </w:tcPr>
          <w:p w14:paraId="282BD1E6">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14:paraId="2186A4E4">
            <w:pPr>
              <w:keepNext w:val="0"/>
              <w:keepLines w:val="0"/>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委托代理人</w:t>
            </w:r>
          </w:p>
        </w:tc>
        <w:tc>
          <w:tcPr>
            <w:tcW w:w="5048" w:type="dxa"/>
            <w:tcBorders>
              <w:top w:val="single" w:color="auto" w:sz="4" w:space="0"/>
              <w:left w:val="single" w:color="auto" w:sz="4" w:space="0"/>
              <w:bottom w:val="single" w:color="auto" w:sz="4" w:space="0"/>
              <w:right w:val="single" w:color="auto" w:sz="4" w:space="0"/>
            </w:tcBorders>
            <w:vAlign w:val="center"/>
          </w:tcPr>
          <w:p w14:paraId="0D275004">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投标人法定代表人的委托代理人有法定代表人签署的授权委托书和投标人为其缴纳的养老保险。</w:t>
            </w:r>
          </w:p>
        </w:tc>
      </w:tr>
      <w:tr w14:paraId="0C54F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restart"/>
            <w:tcBorders>
              <w:left w:val="single" w:color="auto" w:sz="4" w:space="0"/>
              <w:right w:val="single" w:color="auto" w:sz="4" w:space="0"/>
            </w:tcBorders>
            <w:vAlign w:val="center"/>
          </w:tcPr>
          <w:p w14:paraId="1BC61FCC">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highlight w:val="none"/>
              </w:rPr>
            </w:pPr>
            <w:r>
              <w:rPr>
                <w:rFonts w:hint="eastAsia" w:ascii="宋体" w:hAnsi="宋体" w:eastAsia="宋体" w:cs="宋体"/>
                <w:color w:val="auto"/>
                <w:highlight w:val="none"/>
              </w:rPr>
              <w:t>2.1.3</w:t>
            </w:r>
          </w:p>
        </w:tc>
        <w:tc>
          <w:tcPr>
            <w:tcW w:w="1599" w:type="dxa"/>
            <w:vMerge w:val="restart"/>
            <w:tcBorders>
              <w:left w:val="single" w:color="auto" w:sz="4" w:space="0"/>
              <w:right w:val="single" w:color="auto" w:sz="4" w:space="0"/>
            </w:tcBorders>
            <w:vAlign w:val="center"/>
          </w:tcPr>
          <w:p w14:paraId="08A01B85">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highlight w:val="none"/>
              </w:rPr>
            </w:pPr>
            <w:r>
              <w:rPr>
                <w:rFonts w:hint="eastAsia" w:ascii="宋体" w:hAnsi="宋体" w:eastAsia="宋体" w:cs="宋体"/>
                <w:color w:val="auto"/>
                <w:kern w:val="0"/>
                <w:highlight w:val="none"/>
              </w:rPr>
              <w:t>响应性评审标准</w:t>
            </w:r>
          </w:p>
        </w:tc>
        <w:tc>
          <w:tcPr>
            <w:tcW w:w="2355" w:type="dxa"/>
            <w:gridSpan w:val="2"/>
            <w:tcBorders>
              <w:top w:val="single" w:color="auto" w:sz="4" w:space="0"/>
              <w:left w:val="single" w:color="auto" w:sz="4" w:space="0"/>
              <w:bottom w:val="single" w:color="auto" w:sz="4" w:space="0"/>
              <w:right w:val="single" w:color="auto" w:sz="4" w:space="0"/>
            </w:tcBorders>
            <w:vAlign w:val="center"/>
          </w:tcPr>
          <w:p w14:paraId="6A6804BB">
            <w:pPr>
              <w:keepNext w:val="0"/>
              <w:keepLines w:val="0"/>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投标内容</w:t>
            </w:r>
          </w:p>
        </w:tc>
        <w:tc>
          <w:tcPr>
            <w:tcW w:w="5048" w:type="dxa"/>
            <w:tcBorders>
              <w:top w:val="single" w:color="auto" w:sz="4" w:space="0"/>
              <w:left w:val="single" w:color="auto" w:sz="4" w:space="0"/>
              <w:bottom w:val="single" w:color="auto" w:sz="4" w:space="0"/>
              <w:right w:val="single" w:color="auto" w:sz="4" w:space="0"/>
            </w:tcBorders>
            <w:vAlign w:val="center"/>
          </w:tcPr>
          <w:p w14:paraId="6F588209">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符合第二章“投标人须知”第1.3.1项规定</w:t>
            </w:r>
          </w:p>
        </w:tc>
      </w:tr>
      <w:tr w14:paraId="7AF1C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14:paraId="69348053">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highlight w:val="none"/>
              </w:rPr>
            </w:pPr>
          </w:p>
        </w:tc>
        <w:tc>
          <w:tcPr>
            <w:tcW w:w="1599" w:type="dxa"/>
            <w:vMerge w:val="continue"/>
            <w:tcBorders>
              <w:left w:val="single" w:color="auto" w:sz="4" w:space="0"/>
              <w:right w:val="single" w:color="auto" w:sz="4" w:space="0"/>
            </w:tcBorders>
            <w:vAlign w:val="center"/>
          </w:tcPr>
          <w:p w14:paraId="1C42CD78">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14:paraId="549F9049">
            <w:pPr>
              <w:keepNext w:val="0"/>
              <w:keepLines w:val="0"/>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lang w:val="en-US" w:eastAsia="zh-CN"/>
              </w:rPr>
              <w:t>投标函附录</w:t>
            </w:r>
          </w:p>
        </w:tc>
        <w:tc>
          <w:tcPr>
            <w:tcW w:w="5048" w:type="dxa"/>
            <w:tcBorders>
              <w:top w:val="single" w:color="auto" w:sz="4" w:space="0"/>
              <w:left w:val="single" w:color="auto" w:sz="4" w:space="0"/>
              <w:bottom w:val="single" w:color="auto" w:sz="4" w:space="0"/>
              <w:right w:val="single" w:color="auto" w:sz="4" w:space="0"/>
            </w:tcBorders>
            <w:vAlign w:val="center"/>
          </w:tcPr>
          <w:p w14:paraId="6C13DE2B">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投标函附录的所有数据均符合招标文件规定</w:t>
            </w:r>
            <w:r>
              <w:rPr>
                <w:rFonts w:hint="eastAsia" w:ascii="宋体" w:hAnsi="宋体" w:eastAsia="宋体" w:cs="宋体"/>
                <w:color w:val="auto"/>
                <w:kern w:val="0"/>
                <w:highlight w:val="none"/>
                <w:lang w:eastAsia="zh-CN"/>
              </w:rPr>
              <w:t>。</w:t>
            </w:r>
          </w:p>
        </w:tc>
      </w:tr>
      <w:tr w14:paraId="6ED6F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14:paraId="3D647686">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1599" w:type="dxa"/>
            <w:vMerge w:val="continue"/>
            <w:tcBorders>
              <w:left w:val="single" w:color="auto" w:sz="4" w:space="0"/>
              <w:right w:val="single" w:color="auto" w:sz="4" w:space="0"/>
            </w:tcBorders>
            <w:vAlign w:val="center"/>
          </w:tcPr>
          <w:p w14:paraId="5CE67AE7">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14:paraId="201AEFCB">
            <w:pPr>
              <w:keepNext w:val="0"/>
              <w:keepLines w:val="0"/>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投标保证金</w:t>
            </w:r>
          </w:p>
        </w:tc>
        <w:tc>
          <w:tcPr>
            <w:tcW w:w="5048" w:type="dxa"/>
            <w:tcBorders>
              <w:top w:val="single" w:color="auto" w:sz="4" w:space="0"/>
              <w:left w:val="single" w:color="auto" w:sz="4" w:space="0"/>
              <w:bottom w:val="single" w:color="auto" w:sz="4" w:space="0"/>
              <w:right w:val="single" w:color="auto" w:sz="4" w:space="0"/>
            </w:tcBorders>
            <w:vAlign w:val="center"/>
          </w:tcPr>
          <w:p w14:paraId="2F0669DC">
            <w:pPr>
              <w:keepNext w:val="0"/>
              <w:keepLines w:val="0"/>
              <w:suppressLineNumbers w:val="0"/>
              <w:tabs>
                <w:tab w:val="left" w:pos="601"/>
                <w:tab w:val="left" w:pos="669"/>
              </w:tabs>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rPr>
              <w:t>符合第二章投标人须知前附表第3.4款</w:t>
            </w:r>
            <w:r>
              <w:rPr>
                <w:rFonts w:hint="eastAsia" w:ascii="宋体" w:hAnsi="宋体" w:eastAsia="宋体" w:cs="宋体"/>
                <w:color w:val="auto"/>
                <w:kern w:val="0"/>
                <w:highlight w:val="none"/>
              </w:rPr>
              <w:t>规定</w:t>
            </w:r>
          </w:p>
        </w:tc>
      </w:tr>
      <w:tr w14:paraId="4CA0C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14:paraId="31AE1919">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1599" w:type="dxa"/>
            <w:vMerge w:val="continue"/>
            <w:tcBorders>
              <w:left w:val="single" w:color="auto" w:sz="4" w:space="0"/>
              <w:right w:val="single" w:color="auto" w:sz="4" w:space="0"/>
            </w:tcBorders>
            <w:vAlign w:val="center"/>
          </w:tcPr>
          <w:p w14:paraId="08FA87E0">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14:paraId="67C3087B">
            <w:pPr>
              <w:keepNext w:val="0"/>
              <w:keepLines w:val="0"/>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权利义务</w:t>
            </w:r>
          </w:p>
        </w:tc>
        <w:tc>
          <w:tcPr>
            <w:tcW w:w="5048" w:type="dxa"/>
            <w:tcBorders>
              <w:top w:val="single" w:color="auto" w:sz="4" w:space="0"/>
              <w:left w:val="single" w:color="auto" w:sz="4" w:space="0"/>
              <w:bottom w:val="single" w:color="auto" w:sz="4" w:space="0"/>
              <w:right w:val="single" w:color="auto" w:sz="4" w:space="0"/>
            </w:tcBorders>
            <w:vAlign w:val="center"/>
          </w:tcPr>
          <w:p w14:paraId="38700541">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符合第四章“合同条款及格式”规定，投标文件不应附有招标人不能接受的条件。（由投标人承诺，承诺书格式详见第九章投标文件格式。）</w:t>
            </w:r>
          </w:p>
        </w:tc>
      </w:tr>
      <w:tr w14:paraId="64E54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14:paraId="66A01787">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1599" w:type="dxa"/>
            <w:vMerge w:val="continue"/>
            <w:tcBorders>
              <w:left w:val="single" w:color="auto" w:sz="4" w:space="0"/>
              <w:right w:val="single" w:color="auto" w:sz="4" w:space="0"/>
            </w:tcBorders>
            <w:vAlign w:val="center"/>
          </w:tcPr>
          <w:p w14:paraId="74ED897D">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14:paraId="33F5E7C2">
            <w:pPr>
              <w:keepNext w:val="0"/>
              <w:keepLines w:val="0"/>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技术标准和要求</w:t>
            </w:r>
          </w:p>
        </w:tc>
        <w:tc>
          <w:tcPr>
            <w:tcW w:w="5048" w:type="dxa"/>
            <w:tcBorders>
              <w:top w:val="single" w:color="auto" w:sz="4" w:space="0"/>
              <w:left w:val="single" w:color="auto" w:sz="4" w:space="0"/>
              <w:bottom w:val="single" w:color="auto" w:sz="4" w:space="0"/>
              <w:right w:val="single" w:color="auto" w:sz="4" w:space="0"/>
            </w:tcBorders>
            <w:vAlign w:val="center"/>
          </w:tcPr>
          <w:p w14:paraId="0D21C731">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符合第七章“技术标准和要求”规定。（由投标人承诺，承诺书格式详见第九章投标文件格式。）</w:t>
            </w:r>
          </w:p>
        </w:tc>
      </w:tr>
      <w:tr w14:paraId="6EC57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bottom w:val="single" w:color="auto" w:sz="4" w:space="0"/>
              <w:right w:val="single" w:color="auto" w:sz="4" w:space="0"/>
            </w:tcBorders>
            <w:vAlign w:val="center"/>
          </w:tcPr>
          <w:p w14:paraId="59A7D929">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1599" w:type="dxa"/>
            <w:vMerge w:val="continue"/>
            <w:tcBorders>
              <w:left w:val="single" w:color="auto" w:sz="4" w:space="0"/>
              <w:bottom w:val="single" w:color="auto" w:sz="4" w:space="0"/>
              <w:right w:val="single" w:color="auto" w:sz="4" w:space="0"/>
            </w:tcBorders>
            <w:vAlign w:val="center"/>
          </w:tcPr>
          <w:p w14:paraId="4FCE0DF0">
            <w:pPr>
              <w:keepNext w:val="0"/>
              <w:keepLines w:val="0"/>
              <w:suppressLineNumbers w:val="0"/>
              <w:adjustRightInd w:val="0"/>
              <w:snapToGrid w:val="0"/>
              <w:spacing w:before="0" w:beforeAutospacing="0" w:after="0" w:afterLines="0" w:afterAutospacing="0" w:line="400" w:lineRule="exact"/>
              <w:ind w:left="0" w:right="0" w:firstLine="420"/>
              <w:rPr>
                <w:rFonts w:hint="eastAsia" w:ascii="宋体" w:hAnsi="宋体" w:eastAsia="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14:paraId="29EBAD66">
            <w:pPr>
              <w:keepNext w:val="0"/>
              <w:keepLines w:val="0"/>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实质性要求</w:t>
            </w:r>
          </w:p>
        </w:tc>
        <w:tc>
          <w:tcPr>
            <w:tcW w:w="5048" w:type="dxa"/>
            <w:tcBorders>
              <w:top w:val="single" w:color="auto" w:sz="4" w:space="0"/>
              <w:left w:val="single" w:color="auto" w:sz="4" w:space="0"/>
              <w:bottom w:val="single" w:color="auto" w:sz="4" w:space="0"/>
              <w:right w:val="single" w:color="auto" w:sz="4" w:space="0"/>
            </w:tcBorders>
            <w:vAlign w:val="center"/>
          </w:tcPr>
          <w:p w14:paraId="7875CCE1">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符合第二章“投标人须知”第1.4.3项规定。</w:t>
            </w:r>
          </w:p>
          <w:p w14:paraId="35F3EE73">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本次投标不得有串通投标、弄虚作假等其他违反招投标相关法律、法规行为。</w:t>
            </w:r>
          </w:p>
          <w:p w14:paraId="1154CFF2">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0"/>
                <w:highlight w:val="none"/>
              </w:rPr>
            </w:pPr>
            <w:r>
              <w:rPr>
                <w:rFonts w:hint="eastAsia" w:ascii="宋体" w:hAnsi="宋体" w:eastAsia="宋体" w:cs="宋体"/>
                <w:color w:val="auto"/>
                <w:highlight w:val="none"/>
              </w:rPr>
              <w:t>按评标委员会要求澄清、说明或补正。</w:t>
            </w:r>
          </w:p>
        </w:tc>
      </w:tr>
      <w:tr w14:paraId="33CC9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14:paraId="623D8697">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2.2.1</w:t>
            </w:r>
          </w:p>
        </w:tc>
        <w:tc>
          <w:tcPr>
            <w:tcW w:w="1599" w:type="dxa"/>
            <w:tcBorders>
              <w:top w:val="single" w:color="auto" w:sz="4" w:space="0"/>
              <w:left w:val="single" w:color="auto" w:sz="4" w:space="0"/>
              <w:bottom w:val="single" w:color="auto" w:sz="4" w:space="0"/>
              <w:right w:val="single" w:color="auto" w:sz="4" w:space="0"/>
            </w:tcBorders>
            <w:vAlign w:val="center"/>
          </w:tcPr>
          <w:p w14:paraId="04D772D5">
            <w:pPr>
              <w:keepNext w:val="0"/>
              <w:keepLines w:val="0"/>
              <w:widowControl/>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color w:val="auto"/>
                <w:highlight w:val="none"/>
              </w:rPr>
            </w:pPr>
            <w:r>
              <w:rPr>
                <w:rFonts w:hint="eastAsia" w:ascii="宋体" w:hAnsi="宋体" w:eastAsia="宋体" w:cs="宋体"/>
                <w:color w:val="auto"/>
                <w:kern w:val="0"/>
                <w:szCs w:val="21"/>
                <w:highlight w:val="none"/>
                <w:lang w:bidi="ar"/>
              </w:rPr>
              <w:t>分值构成（总分 100 分）</w:t>
            </w:r>
          </w:p>
        </w:tc>
        <w:tc>
          <w:tcPr>
            <w:tcW w:w="7403" w:type="dxa"/>
            <w:gridSpan w:val="3"/>
            <w:tcBorders>
              <w:top w:val="single" w:color="auto" w:sz="4" w:space="0"/>
              <w:left w:val="single" w:color="auto" w:sz="4" w:space="0"/>
              <w:bottom w:val="single" w:color="auto" w:sz="4" w:space="0"/>
              <w:right w:val="single" w:color="auto" w:sz="4" w:space="0"/>
            </w:tcBorders>
            <w:vAlign w:val="center"/>
          </w:tcPr>
          <w:p w14:paraId="65A3D914">
            <w:pPr>
              <w:keepNext w:val="0"/>
              <w:keepLines w:val="0"/>
              <w:suppressLineNumbers w:val="0"/>
              <w:adjustRightInd w:val="0"/>
              <w:snapToGrid w:val="0"/>
              <w:spacing w:before="0" w:beforeAutospacing="0" w:after="0" w:afterLines="0" w:afterAutospacing="0" w:line="400" w:lineRule="exact"/>
              <w:ind w:left="420" w:right="0"/>
              <w:rPr>
                <w:rFonts w:hint="eastAsia" w:ascii="宋体" w:hAnsi="宋体" w:eastAsia="宋体" w:cs="宋体"/>
                <w:color w:val="auto"/>
                <w:kern w:val="0"/>
                <w:highlight w:val="none"/>
              </w:rPr>
            </w:pPr>
            <w:r>
              <w:rPr>
                <w:rFonts w:hint="eastAsia" w:ascii="宋体" w:hAnsi="宋体" w:eastAsia="宋体" w:cs="宋体"/>
                <w:color w:val="auto"/>
                <w:kern w:val="0"/>
                <w:highlight w:val="none"/>
              </w:rPr>
              <w:t>1.技术部分</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u w:val="single"/>
                <w:lang w:val="en-US" w:eastAsia="zh-CN"/>
              </w:rPr>
              <w:t>20</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分；</w:t>
            </w:r>
          </w:p>
          <w:p w14:paraId="4965CD24">
            <w:pPr>
              <w:keepNext w:val="0"/>
              <w:keepLines w:val="0"/>
              <w:suppressLineNumbers w:val="0"/>
              <w:adjustRightInd w:val="0"/>
              <w:snapToGrid w:val="0"/>
              <w:spacing w:before="0" w:beforeAutospacing="0" w:after="0" w:afterLines="0" w:afterAutospacing="0" w:line="400" w:lineRule="exact"/>
              <w:ind w:left="420" w:right="0"/>
              <w:rPr>
                <w:rFonts w:hint="eastAsia" w:ascii="宋体" w:hAnsi="宋体" w:eastAsia="宋体" w:cs="宋体"/>
                <w:color w:val="auto"/>
                <w:kern w:val="0"/>
                <w:highlight w:val="none"/>
              </w:rPr>
            </w:pPr>
            <w:r>
              <w:rPr>
                <w:rFonts w:hint="eastAsia" w:ascii="宋体" w:hAnsi="宋体" w:eastAsia="宋体" w:cs="宋体"/>
                <w:color w:val="auto"/>
                <w:kern w:val="0"/>
                <w:highlight w:val="none"/>
              </w:rPr>
              <w:t>2.</w:t>
            </w:r>
            <w:r>
              <w:rPr>
                <w:rFonts w:hint="eastAsia" w:ascii="宋体" w:hAnsi="宋体" w:eastAsia="宋体" w:cs="宋体"/>
                <w:color w:val="auto"/>
                <w:highlight w:val="none"/>
              </w:rPr>
              <w:t>商务部分</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u w:val="single"/>
                <w:lang w:val="en-US" w:eastAsia="zh-CN"/>
              </w:rPr>
              <w:t>10</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分；</w:t>
            </w:r>
          </w:p>
          <w:p w14:paraId="2C65A89E">
            <w:pPr>
              <w:keepNext w:val="0"/>
              <w:keepLines w:val="0"/>
              <w:suppressLineNumbers w:val="0"/>
              <w:adjustRightInd w:val="0"/>
              <w:snapToGrid w:val="0"/>
              <w:spacing w:before="0" w:beforeAutospacing="0" w:after="0" w:afterLines="0" w:afterAutospacing="0" w:line="400" w:lineRule="exact"/>
              <w:ind w:left="420" w:right="0"/>
              <w:rPr>
                <w:rFonts w:hint="eastAsia" w:ascii="宋体" w:hAnsi="宋体" w:eastAsia="宋体" w:cs="宋体"/>
                <w:color w:val="auto"/>
                <w:kern w:val="0"/>
                <w:highlight w:val="none"/>
              </w:rPr>
            </w:pPr>
            <w:r>
              <w:rPr>
                <w:rFonts w:hint="eastAsia" w:ascii="宋体" w:hAnsi="宋体" w:eastAsia="宋体" w:cs="宋体"/>
                <w:color w:val="auto"/>
                <w:kern w:val="0"/>
                <w:highlight w:val="none"/>
              </w:rPr>
              <w:t>3.投标总报价</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u w:val="single"/>
                <w:lang w:val="en-US" w:eastAsia="zh-CN"/>
              </w:rPr>
              <w:t>70</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分。</w:t>
            </w:r>
          </w:p>
        </w:tc>
      </w:tr>
      <w:tr w14:paraId="46A8D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restart"/>
            <w:tcBorders>
              <w:top w:val="single" w:color="auto" w:sz="4" w:space="0"/>
              <w:left w:val="single" w:color="auto" w:sz="4" w:space="0"/>
              <w:right w:val="single" w:color="auto" w:sz="4" w:space="0"/>
            </w:tcBorders>
            <w:vAlign w:val="center"/>
          </w:tcPr>
          <w:p w14:paraId="23D9D7A3">
            <w:pPr>
              <w:pStyle w:val="2"/>
              <w:adjustRightInd w:val="0"/>
              <w:snapToGrid w:val="0"/>
              <w:spacing w:before="0" w:beforeAutospacing="0" w:after="0" w:afterLines="0" w:line="400" w:lineRule="exact"/>
              <w:ind w:left="0" w:right="0"/>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2.2.2</w:t>
            </w:r>
          </w:p>
          <w:p w14:paraId="2596AE2E">
            <w:pPr>
              <w:pStyle w:val="2"/>
              <w:adjustRightInd w:val="0"/>
              <w:snapToGrid w:val="0"/>
              <w:spacing w:before="0" w:beforeAutospacing="0" w:after="0" w:afterLines="0" w:line="400" w:lineRule="exact"/>
              <w:ind w:left="0" w:right="0"/>
              <w:jc w:val="center"/>
              <w:rPr>
                <w:rFonts w:hint="eastAsia" w:ascii="宋体" w:hAnsi="宋体" w:eastAsia="宋体" w:cs="宋体"/>
                <w:color w:val="auto"/>
                <w:highlight w:val="none"/>
              </w:rPr>
            </w:pPr>
            <w:r>
              <w:rPr>
                <w:rFonts w:hint="eastAsia" w:ascii="宋体" w:hAnsi="宋体" w:eastAsia="宋体" w:cs="宋体"/>
                <w:color w:val="auto"/>
                <w:kern w:val="0"/>
                <w:highlight w:val="none"/>
              </w:rPr>
              <w:t>（1）</w:t>
            </w:r>
          </w:p>
        </w:tc>
        <w:tc>
          <w:tcPr>
            <w:tcW w:w="1599" w:type="dxa"/>
            <w:vMerge w:val="restart"/>
            <w:tcBorders>
              <w:top w:val="single" w:color="auto" w:sz="4" w:space="0"/>
              <w:left w:val="single" w:color="auto" w:sz="4" w:space="0"/>
              <w:right w:val="single" w:color="auto" w:sz="4" w:space="0"/>
            </w:tcBorders>
            <w:vAlign w:val="center"/>
          </w:tcPr>
          <w:p w14:paraId="1A609F7E">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rPr>
              <w:t>技术部分评分标准</w:t>
            </w:r>
            <w:r>
              <w:rPr>
                <w:rFonts w:hint="eastAsia" w:ascii="宋体" w:hAnsi="宋体" w:cs="宋体"/>
                <w:color w:val="auto"/>
                <w:kern w:val="0"/>
                <w:highlight w:val="none"/>
                <w:lang w:eastAsia="zh-CN"/>
              </w:rPr>
              <w:t>（</w:t>
            </w:r>
            <w:r>
              <w:rPr>
                <w:rFonts w:hint="eastAsia" w:ascii="宋体" w:hAnsi="宋体" w:cs="宋体"/>
                <w:color w:val="auto"/>
                <w:kern w:val="0"/>
                <w:highlight w:val="none"/>
                <w:lang w:val="en-US" w:eastAsia="zh-CN"/>
              </w:rPr>
              <w:t>20分</w:t>
            </w:r>
            <w:r>
              <w:rPr>
                <w:rFonts w:hint="eastAsia" w:ascii="宋体" w:hAnsi="宋体" w:cs="宋体"/>
                <w:color w:val="auto"/>
                <w:kern w:val="0"/>
                <w:highlight w:val="none"/>
                <w:lang w:eastAsia="zh-CN"/>
              </w:rPr>
              <w:t>）</w:t>
            </w:r>
          </w:p>
        </w:tc>
        <w:tc>
          <w:tcPr>
            <w:tcW w:w="705" w:type="dxa"/>
            <w:vMerge w:val="restart"/>
            <w:tcBorders>
              <w:top w:val="single" w:color="auto" w:sz="4" w:space="0"/>
              <w:left w:val="single" w:color="auto" w:sz="4" w:space="0"/>
              <w:right w:val="single" w:color="auto" w:sz="4" w:space="0"/>
            </w:tcBorders>
            <w:vAlign w:val="center"/>
          </w:tcPr>
          <w:p w14:paraId="1F4AB894">
            <w:pPr>
              <w:pStyle w:val="2"/>
              <w:adjustRightInd w:val="0"/>
              <w:snapToGrid w:val="0"/>
              <w:spacing w:before="0" w:beforeAutospacing="0" w:after="0" w:afterLines="0" w:line="400" w:lineRule="exact"/>
              <w:ind w:left="0" w:right="0"/>
              <w:jc w:val="center"/>
              <w:rPr>
                <w:rFonts w:hint="eastAsia" w:ascii="宋体" w:hAnsi="宋体" w:eastAsia="宋体" w:cs="宋体"/>
                <w:color w:val="auto"/>
                <w:highlight w:val="none"/>
              </w:rPr>
            </w:pPr>
            <w:r>
              <w:rPr>
                <w:rFonts w:hint="eastAsia" w:ascii="宋体" w:hAnsi="宋体" w:eastAsia="宋体" w:cs="宋体"/>
                <w:color w:val="auto"/>
                <w:highlight w:val="none"/>
              </w:rPr>
              <w:t>技</w:t>
            </w:r>
          </w:p>
          <w:p w14:paraId="5B129C5E">
            <w:pPr>
              <w:pStyle w:val="2"/>
              <w:adjustRightInd w:val="0"/>
              <w:snapToGrid w:val="0"/>
              <w:spacing w:before="0" w:beforeAutospacing="0" w:after="0" w:afterLines="0" w:line="400" w:lineRule="exact"/>
              <w:ind w:left="0" w:right="0"/>
              <w:jc w:val="center"/>
              <w:rPr>
                <w:rFonts w:hint="eastAsia" w:ascii="宋体" w:hAnsi="宋体" w:eastAsia="宋体" w:cs="宋体"/>
                <w:color w:val="auto"/>
                <w:highlight w:val="none"/>
              </w:rPr>
            </w:pPr>
            <w:r>
              <w:rPr>
                <w:rFonts w:hint="eastAsia" w:ascii="宋体" w:hAnsi="宋体" w:eastAsia="宋体" w:cs="宋体"/>
                <w:color w:val="auto"/>
                <w:highlight w:val="none"/>
              </w:rPr>
              <w:t>术</w:t>
            </w:r>
          </w:p>
          <w:p w14:paraId="06F46549">
            <w:pPr>
              <w:pStyle w:val="2"/>
              <w:adjustRightInd w:val="0"/>
              <w:snapToGrid w:val="0"/>
              <w:spacing w:before="0" w:beforeAutospacing="0" w:after="0" w:afterLines="0" w:line="400" w:lineRule="exact"/>
              <w:ind w:left="0" w:right="0"/>
              <w:jc w:val="center"/>
              <w:rPr>
                <w:rFonts w:hint="eastAsia" w:ascii="宋体" w:hAnsi="宋体" w:eastAsia="宋体" w:cs="宋体"/>
                <w:color w:val="auto"/>
                <w:highlight w:val="none"/>
              </w:rPr>
            </w:pPr>
            <w:r>
              <w:rPr>
                <w:rFonts w:hint="eastAsia" w:ascii="宋体" w:hAnsi="宋体" w:eastAsia="宋体" w:cs="宋体"/>
                <w:color w:val="auto"/>
                <w:highlight w:val="none"/>
              </w:rPr>
              <w:t>方</w:t>
            </w:r>
          </w:p>
          <w:p w14:paraId="3E76798E">
            <w:pPr>
              <w:pStyle w:val="2"/>
              <w:adjustRightInd w:val="0"/>
              <w:snapToGrid w:val="0"/>
              <w:spacing w:before="0" w:beforeAutospacing="0" w:after="0" w:afterLines="0" w:line="400" w:lineRule="exact"/>
              <w:ind w:left="0" w:right="0"/>
              <w:jc w:val="center"/>
              <w:rPr>
                <w:rFonts w:hint="eastAsia" w:ascii="宋体" w:hAnsi="宋体" w:eastAsia="宋体" w:cs="宋体"/>
                <w:color w:val="auto"/>
                <w:highlight w:val="none"/>
              </w:rPr>
            </w:pPr>
            <w:r>
              <w:rPr>
                <w:rFonts w:hint="eastAsia" w:ascii="宋体" w:hAnsi="宋体" w:eastAsia="宋体" w:cs="宋体"/>
                <w:color w:val="auto"/>
                <w:highlight w:val="none"/>
              </w:rPr>
              <w:t>案</w:t>
            </w:r>
          </w:p>
          <w:p w14:paraId="01405CF9">
            <w:pPr>
              <w:pStyle w:val="2"/>
              <w:adjustRightInd w:val="0"/>
              <w:snapToGrid w:val="0"/>
              <w:spacing w:before="0" w:beforeAutospacing="0" w:after="0" w:afterLines="0" w:line="400" w:lineRule="exact"/>
              <w:ind w:left="0" w:right="0"/>
              <w:jc w:val="center"/>
              <w:rPr>
                <w:rFonts w:hint="eastAsia" w:ascii="宋体" w:hAnsi="宋体" w:eastAsia="宋体" w:cs="宋体"/>
                <w:color w:val="auto"/>
                <w:highlight w:val="none"/>
              </w:rPr>
            </w:pPr>
            <w:r>
              <w:rPr>
                <w:rFonts w:hint="eastAsia" w:ascii="宋体" w:hAnsi="宋体" w:eastAsia="宋体" w:cs="宋体"/>
                <w:color w:val="auto"/>
                <w:highlight w:val="none"/>
              </w:rPr>
              <w:t>评</w:t>
            </w:r>
          </w:p>
          <w:p w14:paraId="298B20B6">
            <w:pPr>
              <w:pStyle w:val="2"/>
              <w:adjustRightInd w:val="0"/>
              <w:snapToGrid w:val="0"/>
              <w:spacing w:before="0" w:beforeAutospacing="0" w:after="0" w:afterLines="0" w:line="400" w:lineRule="exact"/>
              <w:ind w:left="0" w:right="0"/>
              <w:jc w:val="center"/>
              <w:rPr>
                <w:rFonts w:hint="eastAsia" w:ascii="宋体" w:hAnsi="宋体" w:eastAsia="宋体" w:cs="宋体"/>
                <w:color w:val="auto"/>
                <w:highlight w:val="none"/>
              </w:rPr>
            </w:pPr>
            <w:r>
              <w:rPr>
                <w:rFonts w:hint="eastAsia" w:ascii="宋体" w:hAnsi="宋体" w:eastAsia="宋体" w:cs="宋体"/>
                <w:color w:val="auto"/>
                <w:highlight w:val="none"/>
              </w:rPr>
              <w:t>审</w:t>
            </w:r>
          </w:p>
        </w:tc>
        <w:tc>
          <w:tcPr>
            <w:tcW w:w="1650" w:type="dxa"/>
            <w:tcBorders>
              <w:top w:val="single" w:color="auto" w:sz="4" w:space="0"/>
              <w:left w:val="single" w:color="auto" w:sz="4" w:space="0"/>
              <w:bottom w:val="single" w:color="auto" w:sz="4" w:space="0"/>
              <w:right w:val="single" w:color="auto" w:sz="4" w:space="0"/>
            </w:tcBorders>
            <w:vAlign w:val="center"/>
          </w:tcPr>
          <w:p w14:paraId="23BDEFE5">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4"/>
                <w:highlight w:val="none"/>
                <w:lang w:bidi="ar"/>
              </w:rPr>
            </w:pPr>
            <w:r>
              <w:rPr>
                <w:rFonts w:hint="eastAsia" w:ascii="宋体" w:hAnsi="宋体" w:eastAsia="宋体" w:cs="宋体"/>
                <w:color w:val="auto"/>
                <w:kern w:val="0"/>
                <w:sz w:val="21"/>
                <w:szCs w:val="24"/>
                <w:highlight w:val="none"/>
                <w:lang w:val="en-US" w:eastAsia="zh-CN"/>
              </w:rPr>
              <w:t>施工组织设计</w:t>
            </w:r>
            <w:r>
              <w:rPr>
                <w:rFonts w:hint="eastAsia" w:ascii="宋体" w:hAnsi="宋体" w:eastAsia="宋体" w:cs="宋体"/>
                <w:color w:val="auto"/>
                <w:kern w:val="0"/>
                <w:sz w:val="21"/>
                <w:szCs w:val="24"/>
                <w:highlight w:val="none"/>
              </w:rPr>
              <w:t>（</w:t>
            </w:r>
            <w:r>
              <w:rPr>
                <w:rFonts w:hint="eastAsia" w:ascii="宋体" w:hAnsi="宋体" w:eastAsia="宋体" w:cs="宋体"/>
                <w:color w:val="auto"/>
                <w:kern w:val="0"/>
                <w:sz w:val="21"/>
                <w:szCs w:val="24"/>
                <w:highlight w:val="none"/>
                <w:lang w:val="en-US" w:eastAsia="zh-CN"/>
              </w:rPr>
              <w:t>15</w:t>
            </w:r>
            <w:r>
              <w:rPr>
                <w:rFonts w:hint="eastAsia" w:ascii="宋体" w:hAnsi="宋体" w:eastAsia="宋体" w:cs="宋体"/>
                <w:color w:val="auto"/>
                <w:kern w:val="0"/>
                <w:sz w:val="21"/>
                <w:szCs w:val="24"/>
                <w:highlight w:val="none"/>
              </w:rPr>
              <w:t>分）</w:t>
            </w:r>
          </w:p>
        </w:tc>
        <w:tc>
          <w:tcPr>
            <w:tcW w:w="5048" w:type="dxa"/>
            <w:tcBorders>
              <w:top w:val="single" w:color="auto" w:sz="4" w:space="0"/>
              <w:left w:val="single" w:color="auto" w:sz="4" w:space="0"/>
              <w:bottom w:val="single" w:color="auto" w:sz="4" w:space="0"/>
              <w:right w:val="single" w:color="auto" w:sz="4" w:space="0"/>
            </w:tcBorders>
            <w:vAlign w:val="center"/>
          </w:tcPr>
          <w:p w14:paraId="17429834">
            <w:pPr>
              <w:keepNext w:val="0"/>
              <w:keepLines w:val="0"/>
              <w:numPr>
                <w:ilvl w:val="0"/>
                <w:numId w:val="0"/>
              </w:numPr>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kern w:val="0"/>
                <w:sz w:val="21"/>
                <w:szCs w:val="24"/>
                <w:highlight w:val="none"/>
                <w:lang w:val="en-US" w:eastAsia="zh-CN" w:bidi="ar-SA"/>
              </w:rPr>
            </w:pPr>
            <w:r>
              <w:rPr>
                <w:rFonts w:hint="eastAsia" w:ascii="宋体" w:hAnsi="宋体" w:eastAsia="宋体" w:cs="宋体"/>
                <w:color w:val="auto"/>
                <w:kern w:val="0"/>
                <w:sz w:val="21"/>
                <w:szCs w:val="24"/>
                <w:highlight w:val="none"/>
                <w:lang w:val="en-US" w:eastAsia="zh-CN" w:bidi="ar-SA"/>
              </w:rPr>
              <w:t>从总体施工组织布置及规划，主要工程项目的施工方案、方法与技术措施，工期（需包含设备供应计划、人员、机械安排计划等）和资金保证体系及保证措施，工程质量、安全、环保、水保管理体系及保证措施，项目风险预测与防范，事故应急预案，支付保障措施（有关民工工资等的按期支付保证措施），交通组织方案，缺陷责任期配合措施等各个方面进行施工组织设计编制。</w:t>
            </w:r>
          </w:p>
          <w:p w14:paraId="264578A5">
            <w:pPr>
              <w:keepNext w:val="0"/>
              <w:keepLines w:val="0"/>
              <w:numPr>
                <w:ilvl w:val="0"/>
                <w:numId w:val="0"/>
              </w:numPr>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kern w:val="0"/>
                <w:highlight w:val="none"/>
                <w:lang w:val="en-US"/>
              </w:rPr>
            </w:pPr>
            <w:r>
              <w:rPr>
                <w:rFonts w:hint="eastAsia" w:ascii="宋体" w:hAnsi="宋体" w:eastAsia="宋体" w:cs="宋体"/>
                <w:color w:val="auto"/>
                <w:kern w:val="0"/>
                <w:sz w:val="21"/>
                <w:szCs w:val="24"/>
                <w:highlight w:val="none"/>
                <w:lang w:val="en-US" w:eastAsia="zh-CN" w:bidi="ar-SA"/>
              </w:rPr>
              <w:t>施工组织设计编制合理、可实施性高得15~12分；施工组织设计编制较合理、可实施性较高得12~9分；施工组织设计编制不合理、可实施性不高得9~0分。</w:t>
            </w:r>
          </w:p>
        </w:tc>
      </w:tr>
      <w:tr w14:paraId="0C788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14:paraId="61646321">
            <w:pPr>
              <w:pStyle w:val="2"/>
              <w:adjustRightInd w:val="0"/>
              <w:snapToGrid w:val="0"/>
              <w:spacing w:before="0" w:beforeAutospacing="0" w:after="0" w:afterLines="0" w:line="400" w:lineRule="exact"/>
              <w:ind w:left="0" w:right="0"/>
              <w:jc w:val="center"/>
              <w:rPr>
                <w:rFonts w:hint="eastAsia" w:ascii="宋体" w:hAnsi="宋体" w:eastAsia="宋体" w:cs="宋体"/>
                <w:color w:val="auto"/>
                <w:kern w:val="0"/>
                <w:highlight w:val="none"/>
              </w:rPr>
            </w:pPr>
          </w:p>
        </w:tc>
        <w:tc>
          <w:tcPr>
            <w:tcW w:w="1599" w:type="dxa"/>
            <w:vMerge w:val="continue"/>
            <w:tcBorders>
              <w:left w:val="single" w:color="auto" w:sz="4" w:space="0"/>
              <w:right w:val="single" w:color="auto" w:sz="4" w:space="0"/>
            </w:tcBorders>
            <w:vAlign w:val="center"/>
          </w:tcPr>
          <w:p w14:paraId="64BD3B46">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highlight w:val="none"/>
              </w:rPr>
            </w:pPr>
          </w:p>
        </w:tc>
        <w:tc>
          <w:tcPr>
            <w:tcW w:w="705" w:type="dxa"/>
            <w:vMerge w:val="continue"/>
            <w:tcBorders>
              <w:left w:val="single" w:color="auto" w:sz="4" w:space="0"/>
              <w:right w:val="single" w:color="auto" w:sz="4" w:space="0"/>
            </w:tcBorders>
            <w:vAlign w:val="center"/>
          </w:tcPr>
          <w:p w14:paraId="1EA932F2">
            <w:pPr>
              <w:pStyle w:val="2"/>
              <w:adjustRightInd w:val="0"/>
              <w:snapToGrid w:val="0"/>
              <w:spacing w:before="0" w:beforeAutospacing="0" w:after="0" w:afterLines="0" w:line="400" w:lineRule="exact"/>
              <w:ind w:left="0" w:right="0"/>
              <w:jc w:val="center"/>
              <w:rPr>
                <w:rFonts w:hint="eastAsia" w:ascii="宋体" w:hAnsi="宋体" w:eastAsia="宋体" w:cs="宋体"/>
                <w:color w:val="auto"/>
                <w:highlight w:val="none"/>
              </w:rPr>
            </w:pPr>
          </w:p>
        </w:tc>
        <w:tc>
          <w:tcPr>
            <w:tcW w:w="1650" w:type="dxa"/>
            <w:tcBorders>
              <w:top w:val="single" w:color="auto" w:sz="4" w:space="0"/>
              <w:left w:val="single" w:color="auto" w:sz="4" w:space="0"/>
              <w:bottom w:val="single" w:color="auto" w:sz="4" w:space="0"/>
              <w:right w:val="single" w:color="auto" w:sz="4" w:space="0"/>
            </w:tcBorders>
            <w:vAlign w:val="center"/>
          </w:tcPr>
          <w:p w14:paraId="177952C1">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4"/>
                <w:highlight w:val="none"/>
                <w:lang w:val="en-US" w:eastAsia="zh-CN" w:bidi="ar"/>
              </w:rPr>
            </w:pPr>
            <w:r>
              <w:rPr>
                <w:rFonts w:hint="eastAsia" w:ascii="宋体" w:hAnsi="宋体" w:eastAsia="宋体" w:cs="宋体"/>
                <w:color w:val="auto"/>
                <w:kern w:val="0"/>
                <w:sz w:val="21"/>
                <w:szCs w:val="24"/>
                <w:highlight w:val="none"/>
                <w:lang w:val="en-US" w:eastAsia="zh-CN"/>
              </w:rPr>
              <w:t>深化设计方案（5分）</w:t>
            </w:r>
          </w:p>
        </w:tc>
        <w:tc>
          <w:tcPr>
            <w:tcW w:w="5048" w:type="dxa"/>
            <w:tcBorders>
              <w:top w:val="single" w:color="auto" w:sz="4" w:space="0"/>
              <w:left w:val="single" w:color="auto" w:sz="4" w:space="0"/>
              <w:bottom w:val="single" w:color="auto" w:sz="4" w:space="0"/>
              <w:right w:val="single" w:color="auto" w:sz="4" w:space="0"/>
            </w:tcBorders>
            <w:vAlign w:val="center"/>
          </w:tcPr>
          <w:p w14:paraId="3CF4B99F">
            <w:pPr>
              <w:keepNext w:val="0"/>
              <w:keepLines w:val="0"/>
              <w:numPr>
                <w:ilvl w:val="0"/>
                <w:numId w:val="0"/>
              </w:numPr>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kern w:val="0"/>
                <w:sz w:val="21"/>
                <w:szCs w:val="24"/>
                <w:highlight w:val="none"/>
                <w:lang w:val="en-US" w:eastAsia="zh-CN" w:bidi="ar-SA"/>
              </w:rPr>
            </w:pPr>
            <w:r>
              <w:rPr>
                <w:rFonts w:hint="eastAsia" w:ascii="宋体" w:hAnsi="宋体" w:eastAsia="宋体" w:cs="宋体"/>
                <w:color w:val="auto"/>
                <w:kern w:val="0"/>
                <w:sz w:val="21"/>
                <w:szCs w:val="24"/>
                <w:highlight w:val="none"/>
                <w:lang w:val="en-US" w:eastAsia="zh-CN" w:bidi="ar-SA"/>
              </w:rPr>
              <w:t>根据项目现场实际情况，主要针对本项目的解读、</w:t>
            </w:r>
            <w:r>
              <w:rPr>
                <w:rFonts w:hint="eastAsia" w:ascii="宋体" w:hAnsi="宋体" w:eastAsia="宋体" w:cs="宋体"/>
                <w:color w:val="auto"/>
                <w:kern w:val="0"/>
                <w:sz w:val="21"/>
                <w:szCs w:val="24"/>
                <w:highlight w:val="none"/>
              </w:rPr>
              <w:t>总体</w:t>
            </w:r>
            <w:r>
              <w:rPr>
                <w:rFonts w:hint="eastAsia" w:ascii="宋体" w:hAnsi="宋体" w:eastAsia="宋体" w:cs="宋体"/>
                <w:color w:val="auto"/>
                <w:kern w:val="0"/>
                <w:sz w:val="21"/>
                <w:szCs w:val="24"/>
                <w:highlight w:val="none"/>
                <w:lang w:val="en-US" w:eastAsia="zh-CN"/>
              </w:rPr>
              <w:t>设计</w:t>
            </w:r>
            <w:r>
              <w:rPr>
                <w:rFonts w:hint="eastAsia" w:ascii="宋体" w:hAnsi="宋体" w:eastAsia="宋体" w:cs="宋体"/>
                <w:color w:val="auto"/>
                <w:kern w:val="0"/>
                <w:sz w:val="21"/>
                <w:szCs w:val="24"/>
                <w:highlight w:val="none"/>
              </w:rPr>
              <w:t>方案、设计原则、设计依据</w:t>
            </w:r>
            <w:r>
              <w:rPr>
                <w:rFonts w:hint="eastAsia" w:ascii="宋体" w:hAnsi="宋体" w:eastAsia="宋体" w:cs="宋体"/>
                <w:color w:val="auto"/>
                <w:kern w:val="0"/>
                <w:sz w:val="21"/>
                <w:szCs w:val="24"/>
                <w:highlight w:val="none"/>
                <w:lang w:val="en-US" w:eastAsia="zh-CN"/>
              </w:rPr>
              <w:t>以及详细设计等方面进行</w:t>
            </w:r>
            <w:r>
              <w:rPr>
                <w:rFonts w:hint="eastAsia" w:ascii="宋体" w:hAnsi="宋体" w:eastAsia="宋体" w:cs="宋体"/>
                <w:color w:val="auto"/>
                <w:kern w:val="0"/>
                <w:sz w:val="21"/>
                <w:szCs w:val="24"/>
                <w:highlight w:val="none"/>
                <w:lang w:val="en-US" w:eastAsia="zh-CN" w:bidi="ar-SA"/>
              </w:rPr>
              <w:t>阐述。</w:t>
            </w:r>
          </w:p>
          <w:p w14:paraId="401B955F">
            <w:pPr>
              <w:keepNext w:val="0"/>
              <w:keepLines w:val="0"/>
              <w:numPr>
                <w:ilvl w:val="0"/>
                <w:numId w:val="0"/>
              </w:numPr>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kern w:val="0"/>
                <w:highlight w:val="none"/>
                <w:lang w:val="en-US" w:eastAsia="zh-CN"/>
              </w:rPr>
            </w:pPr>
            <w:r>
              <w:rPr>
                <w:rFonts w:hint="eastAsia" w:ascii="宋体" w:hAnsi="宋体" w:eastAsia="宋体" w:cs="宋体"/>
                <w:color w:val="auto"/>
                <w:kern w:val="0"/>
                <w:sz w:val="21"/>
                <w:szCs w:val="24"/>
                <w:highlight w:val="none"/>
                <w:lang w:val="en-US" w:eastAsia="zh-CN"/>
              </w:rPr>
              <w:t>设计方案</w:t>
            </w:r>
            <w:r>
              <w:rPr>
                <w:rFonts w:hint="eastAsia" w:ascii="宋体" w:hAnsi="宋体" w:eastAsia="宋体" w:cs="宋体"/>
                <w:color w:val="auto"/>
                <w:kern w:val="0"/>
                <w:sz w:val="21"/>
                <w:szCs w:val="24"/>
                <w:highlight w:val="none"/>
                <w:lang w:val="en-US" w:eastAsia="zh-CN" w:bidi="ar-SA"/>
              </w:rPr>
              <w:t>编制合理、</w:t>
            </w:r>
            <w:r>
              <w:rPr>
                <w:rFonts w:hint="eastAsia" w:ascii="宋体" w:hAnsi="宋体" w:eastAsia="宋体" w:cs="宋体"/>
                <w:color w:val="auto"/>
                <w:kern w:val="0"/>
                <w:sz w:val="21"/>
                <w:szCs w:val="24"/>
                <w:highlight w:val="none"/>
              </w:rPr>
              <w:t>相关设计</w:t>
            </w:r>
            <w:r>
              <w:rPr>
                <w:rFonts w:hint="eastAsia" w:ascii="宋体" w:hAnsi="宋体" w:eastAsia="宋体" w:cs="宋体"/>
                <w:color w:val="auto"/>
                <w:kern w:val="0"/>
                <w:sz w:val="21"/>
                <w:szCs w:val="24"/>
                <w:highlight w:val="none"/>
                <w:lang w:val="en-US" w:eastAsia="zh-CN"/>
              </w:rPr>
              <w:t>与</w:t>
            </w:r>
            <w:r>
              <w:rPr>
                <w:rFonts w:hint="eastAsia" w:ascii="宋体" w:hAnsi="宋体" w:eastAsia="宋体" w:cs="宋体"/>
                <w:color w:val="auto"/>
                <w:kern w:val="0"/>
                <w:sz w:val="21"/>
                <w:szCs w:val="24"/>
                <w:highlight w:val="none"/>
              </w:rPr>
              <w:t>项目需求贴合</w:t>
            </w:r>
            <w:r>
              <w:rPr>
                <w:rFonts w:hint="eastAsia" w:ascii="宋体" w:hAnsi="宋体" w:eastAsia="宋体" w:cs="宋体"/>
                <w:color w:val="auto"/>
                <w:kern w:val="0"/>
                <w:sz w:val="21"/>
                <w:szCs w:val="24"/>
                <w:highlight w:val="none"/>
                <w:lang w:val="en-US" w:eastAsia="zh-CN"/>
              </w:rPr>
              <w:t>度高</w:t>
            </w:r>
            <w:r>
              <w:rPr>
                <w:rFonts w:hint="eastAsia" w:ascii="宋体" w:hAnsi="宋体" w:eastAsia="宋体" w:cs="宋体"/>
                <w:color w:val="auto"/>
                <w:kern w:val="0"/>
                <w:sz w:val="21"/>
                <w:szCs w:val="24"/>
                <w:highlight w:val="none"/>
                <w:lang w:eastAsia="zh-CN"/>
              </w:rPr>
              <w:t>、</w:t>
            </w:r>
            <w:r>
              <w:rPr>
                <w:rFonts w:hint="eastAsia" w:ascii="宋体" w:hAnsi="宋体" w:eastAsia="宋体" w:cs="宋体"/>
                <w:color w:val="auto"/>
                <w:kern w:val="0"/>
                <w:sz w:val="21"/>
                <w:szCs w:val="24"/>
                <w:highlight w:val="none"/>
                <w:lang w:val="en-US" w:eastAsia="zh-CN" w:bidi="ar-SA"/>
              </w:rPr>
              <w:t>可实施性高得5~4分；</w:t>
            </w:r>
            <w:r>
              <w:rPr>
                <w:rFonts w:hint="eastAsia" w:ascii="宋体" w:hAnsi="宋体" w:eastAsia="宋体" w:cs="宋体"/>
                <w:color w:val="auto"/>
                <w:kern w:val="0"/>
                <w:sz w:val="21"/>
                <w:szCs w:val="24"/>
                <w:highlight w:val="none"/>
                <w:lang w:val="en-US" w:eastAsia="zh-CN"/>
              </w:rPr>
              <w:t>设计方案</w:t>
            </w:r>
            <w:r>
              <w:rPr>
                <w:rFonts w:hint="eastAsia" w:ascii="宋体" w:hAnsi="宋体" w:eastAsia="宋体" w:cs="宋体"/>
                <w:color w:val="auto"/>
                <w:kern w:val="0"/>
                <w:sz w:val="21"/>
                <w:szCs w:val="24"/>
                <w:highlight w:val="none"/>
                <w:lang w:val="en-US" w:eastAsia="zh-CN" w:bidi="ar-SA"/>
              </w:rPr>
              <w:t>编制较合理、</w:t>
            </w:r>
            <w:r>
              <w:rPr>
                <w:rFonts w:hint="eastAsia" w:ascii="宋体" w:hAnsi="宋体" w:eastAsia="宋体" w:cs="宋体"/>
                <w:color w:val="auto"/>
                <w:kern w:val="0"/>
                <w:sz w:val="21"/>
                <w:szCs w:val="24"/>
                <w:highlight w:val="none"/>
              </w:rPr>
              <w:t>相关设计</w:t>
            </w:r>
            <w:r>
              <w:rPr>
                <w:rFonts w:hint="eastAsia" w:ascii="宋体" w:hAnsi="宋体" w:eastAsia="宋体" w:cs="宋体"/>
                <w:color w:val="auto"/>
                <w:kern w:val="0"/>
                <w:sz w:val="21"/>
                <w:szCs w:val="24"/>
                <w:highlight w:val="none"/>
                <w:lang w:val="en-US" w:eastAsia="zh-CN"/>
              </w:rPr>
              <w:t>与</w:t>
            </w:r>
            <w:r>
              <w:rPr>
                <w:rFonts w:hint="eastAsia" w:ascii="宋体" w:hAnsi="宋体" w:eastAsia="宋体" w:cs="宋体"/>
                <w:color w:val="auto"/>
                <w:kern w:val="0"/>
                <w:sz w:val="21"/>
                <w:szCs w:val="24"/>
                <w:highlight w:val="none"/>
              </w:rPr>
              <w:t>项目需求贴合</w:t>
            </w:r>
            <w:r>
              <w:rPr>
                <w:rFonts w:hint="eastAsia" w:ascii="宋体" w:hAnsi="宋体" w:eastAsia="宋体" w:cs="宋体"/>
                <w:color w:val="auto"/>
                <w:kern w:val="0"/>
                <w:sz w:val="21"/>
                <w:szCs w:val="24"/>
                <w:highlight w:val="none"/>
                <w:lang w:val="en-US" w:eastAsia="zh-CN"/>
              </w:rPr>
              <w:t>度较高、</w:t>
            </w:r>
            <w:r>
              <w:rPr>
                <w:rFonts w:hint="eastAsia" w:ascii="宋体" w:hAnsi="宋体" w:eastAsia="宋体" w:cs="宋体"/>
                <w:color w:val="auto"/>
                <w:kern w:val="0"/>
                <w:sz w:val="21"/>
                <w:szCs w:val="24"/>
                <w:highlight w:val="none"/>
                <w:lang w:val="en-US" w:eastAsia="zh-CN" w:bidi="ar-SA"/>
              </w:rPr>
              <w:t>可实施性较高得4~3分；</w:t>
            </w:r>
            <w:r>
              <w:rPr>
                <w:rFonts w:hint="eastAsia" w:ascii="宋体" w:hAnsi="宋体" w:eastAsia="宋体" w:cs="宋体"/>
                <w:color w:val="auto"/>
                <w:kern w:val="0"/>
                <w:sz w:val="21"/>
                <w:szCs w:val="24"/>
                <w:highlight w:val="none"/>
                <w:lang w:val="en-US" w:eastAsia="zh-CN"/>
              </w:rPr>
              <w:t>设计方案</w:t>
            </w:r>
            <w:r>
              <w:rPr>
                <w:rFonts w:hint="eastAsia" w:ascii="宋体" w:hAnsi="宋体" w:eastAsia="宋体" w:cs="宋体"/>
                <w:color w:val="auto"/>
                <w:kern w:val="0"/>
                <w:sz w:val="21"/>
                <w:szCs w:val="24"/>
                <w:highlight w:val="none"/>
                <w:lang w:val="en-US" w:eastAsia="zh-CN" w:bidi="ar-SA"/>
              </w:rPr>
              <w:t>编制不合理、</w:t>
            </w:r>
            <w:r>
              <w:rPr>
                <w:rFonts w:hint="eastAsia" w:ascii="宋体" w:hAnsi="宋体" w:eastAsia="宋体" w:cs="宋体"/>
                <w:color w:val="auto"/>
                <w:kern w:val="0"/>
                <w:sz w:val="21"/>
                <w:szCs w:val="24"/>
                <w:highlight w:val="none"/>
              </w:rPr>
              <w:t>相关设计</w:t>
            </w:r>
            <w:r>
              <w:rPr>
                <w:rFonts w:hint="eastAsia" w:ascii="宋体" w:hAnsi="宋体" w:eastAsia="宋体" w:cs="宋体"/>
                <w:color w:val="auto"/>
                <w:kern w:val="0"/>
                <w:sz w:val="21"/>
                <w:szCs w:val="24"/>
                <w:highlight w:val="none"/>
                <w:lang w:val="en-US" w:eastAsia="zh-CN"/>
              </w:rPr>
              <w:t>与</w:t>
            </w:r>
            <w:r>
              <w:rPr>
                <w:rFonts w:hint="eastAsia" w:ascii="宋体" w:hAnsi="宋体" w:eastAsia="宋体" w:cs="宋体"/>
                <w:color w:val="auto"/>
                <w:kern w:val="0"/>
                <w:sz w:val="21"/>
                <w:szCs w:val="24"/>
                <w:highlight w:val="none"/>
              </w:rPr>
              <w:t>项目需求贴合</w:t>
            </w:r>
            <w:r>
              <w:rPr>
                <w:rFonts w:hint="eastAsia" w:ascii="宋体" w:hAnsi="宋体" w:eastAsia="宋体" w:cs="宋体"/>
                <w:color w:val="auto"/>
                <w:kern w:val="0"/>
                <w:sz w:val="21"/>
                <w:szCs w:val="24"/>
                <w:highlight w:val="none"/>
                <w:lang w:val="en-US" w:eastAsia="zh-CN"/>
              </w:rPr>
              <w:t>度一般、</w:t>
            </w:r>
            <w:r>
              <w:rPr>
                <w:rFonts w:hint="eastAsia" w:ascii="宋体" w:hAnsi="宋体" w:eastAsia="宋体" w:cs="宋体"/>
                <w:color w:val="auto"/>
                <w:kern w:val="0"/>
                <w:sz w:val="21"/>
                <w:szCs w:val="24"/>
                <w:highlight w:val="none"/>
                <w:lang w:val="en-US" w:eastAsia="zh-CN" w:bidi="ar-SA"/>
              </w:rPr>
              <w:t>可实施性不高得3~0分。</w:t>
            </w:r>
          </w:p>
        </w:tc>
      </w:tr>
      <w:tr w14:paraId="58085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880" w:type="dxa"/>
            <w:vMerge w:val="restart"/>
            <w:tcBorders>
              <w:left w:val="single" w:color="auto" w:sz="4" w:space="0"/>
              <w:right w:val="single" w:color="auto" w:sz="4" w:space="0"/>
            </w:tcBorders>
            <w:vAlign w:val="center"/>
          </w:tcPr>
          <w:p w14:paraId="785FD521">
            <w:pPr>
              <w:pStyle w:val="2"/>
              <w:adjustRightInd w:val="0"/>
              <w:snapToGrid w:val="0"/>
              <w:spacing w:before="0" w:beforeAutospacing="0" w:after="0" w:afterLines="0" w:line="400" w:lineRule="exact"/>
              <w:ind w:left="0" w:right="0"/>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2.2.2</w:t>
            </w:r>
          </w:p>
          <w:p w14:paraId="2BB68F1F">
            <w:pPr>
              <w:pStyle w:val="2"/>
              <w:adjustRightInd w:val="0"/>
              <w:snapToGrid w:val="0"/>
              <w:spacing w:before="0" w:beforeAutospacing="0" w:after="0" w:afterLines="0" w:line="400" w:lineRule="exact"/>
              <w:ind w:left="0" w:right="0"/>
              <w:jc w:val="center"/>
              <w:rPr>
                <w:rFonts w:hint="eastAsia" w:ascii="宋体" w:hAnsi="宋体" w:eastAsia="宋体" w:cs="宋体"/>
                <w:color w:val="auto"/>
                <w:highlight w:val="none"/>
              </w:rPr>
            </w:pPr>
            <w:r>
              <w:rPr>
                <w:rFonts w:hint="eastAsia" w:ascii="宋体" w:hAnsi="宋体" w:eastAsia="宋体" w:cs="宋体"/>
                <w:color w:val="auto"/>
                <w:kern w:val="0"/>
                <w:highlight w:val="none"/>
              </w:rPr>
              <w:t>（2）</w:t>
            </w:r>
          </w:p>
        </w:tc>
        <w:tc>
          <w:tcPr>
            <w:tcW w:w="1599" w:type="dxa"/>
            <w:vMerge w:val="restart"/>
            <w:tcBorders>
              <w:left w:val="single" w:color="auto" w:sz="4" w:space="0"/>
              <w:right w:val="single" w:color="auto" w:sz="4" w:space="0"/>
            </w:tcBorders>
            <w:vAlign w:val="center"/>
          </w:tcPr>
          <w:p w14:paraId="2577EB28">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商务部分评分标准</w:t>
            </w:r>
            <w:r>
              <w:rPr>
                <w:rFonts w:hint="eastAsia" w:ascii="宋体" w:hAnsi="宋体" w:cs="宋体"/>
                <w:color w:val="auto"/>
                <w:kern w:val="0"/>
                <w:highlight w:val="none"/>
                <w:lang w:eastAsia="zh-CN"/>
              </w:rPr>
              <w:t>（</w:t>
            </w:r>
            <w:r>
              <w:rPr>
                <w:rFonts w:hint="eastAsia" w:ascii="宋体" w:hAnsi="宋体" w:cs="宋体"/>
                <w:color w:val="auto"/>
                <w:kern w:val="0"/>
                <w:highlight w:val="none"/>
                <w:lang w:val="en-US" w:eastAsia="zh-CN"/>
              </w:rPr>
              <w:t>10分</w:t>
            </w:r>
            <w:r>
              <w:rPr>
                <w:rFonts w:hint="eastAsia" w:ascii="宋体" w:hAnsi="宋体" w:cs="宋体"/>
                <w:color w:val="auto"/>
                <w:kern w:val="0"/>
                <w:highlight w:val="none"/>
                <w:lang w:eastAsia="zh-CN"/>
              </w:rPr>
              <w:t>）</w:t>
            </w:r>
          </w:p>
        </w:tc>
        <w:tc>
          <w:tcPr>
            <w:tcW w:w="2355" w:type="dxa"/>
            <w:gridSpan w:val="2"/>
            <w:tcBorders>
              <w:top w:val="single" w:color="auto" w:sz="4" w:space="0"/>
              <w:left w:val="single" w:color="auto" w:sz="4" w:space="0"/>
              <w:bottom w:val="single" w:color="auto" w:sz="4" w:space="0"/>
              <w:right w:val="single" w:color="auto" w:sz="4" w:space="0"/>
            </w:tcBorders>
            <w:vAlign w:val="center"/>
          </w:tcPr>
          <w:p w14:paraId="46E1CB9D">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 w:val="21"/>
                <w:szCs w:val="24"/>
                <w:highlight w:val="none"/>
              </w:rPr>
            </w:pPr>
          </w:p>
          <w:p w14:paraId="396EC6DF">
            <w:pPr>
              <w:keepNext w:val="0"/>
              <w:keepLines w:val="0"/>
              <w:suppressLineNumbers w:val="0"/>
              <w:snapToGrid w:val="0"/>
              <w:spacing w:before="0" w:beforeAutospacing="0" w:after="0" w:afterAutospacing="0" w:line="400" w:lineRule="exact"/>
              <w:ind w:left="0" w:right="0"/>
              <w:rPr>
                <w:rFonts w:hint="eastAsia" w:ascii="宋体" w:hAnsi="宋体" w:cs="宋体"/>
                <w:color w:val="auto"/>
                <w:kern w:val="0"/>
                <w:highlight w:val="none"/>
              </w:rPr>
            </w:pPr>
          </w:p>
          <w:p w14:paraId="2EBF07A0">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 w:val="21"/>
                <w:szCs w:val="24"/>
                <w:highlight w:val="none"/>
              </w:rPr>
            </w:pPr>
            <w:r>
              <w:rPr>
                <w:rFonts w:hint="eastAsia" w:ascii="宋体" w:hAnsi="宋体" w:eastAsia="宋体" w:cs="宋体"/>
                <w:color w:val="auto"/>
                <w:kern w:val="0"/>
                <w:sz w:val="21"/>
                <w:szCs w:val="24"/>
                <w:highlight w:val="none"/>
              </w:rPr>
              <w:t>业绩要求（7分）</w:t>
            </w:r>
          </w:p>
          <w:p w14:paraId="148EAB1A">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4"/>
                <w:highlight w:val="none"/>
                <w:lang w:bidi="ar"/>
              </w:rPr>
            </w:pPr>
          </w:p>
        </w:tc>
        <w:tc>
          <w:tcPr>
            <w:tcW w:w="5048" w:type="dxa"/>
            <w:tcBorders>
              <w:top w:val="single" w:color="auto" w:sz="4" w:space="0"/>
              <w:left w:val="single" w:color="auto" w:sz="4" w:space="0"/>
              <w:bottom w:val="single" w:color="auto" w:sz="4" w:space="0"/>
              <w:right w:val="single" w:color="auto" w:sz="4" w:space="0"/>
            </w:tcBorders>
            <w:vAlign w:val="center"/>
          </w:tcPr>
          <w:p w14:paraId="70384B1E">
            <w:pPr>
              <w:keepNext w:val="0"/>
              <w:keepLines w:val="0"/>
              <w:numPr>
                <w:ilvl w:val="0"/>
                <w:numId w:val="0"/>
              </w:numPr>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cs="宋体"/>
                <w:color w:val="auto"/>
                <w:kern w:val="0"/>
                <w:highlight w:val="none"/>
              </w:rPr>
            </w:pPr>
            <w:r>
              <w:rPr>
                <w:rFonts w:hint="eastAsia" w:ascii="宋体" w:hAnsi="宋体" w:cs="宋体"/>
                <w:color w:val="auto"/>
                <w:kern w:val="0"/>
                <w:highlight w:val="none"/>
              </w:rPr>
              <w:t>满足资格条件的业绩要求得4分；</w:t>
            </w:r>
          </w:p>
          <w:p w14:paraId="36CB792C">
            <w:pPr>
              <w:keepNext w:val="0"/>
              <w:keepLines w:val="0"/>
              <w:numPr>
                <w:ilvl w:val="0"/>
                <w:numId w:val="0"/>
              </w:numPr>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cs="宋体"/>
                <w:color w:val="auto"/>
                <w:kern w:val="0"/>
                <w:highlight w:val="none"/>
              </w:rPr>
            </w:pPr>
            <w:r>
              <w:rPr>
                <w:rFonts w:hint="eastAsia" w:ascii="宋体" w:hAnsi="宋体" w:cs="宋体"/>
                <w:color w:val="auto"/>
                <w:kern w:val="0"/>
                <w:highlight w:val="none"/>
              </w:rPr>
              <w:t>1.在满足资格要求基础上2021年1月1日至投标截止日（以合同签订时间为准）每额外完成一个合同额500万元以上的10kv及以上高压外线工程施工业绩的得1分，满分2分。</w:t>
            </w:r>
          </w:p>
          <w:p w14:paraId="517CDA24">
            <w:pPr>
              <w:keepNext w:val="0"/>
              <w:keepLines w:val="0"/>
              <w:numPr>
                <w:ilvl w:val="0"/>
                <w:numId w:val="0"/>
              </w:numPr>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cs="宋体"/>
                <w:color w:val="auto"/>
                <w:kern w:val="0"/>
                <w:highlight w:val="none"/>
              </w:rPr>
            </w:pPr>
            <w:r>
              <w:rPr>
                <w:rFonts w:hint="eastAsia" w:ascii="宋体" w:hAnsi="宋体" w:cs="宋体"/>
                <w:color w:val="auto"/>
                <w:kern w:val="0"/>
                <w:highlight w:val="none"/>
              </w:rPr>
              <w:t>2.在满足资格要求基础上2021年1月1日至投标截止日（以合同签订时间为准）每额外完成一个合同额500万元以上的10kv及以上高速公路高压外线工程施工业绩的得1分，满分1分。</w:t>
            </w:r>
          </w:p>
          <w:p w14:paraId="7C7E4471">
            <w:pPr>
              <w:keepNext w:val="0"/>
              <w:keepLines w:val="0"/>
              <w:numPr>
                <w:ilvl w:val="0"/>
                <w:numId w:val="0"/>
              </w:numPr>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cs="宋体"/>
                <w:color w:val="auto"/>
                <w:kern w:val="0"/>
                <w:highlight w:val="none"/>
              </w:rPr>
            </w:pPr>
            <w:r>
              <w:rPr>
                <w:rFonts w:hint="eastAsia" w:ascii="宋体" w:hAnsi="宋体" w:cs="宋体"/>
                <w:color w:val="auto"/>
                <w:kern w:val="0"/>
                <w:highlight w:val="none"/>
              </w:rPr>
              <w:t>注：（1）提供合同扫描件（合同需清晰反映上述业绩要求的主要内容，包括但不限于项目类型、合同金额及供货内容），合同原件备查。</w:t>
            </w:r>
          </w:p>
          <w:p w14:paraId="535EE736">
            <w:pPr>
              <w:keepNext w:val="0"/>
              <w:keepLines w:val="0"/>
              <w:numPr>
                <w:ilvl w:val="0"/>
                <w:numId w:val="0"/>
              </w:numPr>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cs="宋体"/>
                <w:color w:val="auto"/>
                <w:kern w:val="0"/>
                <w:highlight w:val="none"/>
              </w:rPr>
            </w:pPr>
            <w:r>
              <w:rPr>
                <w:rFonts w:hint="eastAsia" w:ascii="宋体" w:hAnsi="宋体" w:cs="宋体"/>
                <w:color w:val="auto"/>
                <w:kern w:val="0"/>
                <w:highlight w:val="none"/>
              </w:rPr>
              <w:t>（2）同一业绩不可重复加分。</w:t>
            </w:r>
          </w:p>
          <w:p w14:paraId="0461F97A">
            <w:pPr>
              <w:keepNext w:val="0"/>
              <w:keepLines w:val="0"/>
              <w:numPr>
                <w:ilvl w:val="0"/>
                <w:numId w:val="0"/>
              </w:numPr>
              <w:suppressLineNumbers w:val="0"/>
              <w:snapToGrid w:val="0"/>
              <w:spacing w:before="0" w:beforeAutospacing="0" w:after="0" w:afterLines="0" w:afterAutospacing="0" w:line="400" w:lineRule="exact"/>
              <w:ind w:left="0" w:right="0" w:firstLine="420"/>
              <w:jc w:val="left"/>
              <w:rPr>
                <w:rFonts w:hint="eastAsia" w:ascii="宋体" w:hAnsi="宋体" w:eastAsia="宋体" w:cs="宋体"/>
                <w:color w:val="auto"/>
                <w:kern w:val="0"/>
                <w:highlight w:val="none"/>
              </w:rPr>
            </w:pPr>
            <w:r>
              <w:rPr>
                <w:rFonts w:hint="eastAsia" w:ascii="宋体" w:hAnsi="宋体" w:cs="宋体"/>
                <w:color w:val="auto"/>
                <w:kern w:val="0"/>
                <w:highlight w:val="none"/>
              </w:rPr>
              <w:t>（3）联合体投标的，由联合体牵头人提供。</w:t>
            </w:r>
          </w:p>
        </w:tc>
      </w:tr>
      <w:tr w14:paraId="44AC2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right w:val="single" w:color="auto" w:sz="4" w:space="0"/>
            </w:tcBorders>
            <w:vAlign w:val="center"/>
          </w:tcPr>
          <w:p w14:paraId="163A9B76">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highlight w:val="none"/>
              </w:rPr>
            </w:pPr>
          </w:p>
        </w:tc>
        <w:tc>
          <w:tcPr>
            <w:tcW w:w="1599" w:type="dxa"/>
            <w:vMerge w:val="continue"/>
            <w:tcBorders>
              <w:left w:val="single" w:color="auto" w:sz="4" w:space="0"/>
              <w:right w:val="single" w:color="auto" w:sz="4" w:space="0"/>
            </w:tcBorders>
            <w:vAlign w:val="center"/>
          </w:tcPr>
          <w:p w14:paraId="55E37364">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14:paraId="4A1B1631">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4"/>
                <w:highlight w:val="none"/>
                <w:lang w:bidi="ar"/>
              </w:rPr>
            </w:pPr>
            <w:r>
              <w:rPr>
                <w:rFonts w:hint="eastAsia" w:ascii="宋体" w:hAnsi="宋体" w:eastAsia="宋体" w:cs="宋体"/>
                <w:color w:val="auto"/>
                <w:kern w:val="0"/>
                <w:sz w:val="21"/>
                <w:szCs w:val="24"/>
                <w:highlight w:val="none"/>
              </w:rPr>
              <w:t>财务要求（3分）</w:t>
            </w:r>
          </w:p>
        </w:tc>
        <w:tc>
          <w:tcPr>
            <w:tcW w:w="5048" w:type="dxa"/>
            <w:tcBorders>
              <w:top w:val="single" w:color="auto" w:sz="4" w:space="0"/>
              <w:left w:val="single" w:color="auto" w:sz="4" w:space="0"/>
              <w:bottom w:val="single" w:color="auto" w:sz="4" w:space="0"/>
              <w:right w:val="single" w:color="auto" w:sz="4" w:space="0"/>
            </w:tcBorders>
            <w:vAlign w:val="center"/>
          </w:tcPr>
          <w:p w14:paraId="33B692A0">
            <w:pPr>
              <w:keepNext w:val="0"/>
              <w:keepLines w:val="0"/>
              <w:numPr>
                <w:ilvl w:val="0"/>
                <w:numId w:val="0"/>
              </w:numPr>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cs="宋体"/>
                <w:color w:val="auto"/>
                <w:kern w:val="0"/>
                <w:highlight w:val="none"/>
              </w:rPr>
            </w:pPr>
            <w:r>
              <w:rPr>
                <w:rFonts w:hint="eastAsia" w:ascii="宋体" w:hAnsi="宋体" w:cs="宋体"/>
                <w:color w:val="auto"/>
                <w:kern w:val="0"/>
                <w:highlight w:val="none"/>
              </w:rPr>
              <w:t>投标人2021年、2022年以及2023年经营状况良好，3年均不亏损得3分，仅有2年不亏损得2分，有1年不亏损得1分，3年均存在亏损不得分，满分3分。</w:t>
            </w:r>
          </w:p>
          <w:p w14:paraId="27995417">
            <w:pPr>
              <w:keepNext w:val="0"/>
              <w:keepLines w:val="0"/>
              <w:numPr>
                <w:ilvl w:val="0"/>
                <w:numId w:val="0"/>
              </w:numPr>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kern w:val="0"/>
                <w:highlight w:val="none"/>
                <w:lang w:val="en-US"/>
              </w:rPr>
            </w:pPr>
            <w:r>
              <w:rPr>
                <w:rFonts w:hint="eastAsia" w:ascii="宋体" w:hAnsi="宋体" w:cs="宋体"/>
                <w:color w:val="auto"/>
                <w:kern w:val="0"/>
                <w:highlight w:val="none"/>
              </w:rPr>
              <w:t>联合体投标的，联合体各方均需满足上述财务要求。</w:t>
            </w:r>
          </w:p>
        </w:tc>
      </w:tr>
      <w:tr w14:paraId="14EAC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restart"/>
            <w:tcBorders>
              <w:left w:val="single" w:color="auto" w:sz="4" w:space="0"/>
              <w:right w:val="single" w:color="auto" w:sz="4" w:space="0"/>
            </w:tcBorders>
            <w:vAlign w:val="center"/>
          </w:tcPr>
          <w:p w14:paraId="14086BA2">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2.2.2</w:t>
            </w:r>
          </w:p>
          <w:p w14:paraId="4BBEE718">
            <w:pPr>
              <w:pStyle w:val="2"/>
              <w:adjustRightInd w:val="0"/>
              <w:snapToGrid w:val="0"/>
              <w:spacing w:before="0" w:beforeAutospacing="0" w:after="0" w:afterLines="0" w:line="400" w:lineRule="exact"/>
              <w:ind w:left="0" w:right="0"/>
              <w:jc w:val="center"/>
              <w:rPr>
                <w:rFonts w:hint="eastAsia" w:ascii="宋体" w:hAnsi="宋体" w:eastAsia="宋体" w:cs="宋体"/>
                <w:color w:val="auto"/>
                <w:highlight w:val="none"/>
              </w:rPr>
            </w:pPr>
            <w:r>
              <w:rPr>
                <w:rFonts w:hint="eastAsia" w:ascii="宋体" w:hAnsi="宋体" w:eastAsia="宋体" w:cs="宋体"/>
                <w:color w:val="auto"/>
                <w:highlight w:val="none"/>
              </w:rPr>
              <w:t>（3）</w:t>
            </w:r>
          </w:p>
        </w:tc>
        <w:tc>
          <w:tcPr>
            <w:tcW w:w="1599" w:type="dxa"/>
            <w:vMerge w:val="restart"/>
            <w:tcBorders>
              <w:left w:val="single" w:color="auto" w:sz="4" w:space="0"/>
              <w:right w:val="single" w:color="auto" w:sz="4" w:space="0"/>
            </w:tcBorders>
            <w:vAlign w:val="center"/>
          </w:tcPr>
          <w:p w14:paraId="0942C612">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投标函部分及经济部分评审标准</w:t>
            </w:r>
          </w:p>
        </w:tc>
        <w:tc>
          <w:tcPr>
            <w:tcW w:w="2355" w:type="dxa"/>
            <w:gridSpan w:val="2"/>
            <w:tcBorders>
              <w:top w:val="single" w:color="auto" w:sz="4" w:space="0"/>
              <w:left w:val="single" w:color="auto" w:sz="4" w:space="0"/>
              <w:bottom w:val="single" w:color="auto" w:sz="4" w:space="0"/>
              <w:right w:val="single" w:color="auto" w:sz="4" w:space="0"/>
            </w:tcBorders>
            <w:vAlign w:val="center"/>
          </w:tcPr>
          <w:p w14:paraId="5542A3D5">
            <w:pPr>
              <w:keepNext w:val="0"/>
              <w:keepLines w:val="0"/>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highlight w:val="none"/>
              </w:rPr>
              <w:t>投标函部分的</w:t>
            </w:r>
            <w:r>
              <w:rPr>
                <w:rFonts w:hint="eastAsia" w:ascii="宋体" w:hAnsi="宋体" w:eastAsia="宋体" w:cs="宋体"/>
                <w:color w:val="auto"/>
                <w:kern w:val="0"/>
                <w:highlight w:val="none"/>
                <w:lang w:eastAsia="zh-CN"/>
              </w:rPr>
              <w:t>签名</w:t>
            </w:r>
            <w:r>
              <w:rPr>
                <w:rFonts w:hint="eastAsia" w:ascii="宋体" w:hAnsi="宋体" w:eastAsia="宋体" w:cs="宋体"/>
                <w:color w:val="auto"/>
                <w:kern w:val="0"/>
                <w:highlight w:val="none"/>
              </w:rPr>
              <w:t>盖章</w:t>
            </w:r>
          </w:p>
        </w:tc>
        <w:tc>
          <w:tcPr>
            <w:tcW w:w="5048" w:type="dxa"/>
            <w:tcBorders>
              <w:top w:val="single" w:color="auto" w:sz="4" w:space="0"/>
              <w:left w:val="single" w:color="auto" w:sz="4" w:space="0"/>
              <w:bottom w:val="single" w:color="auto" w:sz="4" w:space="0"/>
              <w:right w:val="single" w:color="auto" w:sz="4" w:space="0"/>
            </w:tcBorders>
            <w:vAlign w:val="center"/>
          </w:tcPr>
          <w:p w14:paraId="2B49D1CF">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highlight w:val="none"/>
                <w:u w:val="single"/>
              </w:rPr>
            </w:pPr>
            <w:r>
              <w:rPr>
                <w:rFonts w:hint="eastAsia" w:ascii="宋体" w:hAnsi="宋体" w:eastAsia="宋体" w:cs="宋体"/>
                <w:color w:val="auto"/>
                <w:kern w:val="0"/>
                <w:highlight w:val="none"/>
              </w:rPr>
              <w:t>投标函部分的格式要求法定代表人或其委托代理人签名（或盖章）的须齐全。</w:t>
            </w:r>
          </w:p>
        </w:tc>
      </w:tr>
      <w:tr w14:paraId="7B5F6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vAlign w:val="center"/>
          </w:tcPr>
          <w:p w14:paraId="3206FF55">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highlight w:val="none"/>
              </w:rPr>
            </w:pPr>
          </w:p>
        </w:tc>
        <w:tc>
          <w:tcPr>
            <w:tcW w:w="1599" w:type="dxa"/>
            <w:vMerge w:val="continue"/>
            <w:vAlign w:val="center"/>
          </w:tcPr>
          <w:p w14:paraId="40BCBF67">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highlight w:val="none"/>
              </w:rPr>
            </w:pPr>
          </w:p>
        </w:tc>
        <w:tc>
          <w:tcPr>
            <w:tcW w:w="2355" w:type="dxa"/>
            <w:gridSpan w:val="2"/>
            <w:vAlign w:val="center"/>
          </w:tcPr>
          <w:p w14:paraId="03513A57">
            <w:pPr>
              <w:keepNext w:val="0"/>
              <w:keepLines w:val="0"/>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highlight w:val="none"/>
              </w:rPr>
              <w:t>工期</w:t>
            </w:r>
          </w:p>
        </w:tc>
        <w:tc>
          <w:tcPr>
            <w:tcW w:w="5048" w:type="dxa"/>
            <w:vAlign w:val="center"/>
          </w:tcPr>
          <w:p w14:paraId="4635E7DB">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kern w:val="0"/>
                <w:highlight w:val="none"/>
              </w:rPr>
              <w:t>符合第二章“投标人须知”第1.3.2项规定</w:t>
            </w:r>
          </w:p>
        </w:tc>
      </w:tr>
      <w:tr w14:paraId="4E69B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vAlign w:val="center"/>
          </w:tcPr>
          <w:p w14:paraId="7C95FD1C">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highlight w:val="none"/>
              </w:rPr>
            </w:pPr>
          </w:p>
        </w:tc>
        <w:tc>
          <w:tcPr>
            <w:tcW w:w="1599" w:type="dxa"/>
            <w:vMerge w:val="continue"/>
            <w:vAlign w:val="center"/>
          </w:tcPr>
          <w:p w14:paraId="7E819C39">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highlight w:val="none"/>
              </w:rPr>
            </w:pPr>
          </w:p>
        </w:tc>
        <w:tc>
          <w:tcPr>
            <w:tcW w:w="2355" w:type="dxa"/>
            <w:gridSpan w:val="2"/>
            <w:vAlign w:val="center"/>
          </w:tcPr>
          <w:p w14:paraId="4294695F">
            <w:pPr>
              <w:keepNext w:val="0"/>
              <w:keepLines w:val="0"/>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highlight w:val="none"/>
              </w:rPr>
              <w:t>工程质量</w:t>
            </w:r>
          </w:p>
        </w:tc>
        <w:tc>
          <w:tcPr>
            <w:tcW w:w="5048" w:type="dxa"/>
            <w:vAlign w:val="center"/>
          </w:tcPr>
          <w:p w14:paraId="09D1FBB2">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kern w:val="0"/>
                <w:highlight w:val="none"/>
              </w:rPr>
              <w:t>符合第二章“投标人须知”第1.3.3项规定</w:t>
            </w:r>
          </w:p>
        </w:tc>
      </w:tr>
      <w:tr w14:paraId="0BA28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vAlign w:val="center"/>
          </w:tcPr>
          <w:p w14:paraId="2A3D0A90">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highlight w:val="none"/>
              </w:rPr>
            </w:pPr>
          </w:p>
        </w:tc>
        <w:tc>
          <w:tcPr>
            <w:tcW w:w="1599" w:type="dxa"/>
            <w:vMerge w:val="continue"/>
            <w:vAlign w:val="center"/>
          </w:tcPr>
          <w:p w14:paraId="045D6C00">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highlight w:val="none"/>
              </w:rPr>
            </w:pPr>
          </w:p>
        </w:tc>
        <w:tc>
          <w:tcPr>
            <w:tcW w:w="2355" w:type="dxa"/>
            <w:gridSpan w:val="2"/>
            <w:vAlign w:val="center"/>
          </w:tcPr>
          <w:p w14:paraId="7CCC4968">
            <w:pPr>
              <w:keepNext w:val="0"/>
              <w:keepLines w:val="0"/>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highlight w:val="none"/>
              </w:rPr>
              <w:t>投标有效期</w:t>
            </w:r>
          </w:p>
        </w:tc>
        <w:tc>
          <w:tcPr>
            <w:tcW w:w="5048" w:type="dxa"/>
            <w:vAlign w:val="center"/>
          </w:tcPr>
          <w:p w14:paraId="438E1CA4">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kern w:val="0"/>
                <w:highlight w:val="none"/>
              </w:rPr>
              <w:t>符合第二章“投标人须知”第3.3.1项规定</w:t>
            </w:r>
          </w:p>
        </w:tc>
      </w:tr>
      <w:tr w14:paraId="2634B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right w:val="single" w:color="auto" w:sz="4" w:space="0"/>
            </w:tcBorders>
            <w:vAlign w:val="center"/>
          </w:tcPr>
          <w:p w14:paraId="35C04FF1">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highlight w:val="none"/>
              </w:rPr>
            </w:pPr>
          </w:p>
        </w:tc>
        <w:tc>
          <w:tcPr>
            <w:tcW w:w="1599" w:type="dxa"/>
            <w:vMerge w:val="continue"/>
            <w:tcBorders>
              <w:left w:val="single" w:color="auto" w:sz="4" w:space="0"/>
              <w:right w:val="single" w:color="auto" w:sz="4" w:space="0"/>
            </w:tcBorders>
            <w:vAlign w:val="center"/>
          </w:tcPr>
          <w:p w14:paraId="2F56F855">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14:paraId="7B4D12D9">
            <w:pPr>
              <w:keepNext w:val="0"/>
              <w:keepLines w:val="0"/>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投标总报价</w:t>
            </w:r>
          </w:p>
        </w:tc>
        <w:tc>
          <w:tcPr>
            <w:tcW w:w="5048" w:type="dxa"/>
            <w:tcBorders>
              <w:top w:val="single" w:color="auto" w:sz="4" w:space="0"/>
              <w:left w:val="single" w:color="auto" w:sz="4" w:space="0"/>
              <w:bottom w:val="single" w:color="auto" w:sz="4" w:space="0"/>
              <w:right w:val="single" w:color="auto" w:sz="4" w:space="0"/>
            </w:tcBorders>
            <w:vAlign w:val="center"/>
          </w:tcPr>
          <w:p w14:paraId="57782947">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highlight w:val="none"/>
                <w:u w:val="single"/>
              </w:rPr>
            </w:pPr>
            <w:r>
              <w:rPr>
                <w:rFonts w:hint="eastAsia" w:ascii="宋体" w:hAnsi="宋体" w:eastAsia="宋体" w:cs="宋体"/>
                <w:color w:val="auto"/>
                <w:highlight w:val="none"/>
              </w:rPr>
              <w:t>投标总报价不得高于招标人公布的投标总报价最高限价。</w:t>
            </w:r>
          </w:p>
        </w:tc>
      </w:tr>
      <w:tr w14:paraId="389A8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vAlign w:val="center"/>
          </w:tcPr>
          <w:p w14:paraId="5A0EA9BC">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highlight w:val="none"/>
              </w:rPr>
            </w:pPr>
          </w:p>
        </w:tc>
        <w:tc>
          <w:tcPr>
            <w:tcW w:w="1599" w:type="dxa"/>
            <w:vMerge w:val="continue"/>
            <w:vAlign w:val="center"/>
          </w:tcPr>
          <w:p w14:paraId="7DC58AD7">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highlight w:val="none"/>
              </w:rPr>
            </w:pPr>
          </w:p>
        </w:tc>
        <w:tc>
          <w:tcPr>
            <w:tcW w:w="2355" w:type="dxa"/>
            <w:gridSpan w:val="2"/>
            <w:vAlign w:val="center"/>
          </w:tcPr>
          <w:p w14:paraId="31B6BB94">
            <w:pPr>
              <w:keepNext w:val="0"/>
              <w:keepLines w:val="0"/>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报价唯一</w:t>
            </w:r>
          </w:p>
        </w:tc>
        <w:tc>
          <w:tcPr>
            <w:tcW w:w="5048" w:type="dxa"/>
            <w:vAlign w:val="center"/>
          </w:tcPr>
          <w:p w14:paraId="2A7F4F20">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只能有一个有效报价，在招标文件没有规定的情况下，不得提交选择性报价。</w:t>
            </w:r>
          </w:p>
        </w:tc>
      </w:tr>
      <w:tr w14:paraId="526D0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right w:val="single" w:color="auto" w:sz="4" w:space="0"/>
            </w:tcBorders>
            <w:vAlign w:val="center"/>
          </w:tcPr>
          <w:p w14:paraId="291CD0AB">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highlight w:val="none"/>
              </w:rPr>
            </w:pPr>
          </w:p>
        </w:tc>
        <w:tc>
          <w:tcPr>
            <w:tcW w:w="1599" w:type="dxa"/>
            <w:vMerge w:val="continue"/>
            <w:tcBorders>
              <w:left w:val="single" w:color="auto" w:sz="4" w:space="0"/>
              <w:right w:val="single" w:color="auto" w:sz="4" w:space="0"/>
            </w:tcBorders>
            <w:vAlign w:val="center"/>
          </w:tcPr>
          <w:p w14:paraId="5808A703">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14:paraId="5E06BE5A">
            <w:pPr>
              <w:keepNext w:val="0"/>
              <w:keepLines w:val="0"/>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已标价工程量清单</w:t>
            </w:r>
          </w:p>
        </w:tc>
        <w:tc>
          <w:tcPr>
            <w:tcW w:w="5048" w:type="dxa"/>
            <w:tcBorders>
              <w:top w:val="single" w:color="auto" w:sz="4" w:space="0"/>
              <w:left w:val="single" w:color="auto" w:sz="4" w:space="0"/>
              <w:bottom w:val="single" w:color="auto" w:sz="4" w:space="0"/>
              <w:right w:val="single" w:color="auto" w:sz="4" w:space="0"/>
            </w:tcBorders>
            <w:vAlign w:val="center"/>
          </w:tcPr>
          <w:p w14:paraId="659AE32C">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投标人承诺满足以下内容：</w:t>
            </w:r>
          </w:p>
          <w:p w14:paraId="4745E257">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1.按照第五章“工程量清单”、第八章“工程量清单计量规则”的规定进行报价。</w:t>
            </w:r>
          </w:p>
          <w:p w14:paraId="09EC8A05">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2.招标文件中规定工程量清单不允许修改的内容不得修改。</w:t>
            </w:r>
          </w:p>
          <w:p w14:paraId="1018F507">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3.投标总报价不高于招标人公布的投标总报价最高限价。</w:t>
            </w:r>
          </w:p>
          <w:p w14:paraId="4BDAB9E6">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4.各清单子目单价不高于招标人公布的各清单子目单价最高限价的。</w:t>
            </w:r>
          </w:p>
          <w:p w14:paraId="0DCFB761">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lang w:val="en-US"/>
              </w:rPr>
              <w:t>5</w:t>
            </w:r>
            <w:r>
              <w:rPr>
                <w:rFonts w:hint="eastAsia" w:ascii="宋体" w:hAnsi="宋体" w:eastAsia="宋体" w:cs="宋体"/>
                <w:color w:val="auto"/>
                <w:highlight w:val="none"/>
              </w:rPr>
              <w:t>.若出现差错，按招标文件第二章投标人须知前附表第3.2.9项规定的原则进行处理（或结算）。</w:t>
            </w:r>
          </w:p>
        </w:tc>
      </w:tr>
      <w:tr w14:paraId="5D1AC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right w:val="single" w:color="auto" w:sz="4" w:space="0"/>
            </w:tcBorders>
            <w:vAlign w:val="center"/>
          </w:tcPr>
          <w:p w14:paraId="73F67C5D">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highlight w:val="none"/>
              </w:rPr>
            </w:pPr>
          </w:p>
        </w:tc>
        <w:tc>
          <w:tcPr>
            <w:tcW w:w="1599" w:type="dxa"/>
            <w:vMerge w:val="continue"/>
            <w:tcBorders>
              <w:left w:val="single" w:color="auto" w:sz="4" w:space="0"/>
              <w:right w:val="single" w:color="auto" w:sz="4" w:space="0"/>
            </w:tcBorders>
            <w:vAlign w:val="center"/>
          </w:tcPr>
          <w:p w14:paraId="6E1B762A">
            <w:pPr>
              <w:keepNext w:val="0"/>
              <w:keepLines w:val="0"/>
              <w:widowControl/>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14:paraId="4CC2AC4C">
            <w:pPr>
              <w:keepNext w:val="0"/>
              <w:keepLines w:val="0"/>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投标报价算术错误修正</w:t>
            </w:r>
          </w:p>
        </w:tc>
        <w:tc>
          <w:tcPr>
            <w:tcW w:w="5048" w:type="dxa"/>
            <w:tcBorders>
              <w:top w:val="single" w:color="auto" w:sz="4" w:space="0"/>
              <w:left w:val="single" w:color="auto" w:sz="4" w:space="0"/>
              <w:bottom w:val="single" w:color="auto" w:sz="4" w:space="0"/>
              <w:right w:val="single" w:color="auto" w:sz="4" w:space="0"/>
            </w:tcBorders>
            <w:vAlign w:val="center"/>
          </w:tcPr>
          <w:p w14:paraId="7F005719">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highlight w:val="none"/>
                <w:u w:val="single"/>
              </w:rPr>
            </w:pPr>
            <w:r>
              <w:rPr>
                <w:rFonts w:hint="eastAsia" w:ascii="宋体" w:hAnsi="宋体" w:eastAsia="宋体" w:cs="宋体"/>
                <w:color w:val="auto"/>
                <w:highlight w:val="none"/>
              </w:rPr>
              <w:t>符合第三章3.评标程序第3.1.3项规定。</w:t>
            </w:r>
          </w:p>
        </w:tc>
      </w:tr>
      <w:tr w14:paraId="674F5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14:paraId="6DB4556C">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2.2.3</w:t>
            </w:r>
          </w:p>
        </w:tc>
        <w:tc>
          <w:tcPr>
            <w:tcW w:w="1599" w:type="dxa"/>
            <w:tcBorders>
              <w:top w:val="single" w:color="auto" w:sz="4" w:space="0"/>
              <w:left w:val="single" w:color="auto" w:sz="4" w:space="0"/>
              <w:bottom w:val="single" w:color="auto" w:sz="4" w:space="0"/>
              <w:right w:val="single" w:color="auto" w:sz="4" w:space="0"/>
            </w:tcBorders>
            <w:vAlign w:val="center"/>
          </w:tcPr>
          <w:p w14:paraId="5460E2C0">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highlight w:val="none"/>
              </w:rPr>
              <w:t>评标基准价计算方法</w:t>
            </w:r>
          </w:p>
        </w:tc>
        <w:tc>
          <w:tcPr>
            <w:tcW w:w="2355" w:type="dxa"/>
            <w:gridSpan w:val="2"/>
            <w:tcBorders>
              <w:top w:val="single" w:color="auto" w:sz="4" w:space="0"/>
              <w:left w:val="single" w:color="auto" w:sz="4" w:space="0"/>
              <w:bottom w:val="single" w:color="auto" w:sz="4" w:space="0"/>
              <w:right w:val="single" w:color="auto" w:sz="4" w:space="0"/>
            </w:tcBorders>
            <w:vAlign w:val="center"/>
          </w:tcPr>
          <w:p w14:paraId="34592D9C">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highlight w:val="none"/>
              </w:rPr>
              <w:t>投标总报价</w:t>
            </w:r>
          </w:p>
        </w:tc>
        <w:tc>
          <w:tcPr>
            <w:tcW w:w="5048" w:type="dxa"/>
            <w:tcBorders>
              <w:top w:val="single" w:color="auto" w:sz="4" w:space="0"/>
              <w:left w:val="single" w:color="auto" w:sz="4" w:space="0"/>
              <w:bottom w:val="single" w:color="auto" w:sz="4" w:space="0"/>
              <w:right w:val="single" w:color="auto" w:sz="4" w:space="0"/>
            </w:tcBorders>
            <w:vAlign w:val="top"/>
          </w:tcPr>
          <w:p w14:paraId="33C5E956">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所有通过初步评审和本章第2.2.2（3）目评审合格的</w:t>
            </w:r>
            <w:r>
              <w:rPr>
                <w:rFonts w:hint="eastAsia" w:ascii="宋体" w:hAnsi="宋体" w:eastAsia="宋体" w:cs="宋体"/>
                <w:color w:val="auto"/>
                <w:kern w:val="0"/>
                <w:szCs w:val="21"/>
                <w:highlight w:val="none"/>
                <w:lang w:val="en-US" w:eastAsia="zh-CN"/>
              </w:rPr>
              <w:t>投标总价不高于最高限价和不低于最高限价85%的</w:t>
            </w:r>
            <w:r>
              <w:rPr>
                <w:rFonts w:hint="eastAsia" w:ascii="宋体" w:hAnsi="宋体" w:eastAsia="宋体" w:cs="宋体"/>
                <w:color w:val="auto"/>
                <w:szCs w:val="21"/>
                <w:highlight w:val="none"/>
              </w:rPr>
              <w:t>投标总报</w:t>
            </w:r>
            <w:r>
              <w:rPr>
                <w:rFonts w:hint="eastAsia" w:ascii="宋体" w:hAnsi="宋体" w:eastAsia="宋体" w:cs="宋体"/>
                <w:color w:val="auto"/>
                <w:kern w:val="0"/>
                <w:szCs w:val="21"/>
                <w:highlight w:val="none"/>
              </w:rPr>
              <w:t>价中去掉六分之一（不能整除的按小数点前整数取整，不足六家报价则不去掉）的最低价和相同家数的最高价后的算术平均值</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即为本项目的投标总报价的评标基准价</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评标基准价计算的最终结果取小数点后两位，第三位四舍五入。</w:t>
            </w:r>
          </w:p>
          <w:p w14:paraId="2482078D">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在评标基准价计算完成后（除计算错误外），在后续的评审中不得再对其做出调整。</w:t>
            </w:r>
          </w:p>
        </w:tc>
      </w:tr>
      <w:tr w14:paraId="25306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14:paraId="79418476">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2.2.4</w:t>
            </w:r>
          </w:p>
        </w:tc>
        <w:tc>
          <w:tcPr>
            <w:tcW w:w="1599" w:type="dxa"/>
            <w:tcBorders>
              <w:top w:val="single" w:color="auto" w:sz="4" w:space="0"/>
              <w:left w:val="single" w:color="auto" w:sz="4" w:space="0"/>
              <w:bottom w:val="single" w:color="auto" w:sz="4" w:space="0"/>
              <w:right w:val="single" w:color="auto" w:sz="4" w:space="0"/>
            </w:tcBorders>
            <w:vAlign w:val="center"/>
          </w:tcPr>
          <w:p w14:paraId="44DD7A5B">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偏差率计算</w:t>
            </w:r>
          </w:p>
        </w:tc>
        <w:tc>
          <w:tcPr>
            <w:tcW w:w="7403" w:type="dxa"/>
            <w:gridSpan w:val="3"/>
            <w:tcBorders>
              <w:top w:val="single" w:color="auto" w:sz="4" w:space="0"/>
              <w:left w:val="single" w:color="auto" w:sz="4" w:space="0"/>
              <w:bottom w:val="single" w:color="auto" w:sz="4" w:space="0"/>
              <w:right w:val="single" w:color="auto" w:sz="4" w:space="0"/>
            </w:tcBorders>
            <w:vAlign w:val="center"/>
          </w:tcPr>
          <w:p w14:paraId="1776A111">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投标总报价的偏差率计算公式</w:t>
            </w:r>
          </w:p>
          <w:p w14:paraId="6AFE93E3">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偏差率</w:t>
            </w:r>
            <w:r>
              <w:rPr>
                <w:rFonts w:hint="eastAsia" w:ascii="宋体" w:hAnsi="宋体" w:eastAsia="宋体" w:cs="宋体"/>
                <w:color w:val="auto"/>
                <w:kern w:val="0"/>
                <w:sz w:val="28"/>
                <w:szCs w:val="28"/>
                <w:highlight w:val="none"/>
              </w:rPr>
              <w:t>=</w:t>
            </w:r>
            <w:r>
              <w:rPr>
                <w:rFonts w:hint="eastAsia" w:ascii="宋体" w:hAnsi="宋体" w:eastAsia="宋体" w:cs="宋体"/>
                <w:color w:val="auto"/>
                <w:kern w:val="0"/>
                <w:highlight w:val="none"/>
              </w:rPr>
              <w:t>100％×（投标人报价一评标基准价</w:t>
            </w:r>
            <w:r>
              <w:rPr>
                <w:rFonts w:hint="eastAsia" w:ascii="宋体" w:hAnsi="宋体" w:eastAsia="宋体" w:cs="宋体"/>
                <w:color w:val="auto"/>
                <w:kern w:val="0"/>
                <w:highlight w:val="none"/>
                <w:lang w:eastAsia="zh-CN"/>
              </w:rPr>
              <w:t>）</w:t>
            </w:r>
            <w:r>
              <w:rPr>
                <w:rFonts w:hint="eastAsia" w:ascii="宋体" w:hAnsi="宋体" w:eastAsia="宋体" w:cs="宋体"/>
                <w:color w:val="auto"/>
                <w:kern w:val="0"/>
                <w:highlight w:val="none"/>
              </w:rPr>
              <w:t>／评标基准价</w:t>
            </w:r>
          </w:p>
          <w:p w14:paraId="76B71D96">
            <w:pPr>
              <w:keepNext w:val="0"/>
              <w:keepLines w:val="0"/>
              <w:suppressLineNumbers w:val="0"/>
              <w:adjustRightInd w:val="0"/>
              <w:snapToGrid w:val="0"/>
              <w:spacing w:before="0" w:beforeAutospacing="0" w:after="0" w:afterLines="0" w:afterAutospacing="0" w:line="400" w:lineRule="exact"/>
              <w:ind w:left="0" w:right="0" w:firstLine="200"/>
              <w:rPr>
                <w:rFonts w:hint="eastAsia" w:ascii="宋体" w:hAnsi="宋体" w:eastAsia="宋体" w:cs="宋体"/>
                <w:color w:val="auto"/>
                <w:kern w:val="0"/>
                <w:highlight w:val="none"/>
              </w:rPr>
            </w:pPr>
            <w:r>
              <w:rPr>
                <w:rFonts w:hint="eastAsia" w:ascii="宋体" w:hAnsi="宋体" w:eastAsia="宋体" w:cs="宋体"/>
                <w:color w:val="auto"/>
                <w:kern w:val="0"/>
                <w:highlight w:val="none"/>
              </w:rPr>
              <w:t xml:space="preserve">  偏差率计算的最终结果取小数点后两位</w:t>
            </w:r>
            <w:r>
              <w:rPr>
                <w:rFonts w:hint="eastAsia" w:ascii="宋体" w:hAnsi="宋体" w:eastAsia="宋体" w:cs="宋体"/>
                <w:color w:val="auto"/>
                <w:kern w:val="0"/>
                <w:szCs w:val="21"/>
                <w:highlight w:val="none"/>
              </w:rPr>
              <w:t>，小数点后第三位“四舍五入”。</w:t>
            </w:r>
          </w:p>
        </w:tc>
      </w:tr>
      <w:tr w14:paraId="5A7CC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14:paraId="175A9857">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highlight w:val="none"/>
              </w:rPr>
            </w:pPr>
            <w:r>
              <w:rPr>
                <w:rFonts w:hint="eastAsia" w:ascii="宋体" w:hAnsi="宋体" w:eastAsia="宋体" w:cs="宋体"/>
                <w:color w:val="auto"/>
                <w:highlight w:val="none"/>
              </w:rPr>
              <w:t>3</w:t>
            </w:r>
          </w:p>
        </w:tc>
        <w:tc>
          <w:tcPr>
            <w:tcW w:w="1599" w:type="dxa"/>
            <w:tcBorders>
              <w:top w:val="single" w:color="auto" w:sz="4" w:space="0"/>
              <w:left w:val="single" w:color="auto" w:sz="4" w:space="0"/>
              <w:bottom w:val="single" w:color="auto" w:sz="4" w:space="0"/>
              <w:right w:val="single" w:color="auto" w:sz="4" w:space="0"/>
            </w:tcBorders>
            <w:vAlign w:val="center"/>
          </w:tcPr>
          <w:p w14:paraId="2D916F7E">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highlight w:val="none"/>
              </w:rPr>
            </w:pPr>
            <w:r>
              <w:rPr>
                <w:rFonts w:hint="eastAsia" w:ascii="宋体" w:hAnsi="宋体" w:eastAsia="宋体" w:cs="宋体"/>
                <w:color w:val="auto"/>
                <w:highlight w:val="none"/>
              </w:rPr>
              <w:t>评标程序</w:t>
            </w:r>
          </w:p>
        </w:tc>
        <w:tc>
          <w:tcPr>
            <w:tcW w:w="7403" w:type="dxa"/>
            <w:gridSpan w:val="3"/>
            <w:tcBorders>
              <w:top w:val="single" w:color="auto" w:sz="4" w:space="0"/>
              <w:left w:val="single" w:color="auto" w:sz="4" w:space="0"/>
              <w:bottom w:val="single" w:color="auto" w:sz="4" w:space="0"/>
              <w:right w:val="single" w:color="auto" w:sz="4" w:space="0"/>
            </w:tcBorders>
            <w:vAlign w:val="top"/>
          </w:tcPr>
          <w:p w14:paraId="4C3F4B6D">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1.按本章评标办法第3.1款进行初步评审，未通过初步评审或评标委员会认定为无效的投标文件的不再进行后续评审。</w:t>
            </w:r>
          </w:p>
          <w:p w14:paraId="7642582D">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2.按本章评标办法前附表第2.2.2（1）目及第3.2.1（1）目的规定对技术部分进行评审。</w:t>
            </w:r>
          </w:p>
          <w:p w14:paraId="7C4C14A2">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3.按本章评标办法前附表第2.2.2（2）目及第3.2.1（2）目的规定对商务部分进行评审。</w:t>
            </w:r>
          </w:p>
          <w:p w14:paraId="4E530534">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4.按本章评标办法前附表第2.2.2（3）目的规定对投标函部分及经济部分部分进行评审，经评审不合格的投标文件不再参与后续评审。</w:t>
            </w:r>
          </w:p>
          <w:p w14:paraId="150A2066">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5.因评标委员会作否决投标处理导致有效投标人不足</w:t>
            </w:r>
            <w:r>
              <w:rPr>
                <w:rFonts w:hint="eastAsia" w:ascii="宋体" w:hAnsi="宋体" w:cs="宋体"/>
                <w:color w:val="auto"/>
                <w:szCs w:val="21"/>
                <w:highlight w:val="none"/>
                <w:lang w:val="en-US" w:eastAsia="zh-CN"/>
              </w:rPr>
              <w:t>三</w:t>
            </w:r>
            <w:r>
              <w:rPr>
                <w:rFonts w:hint="eastAsia" w:ascii="宋体" w:hAnsi="宋体" w:eastAsia="宋体" w:cs="宋体"/>
                <w:color w:val="auto"/>
                <w:szCs w:val="21"/>
                <w:highlight w:val="none"/>
              </w:rPr>
              <w:t>个的，评标委员会应当否决所有投标。但是有效投标人的经济、技术等指标仍然具有市场竞争力，能够满足招标文件要求的，评标委员会可以继续评标并确定中标候选人。</w:t>
            </w:r>
          </w:p>
          <w:p w14:paraId="6F86D831">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6.经评审合格的投标人按照本章第2.2.3项计算方法计算评标基准价，并按本附表第3.2.1（3）目规定的评分方法对投标总报价进行评分。</w:t>
            </w:r>
          </w:p>
          <w:p w14:paraId="6901A2FB">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7.对技术部分、商务部分、投标总报价得分进行汇总，确定得分由高至低前</w:t>
            </w:r>
            <w:r>
              <w:rPr>
                <w:rFonts w:hint="eastAsia" w:ascii="宋体" w:hAnsi="宋体" w:cs="宋体"/>
                <w:color w:val="auto"/>
                <w:szCs w:val="21"/>
                <w:highlight w:val="none"/>
                <w:lang w:eastAsia="zh-CN"/>
              </w:rPr>
              <w:t>二</w:t>
            </w:r>
            <w:r>
              <w:rPr>
                <w:rFonts w:hint="eastAsia" w:ascii="宋体" w:hAnsi="宋体" w:eastAsia="宋体" w:cs="宋体"/>
                <w:color w:val="auto"/>
                <w:szCs w:val="21"/>
                <w:highlight w:val="none"/>
              </w:rPr>
              <w:t>名投标人为中标候选人。</w:t>
            </w:r>
          </w:p>
        </w:tc>
      </w:tr>
      <w:tr w14:paraId="5312F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880" w:type="dxa"/>
            <w:vMerge w:val="restart"/>
            <w:vAlign w:val="center"/>
          </w:tcPr>
          <w:p w14:paraId="1DD429DB">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highlight w:val="none"/>
              </w:rPr>
            </w:pPr>
            <w:r>
              <w:rPr>
                <w:rFonts w:hint="eastAsia" w:ascii="宋体" w:hAnsi="宋体" w:eastAsia="宋体" w:cs="宋体"/>
                <w:color w:val="auto"/>
                <w:highlight w:val="none"/>
              </w:rPr>
              <w:t>3.2.1</w:t>
            </w:r>
          </w:p>
          <w:p w14:paraId="0314CCD5">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highlight w:val="none"/>
              </w:rPr>
            </w:pPr>
            <w:r>
              <w:rPr>
                <w:rFonts w:hint="eastAsia" w:ascii="宋体" w:hAnsi="宋体" w:eastAsia="宋体" w:cs="宋体"/>
                <w:color w:val="auto"/>
                <w:highlight w:val="none"/>
              </w:rPr>
              <w:t>（1）</w:t>
            </w:r>
          </w:p>
        </w:tc>
        <w:tc>
          <w:tcPr>
            <w:tcW w:w="1599" w:type="dxa"/>
            <w:vMerge w:val="restart"/>
            <w:vAlign w:val="center"/>
          </w:tcPr>
          <w:p w14:paraId="65C50D9B">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highlight w:val="none"/>
              </w:rPr>
            </w:pPr>
            <w:r>
              <w:rPr>
                <w:rFonts w:hint="eastAsia" w:ascii="宋体" w:hAnsi="宋体" w:eastAsia="宋体" w:cs="宋体"/>
                <w:color w:val="auto"/>
                <w:highlight w:val="none"/>
              </w:rPr>
              <w:t>技术部分</w:t>
            </w:r>
            <w:r>
              <w:rPr>
                <w:rFonts w:hint="eastAsia" w:ascii="宋体" w:hAnsi="宋体" w:eastAsia="宋体" w:cs="宋体"/>
                <w:color w:val="auto"/>
                <w:kern w:val="0"/>
                <w:highlight w:val="none"/>
              </w:rPr>
              <w:t>得分</w:t>
            </w:r>
            <w:r>
              <w:rPr>
                <w:rFonts w:hint="eastAsia" w:ascii="宋体" w:hAnsi="宋体" w:eastAsia="宋体" w:cs="宋体"/>
                <w:color w:val="auto"/>
                <w:spacing w:val="-4"/>
                <w:highlight w:val="none"/>
              </w:rPr>
              <w:t>（A）</w:t>
            </w:r>
          </w:p>
        </w:tc>
        <w:tc>
          <w:tcPr>
            <w:tcW w:w="2355" w:type="dxa"/>
            <w:gridSpan w:val="2"/>
            <w:vAlign w:val="center"/>
          </w:tcPr>
          <w:p w14:paraId="0F36FA0C">
            <w:pPr>
              <w:keepNext w:val="0"/>
              <w:keepLines w:val="0"/>
              <w:widowControl/>
              <w:suppressLineNumbers w:val="0"/>
              <w:adjustRightInd w:val="0"/>
              <w:snapToGrid w:val="0"/>
              <w:spacing w:before="0" w:beforeAutospacing="0" w:after="0" w:afterLines="0" w:afterAutospacing="0" w:line="400" w:lineRule="exact"/>
              <w:ind w:left="0" w:right="0"/>
              <w:jc w:val="left"/>
              <w:rPr>
                <w:rFonts w:hint="eastAsia" w:ascii="宋体" w:hAnsi="宋体" w:eastAsia="宋体" w:cs="宋体"/>
                <w:color w:val="auto"/>
                <w:kern w:val="0"/>
                <w:highlight w:val="none"/>
              </w:rPr>
            </w:pPr>
            <w:r>
              <w:rPr>
                <w:rFonts w:hint="eastAsia" w:ascii="宋体" w:hAnsi="宋体" w:eastAsia="宋体" w:cs="宋体"/>
                <w:kern w:val="0"/>
                <w:highlight w:val="none"/>
              </w:rPr>
              <w:t>技术方案部分形式要求</w:t>
            </w:r>
          </w:p>
        </w:tc>
        <w:tc>
          <w:tcPr>
            <w:tcW w:w="5048" w:type="dxa"/>
            <w:vAlign w:val="center"/>
          </w:tcPr>
          <w:p w14:paraId="57E269ED">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szCs w:val="21"/>
                <w:highlight w:val="none"/>
              </w:rPr>
            </w:pPr>
            <w:r>
              <w:rPr>
                <w:rFonts w:hint="eastAsia" w:ascii="宋体" w:hAnsi="宋体" w:eastAsia="宋体" w:cs="宋体"/>
                <w:kern w:val="0"/>
                <w:highlight w:val="none"/>
              </w:rPr>
              <w:t>不符合第二章投标人须知前附表第3.7.5项要求的，技术方案得0分。</w:t>
            </w:r>
          </w:p>
        </w:tc>
      </w:tr>
      <w:tr w14:paraId="3AA0D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7" w:hRule="atLeast"/>
          <w:jc w:val="center"/>
        </w:trPr>
        <w:tc>
          <w:tcPr>
            <w:tcW w:w="880" w:type="dxa"/>
            <w:vMerge w:val="continue"/>
            <w:vAlign w:val="center"/>
          </w:tcPr>
          <w:p w14:paraId="6B293F95">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highlight w:val="none"/>
              </w:rPr>
            </w:pPr>
          </w:p>
        </w:tc>
        <w:tc>
          <w:tcPr>
            <w:tcW w:w="1599" w:type="dxa"/>
            <w:vMerge w:val="continue"/>
            <w:vAlign w:val="center"/>
          </w:tcPr>
          <w:p w14:paraId="2215F44D">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highlight w:val="none"/>
              </w:rPr>
            </w:pPr>
          </w:p>
        </w:tc>
        <w:tc>
          <w:tcPr>
            <w:tcW w:w="2355" w:type="dxa"/>
            <w:gridSpan w:val="2"/>
            <w:vAlign w:val="center"/>
          </w:tcPr>
          <w:p w14:paraId="56E87DE0">
            <w:pPr>
              <w:keepNext w:val="0"/>
              <w:keepLines w:val="0"/>
              <w:numPr>
                <w:ilvl w:val="0"/>
                <w:numId w:val="0"/>
              </w:numPr>
              <w:suppressLineNumbers w:val="0"/>
              <w:adjustRightInd w:val="0"/>
              <w:snapToGrid w:val="0"/>
              <w:spacing w:before="0" w:beforeAutospacing="0" w:after="0" w:afterLines="0" w:afterAutospacing="0" w:line="400" w:lineRule="exact"/>
              <w:ind w:left="0" w:leftChars="0" w:right="0" w:firstLine="0" w:firstLineChars="0"/>
              <w:jc w:val="center"/>
              <w:rPr>
                <w:rFonts w:hint="eastAsia" w:ascii="宋体" w:hAnsi="宋体" w:eastAsia="宋体" w:cs="宋体"/>
                <w:color w:val="auto"/>
                <w:kern w:val="0"/>
                <w:szCs w:val="21"/>
                <w:highlight w:val="none"/>
                <w:lang w:bidi="ar"/>
              </w:rPr>
            </w:pPr>
            <w:r>
              <w:rPr>
                <w:rFonts w:hint="eastAsia" w:ascii="宋体" w:hAnsi="宋体" w:cs="宋体"/>
                <w:color w:val="auto"/>
                <w:kern w:val="0"/>
                <w:highlight w:val="none"/>
              </w:rPr>
              <w:t>深化设计方案（5分）</w:t>
            </w:r>
          </w:p>
        </w:tc>
        <w:tc>
          <w:tcPr>
            <w:tcW w:w="5048" w:type="dxa"/>
            <w:vMerge w:val="restart"/>
            <w:vAlign w:val="center"/>
          </w:tcPr>
          <w:p w14:paraId="6590A62B">
            <w:pPr>
              <w:keepNext w:val="0"/>
              <w:keepLines w:val="0"/>
              <w:suppressLineNumbers w:val="0"/>
              <w:autoSpaceDE w:val="0"/>
              <w:autoSpaceDN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评标委员会按第2.2.2（1）目各评审因素设定的分值评分。</w:t>
            </w:r>
          </w:p>
          <w:p w14:paraId="3CD28FD1">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评标委员会成员为5人及以上时，所有评委</w:t>
            </w:r>
            <w:r>
              <w:rPr>
                <w:rFonts w:hint="eastAsia" w:ascii="宋体" w:hAnsi="宋体" w:eastAsia="宋体" w:cs="宋体"/>
                <w:snapToGrid w:val="0"/>
                <w:color w:val="auto"/>
                <w:kern w:val="0"/>
                <w:szCs w:val="21"/>
                <w:highlight w:val="none"/>
                <w:lang w:eastAsia="zh-CN"/>
              </w:rPr>
              <w:t>评分</w:t>
            </w:r>
            <w:r>
              <w:rPr>
                <w:rFonts w:hint="eastAsia" w:ascii="宋体" w:hAnsi="宋体" w:eastAsia="宋体" w:cs="宋体"/>
                <w:snapToGrid w:val="0"/>
                <w:color w:val="auto"/>
                <w:kern w:val="0"/>
                <w:szCs w:val="21"/>
                <w:highlight w:val="none"/>
              </w:rPr>
              <w:t>取算术平均值为该投标人技术方案得分。</w:t>
            </w:r>
          </w:p>
          <w:p w14:paraId="5E8F174F">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技术方案得分的最终结果取小数点后两位，第三位四舍五入。</w:t>
            </w:r>
          </w:p>
        </w:tc>
      </w:tr>
      <w:tr w14:paraId="79244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7" w:hRule="atLeast"/>
          <w:jc w:val="center"/>
        </w:trPr>
        <w:tc>
          <w:tcPr>
            <w:tcW w:w="880" w:type="dxa"/>
            <w:vMerge w:val="continue"/>
            <w:vAlign w:val="center"/>
          </w:tcPr>
          <w:p w14:paraId="11146671">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highlight w:val="none"/>
              </w:rPr>
            </w:pPr>
          </w:p>
        </w:tc>
        <w:tc>
          <w:tcPr>
            <w:tcW w:w="1599" w:type="dxa"/>
            <w:vMerge w:val="continue"/>
            <w:vAlign w:val="center"/>
          </w:tcPr>
          <w:p w14:paraId="594ECDC8">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highlight w:val="none"/>
              </w:rPr>
            </w:pPr>
          </w:p>
        </w:tc>
        <w:tc>
          <w:tcPr>
            <w:tcW w:w="2355" w:type="dxa"/>
            <w:gridSpan w:val="2"/>
            <w:vAlign w:val="center"/>
          </w:tcPr>
          <w:p w14:paraId="6A2755BE">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highlight w:val="none"/>
                <w:lang w:val="en-US" w:eastAsia="zh-CN"/>
              </w:rPr>
            </w:pPr>
            <w:r>
              <w:rPr>
                <w:rFonts w:hint="eastAsia" w:ascii="宋体" w:hAnsi="宋体" w:eastAsia="宋体" w:cs="宋体"/>
                <w:color w:val="auto"/>
                <w:kern w:val="0"/>
                <w:sz w:val="21"/>
                <w:szCs w:val="24"/>
                <w:highlight w:val="none"/>
              </w:rPr>
              <w:t>施工组织设计（15分）</w:t>
            </w:r>
          </w:p>
        </w:tc>
        <w:tc>
          <w:tcPr>
            <w:tcW w:w="5048" w:type="dxa"/>
            <w:vMerge w:val="continue"/>
            <w:vAlign w:val="center"/>
          </w:tcPr>
          <w:p w14:paraId="0AB5F87B">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kern w:val="0"/>
                <w:szCs w:val="21"/>
                <w:highlight w:val="none"/>
              </w:rPr>
            </w:pPr>
          </w:p>
        </w:tc>
      </w:tr>
      <w:tr w14:paraId="73D35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left w:val="single" w:color="auto" w:sz="4" w:space="0"/>
              <w:bottom w:val="single" w:color="auto" w:sz="4" w:space="0"/>
              <w:right w:val="single" w:color="auto" w:sz="4" w:space="0"/>
            </w:tcBorders>
            <w:vAlign w:val="center"/>
          </w:tcPr>
          <w:p w14:paraId="1A90C58A">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highlight w:val="none"/>
              </w:rPr>
            </w:pPr>
            <w:r>
              <w:rPr>
                <w:rFonts w:hint="eastAsia" w:ascii="宋体" w:hAnsi="宋体" w:eastAsia="宋体" w:cs="宋体"/>
                <w:color w:val="auto"/>
                <w:highlight w:val="none"/>
              </w:rPr>
              <w:t>3.2.1（2）</w:t>
            </w:r>
          </w:p>
        </w:tc>
        <w:tc>
          <w:tcPr>
            <w:tcW w:w="1599" w:type="dxa"/>
            <w:tcBorders>
              <w:left w:val="single" w:color="auto" w:sz="4" w:space="0"/>
              <w:bottom w:val="single" w:color="auto" w:sz="4" w:space="0"/>
              <w:right w:val="single" w:color="auto" w:sz="4" w:space="0"/>
            </w:tcBorders>
            <w:vAlign w:val="center"/>
          </w:tcPr>
          <w:p w14:paraId="7810E040">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highlight w:val="none"/>
              </w:rPr>
            </w:pPr>
            <w:r>
              <w:rPr>
                <w:rFonts w:hint="eastAsia" w:ascii="宋体" w:hAnsi="宋体" w:eastAsia="宋体" w:cs="宋体"/>
                <w:color w:val="auto"/>
                <w:highlight w:val="none"/>
              </w:rPr>
              <w:t>商务部分得分（B）</w:t>
            </w:r>
          </w:p>
        </w:tc>
        <w:tc>
          <w:tcPr>
            <w:tcW w:w="2355" w:type="dxa"/>
            <w:gridSpan w:val="2"/>
            <w:tcBorders>
              <w:top w:val="single" w:color="auto" w:sz="4" w:space="0"/>
              <w:left w:val="single" w:color="auto" w:sz="4" w:space="0"/>
              <w:bottom w:val="single" w:color="auto" w:sz="4" w:space="0"/>
              <w:right w:val="single" w:color="auto" w:sz="4" w:space="0"/>
            </w:tcBorders>
            <w:vAlign w:val="center"/>
          </w:tcPr>
          <w:p w14:paraId="30A60EF9">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highlight w:val="none"/>
              </w:rPr>
            </w:pPr>
            <w:r>
              <w:rPr>
                <w:rFonts w:hint="eastAsia" w:ascii="宋体" w:hAnsi="宋体" w:eastAsia="宋体" w:cs="宋体"/>
                <w:color w:val="auto"/>
                <w:highlight w:val="none"/>
              </w:rPr>
              <w:t>评标标准详见</w:t>
            </w:r>
          </w:p>
          <w:p w14:paraId="0D1330C8">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highlight w:val="none"/>
              </w:rPr>
            </w:pPr>
            <w:r>
              <w:rPr>
                <w:rFonts w:hint="eastAsia" w:ascii="宋体" w:hAnsi="宋体" w:eastAsia="宋体" w:cs="宋体"/>
                <w:color w:val="auto"/>
                <w:highlight w:val="none"/>
              </w:rPr>
              <w:t>2.2.2（2）</w:t>
            </w:r>
          </w:p>
        </w:tc>
        <w:tc>
          <w:tcPr>
            <w:tcW w:w="5048" w:type="dxa"/>
            <w:tcBorders>
              <w:left w:val="single" w:color="auto" w:sz="4" w:space="0"/>
              <w:bottom w:val="single" w:color="auto" w:sz="4" w:space="0"/>
              <w:right w:val="single" w:color="auto" w:sz="4" w:space="0"/>
            </w:tcBorders>
            <w:vAlign w:val="top"/>
          </w:tcPr>
          <w:p w14:paraId="254C7ED2">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商务部分评分为客观评分，评标委员会按第2.2.2（2）目各评审因素设定的分值统一进行评分。商务评分的最终结果取小数点后两位，第三位四舍五入。</w:t>
            </w:r>
          </w:p>
        </w:tc>
      </w:tr>
      <w:tr w14:paraId="2FF1A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left w:val="single" w:color="auto" w:sz="4" w:space="0"/>
              <w:bottom w:val="single" w:color="auto" w:sz="4" w:space="0"/>
              <w:right w:val="single" w:color="auto" w:sz="4" w:space="0"/>
            </w:tcBorders>
            <w:vAlign w:val="center"/>
          </w:tcPr>
          <w:p w14:paraId="542D45B1">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highlight w:val="none"/>
              </w:rPr>
            </w:pPr>
            <w:r>
              <w:rPr>
                <w:rFonts w:hint="eastAsia" w:ascii="宋体" w:hAnsi="宋体" w:eastAsia="宋体" w:cs="宋体"/>
                <w:color w:val="auto"/>
                <w:highlight w:val="none"/>
              </w:rPr>
              <w:t>3.2.1（3）</w:t>
            </w:r>
          </w:p>
        </w:tc>
        <w:tc>
          <w:tcPr>
            <w:tcW w:w="1599" w:type="dxa"/>
            <w:tcBorders>
              <w:left w:val="single" w:color="auto" w:sz="4" w:space="0"/>
              <w:bottom w:val="single" w:color="auto" w:sz="4" w:space="0"/>
              <w:right w:val="single" w:color="auto" w:sz="4" w:space="0"/>
            </w:tcBorders>
            <w:vAlign w:val="center"/>
          </w:tcPr>
          <w:p w14:paraId="7B5E03B0">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highlight w:val="none"/>
              </w:rPr>
            </w:pPr>
            <w:r>
              <w:rPr>
                <w:rFonts w:hint="eastAsia" w:ascii="宋体" w:hAnsi="宋体" w:eastAsia="宋体" w:cs="宋体"/>
                <w:color w:val="auto"/>
                <w:highlight w:val="none"/>
              </w:rPr>
              <w:t>投标报价</w:t>
            </w:r>
            <w:r>
              <w:rPr>
                <w:rFonts w:hint="eastAsia" w:ascii="宋体" w:hAnsi="宋体" w:eastAsia="宋体" w:cs="宋体"/>
                <w:color w:val="auto"/>
                <w:kern w:val="0"/>
                <w:highlight w:val="none"/>
              </w:rPr>
              <w:t>得分</w:t>
            </w:r>
            <w:r>
              <w:rPr>
                <w:rFonts w:hint="eastAsia" w:ascii="宋体" w:hAnsi="宋体" w:eastAsia="宋体" w:cs="宋体"/>
                <w:color w:val="auto"/>
                <w:spacing w:val="-8"/>
                <w:highlight w:val="none"/>
              </w:rPr>
              <w:t>（C）</w:t>
            </w:r>
          </w:p>
        </w:tc>
        <w:tc>
          <w:tcPr>
            <w:tcW w:w="2355" w:type="dxa"/>
            <w:gridSpan w:val="2"/>
            <w:tcBorders>
              <w:top w:val="single" w:color="auto" w:sz="4" w:space="0"/>
              <w:left w:val="single" w:color="auto" w:sz="4" w:space="0"/>
              <w:bottom w:val="single" w:color="auto" w:sz="4" w:space="0"/>
              <w:right w:val="single" w:color="auto" w:sz="4" w:space="0"/>
            </w:tcBorders>
            <w:vAlign w:val="center"/>
          </w:tcPr>
          <w:p w14:paraId="048347C5">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kern w:val="0"/>
                <w:highlight w:val="none"/>
              </w:rPr>
            </w:pPr>
            <w:r>
              <w:rPr>
                <w:rFonts w:hint="eastAsia" w:ascii="宋体" w:hAnsi="宋体" w:eastAsia="宋体" w:cs="宋体"/>
                <w:color w:val="auto"/>
                <w:highlight w:val="none"/>
              </w:rPr>
              <w:t>投标总报价</w:t>
            </w:r>
          </w:p>
        </w:tc>
        <w:tc>
          <w:tcPr>
            <w:tcW w:w="5048" w:type="dxa"/>
            <w:tcBorders>
              <w:left w:val="single" w:color="auto" w:sz="4" w:space="0"/>
              <w:bottom w:val="single" w:color="auto" w:sz="4" w:space="0"/>
              <w:right w:val="single" w:color="auto" w:sz="4" w:space="0"/>
            </w:tcBorders>
            <w:vAlign w:val="top"/>
          </w:tcPr>
          <w:p w14:paraId="6F290E07">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所有通过初步评审和本章第2.2.2（3）目评审合格的投标人</w:t>
            </w:r>
            <w:r>
              <w:rPr>
                <w:rFonts w:hint="eastAsia" w:ascii="宋体" w:hAnsi="宋体" w:eastAsia="宋体" w:cs="宋体"/>
                <w:color w:val="auto"/>
                <w:szCs w:val="21"/>
                <w:highlight w:val="none"/>
              </w:rPr>
              <w:t>的投标总报</w:t>
            </w:r>
            <w:r>
              <w:rPr>
                <w:rFonts w:hint="eastAsia" w:ascii="宋体" w:hAnsi="宋体" w:eastAsia="宋体" w:cs="宋体"/>
                <w:color w:val="auto"/>
                <w:kern w:val="0"/>
                <w:szCs w:val="21"/>
                <w:highlight w:val="none"/>
              </w:rPr>
              <w:t>价</w:t>
            </w:r>
            <w:r>
              <w:rPr>
                <w:rFonts w:hint="eastAsia" w:ascii="宋体" w:hAnsi="宋体" w:eastAsia="宋体" w:cs="宋体"/>
                <w:color w:val="auto"/>
                <w:szCs w:val="21"/>
                <w:highlight w:val="none"/>
              </w:rPr>
              <w:t>得</w:t>
            </w:r>
            <w:r>
              <w:rPr>
                <w:rFonts w:hint="eastAsia" w:ascii="宋体" w:hAnsi="宋体" w:eastAsia="宋体" w:cs="宋体"/>
                <w:bCs/>
                <w:color w:val="auto"/>
                <w:szCs w:val="28"/>
                <w:highlight w:val="none"/>
              </w:rPr>
              <w:t>本附表第2.2.1项规定分值的满分</w:t>
            </w:r>
            <w:r>
              <w:rPr>
                <w:rFonts w:hint="eastAsia" w:ascii="宋体" w:hAnsi="宋体" w:eastAsia="宋体" w:cs="宋体"/>
                <w:bCs/>
                <w:color w:val="auto"/>
                <w:szCs w:val="28"/>
                <w:highlight w:val="none"/>
                <w:u w:val="single"/>
                <w:lang w:val="en-US" w:eastAsia="zh-CN"/>
              </w:rPr>
              <w:t>70</w:t>
            </w:r>
            <w:r>
              <w:rPr>
                <w:rFonts w:hint="eastAsia" w:ascii="宋体" w:hAnsi="宋体" w:eastAsia="宋体" w:cs="宋体"/>
                <w:color w:val="auto"/>
                <w:szCs w:val="21"/>
                <w:highlight w:val="none"/>
              </w:rPr>
              <w:t>分。在此基础上，投标总报价与评标基准价相比，每增加1%扣</w:t>
            </w:r>
            <w:r>
              <w:rPr>
                <w:rFonts w:hint="eastAsia" w:ascii="宋体" w:hAnsi="宋体" w:eastAsia="宋体" w:cs="宋体"/>
                <w:color w:val="auto"/>
                <w:szCs w:val="21"/>
                <w:highlight w:val="none"/>
                <w:u w:val="single"/>
                <w:lang w:val="en-US" w:eastAsia="zh-CN"/>
              </w:rPr>
              <w:t>0.5</w:t>
            </w:r>
            <w:r>
              <w:rPr>
                <w:rFonts w:hint="eastAsia" w:ascii="宋体" w:hAnsi="宋体" w:eastAsia="宋体" w:cs="宋体"/>
                <w:color w:val="auto"/>
                <w:szCs w:val="21"/>
                <w:highlight w:val="none"/>
              </w:rPr>
              <w:t>分，每减少1%扣</w:t>
            </w:r>
            <w:r>
              <w:rPr>
                <w:rFonts w:hint="eastAsia" w:ascii="宋体" w:hAnsi="宋体" w:eastAsia="宋体" w:cs="宋体"/>
                <w:color w:val="auto"/>
                <w:szCs w:val="21"/>
                <w:highlight w:val="none"/>
                <w:u w:val="single"/>
                <w:lang w:val="en-US" w:eastAsia="zh-CN"/>
              </w:rPr>
              <w:t>0.</w:t>
            </w:r>
            <w:r>
              <w:rPr>
                <w:rFonts w:hint="eastAsia" w:ascii="宋体" w:hAnsi="宋体" w:cs="宋体"/>
                <w:color w:val="auto"/>
                <w:szCs w:val="21"/>
                <w:highlight w:val="none"/>
                <w:u w:val="single"/>
                <w:lang w:val="en-US" w:eastAsia="zh-CN"/>
              </w:rPr>
              <w:t>2</w:t>
            </w:r>
            <w:r>
              <w:rPr>
                <w:rFonts w:hint="eastAsia" w:ascii="宋体" w:hAnsi="宋体" w:eastAsia="宋体" w:cs="宋体"/>
                <w:color w:val="auto"/>
                <w:szCs w:val="21"/>
                <w:highlight w:val="none"/>
                <w:u w:val="single"/>
                <w:lang w:val="en-US" w:eastAsia="zh-CN"/>
              </w:rPr>
              <w:t>分</w:t>
            </w:r>
            <w:r>
              <w:rPr>
                <w:rFonts w:hint="eastAsia" w:ascii="宋体" w:hAnsi="宋体" w:eastAsia="宋体" w:cs="宋体"/>
                <w:color w:val="auto"/>
                <w:szCs w:val="21"/>
                <w:highlight w:val="none"/>
              </w:rPr>
              <w:t>，扣完为止。</w:t>
            </w:r>
          </w:p>
          <w:p w14:paraId="4B453331">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按插入法计算得分。</w:t>
            </w:r>
          </w:p>
          <w:p w14:paraId="3608A881">
            <w:pPr>
              <w:keepNext w:val="0"/>
              <w:keepLines w:val="0"/>
              <w:suppressLineNumbers w:val="0"/>
              <w:adjustRightInd w:val="0"/>
              <w:snapToGrid w:val="0"/>
              <w:spacing w:before="0" w:beforeAutospacing="0" w:after="0" w:afterLines="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未参与评标基准价计算的投标报价，仍应参加计算相应分值。</w:t>
            </w:r>
          </w:p>
          <w:p w14:paraId="03FDCC8C">
            <w:pPr>
              <w:keepNext w:val="0"/>
              <w:keepLines w:val="0"/>
              <w:suppressLineNumbers w:val="0"/>
              <w:adjustRightInd w:val="0"/>
              <w:snapToGrid w:val="0"/>
              <w:spacing w:before="0" w:beforeAutospacing="0" w:after="0" w:afterLines="0" w:afterAutospacing="0" w:line="400" w:lineRule="exact"/>
              <w:ind w:left="0" w:right="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投标总报价</w:t>
            </w:r>
            <w:r>
              <w:rPr>
                <w:rFonts w:hint="eastAsia" w:ascii="宋体" w:hAnsi="宋体" w:eastAsia="宋体" w:cs="宋体"/>
                <w:color w:val="auto"/>
                <w:kern w:val="0"/>
                <w:szCs w:val="21"/>
                <w:highlight w:val="none"/>
                <w:lang w:val="en-US" w:eastAsia="zh-CN"/>
              </w:rPr>
              <w:t>得分</w:t>
            </w:r>
            <w:r>
              <w:rPr>
                <w:rFonts w:hint="eastAsia" w:ascii="宋体" w:hAnsi="宋体" w:eastAsia="宋体" w:cs="宋体"/>
                <w:color w:val="auto"/>
                <w:kern w:val="0"/>
                <w:szCs w:val="21"/>
                <w:highlight w:val="none"/>
              </w:rPr>
              <w:t>最终结果取小数点后两位，第三位四舍五入。</w:t>
            </w:r>
          </w:p>
        </w:tc>
      </w:tr>
      <w:tr w14:paraId="6E5D4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left w:val="single" w:color="auto" w:sz="4" w:space="0"/>
              <w:bottom w:val="single" w:color="auto" w:sz="4" w:space="0"/>
              <w:right w:val="single" w:color="auto" w:sz="4" w:space="0"/>
            </w:tcBorders>
            <w:vAlign w:val="center"/>
          </w:tcPr>
          <w:p w14:paraId="5C688D7B">
            <w:pPr>
              <w:keepNext w:val="0"/>
              <w:keepLines w:val="0"/>
              <w:suppressLineNumbers w:val="0"/>
              <w:adjustRightInd w:val="0"/>
              <w:snapToGrid w:val="0"/>
              <w:spacing w:before="0" w:beforeAutospacing="0" w:after="0" w:afterLines="0" w:afterAutospacing="0" w:line="400" w:lineRule="exact"/>
              <w:ind w:left="0" w:right="0" w:firstLine="18" w:firstLineChars="9"/>
              <w:jc w:val="center"/>
              <w:rPr>
                <w:rFonts w:hint="eastAsia" w:ascii="宋体" w:hAnsi="宋体" w:eastAsia="宋体" w:cs="宋体"/>
                <w:color w:val="auto"/>
                <w:highlight w:val="none"/>
              </w:rPr>
            </w:pPr>
            <w:r>
              <w:rPr>
                <w:rFonts w:hint="eastAsia" w:ascii="宋体" w:hAnsi="宋体" w:eastAsia="宋体" w:cs="宋体"/>
                <w:color w:val="auto"/>
                <w:szCs w:val="21"/>
                <w:highlight w:val="none"/>
              </w:rPr>
              <w:t>3.2.3</w:t>
            </w:r>
          </w:p>
        </w:tc>
        <w:tc>
          <w:tcPr>
            <w:tcW w:w="1599" w:type="dxa"/>
            <w:tcBorders>
              <w:left w:val="single" w:color="auto" w:sz="4" w:space="0"/>
              <w:bottom w:val="single" w:color="auto" w:sz="4" w:space="0"/>
              <w:right w:val="single" w:color="auto" w:sz="4" w:space="0"/>
            </w:tcBorders>
            <w:vAlign w:val="center"/>
          </w:tcPr>
          <w:p w14:paraId="22F9CC4B">
            <w:pPr>
              <w:keepNext w:val="0"/>
              <w:keepLines w:val="0"/>
              <w:suppressLineNumbers w:val="0"/>
              <w:adjustRightInd w:val="0"/>
              <w:snapToGrid w:val="0"/>
              <w:spacing w:before="0" w:beforeAutospacing="0" w:after="0" w:afterLines="0" w:afterAutospacing="0" w:line="400" w:lineRule="exact"/>
              <w:ind w:left="0" w:right="0"/>
              <w:jc w:val="center"/>
              <w:rPr>
                <w:rFonts w:hint="eastAsia" w:ascii="宋体" w:hAnsi="宋体" w:eastAsia="宋体" w:cs="宋体"/>
                <w:color w:val="auto"/>
                <w:highlight w:val="none"/>
              </w:rPr>
            </w:pPr>
            <w:r>
              <w:rPr>
                <w:rFonts w:hint="eastAsia" w:ascii="宋体" w:hAnsi="宋体" w:eastAsia="宋体" w:cs="宋体"/>
                <w:color w:val="auto"/>
                <w:szCs w:val="21"/>
                <w:highlight w:val="none"/>
              </w:rPr>
              <w:t>投标人得分</w:t>
            </w:r>
          </w:p>
        </w:tc>
        <w:tc>
          <w:tcPr>
            <w:tcW w:w="7403" w:type="dxa"/>
            <w:gridSpan w:val="3"/>
            <w:tcBorders>
              <w:left w:val="single" w:color="auto" w:sz="4" w:space="0"/>
              <w:bottom w:val="single" w:color="auto" w:sz="4" w:space="0"/>
              <w:right w:val="single" w:color="auto" w:sz="4" w:space="0"/>
            </w:tcBorders>
            <w:vAlign w:val="center"/>
          </w:tcPr>
          <w:p w14:paraId="081DA9DA">
            <w:pPr>
              <w:keepNext w:val="0"/>
              <w:keepLines w:val="0"/>
              <w:suppressLineNumbers w:val="0"/>
              <w:adjustRightInd w:val="0"/>
              <w:snapToGrid w:val="0"/>
              <w:spacing w:before="0" w:beforeAutospacing="0" w:after="0" w:afterLines="0" w:afterAutospacing="0" w:line="400" w:lineRule="exact"/>
              <w:ind w:left="0" w:right="0" w:firstLine="18" w:firstLineChars="9"/>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投标人得分=A+B+C</w:t>
            </w:r>
          </w:p>
        </w:tc>
      </w:tr>
    </w:tbl>
    <w:p w14:paraId="36745DCA">
      <w:pPr>
        <w:pStyle w:val="4"/>
        <w:spacing w:before="0" w:after="0" w:line="360" w:lineRule="auto"/>
        <w:rPr>
          <w:rFonts w:hint="eastAsia" w:ascii="宋体" w:hAnsi="宋体" w:eastAsia="宋体" w:cs="宋体"/>
          <w:b w:val="0"/>
          <w:snapToGrid w:val="0"/>
          <w:color w:val="auto"/>
          <w:highlight w:val="none"/>
        </w:rPr>
      </w:pPr>
      <w:bookmarkStart w:id="172" w:name="_Toc33106452"/>
      <w:r>
        <w:rPr>
          <w:rFonts w:hint="eastAsia" w:ascii="宋体" w:hAnsi="宋体" w:eastAsia="宋体" w:cs="宋体"/>
          <w:b w:val="0"/>
          <w:snapToGrid w:val="0"/>
          <w:color w:val="auto"/>
          <w:highlight w:val="none"/>
        </w:rPr>
        <w:br w:type="page"/>
      </w:r>
      <w:bookmarkStart w:id="173" w:name="_Toc26527"/>
      <w:r>
        <w:rPr>
          <w:rFonts w:hint="eastAsia" w:ascii="宋体" w:hAnsi="宋体" w:eastAsia="宋体" w:cs="宋体"/>
          <w:color w:val="auto"/>
          <w:sz w:val="28"/>
          <w:szCs w:val="28"/>
          <w:highlight w:val="none"/>
        </w:rPr>
        <w:t>1. 评标方法</w:t>
      </w:r>
      <w:bookmarkEnd w:id="172"/>
      <w:bookmarkEnd w:id="173"/>
    </w:p>
    <w:p w14:paraId="6A1024B7">
      <w:pPr>
        <w:autoSpaceDE w:val="0"/>
        <w:autoSpaceDN w:val="0"/>
        <w:adjustRightInd w:val="0"/>
        <w:snapToGrid w:val="0"/>
        <w:spacing w:line="36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本次评标采用</w:t>
      </w:r>
      <w:r>
        <w:rPr>
          <w:rFonts w:hint="eastAsia" w:ascii="宋体" w:hAnsi="宋体" w:cs="宋体"/>
          <w:color w:val="auto"/>
          <w:kern w:val="0"/>
          <w:szCs w:val="21"/>
          <w:highlight w:val="none"/>
          <w:lang w:eastAsia="zh-CN"/>
        </w:rPr>
        <w:t>综合评估</w:t>
      </w:r>
      <w:r>
        <w:rPr>
          <w:rFonts w:hint="eastAsia" w:ascii="宋体" w:hAnsi="宋体" w:eastAsia="宋体" w:cs="宋体"/>
          <w:color w:val="auto"/>
          <w:kern w:val="0"/>
          <w:szCs w:val="21"/>
          <w:highlight w:val="none"/>
        </w:rPr>
        <w:t>法</w:t>
      </w:r>
      <w:r>
        <w:rPr>
          <w:rFonts w:hint="eastAsia" w:ascii="宋体" w:hAnsi="宋体" w:eastAsia="宋体" w:cs="宋体"/>
          <w:color w:val="auto"/>
          <w:spacing w:val="-47"/>
          <w:kern w:val="0"/>
          <w:szCs w:val="21"/>
          <w:highlight w:val="none"/>
        </w:rPr>
        <w:t>。</w:t>
      </w:r>
      <w:r>
        <w:rPr>
          <w:rFonts w:hint="eastAsia" w:ascii="宋体" w:hAnsi="宋体" w:eastAsia="宋体" w:cs="宋体"/>
          <w:color w:val="auto"/>
          <w:kern w:val="0"/>
          <w:szCs w:val="21"/>
          <w:highlight w:val="none"/>
        </w:rPr>
        <w:t xml:space="preserve">评标委员会按照本章第 </w:t>
      </w:r>
      <w:r>
        <w:rPr>
          <w:rFonts w:hint="eastAsia" w:ascii="宋体" w:hAnsi="宋体" w:eastAsia="宋体" w:cs="宋体"/>
          <w:color w:val="auto"/>
          <w:spacing w:val="1"/>
          <w:kern w:val="0"/>
          <w:szCs w:val="21"/>
          <w:highlight w:val="none"/>
        </w:rPr>
        <w:t>2</w:t>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rPr>
        <w:t>2</w:t>
      </w:r>
      <w:r>
        <w:rPr>
          <w:rFonts w:hint="eastAsia" w:ascii="宋体" w:hAnsi="宋体" w:eastAsia="宋体" w:cs="宋体"/>
          <w:color w:val="auto"/>
          <w:spacing w:val="1"/>
          <w:kern w:val="0"/>
          <w:szCs w:val="21"/>
          <w:highlight w:val="none"/>
        </w:rPr>
        <w:t xml:space="preserve"> </w:t>
      </w:r>
      <w:r>
        <w:rPr>
          <w:rFonts w:hint="eastAsia" w:ascii="宋体" w:hAnsi="宋体" w:eastAsia="宋体" w:cs="宋体"/>
          <w:color w:val="auto"/>
          <w:kern w:val="0"/>
          <w:szCs w:val="21"/>
          <w:highlight w:val="none"/>
        </w:rPr>
        <w:t>款</w:t>
      </w:r>
      <w:r>
        <w:rPr>
          <w:rFonts w:hint="eastAsia" w:ascii="宋体" w:hAnsi="宋体" w:eastAsia="宋体" w:cs="宋体"/>
          <w:color w:val="auto"/>
          <w:spacing w:val="-1"/>
          <w:kern w:val="0"/>
          <w:szCs w:val="21"/>
          <w:highlight w:val="none"/>
        </w:rPr>
        <w:t>规</w:t>
      </w:r>
      <w:r>
        <w:rPr>
          <w:rFonts w:hint="eastAsia" w:ascii="宋体" w:hAnsi="宋体" w:eastAsia="宋体" w:cs="宋体"/>
          <w:color w:val="auto"/>
          <w:kern w:val="0"/>
          <w:szCs w:val="21"/>
          <w:highlight w:val="none"/>
        </w:rPr>
        <w:t>定的评分标准进行</w:t>
      </w:r>
      <w:r>
        <w:rPr>
          <w:rFonts w:hint="eastAsia" w:ascii="宋体" w:hAnsi="宋体" w:eastAsia="宋体" w:cs="宋体"/>
          <w:color w:val="auto"/>
          <w:kern w:val="0"/>
          <w:szCs w:val="21"/>
          <w:highlight w:val="none"/>
          <w:lang w:eastAsia="zh-CN"/>
        </w:rPr>
        <w:t>评分</w:t>
      </w:r>
      <w:r>
        <w:rPr>
          <w:rFonts w:hint="eastAsia" w:ascii="宋体" w:hAnsi="宋体" w:eastAsia="宋体" w:cs="宋体"/>
          <w:color w:val="auto"/>
          <w:kern w:val="0"/>
          <w:szCs w:val="21"/>
          <w:highlight w:val="none"/>
        </w:rPr>
        <w:t>，按得分由高到低顺序推荐中标候选人</w:t>
      </w:r>
      <w:r>
        <w:rPr>
          <w:rFonts w:hint="eastAsia" w:ascii="宋体" w:hAnsi="宋体" w:eastAsia="宋体" w:cs="宋体"/>
          <w:color w:val="auto"/>
          <w:spacing w:val="-20"/>
          <w:kern w:val="0"/>
          <w:szCs w:val="21"/>
          <w:highlight w:val="none"/>
        </w:rPr>
        <w:t>，</w:t>
      </w:r>
      <w:r>
        <w:rPr>
          <w:rFonts w:hint="eastAsia" w:ascii="宋体" w:hAnsi="宋体" w:eastAsia="宋体" w:cs="宋体"/>
          <w:color w:val="auto"/>
          <w:kern w:val="0"/>
          <w:szCs w:val="21"/>
          <w:highlight w:val="none"/>
        </w:rPr>
        <w:t>或根据招标人授权直接确定中标人，若出现投标人投标报价相同的，以评标办法前附表约定的原则确定排序</w:t>
      </w:r>
      <w:r>
        <w:rPr>
          <w:rFonts w:hint="eastAsia" w:ascii="宋体" w:hAnsi="宋体" w:eastAsia="宋体" w:cs="宋体"/>
          <w:color w:val="auto"/>
          <w:spacing w:val="-31"/>
          <w:kern w:val="0"/>
          <w:szCs w:val="21"/>
          <w:highlight w:val="none"/>
        </w:rPr>
        <w:t>。</w:t>
      </w:r>
    </w:p>
    <w:p w14:paraId="56E50DFB">
      <w:pPr>
        <w:pStyle w:val="4"/>
        <w:spacing w:before="0" w:after="0" w:line="360" w:lineRule="auto"/>
        <w:rPr>
          <w:rFonts w:hint="eastAsia" w:ascii="宋体" w:hAnsi="宋体" w:eastAsia="宋体" w:cs="宋体"/>
          <w:color w:val="auto"/>
          <w:sz w:val="28"/>
          <w:szCs w:val="28"/>
          <w:highlight w:val="none"/>
        </w:rPr>
      </w:pPr>
      <w:bookmarkStart w:id="174" w:name="_Toc430530501"/>
      <w:bookmarkStart w:id="175" w:name="_Toc29235"/>
      <w:bookmarkStart w:id="176" w:name="_Toc509218777"/>
      <w:bookmarkStart w:id="177" w:name="_Toc200513199"/>
      <w:bookmarkStart w:id="178" w:name="_Toc33106453"/>
      <w:bookmarkStart w:id="179" w:name="_Toc224103385"/>
      <w:bookmarkStart w:id="180" w:name="_Toc287607813"/>
      <w:bookmarkStart w:id="181" w:name="_Toc287620752"/>
      <w:bookmarkStart w:id="182" w:name="_Toc277082619"/>
      <w:r>
        <w:rPr>
          <w:rFonts w:hint="eastAsia" w:ascii="宋体" w:hAnsi="宋体" w:eastAsia="宋体" w:cs="宋体"/>
          <w:color w:val="auto"/>
          <w:sz w:val="28"/>
          <w:szCs w:val="28"/>
          <w:highlight w:val="none"/>
        </w:rPr>
        <w:t>2. 评审标准</w:t>
      </w:r>
      <w:bookmarkEnd w:id="174"/>
      <w:bookmarkEnd w:id="175"/>
      <w:bookmarkEnd w:id="176"/>
      <w:bookmarkEnd w:id="177"/>
      <w:bookmarkEnd w:id="178"/>
      <w:bookmarkEnd w:id="179"/>
      <w:bookmarkEnd w:id="180"/>
      <w:bookmarkEnd w:id="181"/>
      <w:bookmarkEnd w:id="182"/>
    </w:p>
    <w:p w14:paraId="65882B66">
      <w:pPr>
        <w:pStyle w:val="5"/>
        <w:spacing w:before="0" w:after="0" w:line="360" w:lineRule="auto"/>
        <w:rPr>
          <w:rFonts w:hint="eastAsia" w:ascii="宋体" w:hAnsi="宋体" w:eastAsia="宋体" w:cs="宋体"/>
          <w:color w:val="auto"/>
          <w:sz w:val="21"/>
          <w:szCs w:val="21"/>
          <w:highlight w:val="none"/>
        </w:rPr>
      </w:pPr>
      <w:bookmarkStart w:id="183" w:name="_Toc287620753"/>
      <w:bookmarkStart w:id="184" w:name="_Toc430530502"/>
      <w:bookmarkStart w:id="185" w:name="_Toc509218778"/>
      <w:bookmarkStart w:id="186" w:name="_Toc33106454"/>
      <w:bookmarkStart w:id="187" w:name="_Toc224103386"/>
      <w:bookmarkStart w:id="188" w:name="_Toc287607814"/>
      <w:bookmarkStart w:id="189" w:name="_Toc16025"/>
      <w:bookmarkStart w:id="190" w:name="_Toc200513200"/>
      <w:bookmarkStart w:id="191" w:name="_Toc277082620"/>
      <w:r>
        <w:rPr>
          <w:rFonts w:hint="eastAsia" w:ascii="宋体" w:hAnsi="宋体" w:eastAsia="宋体" w:cs="宋体"/>
          <w:color w:val="auto"/>
          <w:sz w:val="21"/>
          <w:szCs w:val="21"/>
          <w:highlight w:val="none"/>
        </w:rPr>
        <w:t>2.1 初步评审标准</w:t>
      </w:r>
      <w:bookmarkEnd w:id="183"/>
      <w:bookmarkEnd w:id="184"/>
      <w:bookmarkEnd w:id="185"/>
      <w:bookmarkEnd w:id="186"/>
      <w:bookmarkEnd w:id="187"/>
      <w:bookmarkEnd w:id="188"/>
      <w:bookmarkEnd w:id="189"/>
      <w:bookmarkEnd w:id="190"/>
      <w:bookmarkEnd w:id="191"/>
    </w:p>
    <w:p w14:paraId="2A4F6583">
      <w:pPr>
        <w:autoSpaceDE w:val="0"/>
        <w:autoSpaceDN w:val="0"/>
        <w:adjustRightInd w:val="0"/>
        <w:snapToGrid w:val="0"/>
        <w:spacing w:line="360" w:lineRule="auto"/>
        <w:ind w:firstLine="535" w:firstLineChars="255"/>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2.1.1A 资格评审标准：见评标办法前附表（适用于未进行资格预审的）。</w:t>
      </w:r>
    </w:p>
    <w:p w14:paraId="356834BC">
      <w:pPr>
        <w:autoSpaceDE w:val="0"/>
        <w:autoSpaceDN w:val="0"/>
        <w:adjustRightInd w:val="0"/>
        <w:snapToGrid w:val="0"/>
        <w:spacing w:line="360" w:lineRule="auto"/>
        <w:ind w:firstLine="535" w:firstLineChars="255"/>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2.1.1B 资格评审标准：见资格预审文件第三章“资格审查办法”详细审查标准（适用于已进行资格预审的）。</w:t>
      </w:r>
    </w:p>
    <w:p w14:paraId="01F64C19">
      <w:pPr>
        <w:autoSpaceDE w:val="0"/>
        <w:autoSpaceDN w:val="0"/>
        <w:adjustRightInd w:val="0"/>
        <w:snapToGrid w:val="0"/>
        <w:spacing w:line="360" w:lineRule="auto"/>
        <w:ind w:firstLine="535" w:firstLineChars="255"/>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2.1.2 形式评审标准：见评标办法前附表。</w:t>
      </w:r>
    </w:p>
    <w:p w14:paraId="4DF3162D">
      <w:pPr>
        <w:autoSpaceDE w:val="0"/>
        <w:autoSpaceDN w:val="0"/>
        <w:adjustRightInd w:val="0"/>
        <w:snapToGrid w:val="0"/>
        <w:spacing w:line="360" w:lineRule="auto"/>
        <w:ind w:firstLine="535" w:firstLineChars="255"/>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2.1.3 响应性评审标准：见评标办法前附表。</w:t>
      </w:r>
    </w:p>
    <w:p w14:paraId="3B4547D6">
      <w:pPr>
        <w:pStyle w:val="5"/>
        <w:spacing w:before="0" w:after="0" w:line="360" w:lineRule="auto"/>
        <w:rPr>
          <w:rFonts w:hint="eastAsia" w:ascii="宋体" w:hAnsi="宋体" w:eastAsia="宋体" w:cs="宋体"/>
          <w:color w:val="auto"/>
          <w:sz w:val="21"/>
          <w:szCs w:val="21"/>
          <w:highlight w:val="none"/>
        </w:rPr>
      </w:pPr>
      <w:bookmarkStart w:id="192" w:name="_Toc33106455"/>
      <w:bookmarkStart w:id="193" w:name="_Toc287620754"/>
      <w:bookmarkStart w:id="194" w:name="_Toc430530503"/>
      <w:bookmarkStart w:id="195" w:name="_Toc287607815"/>
      <w:bookmarkStart w:id="196" w:name="_Toc277082621"/>
      <w:bookmarkStart w:id="197" w:name="_Toc509218779"/>
      <w:bookmarkStart w:id="198" w:name="_Toc224103387"/>
      <w:bookmarkStart w:id="199" w:name="_Toc200513201"/>
      <w:bookmarkStart w:id="200" w:name="_Toc14771"/>
      <w:r>
        <w:rPr>
          <w:rFonts w:hint="eastAsia" w:ascii="宋体" w:hAnsi="宋体" w:eastAsia="宋体" w:cs="宋体"/>
          <w:color w:val="auto"/>
          <w:sz w:val="21"/>
          <w:szCs w:val="21"/>
          <w:highlight w:val="none"/>
        </w:rPr>
        <w:t>2.2 分值构成与评分标准</w:t>
      </w:r>
      <w:bookmarkEnd w:id="192"/>
      <w:bookmarkEnd w:id="193"/>
      <w:bookmarkEnd w:id="194"/>
      <w:bookmarkEnd w:id="195"/>
      <w:bookmarkEnd w:id="196"/>
      <w:bookmarkEnd w:id="197"/>
      <w:bookmarkEnd w:id="198"/>
      <w:bookmarkEnd w:id="199"/>
      <w:bookmarkEnd w:id="200"/>
    </w:p>
    <w:p w14:paraId="753F161E">
      <w:pPr>
        <w:autoSpaceDE w:val="0"/>
        <w:autoSpaceDN w:val="0"/>
        <w:adjustRightInd w:val="0"/>
        <w:snapToGrid w:val="0"/>
        <w:spacing w:line="360" w:lineRule="auto"/>
        <w:ind w:firstLine="525" w:firstLineChars="25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2.2.1 分值构成</w:t>
      </w:r>
    </w:p>
    <w:p w14:paraId="24312BEB">
      <w:pPr>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1</w:t>
      </w:r>
      <w:r>
        <w:rPr>
          <w:rFonts w:hint="eastAsia" w:ascii="宋体" w:hAnsi="宋体" w:eastAsia="宋体" w:cs="宋体"/>
          <w:color w:val="auto"/>
          <w:kern w:val="0"/>
          <w:szCs w:val="21"/>
          <w:highlight w:val="none"/>
        </w:rPr>
        <w:t>）技术部分：见评标办法前附表；</w:t>
      </w:r>
    </w:p>
    <w:p w14:paraId="00F5DCD0">
      <w:pPr>
        <w:pStyle w:val="2"/>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（2）商务部分：见评标办法前附表；</w:t>
      </w:r>
    </w:p>
    <w:p w14:paraId="22ACE287">
      <w:pPr>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3</w:t>
      </w:r>
      <w:r>
        <w:rPr>
          <w:rFonts w:hint="eastAsia" w:ascii="宋体" w:hAnsi="宋体" w:eastAsia="宋体" w:cs="宋体"/>
          <w:color w:val="auto"/>
          <w:kern w:val="0"/>
          <w:szCs w:val="21"/>
          <w:highlight w:val="none"/>
        </w:rPr>
        <w:t>）投标总</w:t>
      </w:r>
      <w:r>
        <w:rPr>
          <w:rFonts w:hint="eastAsia" w:ascii="宋体" w:hAnsi="宋体" w:eastAsia="宋体" w:cs="宋体"/>
          <w:color w:val="auto"/>
          <w:spacing w:val="-1"/>
          <w:kern w:val="0"/>
          <w:szCs w:val="21"/>
          <w:highlight w:val="none"/>
        </w:rPr>
        <w:t>报</w:t>
      </w:r>
      <w:r>
        <w:rPr>
          <w:rFonts w:hint="eastAsia" w:ascii="宋体" w:hAnsi="宋体" w:eastAsia="宋体" w:cs="宋体"/>
          <w:color w:val="auto"/>
          <w:kern w:val="0"/>
          <w:szCs w:val="21"/>
          <w:highlight w:val="none"/>
        </w:rPr>
        <w:t>价：见评标办法前附表。</w:t>
      </w:r>
    </w:p>
    <w:p w14:paraId="49055A07">
      <w:pPr>
        <w:autoSpaceDE w:val="0"/>
        <w:autoSpaceDN w:val="0"/>
        <w:adjustRightInd w:val="0"/>
        <w:snapToGrid w:val="0"/>
        <w:spacing w:line="360" w:lineRule="auto"/>
        <w:ind w:firstLine="525" w:firstLineChars="25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2.2.2 评审标准</w:t>
      </w:r>
    </w:p>
    <w:p w14:paraId="42930FE4">
      <w:pPr>
        <w:autoSpaceDE w:val="0"/>
        <w:autoSpaceDN w:val="0"/>
        <w:adjustRightInd w:val="0"/>
        <w:snapToGrid w:val="0"/>
        <w:spacing w:line="360" w:lineRule="auto"/>
        <w:ind w:firstLine="525" w:firstLineChars="25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（1）技术部分评分标准：见评标办法前附表；（对于施工难度大、专业技术复杂的项目，应由招标人会同设计单位提出技术方案方案编写要点，作为评分标准）。</w:t>
      </w:r>
    </w:p>
    <w:p w14:paraId="1593E4F3">
      <w:pPr>
        <w:autoSpaceDE w:val="0"/>
        <w:autoSpaceDN w:val="0"/>
        <w:adjustRightInd w:val="0"/>
        <w:snapToGrid w:val="0"/>
        <w:spacing w:line="360" w:lineRule="auto"/>
        <w:ind w:firstLine="535" w:firstLineChars="255"/>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 商务部分评分标准：见评标办法前附表；</w:t>
      </w:r>
    </w:p>
    <w:p w14:paraId="3947D353">
      <w:pPr>
        <w:autoSpaceDE w:val="0"/>
        <w:autoSpaceDN w:val="0"/>
        <w:adjustRightInd w:val="0"/>
        <w:snapToGrid w:val="0"/>
        <w:spacing w:line="360" w:lineRule="auto"/>
        <w:ind w:firstLine="535" w:firstLineChars="255"/>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 投标函部分及经济部分评审标准：见评标办法前附表；</w:t>
      </w:r>
    </w:p>
    <w:p w14:paraId="69A1AF43">
      <w:pPr>
        <w:autoSpaceDE w:val="0"/>
        <w:autoSpaceDN w:val="0"/>
        <w:adjustRightInd w:val="0"/>
        <w:snapToGrid w:val="0"/>
        <w:spacing w:line="360" w:lineRule="auto"/>
        <w:ind w:firstLine="535" w:firstLineChars="255"/>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2.2.3 评标基准价计算</w:t>
      </w:r>
    </w:p>
    <w:p w14:paraId="26D164C6">
      <w:pPr>
        <w:autoSpaceDE w:val="0"/>
        <w:autoSpaceDN w:val="0"/>
        <w:adjustRightInd w:val="0"/>
        <w:snapToGrid w:val="0"/>
        <w:spacing w:line="360" w:lineRule="auto"/>
        <w:ind w:firstLine="535" w:firstLineChars="255"/>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评标基准价的计算方法：见评标办法前附表。</w:t>
      </w:r>
    </w:p>
    <w:p w14:paraId="5D99518D">
      <w:pPr>
        <w:autoSpaceDE w:val="0"/>
        <w:autoSpaceDN w:val="0"/>
        <w:adjustRightInd w:val="0"/>
        <w:snapToGrid w:val="0"/>
        <w:spacing w:line="360" w:lineRule="auto"/>
        <w:ind w:firstLine="535" w:firstLineChars="255"/>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2.2.4 投标报价的偏差率计算</w:t>
      </w:r>
    </w:p>
    <w:p w14:paraId="1A8E232A">
      <w:pPr>
        <w:autoSpaceDE w:val="0"/>
        <w:autoSpaceDN w:val="0"/>
        <w:adjustRightInd w:val="0"/>
        <w:snapToGrid w:val="0"/>
        <w:spacing w:line="360" w:lineRule="auto"/>
        <w:ind w:firstLine="535" w:firstLineChars="255"/>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投标报价的偏差率计算公式：见评标办法前附表。</w:t>
      </w:r>
    </w:p>
    <w:p w14:paraId="66B335EC">
      <w:pPr>
        <w:pStyle w:val="4"/>
        <w:spacing w:before="0" w:after="0" w:line="360" w:lineRule="auto"/>
        <w:rPr>
          <w:rFonts w:hint="eastAsia" w:ascii="宋体" w:hAnsi="宋体" w:eastAsia="宋体" w:cs="宋体"/>
          <w:color w:val="auto"/>
          <w:sz w:val="28"/>
          <w:szCs w:val="28"/>
          <w:highlight w:val="none"/>
        </w:rPr>
      </w:pPr>
      <w:bookmarkStart w:id="201" w:name="_Toc31089"/>
      <w:bookmarkStart w:id="202" w:name="_Toc33106456"/>
      <w:bookmarkStart w:id="203" w:name="_Toc277082622"/>
      <w:bookmarkStart w:id="204" w:name="_Toc287607816"/>
      <w:bookmarkStart w:id="205" w:name="_Toc509218780"/>
      <w:bookmarkStart w:id="206" w:name="_Toc287620755"/>
      <w:bookmarkStart w:id="207" w:name="_Toc430530504"/>
      <w:bookmarkStart w:id="208" w:name="_Toc224103388"/>
      <w:bookmarkStart w:id="209" w:name="_Toc200513202"/>
      <w:r>
        <w:rPr>
          <w:rFonts w:hint="eastAsia" w:ascii="宋体" w:hAnsi="宋体" w:eastAsia="宋体" w:cs="宋体"/>
          <w:color w:val="auto"/>
          <w:sz w:val="28"/>
          <w:szCs w:val="28"/>
          <w:highlight w:val="none"/>
        </w:rPr>
        <w:t>3. 评标程序</w:t>
      </w:r>
      <w:bookmarkEnd w:id="201"/>
      <w:bookmarkEnd w:id="202"/>
      <w:bookmarkEnd w:id="203"/>
      <w:bookmarkEnd w:id="204"/>
      <w:bookmarkEnd w:id="205"/>
      <w:bookmarkEnd w:id="206"/>
      <w:bookmarkEnd w:id="207"/>
      <w:bookmarkEnd w:id="208"/>
      <w:bookmarkEnd w:id="209"/>
    </w:p>
    <w:p w14:paraId="2E7C35D9">
      <w:pPr>
        <w:pStyle w:val="5"/>
        <w:spacing w:before="0" w:after="0" w:line="360" w:lineRule="auto"/>
        <w:rPr>
          <w:rFonts w:hint="eastAsia" w:ascii="宋体" w:hAnsi="宋体" w:eastAsia="宋体" w:cs="宋体"/>
          <w:color w:val="auto"/>
          <w:sz w:val="21"/>
          <w:szCs w:val="21"/>
          <w:highlight w:val="none"/>
        </w:rPr>
      </w:pPr>
      <w:bookmarkStart w:id="210" w:name="_Toc430530505"/>
      <w:bookmarkStart w:id="211" w:name="_Toc277082623"/>
      <w:bookmarkStart w:id="212" w:name="_Toc287607817"/>
      <w:bookmarkStart w:id="213" w:name="_Toc287620756"/>
      <w:bookmarkStart w:id="214" w:name="_Toc224103389"/>
      <w:bookmarkStart w:id="215" w:name="_Toc33106457"/>
      <w:bookmarkStart w:id="216" w:name="_Toc509218781"/>
      <w:bookmarkStart w:id="217" w:name="_Toc200513203"/>
      <w:bookmarkStart w:id="218" w:name="_Toc28994"/>
      <w:r>
        <w:rPr>
          <w:rFonts w:hint="eastAsia" w:ascii="宋体" w:hAnsi="宋体" w:eastAsia="宋体" w:cs="宋体"/>
          <w:color w:val="auto"/>
          <w:sz w:val="21"/>
          <w:szCs w:val="21"/>
          <w:highlight w:val="none"/>
        </w:rPr>
        <w:t>3.1 初步评审</w:t>
      </w:r>
      <w:bookmarkEnd w:id="210"/>
      <w:bookmarkEnd w:id="211"/>
      <w:bookmarkEnd w:id="212"/>
      <w:bookmarkEnd w:id="213"/>
      <w:bookmarkEnd w:id="214"/>
      <w:bookmarkEnd w:id="215"/>
      <w:bookmarkEnd w:id="216"/>
      <w:bookmarkEnd w:id="217"/>
      <w:bookmarkEnd w:id="218"/>
    </w:p>
    <w:p w14:paraId="7234C9A9">
      <w:pPr>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3.1.1 评标委员会依据本章第 2.1 款规定的标准对投标文件进行初步评审。有一项不符合评审标准的，作否决投标处理。（适用于未进行资格预审的）</w:t>
      </w:r>
    </w:p>
    <w:p w14:paraId="203BCF85">
      <w:pPr>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3.1.1 评标委员会依据本章第2.1.1项至第2.1.3项规定的评审标准对投标文件进行初步评审。有一项不符合评审标准的，作否决投标处理。当投标人资格预审申请文件的内容发生重大变化时，评标委员会依据本章第2.1.2项规定的标准对其更新资料进行评审。（适用于已进行资格预审的）</w:t>
      </w:r>
    </w:p>
    <w:p w14:paraId="3B530171">
      <w:pPr>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3.1.2 投标人有以下情形之一的，其投标作否决投标处理：</w:t>
      </w:r>
    </w:p>
    <w:p w14:paraId="75267F95">
      <w:pPr>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1</w:t>
      </w:r>
      <w:r>
        <w:rPr>
          <w:rFonts w:hint="eastAsia" w:ascii="宋体" w:hAnsi="宋体" w:eastAsia="宋体" w:cs="宋体"/>
          <w:color w:val="auto"/>
          <w:kern w:val="0"/>
          <w:szCs w:val="21"/>
          <w:highlight w:val="none"/>
        </w:rPr>
        <w:t>）第二</w:t>
      </w:r>
      <w:r>
        <w:rPr>
          <w:rFonts w:hint="eastAsia" w:ascii="宋体" w:hAnsi="宋体" w:eastAsia="宋体" w:cs="宋体"/>
          <w:color w:val="auto"/>
          <w:spacing w:val="-1"/>
          <w:kern w:val="0"/>
          <w:szCs w:val="21"/>
          <w:highlight w:val="none"/>
        </w:rPr>
        <w:t>章</w:t>
      </w:r>
      <w:r>
        <w:rPr>
          <w:rFonts w:hint="eastAsia" w:ascii="宋体" w:hAnsi="宋体" w:eastAsia="宋体" w:cs="宋体"/>
          <w:color w:val="auto"/>
          <w:kern w:val="0"/>
          <w:szCs w:val="21"/>
          <w:highlight w:val="none"/>
        </w:rPr>
        <w:t>“投标人须知”第</w:t>
      </w:r>
      <w:r>
        <w:rPr>
          <w:rFonts w:hint="eastAsia" w:ascii="宋体" w:hAnsi="宋体" w:eastAsia="宋体" w:cs="宋体"/>
          <w:color w:val="auto"/>
          <w:spacing w:val="1"/>
          <w:kern w:val="0"/>
          <w:szCs w:val="21"/>
          <w:highlight w:val="none"/>
        </w:rPr>
        <w:t>1</w:t>
      </w:r>
      <w:r>
        <w:rPr>
          <w:rFonts w:hint="eastAsia" w:ascii="宋体" w:hAnsi="宋体" w:eastAsia="宋体" w:cs="宋体"/>
          <w:color w:val="auto"/>
          <w:spacing w:val="-1"/>
          <w:kern w:val="0"/>
          <w:szCs w:val="21"/>
          <w:highlight w:val="none"/>
        </w:rPr>
        <w:t>.</w:t>
      </w:r>
      <w:r>
        <w:rPr>
          <w:rFonts w:hint="eastAsia" w:ascii="宋体" w:hAnsi="宋体" w:eastAsia="宋体" w:cs="宋体"/>
          <w:color w:val="auto"/>
          <w:spacing w:val="1"/>
          <w:kern w:val="0"/>
          <w:szCs w:val="21"/>
          <w:highlight w:val="none"/>
        </w:rPr>
        <w:t>4</w:t>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rPr>
        <w:t>3项规定的任何一种情形的；</w:t>
      </w:r>
    </w:p>
    <w:p w14:paraId="2EDAC9D8">
      <w:pPr>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2</w:t>
      </w:r>
      <w:r>
        <w:rPr>
          <w:rFonts w:hint="eastAsia" w:ascii="宋体" w:hAnsi="宋体" w:eastAsia="宋体" w:cs="宋体"/>
          <w:color w:val="auto"/>
          <w:kern w:val="0"/>
          <w:szCs w:val="21"/>
          <w:highlight w:val="none"/>
        </w:rPr>
        <w:t>）本次投标有串通投标、弄虚作假等其他违反招投标相关法律、法规行为的；</w:t>
      </w:r>
    </w:p>
    <w:p w14:paraId="3971D405">
      <w:pPr>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3</w:t>
      </w:r>
      <w:r>
        <w:rPr>
          <w:rFonts w:hint="eastAsia" w:ascii="宋体" w:hAnsi="宋体" w:eastAsia="宋体" w:cs="宋体"/>
          <w:color w:val="auto"/>
          <w:kern w:val="0"/>
          <w:szCs w:val="21"/>
          <w:highlight w:val="none"/>
        </w:rPr>
        <w:t>）拒绝按</w:t>
      </w:r>
      <w:r>
        <w:rPr>
          <w:rFonts w:hint="eastAsia" w:ascii="宋体" w:hAnsi="宋体" w:eastAsia="宋体" w:cs="宋体"/>
          <w:color w:val="auto"/>
          <w:spacing w:val="-1"/>
          <w:kern w:val="0"/>
          <w:szCs w:val="21"/>
          <w:highlight w:val="none"/>
        </w:rPr>
        <w:t>评</w:t>
      </w:r>
      <w:r>
        <w:rPr>
          <w:rFonts w:hint="eastAsia" w:ascii="宋体" w:hAnsi="宋体" w:eastAsia="宋体" w:cs="宋体"/>
          <w:color w:val="auto"/>
          <w:kern w:val="0"/>
          <w:szCs w:val="21"/>
          <w:highlight w:val="none"/>
        </w:rPr>
        <w:t>标委员会要求澄清、说明或补正的。</w:t>
      </w:r>
    </w:p>
    <w:p w14:paraId="4C61ABCF">
      <w:pPr>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3.1.3  投标报价有算术错误的，评标委员会按以下原则对投标报价进行修正，修正的价格经投标人书面确认后具有约束力</w:t>
      </w:r>
      <w:r>
        <w:rPr>
          <w:rFonts w:hint="eastAsia" w:ascii="宋体" w:hAnsi="宋体" w:eastAsia="宋体" w:cs="宋体"/>
          <w:color w:val="auto"/>
          <w:szCs w:val="21"/>
          <w:highlight w:val="none"/>
        </w:rPr>
        <w:t>，修正原则如下：</w:t>
      </w:r>
    </w:p>
    <w:p w14:paraId="4FD35939">
      <w:pPr>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（1）投标文件中的大写金额与小写金额不一致的，以大写金额为准；</w:t>
      </w:r>
    </w:p>
    <w:p w14:paraId="19F8ABA2">
      <w:pPr>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（2）投标函中的总报价与已标价工程量清单总报价不一致的，由评标委员会作否决投标处理。</w:t>
      </w:r>
    </w:p>
    <w:p w14:paraId="3B498C72">
      <w:pPr>
        <w:pStyle w:val="5"/>
        <w:spacing w:before="0" w:after="0" w:line="360" w:lineRule="auto"/>
        <w:rPr>
          <w:rFonts w:hint="eastAsia" w:ascii="宋体" w:hAnsi="宋体" w:eastAsia="宋体" w:cs="宋体"/>
          <w:color w:val="auto"/>
          <w:sz w:val="21"/>
          <w:szCs w:val="21"/>
          <w:highlight w:val="none"/>
        </w:rPr>
      </w:pPr>
      <w:bookmarkStart w:id="219" w:name="_Toc287620757"/>
      <w:bookmarkStart w:id="220" w:name="_Toc277082624"/>
      <w:bookmarkStart w:id="221" w:name="_Toc430530506"/>
      <w:bookmarkStart w:id="222" w:name="_Toc224103390"/>
      <w:bookmarkStart w:id="223" w:name="_Toc509218782"/>
      <w:bookmarkStart w:id="224" w:name="_Toc287607818"/>
      <w:bookmarkStart w:id="225" w:name="_Toc200513204"/>
      <w:bookmarkStart w:id="226" w:name="_Toc33106458"/>
      <w:bookmarkStart w:id="227" w:name="_Toc17955"/>
      <w:r>
        <w:rPr>
          <w:rFonts w:hint="eastAsia" w:ascii="宋体" w:hAnsi="宋体" w:eastAsia="宋体" w:cs="宋体"/>
          <w:color w:val="auto"/>
          <w:sz w:val="21"/>
          <w:szCs w:val="21"/>
          <w:highlight w:val="none"/>
        </w:rPr>
        <w:t>3.2 详细评审</w:t>
      </w:r>
      <w:bookmarkEnd w:id="219"/>
      <w:bookmarkEnd w:id="220"/>
      <w:bookmarkEnd w:id="221"/>
      <w:bookmarkEnd w:id="222"/>
      <w:bookmarkEnd w:id="223"/>
      <w:bookmarkEnd w:id="224"/>
      <w:bookmarkEnd w:id="225"/>
      <w:bookmarkEnd w:id="226"/>
      <w:bookmarkEnd w:id="227"/>
    </w:p>
    <w:p w14:paraId="31A8D92B">
      <w:pPr>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3.2.1 评标委员会按本章第2.2款规定的量化因素和分值进行</w:t>
      </w:r>
      <w:r>
        <w:rPr>
          <w:rFonts w:hint="eastAsia" w:ascii="宋体" w:hAnsi="宋体" w:eastAsia="宋体" w:cs="宋体"/>
          <w:color w:val="auto"/>
          <w:kern w:val="0"/>
          <w:szCs w:val="21"/>
          <w:highlight w:val="none"/>
          <w:lang w:eastAsia="zh-CN"/>
        </w:rPr>
        <w:t>评分</w:t>
      </w:r>
      <w:r>
        <w:rPr>
          <w:rFonts w:hint="eastAsia" w:ascii="宋体" w:hAnsi="宋体" w:eastAsia="宋体" w:cs="宋体"/>
          <w:color w:val="auto"/>
          <w:kern w:val="0"/>
          <w:szCs w:val="21"/>
          <w:highlight w:val="none"/>
        </w:rPr>
        <w:t>，并计算出综合评估得分。</w:t>
      </w:r>
    </w:p>
    <w:p w14:paraId="63CF903E">
      <w:pPr>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（1）按本章第3.2.1（1）目规定的评审因素和分值对技术部分计算出得分A（</w:t>
      </w:r>
      <w:r>
        <w:rPr>
          <w:rFonts w:hint="eastAsia" w:ascii="宋体" w:hAnsi="宋体" w:eastAsia="宋体" w:cs="宋体"/>
          <w:snapToGrid w:val="0"/>
          <w:color w:val="auto"/>
          <w:kern w:val="0"/>
          <w:szCs w:val="21"/>
          <w:highlight w:val="none"/>
        </w:rPr>
        <w:t>所有评委</w:t>
      </w:r>
      <w:r>
        <w:rPr>
          <w:rFonts w:hint="eastAsia" w:ascii="宋体" w:hAnsi="宋体" w:eastAsia="宋体" w:cs="宋体"/>
          <w:snapToGrid w:val="0"/>
          <w:color w:val="auto"/>
          <w:kern w:val="0"/>
          <w:szCs w:val="21"/>
          <w:highlight w:val="none"/>
          <w:lang w:eastAsia="zh-CN"/>
        </w:rPr>
        <w:t>评分</w:t>
      </w:r>
      <w:r>
        <w:rPr>
          <w:rFonts w:hint="eastAsia" w:ascii="宋体" w:hAnsi="宋体" w:eastAsia="宋体" w:cs="宋体"/>
          <w:snapToGrid w:val="0"/>
          <w:color w:val="auto"/>
          <w:kern w:val="0"/>
          <w:szCs w:val="21"/>
          <w:highlight w:val="none"/>
        </w:rPr>
        <w:t>中去掉一个最高和一个最低分，余下评委</w:t>
      </w:r>
      <w:r>
        <w:rPr>
          <w:rFonts w:hint="eastAsia" w:ascii="宋体" w:hAnsi="宋体" w:eastAsia="宋体" w:cs="宋体"/>
          <w:snapToGrid w:val="0"/>
          <w:color w:val="auto"/>
          <w:kern w:val="0"/>
          <w:szCs w:val="21"/>
          <w:highlight w:val="none"/>
          <w:lang w:eastAsia="zh-CN"/>
        </w:rPr>
        <w:t>评分</w:t>
      </w:r>
      <w:r>
        <w:rPr>
          <w:rFonts w:hint="eastAsia" w:ascii="宋体" w:hAnsi="宋体" w:eastAsia="宋体" w:cs="宋体"/>
          <w:snapToGrid w:val="0"/>
          <w:color w:val="auto"/>
          <w:kern w:val="0"/>
          <w:szCs w:val="21"/>
          <w:highlight w:val="none"/>
        </w:rPr>
        <w:t>取算术平均值为该投标人技术部分得分。</w:t>
      </w:r>
      <w:r>
        <w:rPr>
          <w:rFonts w:hint="eastAsia" w:ascii="宋体" w:hAnsi="宋体" w:eastAsia="宋体" w:cs="宋体"/>
          <w:color w:val="auto"/>
          <w:kern w:val="0"/>
          <w:szCs w:val="21"/>
          <w:highlight w:val="none"/>
        </w:rPr>
        <w:t>）</w:t>
      </w:r>
    </w:p>
    <w:p w14:paraId="58C5E6A9">
      <w:pPr>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（2）按本章第3.2.1（2）目规定的评审因素和分值对商务部分计算出得分B。</w:t>
      </w:r>
    </w:p>
    <w:p w14:paraId="408D454C">
      <w:pPr>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（3）按本章第3.2.1（3）目规定的评审因素和分值对投标总报价计算出得分C。</w:t>
      </w:r>
    </w:p>
    <w:p w14:paraId="76D89184">
      <w:pPr>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3.2.2  各类评分分值的最终计算结果保留小数点后两位，小数点后第三位“四舍五入”。</w:t>
      </w:r>
    </w:p>
    <w:p w14:paraId="3F1D8A47">
      <w:pPr>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3.2.3  投标人得分=A+B+C。</w:t>
      </w:r>
    </w:p>
    <w:p w14:paraId="13EB887B">
      <w:pPr>
        <w:pStyle w:val="5"/>
        <w:spacing w:before="0" w:after="0" w:line="360" w:lineRule="auto"/>
        <w:rPr>
          <w:rFonts w:hint="eastAsia" w:ascii="宋体" w:hAnsi="宋体" w:eastAsia="宋体" w:cs="宋体"/>
          <w:color w:val="auto"/>
          <w:sz w:val="21"/>
          <w:szCs w:val="21"/>
          <w:highlight w:val="none"/>
        </w:rPr>
      </w:pPr>
      <w:bookmarkStart w:id="228" w:name="_Toc509218783"/>
      <w:bookmarkStart w:id="229" w:name="_Toc200513205"/>
      <w:bookmarkStart w:id="230" w:name="_Toc430530507"/>
      <w:bookmarkStart w:id="231" w:name="_Toc224103391"/>
      <w:bookmarkStart w:id="232" w:name="_Toc277082625"/>
      <w:bookmarkStart w:id="233" w:name="_Toc287620758"/>
      <w:bookmarkStart w:id="234" w:name="_Toc33106459"/>
      <w:bookmarkStart w:id="235" w:name="_Toc287607819"/>
      <w:bookmarkStart w:id="236" w:name="_Toc11831"/>
      <w:r>
        <w:rPr>
          <w:rFonts w:hint="eastAsia" w:ascii="宋体" w:hAnsi="宋体" w:eastAsia="宋体" w:cs="宋体"/>
          <w:color w:val="auto"/>
          <w:sz w:val="21"/>
          <w:szCs w:val="21"/>
          <w:highlight w:val="none"/>
        </w:rPr>
        <w:t>3.3 投标文件的澄清和补正</w:t>
      </w:r>
      <w:bookmarkEnd w:id="228"/>
      <w:bookmarkEnd w:id="229"/>
      <w:bookmarkEnd w:id="230"/>
      <w:bookmarkEnd w:id="231"/>
      <w:bookmarkEnd w:id="232"/>
      <w:bookmarkEnd w:id="233"/>
      <w:bookmarkEnd w:id="234"/>
      <w:bookmarkEnd w:id="235"/>
      <w:bookmarkEnd w:id="236"/>
    </w:p>
    <w:p w14:paraId="30FCB81C">
      <w:pPr>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3.3.1 在评标过程中，评标委员会可以书面形式要求投标人对所提交投标文件中不明确的内容进行书面澄清或说明，或者对细微偏差进行补正。评标委员会不接受投标人主动提出的澄清、说明或补正。</w:t>
      </w:r>
    </w:p>
    <w:p w14:paraId="12DF797A">
      <w:pPr>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3.3.2 澄清、说明和补正不得改变投标文件的实质性内容（算术性错误修正的除外）。投标人的书面澄清、说明和补正属于投标文件的组成部分。</w:t>
      </w:r>
    </w:p>
    <w:p w14:paraId="00A1B6A6">
      <w:pPr>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3.3.3 评标委员会对投标人提交的澄清、说明或补正有疑问的，可以要求投标人进一步澄清、说明或补正，直至满足评标委员会的要求。</w:t>
      </w:r>
    </w:p>
    <w:p w14:paraId="0A03F382">
      <w:pPr>
        <w:pStyle w:val="5"/>
        <w:spacing w:before="0" w:after="0" w:line="360" w:lineRule="auto"/>
        <w:rPr>
          <w:rFonts w:hint="eastAsia" w:ascii="宋体" w:hAnsi="宋体" w:eastAsia="宋体" w:cs="宋体"/>
          <w:color w:val="auto"/>
          <w:sz w:val="21"/>
          <w:szCs w:val="21"/>
          <w:highlight w:val="none"/>
        </w:rPr>
      </w:pPr>
      <w:bookmarkStart w:id="237" w:name="_Toc277082626"/>
      <w:bookmarkStart w:id="238" w:name="_Toc287607820"/>
      <w:bookmarkStart w:id="239" w:name="_Toc430530508"/>
      <w:bookmarkStart w:id="240" w:name="_Toc287620759"/>
      <w:bookmarkStart w:id="241" w:name="_Toc509218784"/>
      <w:bookmarkStart w:id="242" w:name="_Toc200513206"/>
      <w:bookmarkStart w:id="243" w:name="_Toc224103392"/>
      <w:bookmarkStart w:id="244" w:name="_Toc11976"/>
      <w:bookmarkStart w:id="245" w:name="_Toc33106460"/>
      <w:r>
        <w:rPr>
          <w:rFonts w:hint="eastAsia" w:ascii="宋体" w:hAnsi="宋体" w:eastAsia="宋体" w:cs="宋体"/>
          <w:color w:val="auto"/>
          <w:sz w:val="21"/>
          <w:szCs w:val="21"/>
          <w:highlight w:val="none"/>
        </w:rPr>
        <w:t>3.4 评标结果</w:t>
      </w:r>
      <w:bookmarkEnd w:id="237"/>
      <w:bookmarkEnd w:id="238"/>
      <w:bookmarkEnd w:id="239"/>
      <w:bookmarkEnd w:id="240"/>
      <w:bookmarkEnd w:id="241"/>
      <w:bookmarkEnd w:id="242"/>
      <w:bookmarkEnd w:id="243"/>
      <w:bookmarkEnd w:id="244"/>
      <w:bookmarkEnd w:id="245"/>
    </w:p>
    <w:p w14:paraId="1499F7EE">
      <w:pPr>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spacing w:val="-1"/>
          <w:kern w:val="0"/>
          <w:szCs w:val="21"/>
          <w:highlight w:val="none"/>
        </w:rPr>
        <w:t>4</w:t>
      </w:r>
      <w:r>
        <w:rPr>
          <w:rFonts w:hint="eastAsia" w:ascii="宋体" w:hAnsi="宋体" w:eastAsia="宋体" w:cs="宋体"/>
          <w:color w:val="auto"/>
          <w:kern w:val="0"/>
          <w:szCs w:val="21"/>
          <w:highlight w:val="none"/>
        </w:rPr>
        <w:t>.1 除第二章“投标</w:t>
      </w:r>
      <w:r>
        <w:rPr>
          <w:rFonts w:hint="eastAsia" w:ascii="宋体" w:hAnsi="宋体" w:eastAsia="宋体" w:cs="宋体"/>
          <w:color w:val="auto"/>
          <w:spacing w:val="1"/>
          <w:kern w:val="0"/>
          <w:szCs w:val="21"/>
          <w:highlight w:val="none"/>
        </w:rPr>
        <w:t>人</w:t>
      </w:r>
      <w:r>
        <w:rPr>
          <w:rFonts w:hint="eastAsia" w:ascii="宋体" w:hAnsi="宋体" w:eastAsia="宋体" w:cs="宋体"/>
          <w:color w:val="auto"/>
          <w:kern w:val="0"/>
          <w:szCs w:val="21"/>
          <w:highlight w:val="none"/>
        </w:rPr>
        <w:t>须知”前</w:t>
      </w:r>
      <w:r>
        <w:rPr>
          <w:rFonts w:hint="eastAsia" w:ascii="宋体" w:hAnsi="宋体" w:eastAsia="宋体" w:cs="宋体"/>
          <w:color w:val="auto"/>
          <w:spacing w:val="1"/>
          <w:kern w:val="0"/>
          <w:szCs w:val="21"/>
          <w:highlight w:val="none"/>
        </w:rPr>
        <w:t>附</w:t>
      </w:r>
      <w:r>
        <w:rPr>
          <w:rFonts w:hint="eastAsia" w:ascii="宋体" w:hAnsi="宋体" w:eastAsia="宋体" w:cs="宋体"/>
          <w:color w:val="auto"/>
          <w:kern w:val="0"/>
          <w:szCs w:val="21"/>
          <w:highlight w:val="none"/>
        </w:rPr>
        <w:t>表授权直</w:t>
      </w:r>
      <w:r>
        <w:rPr>
          <w:rFonts w:hint="eastAsia" w:ascii="宋体" w:hAnsi="宋体" w:eastAsia="宋体" w:cs="宋体"/>
          <w:color w:val="auto"/>
          <w:spacing w:val="1"/>
          <w:kern w:val="0"/>
          <w:szCs w:val="21"/>
          <w:highlight w:val="none"/>
        </w:rPr>
        <w:t>接</w:t>
      </w:r>
      <w:r>
        <w:rPr>
          <w:rFonts w:hint="eastAsia" w:ascii="宋体" w:hAnsi="宋体" w:eastAsia="宋体" w:cs="宋体"/>
          <w:color w:val="auto"/>
          <w:kern w:val="0"/>
          <w:szCs w:val="21"/>
          <w:highlight w:val="none"/>
        </w:rPr>
        <w:t>确定中标</w:t>
      </w:r>
      <w:r>
        <w:rPr>
          <w:rFonts w:hint="eastAsia" w:ascii="宋体" w:hAnsi="宋体" w:eastAsia="宋体" w:cs="宋体"/>
          <w:color w:val="auto"/>
          <w:spacing w:val="1"/>
          <w:kern w:val="0"/>
          <w:szCs w:val="21"/>
          <w:highlight w:val="none"/>
        </w:rPr>
        <w:t>人</w:t>
      </w:r>
      <w:r>
        <w:rPr>
          <w:rFonts w:hint="eastAsia" w:ascii="宋体" w:hAnsi="宋体" w:eastAsia="宋体" w:cs="宋体"/>
          <w:color w:val="auto"/>
          <w:kern w:val="0"/>
          <w:szCs w:val="21"/>
          <w:highlight w:val="none"/>
        </w:rPr>
        <w:t>外，评标</w:t>
      </w:r>
      <w:r>
        <w:rPr>
          <w:rFonts w:hint="eastAsia" w:ascii="宋体" w:hAnsi="宋体" w:eastAsia="宋体" w:cs="宋体"/>
          <w:color w:val="auto"/>
          <w:spacing w:val="1"/>
          <w:kern w:val="0"/>
          <w:szCs w:val="21"/>
          <w:highlight w:val="none"/>
        </w:rPr>
        <w:t>委</w:t>
      </w:r>
      <w:r>
        <w:rPr>
          <w:rFonts w:hint="eastAsia" w:ascii="宋体" w:hAnsi="宋体" w:eastAsia="宋体" w:cs="宋体"/>
          <w:color w:val="auto"/>
          <w:kern w:val="0"/>
          <w:szCs w:val="21"/>
          <w:highlight w:val="none"/>
        </w:rPr>
        <w:t>员会按照</w:t>
      </w:r>
      <w:r>
        <w:rPr>
          <w:rFonts w:hint="eastAsia" w:ascii="宋体" w:hAnsi="宋体" w:eastAsia="宋体" w:cs="宋体"/>
          <w:color w:val="auto"/>
          <w:spacing w:val="1"/>
          <w:kern w:val="0"/>
          <w:szCs w:val="21"/>
          <w:highlight w:val="none"/>
        </w:rPr>
        <w:t>得分</w:t>
      </w:r>
      <w:r>
        <w:rPr>
          <w:rFonts w:hint="eastAsia" w:ascii="宋体" w:hAnsi="宋体" w:eastAsia="宋体" w:cs="宋体"/>
          <w:color w:val="auto"/>
          <w:kern w:val="0"/>
          <w:szCs w:val="21"/>
          <w:highlight w:val="none"/>
        </w:rPr>
        <w:t>由高到低的顺序推荐中标候选人。</w:t>
      </w:r>
    </w:p>
    <w:p w14:paraId="3A4576D1">
      <w:pPr>
        <w:autoSpaceDE w:val="0"/>
        <w:autoSpaceDN w:val="0"/>
        <w:adjustRightInd w:val="0"/>
        <w:snapToGrid w:val="0"/>
        <w:spacing w:line="360" w:lineRule="auto"/>
        <w:ind w:firstLine="424"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spacing w:val="1"/>
          <w:kern w:val="0"/>
          <w:szCs w:val="21"/>
          <w:highlight w:val="none"/>
        </w:rPr>
        <w:t>3</w:t>
      </w:r>
      <w:r>
        <w:rPr>
          <w:rFonts w:hint="eastAsia" w:ascii="宋体" w:hAnsi="宋体" w:eastAsia="宋体" w:cs="宋体"/>
          <w:color w:val="auto"/>
          <w:kern w:val="0"/>
          <w:szCs w:val="21"/>
          <w:highlight w:val="none"/>
        </w:rPr>
        <w:t>.4.2 评标</w:t>
      </w:r>
      <w:r>
        <w:rPr>
          <w:rFonts w:hint="eastAsia" w:ascii="宋体" w:hAnsi="宋体" w:eastAsia="宋体" w:cs="宋体"/>
          <w:color w:val="auto"/>
          <w:spacing w:val="-1"/>
          <w:kern w:val="0"/>
          <w:szCs w:val="21"/>
          <w:highlight w:val="none"/>
        </w:rPr>
        <w:t>委</w:t>
      </w:r>
      <w:r>
        <w:rPr>
          <w:rFonts w:hint="eastAsia" w:ascii="宋体" w:hAnsi="宋体" w:eastAsia="宋体" w:cs="宋体"/>
          <w:color w:val="auto"/>
          <w:kern w:val="0"/>
          <w:szCs w:val="21"/>
          <w:highlight w:val="none"/>
        </w:rPr>
        <w:t>员会完成评标后，应当向招标人提交书面评标报告。</w:t>
      </w:r>
    </w:p>
    <w:p w14:paraId="4E97B957">
      <w:pPr>
        <w:pStyle w:val="26"/>
        <w:spacing w:line="360" w:lineRule="auto"/>
        <w:rPr>
          <w:rFonts w:hint="eastAsia" w:ascii="宋体" w:hAnsi="宋体" w:eastAsia="宋体" w:cs="宋体"/>
          <w:b/>
          <w:color w:val="auto"/>
          <w:sz w:val="28"/>
          <w:szCs w:val="28"/>
          <w:highlight w:val="none"/>
          <w:lang w:eastAsia="zh-CN"/>
        </w:rPr>
      </w:pPr>
      <w:bookmarkStart w:id="246" w:name="_Toc230410480"/>
      <w:bookmarkStart w:id="247" w:name="_Toc277082627"/>
      <w:r>
        <w:rPr>
          <w:rFonts w:hint="eastAsia" w:ascii="宋体" w:hAnsi="宋体" w:eastAsia="宋体" w:cs="宋体"/>
          <w:b/>
          <w:color w:val="auto"/>
          <w:sz w:val="28"/>
          <w:szCs w:val="28"/>
          <w:highlight w:val="none"/>
          <w:u w:val="none"/>
          <w:lang w:eastAsia="zh-CN"/>
        </w:rPr>
        <w:br w:type="page"/>
      </w:r>
    </w:p>
    <w:p w14:paraId="20C9EEF1">
      <w:pPr>
        <w:pStyle w:val="26"/>
        <w:spacing w:line="360" w:lineRule="auto"/>
        <w:rPr>
          <w:rFonts w:hint="eastAsia" w:ascii="宋体" w:hAnsi="宋体" w:eastAsia="宋体" w:cs="宋体"/>
          <w:b/>
          <w:color w:val="auto"/>
          <w:sz w:val="28"/>
          <w:szCs w:val="28"/>
          <w:highlight w:val="none"/>
          <w:u w:val="none"/>
          <w:lang w:eastAsia="zh-CN"/>
        </w:rPr>
      </w:pPr>
      <w:r>
        <w:rPr>
          <w:rFonts w:hint="eastAsia" w:ascii="宋体" w:hAnsi="宋体" w:eastAsia="宋体" w:cs="宋体"/>
          <w:b/>
          <w:color w:val="auto"/>
          <w:sz w:val="28"/>
          <w:szCs w:val="28"/>
          <w:highlight w:val="none"/>
          <w:u w:val="none"/>
          <w:lang w:eastAsia="zh-CN"/>
        </w:rPr>
        <w:t>附件A：综合评估法否决投标情况一览表</w:t>
      </w:r>
    </w:p>
    <w:p w14:paraId="0386D919">
      <w:pPr>
        <w:pStyle w:val="26"/>
        <w:spacing w:line="360" w:lineRule="auto"/>
        <w:ind w:firstLine="420" w:firstLineChars="200"/>
        <w:jc w:val="both"/>
        <w:rPr>
          <w:rFonts w:hint="eastAsia" w:ascii="宋体" w:hAnsi="宋体" w:eastAsia="宋体" w:cs="宋体"/>
          <w:color w:val="auto"/>
          <w:sz w:val="21"/>
          <w:szCs w:val="21"/>
          <w:highlight w:val="none"/>
          <w:u w:val="none"/>
          <w:lang w:eastAsia="zh-CN"/>
        </w:rPr>
      </w:pPr>
      <w:r>
        <w:rPr>
          <w:rFonts w:hint="eastAsia" w:ascii="宋体" w:hAnsi="宋体" w:eastAsia="宋体" w:cs="宋体"/>
          <w:color w:val="auto"/>
          <w:sz w:val="21"/>
          <w:szCs w:val="21"/>
          <w:highlight w:val="none"/>
          <w:u w:val="none"/>
          <w:lang w:eastAsia="zh-CN"/>
        </w:rPr>
        <w:t>投标文件存在本一览表下列情形之一的，投标文件视为重大偏差并作否决投标处理，否则，评标委员会不得视为重大偏差而否决投标人的投标文件。</w:t>
      </w:r>
    </w:p>
    <w:tbl>
      <w:tblPr>
        <w:tblStyle w:val="34"/>
        <w:tblW w:w="946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237"/>
        <w:gridCol w:w="1899"/>
        <w:gridCol w:w="6333"/>
      </w:tblGrid>
      <w:tr w14:paraId="3BFDA17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Align w:val="center"/>
          </w:tcPr>
          <w:p w14:paraId="33B5CA3F">
            <w:pPr>
              <w:keepNext w:val="0"/>
              <w:keepLines w:val="0"/>
              <w:suppressLineNumbers w:val="0"/>
              <w:spacing w:before="0" w:beforeAutospacing="0" w:after="0" w:afterAutospacing="0" w:line="400" w:lineRule="exact"/>
              <w:ind w:left="0" w:right="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章节号</w:t>
            </w:r>
          </w:p>
        </w:tc>
        <w:tc>
          <w:tcPr>
            <w:tcW w:w="1899" w:type="dxa"/>
            <w:vAlign w:val="center"/>
          </w:tcPr>
          <w:p w14:paraId="4DC976F5">
            <w:pPr>
              <w:keepNext w:val="0"/>
              <w:keepLines w:val="0"/>
              <w:suppressLineNumbers w:val="0"/>
              <w:spacing w:before="0" w:beforeAutospacing="0" w:after="0" w:afterAutospacing="0" w:line="400" w:lineRule="exact"/>
              <w:ind w:left="0" w:right="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条款名称</w:t>
            </w:r>
          </w:p>
        </w:tc>
        <w:tc>
          <w:tcPr>
            <w:tcW w:w="6333" w:type="dxa"/>
            <w:vAlign w:val="center"/>
          </w:tcPr>
          <w:p w14:paraId="6582B837">
            <w:pPr>
              <w:keepNext w:val="0"/>
              <w:keepLines w:val="0"/>
              <w:suppressLineNumbers w:val="0"/>
              <w:spacing w:before="0" w:beforeAutospacing="0" w:after="0" w:afterAutospacing="0" w:line="400" w:lineRule="exact"/>
              <w:ind w:left="0" w:right="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否决投标条件</w:t>
            </w:r>
          </w:p>
        </w:tc>
      </w:tr>
      <w:tr w14:paraId="52F3423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restart"/>
            <w:vAlign w:val="center"/>
          </w:tcPr>
          <w:p w14:paraId="67733720">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第三章</w:t>
            </w:r>
          </w:p>
        </w:tc>
        <w:tc>
          <w:tcPr>
            <w:tcW w:w="1899" w:type="dxa"/>
            <w:vMerge w:val="restart"/>
            <w:vAlign w:val="center"/>
          </w:tcPr>
          <w:p w14:paraId="06B07D51">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资格评审</w:t>
            </w:r>
          </w:p>
        </w:tc>
        <w:tc>
          <w:tcPr>
            <w:tcW w:w="6333" w:type="dxa"/>
            <w:vAlign w:val="center"/>
          </w:tcPr>
          <w:p w14:paraId="7F49160F">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A-1投标人的资质条件、营业执照及安全生产条件须满足投标人须知前附表1.4.1项的要求，否则由评标委员会作否决投标处理。</w:t>
            </w:r>
          </w:p>
        </w:tc>
      </w:tr>
      <w:tr w14:paraId="68FE41F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14:paraId="3DCB7286">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1899" w:type="dxa"/>
            <w:vMerge w:val="continue"/>
            <w:vAlign w:val="center"/>
          </w:tcPr>
          <w:p w14:paraId="18E4C610">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6333" w:type="dxa"/>
            <w:vAlign w:val="center"/>
          </w:tcPr>
          <w:p w14:paraId="07C08C27">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投标人的关键设备授权要求须满足投标人须知前附表1.4.1项的要求，否则由评标委员会作否决投标处理。</w:t>
            </w:r>
          </w:p>
        </w:tc>
      </w:tr>
      <w:tr w14:paraId="38FA42A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14:paraId="7CB2CC00">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1899" w:type="dxa"/>
            <w:vMerge w:val="continue"/>
            <w:vAlign w:val="center"/>
          </w:tcPr>
          <w:p w14:paraId="340CA6D0">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6333" w:type="dxa"/>
            <w:vAlign w:val="center"/>
          </w:tcPr>
          <w:p w14:paraId="600E3D08">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A-3投标人的业绩须满足投标人须知前附表1.4.1项的要求，否则由评标委员会作否决投标处理。</w:t>
            </w:r>
          </w:p>
        </w:tc>
      </w:tr>
      <w:tr w14:paraId="5BF401E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14:paraId="125A2E16">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1899" w:type="dxa"/>
            <w:vMerge w:val="continue"/>
            <w:vAlign w:val="center"/>
          </w:tcPr>
          <w:p w14:paraId="62928FE8">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6333" w:type="dxa"/>
            <w:vAlign w:val="center"/>
          </w:tcPr>
          <w:p w14:paraId="13E4B3E6">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A-4投标人的投标截止日投标资格情况须满足投标人须知前附表1.4.1项的要求，否则由评标委员会作否决投标处理。</w:t>
            </w:r>
          </w:p>
        </w:tc>
      </w:tr>
      <w:tr w14:paraId="48ECB30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14:paraId="4896CD84">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1899" w:type="dxa"/>
            <w:vMerge w:val="continue"/>
            <w:vAlign w:val="center"/>
          </w:tcPr>
          <w:p w14:paraId="6C1D4352">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6333" w:type="dxa"/>
            <w:vAlign w:val="center"/>
          </w:tcPr>
          <w:p w14:paraId="08182764">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A-5投标人的项目经理</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项目总工</w:t>
            </w:r>
            <w:r>
              <w:rPr>
                <w:rFonts w:hint="eastAsia" w:ascii="宋体" w:hAnsi="宋体" w:eastAsia="宋体" w:cs="宋体"/>
                <w:color w:val="auto"/>
                <w:szCs w:val="21"/>
                <w:highlight w:val="none"/>
                <w:lang w:eastAsia="zh-CN"/>
              </w:rPr>
              <w:t>和专职安全员</w:t>
            </w:r>
            <w:r>
              <w:rPr>
                <w:rFonts w:hint="eastAsia" w:ascii="宋体" w:hAnsi="宋体" w:eastAsia="宋体" w:cs="宋体"/>
                <w:color w:val="auto"/>
                <w:szCs w:val="21"/>
                <w:highlight w:val="none"/>
              </w:rPr>
              <w:t>资格须满足投标人须知前附表1.4.1项的要求，否则由评标委员会作否决投标处理。</w:t>
            </w:r>
          </w:p>
        </w:tc>
      </w:tr>
      <w:tr w14:paraId="7257AE5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14:paraId="215D6A49">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1899" w:type="dxa"/>
            <w:vMerge w:val="continue"/>
            <w:vAlign w:val="center"/>
          </w:tcPr>
          <w:p w14:paraId="2EB04A6A">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6333" w:type="dxa"/>
            <w:vAlign w:val="center"/>
          </w:tcPr>
          <w:p w14:paraId="29142AB1">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A-6投标人的</w:t>
            </w:r>
            <w:r>
              <w:rPr>
                <w:rFonts w:hint="eastAsia" w:ascii="宋体" w:hAnsi="宋体" w:eastAsia="宋体" w:cs="宋体"/>
                <w:color w:val="auto"/>
                <w:kern w:val="0"/>
                <w:highlight w:val="none"/>
              </w:rPr>
              <w:t>其他管理和技术人员要求</w:t>
            </w:r>
            <w:r>
              <w:rPr>
                <w:rFonts w:hint="eastAsia" w:ascii="宋体" w:hAnsi="宋体" w:eastAsia="宋体" w:cs="宋体"/>
                <w:color w:val="auto"/>
                <w:szCs w:val="21"/>
                <w:highlight w:val="none"/>
              </w:rPr>
              <w:t>须满足投标人须知前附表1.4.1项的要求，否则由评标委员会作否决投标处理。</w:t>
            </w:r>
          </w:p>
        </w:tc>
      </w:tr>
      <w:tr w14:paraId="074C842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14:paraId="6061D751">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1899" w:type="dxa"/>
            <w:vMerge w:val="continue"/>
            <w:vAlign w:val="center"/>
          </w:tcPr>
          <w:p w14:paraId="5860234A">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6333" w:type="dxa"/>
            <w:vAlign w:val="center"/>
          </w:tcPr>
          <w:p w14:paraId="0DE54DD7">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A-7投标人的</w:t>
            </w:r>
            <w:r>
              <w:rPr>
                <w:rFonts w:hint="eastAsia" w:ascii="宋体" w:hAnsi="宋体" w:eastAsia="宋体" w:cs="宋体"/>
                <w:color w:val="auto"/>
                <w:kern w:val="0"/>
                <w:highlight w:val="none"/>
              </w:rPr>
              <w:t>主要机械设备和试验检测设备要求</w:t>
            </w:r>
            <w:r>
              <w:rPr>
                <w:rFonts w:hint="eastAsia" w:ascii="宋体" w:hAnsi="宋体" w:eastAsia="宋体" w:cs="宋体"/>
                <w:color w:val="auto"/>
                <w:szCs w:val="21"/>
                <w:highlight w:val="none"/>
              </w:rPr>
              <w:t>须满足投标人须知前附表1.4.1项的要求，否则由评标委员会作否决投标处理。</w:t>
            </w:r>
          </w:p>
        </w:tc>
      </w:tr>
      <w:tr w14:paraId="50F1AA3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14:paraId="5C2B409A">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1899" w:type="dxa"/>
            <w:vMerge w:val="continue"/>
            <w:vAlign w:val="center"/>
          </w:tcPr>
          <w:p w14:paraId="4BE4F39B">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6333" w:type="dxa"/>
            <w:vAlign w:val="center"/>
          </w:tcPr>
          <w:p w14:paraId="06F3956B">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A-8投标人的委托代理人须满足投标人须知前附表1.4.1项的要求，否则由评标委员会作否决投标处理。</w:t>
            </w:r>
          </w:p>
        </w:tc>
      </w:tr>
      <w:tr w14:paraId="40E9BA7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14:paraId="65139526">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1899" w:type="dxa"/>
            <w:vMerge w:val="continue"/>
            <w:vAlign w:val="center"/>
          </w:tcPr>
          <w:p w14:paraId="0363BC88">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6333" w:type="dxa"/>
            <w:vAlign w:val="center"/>
          </w:tcPr>
          <w:p w14:paraId="3BCD6913">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投标人的其他要求须满足投标人须知前附表1.4.1项的要求，否则由评标委员会作否决投标处理。</w:t>
            </w:r>
          </w:p>
        </w:tc>
      </w:tr>
      <w:tr w14:paraId="6567D9A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7ACD0108">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1899" w:type="dxa"/>
            <w:vMerge w:val="restart"/>
            <w:vAlign w:val="center"/>
          </w:tcPr>
          <w:p w14:paraId="4F3A243B">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形式评审</w:t>
            </w:r>
          </w:p>
        </w:tc>
        <w:tc>
          <w:tcPr>
            <w:tcW w:w="6333" w:type="dxa"/>
            <w:vAlign w:val="top"/>
          </w:tcPr>
          <w:p w14:paraId="707DC785">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A-10投标人名称必须与营业执照、资质证书、安全生产许可证一致，依法变更名称的应提交相应证明材料，否则由评标委员会作否决投标处理。</w:t>
            </w:r>
          </w:p>
        </w:tc>
      </w:tr>
      <w:tr w14:paraId="1AD595A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65429BF6">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1899" w:type="dxa"/>
            <w:vMerge w:val="continue"/>
            <w:vAlign w:val="center"/>
          </w:tcPr>
          <w:p w14:paraId="20637EBC">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6333" w:type="dxa"/>
            <w:vAlign w:val="top"/>
          </w:tcPr>
          <w:p w14:paraId="761042D2">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A-11投标文件格式（不含投标函部分）符合第二章“投标人须知”第3.7款的要求，否则由评标委员会作否决投标处理。</w:t>
            </w:r>
          </w:p>
          <w:p w14:paraId="2B92647C">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编制投标文件时不得对第九章“投标文件格式”的相应要素作实质性修改，否则视为重大偏差，由评标委员会作否决投标处理。</w:t>
            </w:r>
          </w:p>
        </w:tc>
      </w:tr>
      <w:tr w14:paraId="0C46EA2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71878A50">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1899" w:type="dxa"/>
            <w:vMerge w:val="continue"/>
            <w:vAlign w:val="center"/>
          </w:tcPr>
          <w:p w14:paraId="7B17D11D">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6333" w:type="dxa"/>
            <w:vAlign w:val="top"/>
          </w:tcPr>
          <w:p w14:paraId="492E7B4A">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w:t>
            </w:r>
            <w:r>
              <w:rPr>
                <w:rFonts w:hint="eastAsia" w:ascii="宋体" w:hAnsi="宋体" w:eastAsia="宋体" w:cs="宋体"/>
                <w:color w:val="auto"/>
                <w:szCs w:val="21"/>
                <w:highlight w:val="none"/>
                <w:lang w:val="en-US" w:eastAsia="zh-CN"/>
              </w:rPr>
              <w:t>2</w:t>
            </w:r>
            <w:r>
              <w:rPr>
                <w:rFonts w:hint="eastAsia" w:ascii="宋体" w:hAnsi="宋体" w:eastAsia="宋体" w:cs="宋体"/>
                <w:color w:val="auto"/>
                <w:highlight w:val="none"/>
              </w:rPr>
              <w:t>投标文件格式要求</w:t>
            </w:r>
            <w:r>
              <w:rPr>
                <w:rFonts w:hint="eastAsia" w:ascii="宋体" w:hAnsi="宋体" w:eastAsia="宋体" w:cs="宋体"/>
                <w:color w:val="auto"/>
                <w:kern w:val="0"/>
                <w:highlight w:val="none"/>
              </w:rPr>
              <w:t>法定代表人或其委托代理人签名（或盖章）的须齐全</w:t>
            </w:r>
            <w:r>
              <w:rPr>
                <w:rFonts w:hint="eastAsia" w:ascii="宋体" w:hAnsi="宋体" w:eastAsia="宋体" w:cs="宋体"/>
                <w:color w:val="auto"/>
                <w:kern w:val="0"/>
                <w:highlight w:val="none"/>
                <w:lang w:eastAsia="zh-CN"/>
              </w:rPr>
              <w:t>，</w:t>
            </w:r>
            <w:r>
              <w:rPr>
                <w:rFonts w:hint="eastAsia" w:ascii="宋体" w:hAnsi="宋体" w:eastAsia="宋体" w:cs="宋体"/>
                <w:color w:val="auto"/>
                <w:szCs w:val="21"/>
                <w:highlight w:val="none"/>
              </w:rPr>
              <w:t>否则由评标委员会作否决投标处理。</w:t>
            </w:r>
          </w:p>
        </w:tc>
      </w:tr>
      <w:tr w14:paraId="39A43CD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5E332F3B">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1899" w:type="dxa"/>
            <w:vMerge w:val="continue"/>
            <w:tcBorders>
              <w:bottom w:val="single" w:color="auto" w:sz="4" w:space="0"/>
            </w:tcBorders>
            <w:vAlign w:val="center"/>
          </w:tcPr>
          <w:p w14:paraId="731374DD">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6333" w:type="dxa"/>
            <w:vAlign w:val="top"/>
          </w:tcPr>
          <w:p w14:paraId="374053FA">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投标人法定代表人的委托代理人有法定代表人签署的授权委托书和投标人为其缴纳的养老保险证明材料。否则由评标委员会作否决投标处理。</w:t>
            </w:r>
          </w:p>
        </w:tc>
      </w:tr>
      <w:tr w14:paraId="72B15E0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2B88E1A0">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1899" w:type="dxa"/>
            <w:vMerge w:val="restart"/>
            <w:tcBorders>
              <w:top w:val="single" w:color="auto" w:sz="4" w:space="0"/>
            </w:tcBorders>
            <w:vAlign w:val="center"/>
          </w:tcPr>
          <w:p w14:paraId="6F10323A">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响应性评审</w:t>
            </w:r>
          </w:p>
        </w:tc>
        <w:tc>
          <w:tcPr>
            <w:tcW w:w="6333" w:type="dxa"/>
            <w:vAlign w:val="center"/>
          </w:tcPr>
          <w:p w14:paraId="4C180359">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投标内容符合第二章“投标人须知”第1.3.1项规定，否则由评标委员会作否决投标处理。</w:t>
            </w:r>
          </w:p>
        </w:tc>
      </w:tr>
      <w:tr w14:paraId="4B3FB2B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65FCB4A3">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1899" w:type="dxa"/>
            <w:vMerge w:val="continue"/>
            <w:vAlign w:val="center"/>
          </w:tcPr>
          <w:p w14:paraId="33C19293">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6333" w:type="dxa"/>
            <w:vAlign w:val="center"/>
          </w:tcPr>
          <w:p w14:paraId="3EB23601">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A-15</w:t>
            </w:r>
            <w:r>
              <w:rPr>
                <w:rFonts w:hint="eastAsia" w:ascii="宋体" w:hAnsi="宋体" w:eastAsia="宋体" w:cs="宋体"/>
                <w:color w:val="auto"/>
                <w:szCs w:val="21"/>
                <w:highlight w:val="none"/>
              </w:rPr>
              <w:t>投标函附录的所有数据均符合招标文件规定</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否则由评标委员会作否决投标处理。</w:t>
            </w:r>
          </w:p>
        </w:tc>
      </w:tr>
      <w:tr w14:paraId="18997E6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61AEF1DA">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1899" w:type="dxa"/>
            <w:vMerge w:val="continue"/>
            <w:vAlign w:val="center"/>
          </w:tcPr>
          <w:p w14:paraId="09B38008">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6333" w:type="dxa"/>
            <w:vAlign w:val="center"/>
          </w:tcPr>
          <w:p w14:paraId="4FE186A0">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eastAsia="zh-CN"/>
              </w:rPr>
              <w:t>16</w:t>
            </w:r>
            <w:r>
              <w:rPr>
                <w:rFonts w:hint="eastAsia" w:ascii="宋体" w:hAnsi="宋体" w:eastAsia="宋体" w:cs="宋体"/>
                <w:color w:val="auto"/>
                <w:szCs w:val="21"/>
                <w:highlight w:val="none"/>
              </w:rPr>
              <w:t>投标人应按投标人须知前附表第3.4款规定递交投标保证金，并作为其投标文件的组成部分，否则由评标委员会作否决投标处理。</w:t>
            </w:r>
          </w:p>
        </w:tc>
      </w:tr>
      <w:tr w14:paraId="759C7A3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74BB15AD">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1899" w:type="dxa"/>
            <w:vMerge w:val="continue"/>
            <w:vAlign w:val="center"/>
          </w:tcPr>
          <w:p w14:paraId="45E7070F">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6333" w:type="dxa"/>
            <w:vAlign w:val="center"/>
          </w:tcPr>
          <w:p w14:paraId="7D0F8BF3">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eastAsia="zh-CN"/>
              </w:rPr>
              <w:t>17</w:t>
            </w:r>
            <w:r>
              <w:rPr>
                <w:rFonts w:hint="eastAsia" w:ascii="宋体" w:hAnsi="宋体" w:eastAsia="宋体" w:cs="宋体"/>
                <w:color w:val="auto"/>
                <w:szCs w:val="21"/>
                <w:highlight w:val="none"/>
              </w:rPr>
              <w:t>符合第四章“合同条款及格式”规定，投标文件不应附有招标人不能接受的条件。否则由评标委员会作否决投标处理。（由投标人承诺，承诺书格式详见第九章投标文件格式。）</w:t>
            </w:r>
          </w:p>
        </w:tc>
      </w:tr>
      <w:tr w14:paraId="7D3FD83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721B21E1">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1899" w:type="dxa"/>
            <w:vMerge w:val="continue"/>
            <w:vAlign w:val="center"/>
          </w:tcPr>
          <w:p w14:paraId="104D5DAD">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6333" w:type="dxa"/>
            <w:vAlign w:val="center"/>
          </w:tcPr>
          <w:p w14:paraId="174A56E9">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eastAsia="zh-CN"/>
              </w:rPr>
              <w:t>18</w:t>
            </w:r>
            <w:r>
              <w:rPr>
                <w:rFonts w:hint="eastAsia" w:ascii="宋体" w:hAnsi="宋体" w:eastAsia="宋体" w:cs="宋体"/>
                <w:color w:val="auto"/>
                <w:szCs w:val="21"/>
                <w:highlight w:val="none"/>
              </w:rPr>
              <w:t>符合第七章“技术标准和要求”规定。否则由评标委员会作否决投标处理（如有）。（由投标人承诺，承诺书格式详见第九章投标文件格式。）</w:t>
            </w:r>
          </w:p>
        </w:tc>
      </w:tr>
      <w:tr w14:paraId="0815A68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3B3162C0">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1899" w:type="dxa"/>
            <w:vMerge w:val="continue"/>
            <w:vAlign w:val="center"/>
          </w:tcPr>
          <w:p w14:paraId="302C2366">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6333" w:type="dxa"/>
            <w:vAlign w:val="center"/>
          </w:tcPr>
          <w:p w14:paraId="2EDE439E">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eastAsia="zh-CN"/>
              </w:rPr>
              <w:t>19</w:t>
            </w:r>
            <w:r>
              <w:rPr>
                <w:rFonts w:hint="eastAsia" w:ascii="宋体" w:hAnsi="宋体" w:eastAsia="宋体" w:cs="宋体"/>
                <w:color w:val="auto"/>
                <w:szCs w:val="21"/>
                <w:highlight w:val="none"/>
              </w:rPr>
              <w:t>投标人有以下情形之一的，其投标文件由评标委员会作否决投标处理：</w:t>
            </w:r>
          </w:p>
          <w:p w14:paraId="488C8893">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1.第二章“投标人须知”第1.4.3项规定的任何一种情形的；</w:t>
            </w:r>
          </w:p>
          <w:p w14:paraId="3049E26C">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2.本次投标有串通投标、弄虚作假等违反招投标相关法律、法规的行为的；</w:t>
            </w:r>
          </w:p>
          <w:p w14:paraId="2AA28BEE">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3.拒绝按评标委员会要求澄清、说明或补正的。</w:t>
            </w:r>
          </w:p>
        </w:tc>
      </w:tr>
      <w:tr w14:paraId="0D22B7E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09E70BE7">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1899" w:type="dxa"/>
            <w:vMerge w:val="restart"/>
            <w:vAlign w:val="center"/>
          </w:tcPr>
          <w:p w14:paraId="7811D06F">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投标函部分及经济部分评审</w:t>
            </w:r>
          </w:p>
        </w:tc>
        <w:tc>
          <w:tcPr>
            <w:tcW w:w="6333" w:type="dxa"/>
            <w:vAlign w:val="center"/>
          </w:tcPr>
          <w:p w14:paraId="3E7EBCD5">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w:t>
            </w:r>
            <w:r>
              <w:rPr>
                <w:rFonts w:hint="eastAsia" w:ascii="宋体" w:hAnsi="宋体" w:eastAsia="宋体" w:cs="宋体"/>
                <w:color w:val="auto"/>
                <w:szCs w:val="21"/>
                <w:highlight w:val="none"/>
                <w:lang w:val="en-US" w:eastAsia="zh-CN"/>
              </w:rPr>
              <w:t>0</w:t>
            </w:r>
            <w:r>
              <w:rPr>
                <w:rFonts w:hint="eastAsia" w:ascii="宋体" w:hAnsi="宋体" w:eastAsia="宋体" w:cs="宋体"/>
                <w:color w:val="auto"/>
                <w:szCs w:val="21"/>
                <w:highlight w:val="none"/>
              </w:rPr>
              <w:t>投标函部分的格式要求</w:t>
            </w:r>
            <w:r>
              <w:rPr>
                <w:rFonts w:hint="eastAsia" w:ascii="宋体" w:hAnsi="宋体" w:eastAsia="宋体" w:cs="宋体"/>
                <w:color w:val="auto"/>
                <w:kern w:val="0"/>
                <w:highlight w:val="none"/>
              </w:rPr>
              <w:t>法定代表人或其委托代理人签名（或盖章）的须齐全</w:t>
            </w:r>
            <w:r>
              <w:rPr>
                <w:rFonts w:hint="eastAsia" w:ascii="宋体" w:hAnsi="宋体" w:eastAsia="宋体" w:cs="宋体"/>
                <w:color w:val="auto"/>
                <w:kern w:val="0"/>
                <w:highlight w:val="none"/>
                <w:lang w:eastAsia="zh-CN"/>
              </w:rPr>
              <w:t>，</w:t>
            </w:r>
            <w:r>
              <w:rPr>
                <w:rFonts w:hint="eastAsia" w:ascii="宋体" w:hAnsi="宋体" w:eastAsia="宋体" w:cs="宋体"/>
                <w:color w:val="auto"/>
                <w:szCs w:val="21"/>
                <w:highlight w:val="none"/>
              </w:rPr>
              <w:t>否则由评标委员会作否决投标处理。</w:t>
            </w:r>
          </w:p>
        </w:tc>
      </w:tr>
      <w:tr w14:paraId="1697B3D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44D2124A">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1899" w:type="dxa"/>
            <w:vMerge w:val="continue"/>
            <w:vAlign w:val="center"/>
          </w:tcPr>
          <w:p w14:paraId="4BF26158">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6333" w:type="dxa"/>
            <w:vAlign w:val="center"/>
          </w:tcPr>
          <w:p w14:paraId="7B1F9A69">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工期符合第二章“投标人须知”第1.3.2项规定，否则由评标委员会作否决投标处理。</w:t>
            </w:r>
          </w:p>
        </w:tc>
      </w:tr>
      <w:tr w14:paraId="2B9601F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5B472AE8">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1899" w:type="dxa"/>
            <w:vMerge w:val="continue"/>
            <w:vAlign w:val="center"/>
          </w:tcPr>
          <w:p w14:paraId="17999111">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6333" w:type="dxa"/>
            <w:vAlign w:val="center"/>
          </w:tcPr>
          <w:p w14:paraId="09A6FC54">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工程质量符合第二章“投标人须知”第1.3.3项规定，否则由评标委员会作否决投标处理。</w:t>
            </w:r>
          </w:p>
        </w:tc>
      </w:tr>
      <w:tr w14:paraId="6009DF8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17868C3C">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1899" w:type="dxa"/>
            <w:vMerge w:val="continue"/>
            <w:vAlign w:val="center"/>
          </w:tcPr>
          <w:p w14:paraId="17180724">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6333" w:type="dxa"/>
            <w:vAlign w:val="center"/>
          </w:tcPr>
          <w:p w14:paraId="08181D73">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投标有效期符合第二章“投标人须知”第3.3.1项规定，否则由评标委员会作否决投标处理。</w:t>
            </w:r>
          </w:p>
        </w:tc>
      </w:tr>
      <w:tr w14:paraId="5C373E1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7AD7B001">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1899" w:type="dxa"/>
            <w:vMerge w:val="continue"/>
            <w:vAlign w:val="center"/>
          </w:tcPr>
          <w:p w14:paraId="5456D9A7">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6333" w:type="dxa"/>
            <w:vAlign w:val="center"/>
          </w:tcPr>
          <w:p w14:paraId="5C28488F">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投标人的投标总报价不得超过投标总报价最高限价，否则由评标委员会作否决投标处理。</w:t>
            </w:r>
          </w:p>
        </w:tc>
      </w:tr>
      <w:tr w14:paraId="56D57B3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7BA8D250">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1899" w:type="dxa"/>
            <w:vMerge w:val="continue"/>
            <w:vAlign w:val="center"/>
          </w:tcPr>
          <w:p w14:paraId="3511CD94">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6333" w:type="dxa"/>
            <w:vAlign w:val="center"/>
          </w:tcPr>
          <w:p w14:paraId="1B88C5BB">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只能有一个有效报价。在招标文件没有规定的情况下，不得提交选择性报价，否则由评标委员会作否决投标处理。</w:t>
            </w:r>
          </w:p>
        </w:tc>
      </w:tr>
      <w:tr w14:paraId="79C5174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4B44952C">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1899" w:type="dxa"/>
            <w:vMerge w:val="continue"/>
            <w:vAlign w:val="center"/>
          </w:tcPr>
          <w:p w14:paraId="2F713B70">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6333" w:type="dxa"/>
            <w:vAlign w:val="center"/>
          </w:tcPr>
          <w:p w14:paraId="0444F7A5">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投标人对已标价工程量清单的承诺必须满足第二章“投标人须知前附表”第3.2.9项要求，否则由评标委员会作否决投标处理。</w:t>
            </w:r>
          </w:p>
        </w:tc>
      </w:tr>
      <w:tr w14:paraId="4FD6955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515A5BFF">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1899" w:type="dxa"/>
            <w:vMerge w:val="continue"/>
            <w:vAlign w:val="center"/>
          </w:tcPr>
          <w:p w14:paraId="3B732498">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6333" w:type="dxa"/>
            <w:vAlign w:val="center"/>
          </w:tcPr>
          <w:p w14:paraId="62AC42C3">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投标报价有算术错误的，按照第三章3.评标程序第3.1.3项规定执行，否则由评标委员会作否决投标处理。</w:t>
            </w:r>
          </w:p>
        </w:tc>
      </w:tr>
      <w:tr w14:paraId="69F1659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Align w:val="center"/>
          </w:tcPr>
          <w:p w14:paraId="379EA118">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其他</w:t>
            </w:r>
          </w:p>
        </w:tc>
        <w:tc>
          <w:tcPr>
            <w:tcW w:w="1899" w:type="dxa"/>
            <w:vAlign w:val="center"/>
          </w:tcPr>
          <w:p w14:paraId="7C01E1AD">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rPr>
            </w:pPr>
          </w:p>
        </w:tc>
        <w:tc>
          <w:tcPr>
            <w:tcW w:w="6333" w:type="dxa"/>
            <w:vAlign w:val="top"/>
          </w:tcPr>
          <w:p w14:paraId="6E991921">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i/>
                <w:color w:val="auto"/>
                <w:szCs w:val="21"/>
                <w:highlight w:val="none"/>
                <w:lang w:eastAsia="zh-CN"/>
              </w:rPr>
            </w:pPr>
            <w:r>
              <w:rPr>
                <w:rFonts w:hint="eastAsia" w:ascii="宋体" w:hAnsi="宋体" w:eastAsia="宋体" w:cs="宋体"/>
                <w:i/>
                <w:color w:val="auto"/>
                <w:szCs w:val="21"/>
                <w:highlight w:val="none"/>
                <w:lang w:eastAsia="zh-CN"/>
              </w:rPr>
              <w:t>无</w:t>
            </w:r>
          </w:p>
        </w:tc>
      </w:tr>
    </w:tbl>
    <w:p w14:paraId="2EB54204">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14:paraId="2B42CA29">
      <w:pPr>
        <w:pStyle w:val="26"/>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br w:type="page"/>
      </w:r>
      <w:bookmarkEnd w:id="246"/>
      <w:bookmarkEnd w:id="247"/>
      <w:r>
        <w:rPr>
          <w:rFonts w:hint="eastAsia" w:ascii="宋体" w:hAnsi="宋体" w:eastAsia="宋体" w:cs="宋体"/>
          <w:color w:val="auto"/>
          <w:highlight w:val="none"/>
          <w:u w:val="none"/>
        </w:rPr>
        <w:t xml:space="preserve"> </w:t>
      </w:r>
    </w:p>
    <w:p w14:paraId="1DD691B3">
      <w:pPr>
        <w:pStyle w:val="3"/>
        <w:spacing w:line="360" w:lineRule="auto"/>
        <w:ind w:firstLine="883"/>
        <w:jc w:val="center"/>
        <w:rPr>
          <w:rFonts w:hint="eastAsia" w:ascii="宋体" w:hAnsi="宋体" w:eastAsia="宋体" w:cs="宋体"/>
          <w:bCs w:val="0"/>
          <w:snapToGrid w:val="0"/>
          <w:color w:val="auto"/>
          <w:highlight w:val="none"/>
          <w:lang w:val="zh-CN"/>
        </w:rPr>
      </w:pPr>
      <w:bookmarkStart w:id="248" w:name="_Toc430530509"/>
      <w:bookmarkStart w:id="249" w:name="_Toc509218785"/>
      <w:bookmarkStart w:id="250" w:name="_Toc31711"/>
      <w:bookmarkStart w:id="251" w:name="_Toc27983309"/>
      <w:r>
        <w:rPr>
          <w:rFonts w:hint="eastAsia" w:ascii="宋体" w:hAnsi="宋体" w:eastAsia="宋体" w:cs="宋体"/>
          <w:bCs w:val="0"/>
          <w:snapToGrid w:val="0"/>
          <w:color w:val="auto"/>
          <w:highlight w:val="none"/>
        </w:rPr>
        <w:t>第四章  合同条款及格式</w:t>
      </w:r>
      <w:bookmarkEnd w:id="248"/>
      <w:bookmarkEnd w:id="249"/>
      <w:bookmarkEnd w:id="250"/>
      <w:bookmarkEnd w:id="251"/>
    </w:p>
    <w:p w14:paraId="21BE84AD">
      <w:pPr>
        <w:jc w:val="center"/>
        <w:rPr>
          <w:rFonts w:hint="eastAsia" w:ascii="宋体" w:hAnsi="宋体" w:eastAsia="宋体" w:cs="宋体"/>
          <w:b/>
          <w:color w:val="000000"/>
          <w:sz w:val="52"/>
          <w:szCs w:val="52"/>
          <w:highlight w:val="none"/>
        </w:rPr>
      </w:pPr>
      <w:r>
        <w:rPr>
          <w:rFonts w:hint="eastAsia" w:ascii="宋体" w:hAnsi="宋体" w:eastAsia="宋体" w:cs="宋体"/>
          <w:color w:val="auto"/>
          <w:szCs w:val="21"/>
          <w:highlight w:val="none"/>
          <w:lang w:val="en-US" w:eastAsia="zh-CN"/>
        </w:rPr>
        <w:t>详见附件</w:t>
      </w:r>
      <w:r>
        <w:rPr>
          <w:rFonts w:hint="eastAsia" w:ascii="宋体" w:hAnsi="宋体" w:eastAsia="宋体" w:cs="宋体"/>
          <w:color w:val="auto"/>
          <w:szCs w:val="21"/>
          <w:highlight w:val="none"/>
        </w:rPr>
        <w:t>。</w:t>
      </w:r>
      <w:r>
        <w:rPr>
          <w:rFonts w:hint="eastAsia" w:ascii="宋体" w:hAnsi="宋体" w:eastAsia="宋体" w:cs="宋体"/>
          <w:b/>
          <w:color w:val="000000"/>
          <w:sz w:val="52"/>
          <w:szCs w:val="52"/>
          <w:highlight w:val="none"/>
        </w:rPr>
        <w:t xml:space="preserve">   </w:t>
      </w:r>
    </w:p>
    <w:p w14:paraId="04B7BC07">
      <w:pPr>
        <w:jc w:val="left"/>
        <w:rPr>
          <w:rFonts w:hint="eastAsia" w:ascii="宋体" w:hAnsi="宋体" w:eastAsia="宋体" w:cs="宋体"/>
          <w:b/>
          <w:color w:val="000000"/>
          <w:sz w:val="52"/>
          <w:szCs w:val="52"/>
          <w:highlight w:val="none"/>
        </w:rPr>
      </w:pPr>
      <w:r>
        <w:rPr>
          <w:rFonts w:hint="eastAsia" w:ascii="宋体" w:hAnsi="宋体" w:eastAsia="宋体" w:cs="宋体"/>
          <w:b/>
          <w:color w:val="000000"/>
          <w:sz w:val="52"/>
          <w:szCs w:val="52"/>
          <w:highlight w:val="none"/>
        </w:rPr>
        <w:br w:type="page"/>
      </w:r>
    </w:p>
    <w:p w14:paraId="070CDA38">
      <w:pPr>
        <w:pStyle w:val="3"/>
        <w:spacing w:before="0" w:after="0" w:line="360" w:lineRule="auto"/>
        <w:jc w:val="center"/>
        <w:rPr>
          <w:rFonts w:hint="eastAsia" w:ascii="宋体" w:hAnsi="宋体" w:eastAsia="宋体" w:cs="宋体"/>
          <w:b w:val="0"/>
          <w:color w:val="auto"/>
          <w:highlight w:val="none"/>
        </w:rPr>
      </w:pPr>
      <w:bookmarkStart w:id="252" w:name="_Toc430530513"/>
      <w:bookmarkStart w:id="253" w:name="_Toc287607855"/>
      <w:bookmarkStart w:id="254" w:name="_Toc509218843"/>
      <w:bookmarkStart w:id="255" w:name="_Toc9230"/>
      <w:bookmarkStart w:id="256" w:name="_Toc534185822"/>
      <w:bookmarkStart w:id="257" w:name="_Toc287620797"/>
      <w:bookmarkStart w:id="258" w:name="_Toc296503025"/>
      <w:bookmarkStart w:id="259" w:name="_Toc296890982"/>
      <w:bookmarkStart w:id="260" w:name="_Toc351203480"/>
      <w:r>
        <w:rPr>
          <w:rFonts w:hint="eastAsia" w:ascii="宋体" w:hAnsi="宋体" w:eastAsia="宋体" w:cs="宋体"/>
          <w:bCs w:val="0"/>
          <w:color w:val="auto"/>
          <w:highlight w:val="none"/>
        </w:rPr>
        <w:t>第五章  工程量清单</w:t>
      </w:r>
      <w:bookmarkEnd w:id="252"/>
      <w:bookmarkEnd w:id="253"/>
      <w:bookmarkEnd w:id="254"/>
      <w:bookmarkEnd w:id="255"/>
      <w:bookmarkEnd w:id="256"/>
      <w:bookmarkEnd w:id="257"/>
    </w:p>
    <w:p w14:paraId="2EA0C5CC">
      <w:pPr>
        <w:snapToGrid w:val="0"/>
        <w:spacing w:line="360" w:lineRule="auto"/>
        <w:jc w:val="center"/>
        <w:rPr>
          <w:rFonts w:hint="eastAsia" w:ascii="宋体" w:hAnsi="宋体" w:eastAsia="宋体" w:cs="宋体"/>
          <w:color w:val="auto"/>
          <w:szCs w:val="21"/>
          <w:highlight w:val="none"/>
        </w:rPr>
      </w:pPr>
      <w:bookmarkStart w:id="261" w:name="招标文件05章工程量清单01"/>
      <w:bookmarkEnd w:id="261"/>
    </w:p>
    <w:p w14:paraId="6FAE5033">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详见附件</w:t>
      </w:r>
      <w:r>
        <w:rPr>
          <w:rFonts w:hint="eastAsia" w:ascii="宋体" w:hAnsi="宋体" w:eastAsia="宋体" w:cs="宋体"/>
          <w:color w:val="auto"/>
          <w:szCs w:val="21"/>
          <w:highlight w:val="none"/>
        </w:rPr>
        <w:t>。</w:t>
      </w:r>
    </w:p>
    <w:p w14:paraId="169862F0">
      <w:pPr>
        <w:autoSpaceDE w:val="0"/>
        <w:autoSpaceDN w:val="0"/>
        <w:adjustRightInd w:val="0"/>
        <w:snapToGrid w:val="0"/>
        <w:spacing w:line="360" w:lineRule="auto"/>
        <w:rPr>
          <w:rFonts w:hint="eastAsia" w:ascii="宋体" w:hAnsi="宋体" w:eastAsia="宋体" w:cs="宋体"/>
          <w:color w:val="auto"/>
          <w:highlight w:val="none"/>
        </w:rPr>
      </w:pPr>
      <w:r>
        <w:rPr>
          <w:rFonts w:hint="eastAsia" w:ascii="宋体" w:hAnsi="宋体" w:eastAsia="宋体" w:cs="宋体"/>
          <w:color w:val="auto"/>
          <w:sz w:val="24"/>
          <w:highlight w:val="none"/>
        </w:rPr>
        <w:br w:type="page"/>
      </w:r>
    </w:p>
    <w:p w14:paraId="11B7B114">
      <w:pPr>
        <w:pStyle w:val="3"/>
        <w:spacing w:before="0" w:after="0" w:line="480" w:lineRule="auto"/>
        <w:jc w:val="center"/>
        <w:rPr>
          <w:rFonts w:hint="eastAsia" w:ascii="宋体" w:hAnsi="宋体" w:eastAsia="宋体" w:cs="宋体"/>
          <w:color w:val="auto"/>
          <w:sz w:val="52"/>
          <w:szCs w:val="52"/>
          <w:highlight w:val="none"/>
        </w:rPr>
      </w:pPr>
      <w:bookmarkStart w:id="262" w:name="_Toc534185823"/>
      <w:bookmarkStart w:id="263" w:name="_Toc509218844"/>
      <w:bookmarkStart w:id="264" w:name="_Toc20558"/>
      <w:r>
        <w:rPr>
          <w:rFonts w:hint="eastAsia" w:ascii="宋体" w:hAnsi="宋体" w:eastAsia="宋体" w:cs="宋体"/>
          <w:color w:val="auto"/>
          <w:sz w:val="52"/>
          <w:szCs w:val="52"/>
          <w:highlight w:val="none"/>
        </w:rPr>
        <w:t>第 二 卷</w:t>
      </w:r>
      <w:bookmarkEnd w:id="262"/>
      <w:bookmarkEnd w:id="263"/>
      <w:bookmarkEnd w:id="264"/>
    </w:p>
    <w:p w14:paraId="41C08E40">
      <w:pPr>
        <w:pStyle w:val="3"/>
        <w:spacing w:before="0" w:after="0" w:line="360" w:lineRule="auto"/>
        <w:jc w:val="center"/>
        <w:rPr>
          <w:rFonts w:hint="eastAsia" w:ascii="宋体" w:hAnsi="宋体" w:eastAsia="宋体" w:cs="宋体"/>
          <w:color w:val="auto"/>
          <w:sz w:val="48"/>
          <w:szCs w:val="48"/>
          <w:highlight w:val="none"/>
        </w:rPr>
      </w:pPr>
      <w:r>
        <w:rPr>
          <w:rFonts w:hint="eastAsia" w:ascii="宋体" w:hAnsi="宋体" w:eastAsia="宋体" w:cs="宋体"/>
          <w:color w:val="auto"/>
          <w:szCs w:val="20"/>
          <w:highlight w:val="none"/>
        </w:rPr>
        <w:br w:type="page"/>
      </w:r>
      <w:bookmarkStart w:id="265" w:name="招标文件06章图纸"/>
      <w:bookmarkEnd w:id="265"/>
      <w:bookmarkStart w:id="266" w:name="_Toc509218846"/>
      <w:bookmarkStart w:id="267" w:name="_Toc287607861"/>
      <w:bookmarkStart w:id="268" w:name="_Toc534185825"/>
      <w:bookmarkStart w:id="269" w:name="_Toc287620803"/>
      <w:bookmarkStart w:id="270" w:name="_Toc430530519"/>
      <w:bookmarkStart w:id="271" w:name="_Toc29302"/>
      <w:r>
        <w:rPr>
          <w:rFonts w:hint="eastAsia" w:ascii="宋体" w:hAnsi="宋体" w:eastAsia="宋体" w:cs="宋体"/>
          <w:bCs w:val="0"/>
          <w:color w:val="auto"/>
          <w:highlight w:val="none"/>
        </w:rPr>
        <w:t>第六章  图纸</w:t>
      </w:r>
      <w:bookmarkEnd w:id="266"/>
      <w:bookmarkEnd w:id="267"/>
      <w:bookmarkEnd w:id="268"/>
      <w:bookmarkEnd w:id="269"/>
      <w:bookmarkEnd w:id="270"/>
      <w:bookmarkEnd w:id="271"/>
    </w:p>
    <w:p w14:paraId="710618D8">
      <w:pPr>
        <w:spacing w:line="360" w:lineRule="auto"/>
        <w:jc w:val="center"/>
        <w:rPr>
          <w:rFonts w:hint="eastAsia" w:ascii="宋体" w:hAnsi="宋体" w:eastAsia="宋体" w:cs="宋体"/>
          <w:color w:val="auto"/>
          <w:szCs w:val="21"/>
          <w:highlight w:val="none"/>
        </w:rPr>
      </w:pPr>
    </w:p>
    <w:p w14:paraId="57A9CB78">
      <w:pPr>
        <w:spacing w:line="360" w:lineRule="auto"/>
        <w:ind w:firstLine="420" w:firstLineChars="200"/>
        <w:jc w:val="left"/>
        <w:rPr>
          <w:rFonts w:hint="eastAsia" w:ascii="宋体" w:hAnsi="宋体" w:eastAsia="宋体" w:cs="宋体"/>
          <w:color w:val="auto"/>
          <w:highlight w:val="none"/>
        </w:rPr>
      </w:pPr>
      <w:r>
        <w:rPr>
          <w:rFonts w:hint="eastAsia" w:ascii="宋体" w:hAnsi="宋体" w:cs="宋体"/>
          <w:b w:val="0"/>
          <w:bCs w:val="0"/>
          <w:i w:val="0"/>
          <w:color w:val="auto"/>
          <w:kern w:val="2"/>
          <w:sz w:val="21"/>
          <w:szCs w:val="21"/>
          <w:highlight w:val="none"/>
          <w:lang w:val="en-US" w:eastAsia="zh-CN"/>
        </w:rPr>
        <w:t>1.无。</w:t>
      </w:r>
      <w:r>
        <w:rPr>
          <w:rFonts w:hint="eastAsia" w:ascii="宋体" w:hAnsi="宋体" w:eastAsia="宋体" w:cs="宋体"/>
          <w:color w:val="auto"/>
          <w:szCs w:val="20"/>
          <w:highlight w:val="none"/>
        </w:rPr>
        <w:br w:type="page"/>
      </w:r>
      <w:bookmarkStart w:id="272" w:name="招标文件06章图纸01"/>
      <w:bookmarkEnd w:id="272"/>
    </w:p>
    <w:p w14:paraId="331C7555">
      <w:pPr>
        <w:pStyle w:val="3"/>
        <w:spacing w:before="0" w:after="0" w:line="480" w:lineRule="auto"/>
        <w:jc w:val="center"/>
        <w:rPr>
          <w:rFonts w:hint="eastAsia" w:ascii="宋体" w:hAnsi="宋体" w:eastAsia="宋体" w:cs="宋体"/>
          <w:color w:val="auto"/>
          <w:sz w:val="52"/>
          <w:szCs w:val="52"/>
          <w:highlight w:val="none"/>
        </w:rPr>
      </w:pPr>
      <w:bookmarkStart w:id="273" w:name="_Toc6776"/>
      <w:r>
        <w:rPr>
          <w:rFonts w:hint="eastAsia" w:ascii="宋体" w:hAnsi="宋体" w:eastAsia="宋体" w:cs="宋体"/>
          <w:color w:val="auto"/>
          <w:sz w:val="52"/>
          <w:szCs w:val="52"/>
          <w:highlight w:val="none"/>
        </w:rPr>
        <w:t>第 三 卷</w:t>
      </w:r>
      <w:bookmarkEnd w:id="273"/>
    </w:p>
    <w:p w14:paraId="564133F0">
      <w:pPr>
        <w:pStyle w:val="3"/>
        <w:spacing w:before="0" w:after="0" w:line="360" w:lineRule="auto"/>
        <w:jc w:val="center"/>
        <w:rPr>
          <w:rFonts w:hint="eastAsia" w:ascii="宋体" w:hAnsi="宋体" w:eastAsia="宋体" w:cs="宋体"/>
          <w:color w:val="auto"/>
          <w:sz w:val="48"/>
          <w:szCs w:val="48"/>
          <w:highlight w:val="none"/>
        </w:rPr>
      </w:pPr>
      <w:bookmarkStart w:id="274" w:name="_Toc536800736"/>
      <w:bookmarkStart w:id="275" w:name="_Toc43278921"/>
      <w:bookmarkStart w:id="276" w:name="_Toc536782206"/>
      <w:bookmarkStart w:id="277" w:name="_Toc536773650"/>
      <w:bookmarkStart w:id="278" w:name="_Toc30239"/>
      <w:bookmarkStart w:id="279" w:name="_Toc536782072"/>
      <w:bookmarkStart w:id="280" w:name="_Toc536781937"/>
      <w:bookmarkStart w:id="281" w:name="_Toc536781805"/>
      <w:bookmarkStart w:id="282" w:name="_Toc534185826"/>
      <w:bookmarkStart w:id="283" w:name="_Toc37531145"/>
      <w:r>
        <w:rPr>
          <w:rFonts w:hint="eastAsia" w:ascii="宋体" w:hAnsi="宋体" w:eastAsia="宋体" w:cs="宋体"/>
          <w:color w:val="auto"/>
          <w:sz w:val="56"/>
          <w:szCs w:val="56"/>
          <w:highlight w:val="none"/>
        </w:rPr>
        <w:br w:type="page"/>
      </w:r>
      <w:bookmarkEnd w:id="274"/>
      <w:bookmarkEnd w:id="275"/>
      <w:bookmarkEnd w:id="276"/>
      <w:bookmarkEnd w:id="277"/>
      <w:bookmarkEnd w:id="278"/>
      <w:bookmarkEnd w:id="279"/>
      <w:bookmarkEnd w:id="280"/>
      <w:bookmarkEnd w:id="281"/>
      <w:bookmarkEnd w:id="282"/>
      <w:bookmarkEnd w:id="283"/>
      <w:bookmarkStart w:id="284" w:name="招标文件07章技术标准和要求"/>
      <w:bookmarkEnd w:id="284"/>
      <w:bookmarkStart w:id="285" w:name="_Toc11633"/>
      <w:r>
        <w:rPr>
          <w:rFonts w:hint="eastAsia" w:ascii="宋体" w:hAnsi="宋体" w:eastAsia="宋体" w:cs="宋体"/>
          <w:bCs w:val="0"/>
          <w:color w:val="auto"/>
          <w:highlight w:val="none"/>
        </w:rPr>
        <w:t>第七章  技术标准和要求</w:t>
      </w:r>
      <w:bookmarkEnd w:id="285"/>
      <w:bookmarkStart w:id="286" w:name="招标文件07章技术标准和要求01"/>
      <w:bookmarkEnd w:id="286"/>
      <w:bookmarkStart w:id="287" w:name="_Toc287620808"/>
      <w:bookmarkStart w:id="288" w:name="_Toc430530524"/>
    </w:p>
    <w:bookmarkEnd w:id="287"/>
    <w:bookmarkEnd w:id="288"/>
    <w:p w14:paraId="2E35E43C">
      <w:pPr>
        <w:spacing w:line="360" w:lineRule="auto"/>
        <w:jc w:val="center"/>
        <w:rPr>
          <w:rFonts w:hint="eastAsia" w:ascii="宋体" w:hAnsi="宋体" w:eastAsia="宋体" w:cs="宋体"/>
          <w:i/>
          <w:color w:val="auto"/>
          <w:highlight w:val="none"/>
        </w:rPr>
      </w:pPr>
    </w:p>
    <w:p w14:paraId="5A815337">
      <w:pPr>
        <w:ind w:firstLine="420" w:firstLineChars="200"/>
        <w:jc w:val="center"/>
        <w:rPr>
          <w:rFonts w:hint="eastAsia" w:ascii="宋体" w:hAnsi="宋体" w:eastAsia="宋体" w:cs="宋体"/>
          <w:b w:val="0"/>
          <w:color w:val="auto"/>
          <w:sz w:val="48"/>
          <w:szCs w:val="48"/>
          <w:highlight w:val="none"/>
        </w:rPr>
      </w:pPr>
      <w:bookmarkStart w:id="289" w:name="_Toc28727"/>
      <w:r>
        <w:rPr>
          <w:rFonts w:hint="eastAsia" w:ascii="宋体" w:hAnsi="宋体" w:cs="宋体"/>
          <w:b w:val="0"/>
          <w:bCs w:val="0"/>
          <w:i w:val="0"/>
          <w:color w:val="auto"/>
          <w:kern w:val="2"/>
          <w:sz w:val="21"/>
          <w:szCs w:val="21"/>
          <w:highlight w:val="none"/>
          <w:lang w:val="en-US" w:eastAsia="zh-CN"/>
        </w:rPr>
        <w:t>1.技术标准详见附件。</w:t>
      </w:r>
      <w:r>
        <w:rPr>
          <w:rFonts w:hint="eastAsia" w:ascii="宋体" w:hAnsi="宋体" w:eastAsia="宋体" w:cs="宋体"/>
          <w:b w:val="0"/>
          <w:color w:val="auto"/>
          <w:sz w:val="48"/>
          <w:szCs w:val="48"/>
          <w:highlight w:val="none"/>
        </w:rPr>
        <w:br w:type="page"/>
      </w:r>
      <w:r>
        <w:rPr>
          <w:rFonts w:hint="eastAsia" w:ascii="宋体" w:hAnsi="宋体" w:eastAsia="宋体" w:cs="宋体"/>
          <w:b/>
          <w:bCs w:val="0"/>
          <w:color w:val="auto"/>
          <w:kern w:val="44"/>
          <w:sz w:val="44"/>
          <w:szCs w:val="44"/>
          <w:highlight w:val="none"/>
        </w:rPr>
        <w:t>第八章  工程量清单计量规则</w:t>
      </w:r>
      <w:bookmarkEnd w:id="289"/>
    </w:p>
    <w:p w14:paraId="5E58B3EF">
      <w:pPr>
        <w:spacing w:line="360" w:lineRule="auto"/>
        <w:jc w:val="center"/>
        <w:rPr>
          <w:rFonts w:hint="eastAsia" w:ascii="宋体" w:hAnsi="宋体" w:eastAsia="宋体" w:cs="宋体"/>
          <w:color w:val="auto"/>
          <w:szCs w:val="21"/>
          <w:highlight w:val="none"/>
        </w:rPr>
      </w:pPr>
      <w:bookmarkStart w:id="290" w:name="_Toc509218849"/>
      <w:bookmarkStart w:id="291" w:name="_Toc534185827"/>
      <w:r>
        <w:rPr>
          <w:rFonts w:hint="eastAsia" w:ascii="宋体" w:hAnsi="宋体" w:eastAsia="宋体" w:cs="宋体"/>
          <w:color w:val="auto"/>
          <w:szCs w:val="21"/>
          <w:highlight w:val="none"/>
          <w:lang w:val="en-US" w:eastAsia="zh-CN"/>
        </w:rPr>
        <w:t>详见附件</w:t>
      </w:r>
      <w:r>
        <w:rPr>
          <w:rFonts w:hint="eastAsia" w:ascii="宋体" w:hAnsi="宋体" w:eastAsia="宋体" w:cs="宋体"/>
          <w:color w:val="auto"/>
          <w:szCs w:val="21"/>
          <w:highlight w:val="none"/>
        </w:rPr>
        <w:t>。</w:t>
      </w:r>
    </w:p>
    <w:p w14:paraId="449617AA">
      <w:pPr>
        <w:spacing w:line="360" w:lineRule="auto"/>
        <w:jc w:val="center"/>
        <w:rPr>
          <w:rFonts w:hint="eastAsia" w:ascii="宋体" w:hAnsi="宋体" w:eastAsia="宋体" w:cs="宋体"/>
          <w:color w:val="auto"/>
          <w:szCs w:val="21"/>
          <w:highlight w:val="none"/>
        </w:rPr>
      </w:pPr>
    </w:p>
    <w:p w14:paraId="31195BB8">
      <w:pPr>
        <w:pStyle w:val="3"/>
        <w:spacing w:before="0" w:after="0" w:line="480" w:lineRule="auto"/>
        <w:jc w:val="center"/>
        <w:rPr>
          <w:rFonts w:hint="eastAsia" w:ascii="宋体" w:hAnsi="宋体" w:eastAsia="宋体" w:cs="宋体"/>
          <w:color w:val="auto"/>
          <w:sz w:val="52"/>
          <w:szCs w:val="52"/>
          <w:highlight w:val="none"/>
        </w:rPr>
      </w:pPr>
      <w:r>
        <w:rPr>
          <w:rFonts w:hint="eastAsia" w:ascii="宋体" w:hAnsi="宋体" w:eastAsia="宋体" w:cs="宋体"/>
          <w:color w:val="auto"/>
          <w:sz w:val="52"/>
          <w:szCs w:val="52"/>
          <w:highlight w:val="none"/>
        </w:rPr>
        <w:br w:type="page"/>
      </w:r>
      <w:bookmarkStart w:id="292" w:name="_Toc7873"/>
      <w:r>
        <w:rPr>
          <w:rFonts w:hint="eastAsia" w:ascii="宋体" w:hAnsi="宋体" w:eastAsia="宋体" w:cs="宋体"/>
          <w:color w:val="auto"/>
          <w:sz w:val="52"/>
          <w:szCs w:val="52"/>
          <w:highlight w:val="none"/>
        </w:rPr>
        <w:t>第 四 卷</w:t>
      </w:r>
      <w:bookmarkEnd w:id="290"/>
      <w:bookmarkEnd w:id="291"/>
      <w:bookmarkEnd w:id="292"/>
    </w:p>
    <w:p w14:paraId="600DAAA3">
      <w:pPr>
        <w:pStyle w:val="3"/>
        <w:spacing w:before="0" w:after="0" w:line="360" w:lineRule="auto"/>
        <w:jc w:val="center"/>
        <w:rPr>
          <w:rFonts w:hint="eastAsia" w:ascii="宋体" w:hAnsi="宋体" w:eastAsia="宋体" w:cs="宋体"/>
          <w:b w:val="0"/>
          <w:color w:val="auto"/>
          <w:sz w:val="48"/>
          <w:szCs w:val="48"/>
          <w:highlight w:val="none"/>
        </w:rPr>
      </w:pPr>
      <w:bookmarkStart w:id="293" w:name="招标文件08章投标文件格式"/>
      <w:bookmarkEnd w:id="293"/>
      <w:bookmarkStart w:id="294" w:name="_Toc287607865"/>
      <w:bookmarkStart w:id="295" w:name="_Toc534185829"/>
      <w:bookmarkStart w:id="296" w:name="_Toc509218852"/>
      <w:bookmarkStart w:id="297" w:name="_Toc430530528"/>
      <w:bookmarkStart w:id="298" w:name="_Toc287620812"/>
      <w:r>
        <w:rPr>
          <w:rFonts w:hint="eastAsia" w:ascii="宋体" w:hAnsi="宋体" w:eastAsia="宋体" w:cs="宋体"/>
          <w:b w:val="0"/>
          <w:color w:val="auto"/>
          <w:sz w:val="48"/>
          <w:szCs w:val="48"/>
          <w:highlight w:val="none"/>
        </w:rPr>
        <w:br w:type="page"/>
      </w:r>
      <w:bookmarkStart w:id="299" w:name="_Toc12482"/>
      <w:r>
        <w:rPr>
          <w:rFonts w:hint="eastAsia" w:ascii="宋体" w:hAnsi="宋体" w:eastAsia="宋体" w:cs="宋体"/>
          <w:bCs w:val="0"/>
          <w:color w:val="auto"/>
          <w:highlight w:val="none"/>
        </w:rPr>
        <w:t>第九章  投标文件格式</w:t>
      </w:r>
      <w:bookmarkEnd w:id="294"/>
      <w:bookmarkEnd w:id="295"/>
      <w:bookmarkEnd w:id="296"/>
      <w:bookmarkEnd w:id="297"/>
      <w:bookmarkEnd w:id="298"/>
      <w:bookmarkEnd w:id="299"/>
    </w:p>
    <w:p w14:paraId="5C0E32D3">
      <w:pPr>
        <w:spacing w:line="360" w:lineRule="auto"/>
        <w:jc w:val="center"/>
        <w:rPr>
          <w:rFonts w:hint="eastAsia" w:ascii="宋体" w:hAnsi="宋体" w:eastAsia="宋体" w:cs="宋体"/>
          <w:color w:val="auto"/>
          <w:kern w:val="0"/>
          <w:sz w:val="32"/>
          <w:szCs w:val="32"/>
          <w:highlight w:val="none"/>
        </w:rPr>
      </w:pPr>
      <w:r>
        <w:rPr>
          <w:rFonts w:hint="eastAsia" w:ascii="宋体" w:hAnsi="宋体" w:eastAsia="宋体" w:cs="宋体"/>
          <w:color w:val="auto"/>
          <w:szCs w:val="20"/>
          <w:highlight w:val="none"/>
        </w:rPr>
        <w:br w:type="page"/>
      </w:r>
      <w:r>
        <w:rPr>
          <w:rFonts w:hint="eastAsia" w:ascii="宋体" w:hAnsi="宋体" w:eastAsia="宋体" w:cs="宋体"/>
          <w:color w:val="auto"/>
          <w:kern w:val="0"/>
          <w:sz w:val="32"/>
          <w:szCs w:val="32"/>
          <w:highlight w:val="none"/>
          <w:u w:val="single"/>
        </w:rPr>
        <w:t xml:space="preserve">                   （项目名称）</w:t>
      </w:r>
    </w:p>
    <w:p w14:paraId="1A674EB4">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14:paraId="5BFF9036">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14:paraId="6D0682DB">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14:paraId="011D6D31">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14:paraId="236F9EAA">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14:paraId="16B21DC8">
      <w:pPr>
        <w:tabs>
          <w:tab w:val="left" w:pos="3600"/>
          <w:tab w:val="left" w:pos="4480"/>
          <w:tab w:val="left" w:pos="5360"/>
        </w:tabs>
        <w:autoSpaceDE w:val="0"/>
        <w:autoSpaceDN w:val="0"/>
        <w:adjustRightInd w:val="0"/>
        <w:snapToGrid w:val="0"/>
        <w:spacing w:line="360" w:lineRule="auto"/>
        <w:jc w:val="center"/>
        <w:rPr>
          <w:rFonts w:hint="eastAsia" w:ascii="宋体" w:hAnsi="宋体" w:eastAsia="宋体" w:cs="宋体"/>
          <w:color w:val="auto"/>
          <w:kern w:val="0"/>
          <w:sz w:val="72"/>
          <w:szCs w:val="72"/>
          <w:highlight w:val="none"/>
        </w:rPr>
      </w:pPr>
      <w:r>
        <w:rPr>
          <w:rFonts w:hint="eastAsia" w:ascii="宋体" w:hAnsi="宋体" w:eastAsia="宋体" w:cs="宋体"/>
          <w:color w:val="auto"/>
          <w:kern w:val="0"/>
          <w:sz w:val="72"/>
          <w:szCs w:val="72"/>
          <w:highlight w:val="none"/>
        </w:rPr>
        <w:t>投 标 文 件</w:t>
      </w:r>
    </w:p>
    <w:p w14:paraId="01B78905">
      <w:pPr>
        <w:autoSpaceDE w:val="0"/>
        <w:autoSpaceDN w:val="0"/>
        <w:adjustRightInd w:val="0"/>
        <w:snapToGrid w:val="0"/>
        <w:spacing w:line="360" w:lineRule="auto"/>
        <w:jc w:val="left"/>
        <w:rPr>
          <w:rFonts w:hint="eastAsia" w:ascii="宋体" w:hAnsi="宋体" w:eastAsia="宋体" w:cs="宋体"/>
          <w:color w:val="auto"/>
          <w:kern w:val="0"/>
          <w:sz w:val="16"/>
          <w:szCs w:val="16"/>
          <w:highlight w:val="none"/>
        </w:rPr>
      </w:pPr>
    </w:p>
    <w:p w14:paraId="21A7430C">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14:paraId="55B8EF6C">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14:paraId="0E8FE2C8">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14:paraId="48B5125F">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14:paraId="759AF703">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14:paraId="74D9B1BD">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14:paraId="72AFF1CD">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14:paraId="2A6C64C2">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14:paraId="5873BC3C">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14:paraId="419D6AB2">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14:paraId="74500653">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14:paraId="579BF900">
      <w:pPr>
        <w:tabs>
          <w:tab w:val="left" w:pos="6080"/>
          <w:tab w:val="left" w:pos="6640"/>
        </w:tabs>
        <w:autoSpaceDE w:val="0"/>
        <w:autoSpaceDN w:val="0"/>
        <w:adjustRightInd w:val="0"/>
        <w:snapToGrid w:val="0"/>
        <w:spacing w:after="120" w:afterLines="50" w:line="360" w:lineRule="auto"/>
        <w:jc w:val="center"/>
        <w:rPr>
          <w:rFonts w:hint="eastAsia" w:ascii="宋体" w:hAnsi="宋体" w:eastAsia="宋体" w:cs="宋体"/>
          <w:color w:val="auto"/>
          <w:w w:val="99"/>
          <w:kern w:val="0"/>
          <w:sz w:val="28"/>
          <w:szCs w:val="28"/>
          <w:highlight w:val="none"/>
        </w:rPr>
      </w:pPr>
      <w:r>
        <w:rPr>
          <w:rFonts w:hint="eastAsia" w:ascii="宋体" w:hAnsi="宋体" w:eastAsia="宋体" w:cs="宋体"/>
          <w:color w:val="auto"/>
          <w:w w:val="99"/>
          <w:kern w:val="0"/>
          <w:sz w:val="28"/>
          <w:szCs w:val="28"/>
          <w:highlight w:val="none"/>
        </w:rPr>
        <w:t>投标人</w:t>
      </w:r>
      <w:r>
        <w:rPr>
          <w:rFonts w:hint="eastAsia" w:ascii="宋体" w:hAnsi="宋体" w:eastAsia="宋体" w:cs="宋体"/>
          <w:color w:val="auto"/>
          <w:spacing w:val="1"/>
          <w:w w:val="99"/>
          <w:kern w:val="0"/>
          <w:sz w:val="28"/>
          <w:szCs w:val="28"/>
          <w:highlight w:val="none"/>
        </w:rPr>
        <w:t>：</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（盖单位法人章）</w:t>
      </w:r>
    </w:p>
    <w:p w14:paraId="15FE74CB">
      <w:pPr>
        <w:tabs>
          <w:tab w:val="left" w:pos="6080"/>
          <w:tab w:val="left" w:pos="6640"/>
        </w:tabs>
        <w:autoSpaceDE w:val="0"/>
        <w:autoSpaceDN w:val="0"/>
        <w:adjustRightInd w:val="0"/>
        <w:snapToGrid w:val="0"/>
        <w:spacing w:after="120" w:afterLines="50" w:line="360" w:lineRule="auto"/>
        <w:jc w:val="center"/>
        <w:rPr>
          <w:rFonts w:hint="eastAsia" w:ascii="宋体" w:hAnsi="宋体" w:eastAsia="宋体" w:cs="宋体"/>
          <w:color w:val="auto"/>
          <w:kern w:val="0"/>
          <w:sz w:val="28"/>
          <w:szCs w:val="28"/>
          <w:highlight w:val="none"/>
        </w:rPr>
      </w:pPr>
      <w:r>
        <w:rPr>
          <w:rFonts w:hint="eastAsia" w:ascii="宋体" w:hAnsi="宋体" w:eastAsia="宋体" w:cs="宋体"/>
          <w:color w:val="auto"/>
          <w:w w:val="99"/>
          <w:kern w:val="0"/>
          <w:sz w:val="28"/>
          <w:szCs w:val="28"/>
          <w:highlight w:val="none"/>
        </w:rPr>
        <w:t>法定代表人或其委托代理人：</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（签名或盖章）</w:t>
      </w:r>
    </w:p>
    <w:p w14:paraId="256E4DF8">
      <w:pPr>
        <w:jc w:val="center"/>
        <w:rPr>
          <w:rFonts w:hint="eastAsia" w:ascii="宋体" w:hAnsi="宋体" w:eastAsia="宋体" w:cs="宋体"/>
          <w:color w:val="auto"/>
          <w:highlight w:val="none"/>
        </w:rPr>
      </w:pPr>
      <w:r>
        <w:rPr>
          <w:rFonts w:hint="eastAsia" w:ascii="宋体" w:hAnsi="宋体" w:eastAsia="宋体" w:cs="宋体"/>
          <w:color w:val="auto"/>
          <w:w w:val="99"/>
          <w:kern w:val="0"/>
          <w:sz w:val="28"/>
          <w:szCs w:val="28"/>
          <w:highlight w:val="none"/>
        </w:rPr>
        <w:t>年</w:t>
      </w:r>
      <w:r>
        <w:rPr>
          <w:rFonts w:hint="eastAsia" w:ascii="宋体" w:hAnsi="宋体" w:eastAsia="宋体" w:cs="宋体"/>
          <w:color w:val="auto"/>
          <w:w w:val="99"/>
          <w:kern w:val="0"/>
          <w:sz w:val="28"/>
          <w:szCs w:val="28"/>
          <w:highlight w:val="none"/>
          <w:u w:val="single"/>
        </w:rPr>
        <w:t xml:space="preserve">    </w:t>
      </w:r>
      <w:r>
        <w:rPr>
          <w:rFonts w:hint="eastAsia" w:ascii="宋体" w:hAnsi="宋体" w:eastAsia="宋体" w:cs="宋体"/>
          <w:color w:val="auto"/>
          <w:w w:val="99"/>
          <w:kern w:val="0"/>
          <w:sz w:val="28"/>
          <w:szCs w:val="28"/>
          <w:highlight w:val="none"/>
        </w:rPr>
        <w:t>月</w:t>
      </w:r>
      <w:r>
        <w:rPr>
          <w:rFonts w:hint="eastAsia" w:ascii="宋体" w:hAnsi="宋体" w:eastAsia="宋体" w:cs="宋体"/>
          <w:color w:val="auto"/>
          <w:w w:val="99"/>
          <w:kern w:val="0"/>
          <w:sz w:val="28"/>
          <w:szCs w:val="28"/>
          <w:highlight w:val="none"/>
          <w:u w:val="single"/>
        </w:rPr>
        <w:t xml:space="preserve">    </w:t>
      </w:r>
      <w:r>
        <w:rPr>
          <w:rFonts w:hint="eastAsia" w:ascii="宋体" w:hAnsi="宋体" w:eastAsia="宋体" w:cs="宋体"/>
          <w:color w:val="auto"/>
          <w:w w:val="99"/>
          <w:kern w:val="0"/>
          <w:sz w:val="28"/>
          <w:szCs w:val="28"/>
          <w:highlight w:val="none"/>
        </w:rPr>
        <w:t>日</w:t>
      </w:r>
    </w:p>
    <w:p w14:paraId="6DBE4B31">
      <w:pPr>
        <w:spacing w:line="360" w:lineRule="auto"/>
        <w:rPr>
          <w:rFonts w:hint="eastAsia" w:ascii="宋体" w:hAnsi="宋体" w:eastAsia="宋体" w:cs="宋体"/>
          <w:color w:val="auto"/>
          <w:sz w:val="32"/>
          <w:szCs w:val="32"/>
          <w:highlight w:val="none"/>
        </w:rPr>
      </w:pPr>
    </w:p>
    <w:p w14:paraId="0809EF3D">
      <w:pPr>
        <w:spacing w:line="240" w:lineRule="auto"/>
        <w:jc w:val="left"/>
        <w:outlineLvl w:val="9"/>
        <w:rPr>
          <w:rFonts w:hint="eastAsia" w:ascii="宋体" w:hAnsi="宋体" w:eastAsia="宋体" w:cs="宋体"/>
          <w:color w:val="auto"/>
          <w:szCs w:val="20"/>
          <w:highlight w:val="none"/>
        </w:rPr>
      </w:pPr>
    </w:p>
    <w:p w14:paraId="09764DBA">
      <w:pPr>
        <w:spacing w:line="360" w:lineRule="auto"/>
        <w:jc w:val="center"/>
        <w:outlineLvl w:val="0"/>
        <w:rPr>
          <w:rFonts w:hint="eastAsia" w:ascii="宋体" w:hAnsi="宋体" w:eastAsia="宋体" w:cs="宋体"/>
          <w:color w:val="auto"/>
          <w:szCs w:val="20"/>
          <w:highlight w:val="none"/>
        </w:rPr>
      </w:pPr>
      <w:bookmarkStart w:id="300" w:name="_Toc23377"/>
      <w:r>
        <w:rPr>
          <w:rFonts w:hint="eastAsia" w:ascii="宋体" w:hAnsi="宋体" w:eastAsia="宋体" w:cs="宋体"/>
          <w:b/>
          <w:bCs/>
          <w:color w:val="auto"/>
          <w:sz w:val="36"/>
          <w:szCs w:val="36"/>
          <w:highlight w:val="none"/>
        </w:rPr>
        <w:t>目  录</w:t>
      </w:r>
      <w:bookmarkEnd w:id="300"/>
    </w:p>
    <w:p w14:paraId="76DD7E89">
      <w:pPr>
        <w:spacing w:line="360" w:lineRule="auto"/>
        <w:outlineLvl w:val="0"/>
        <w:rPr>
          <w:rFonts w:hint="eastAsia" w:ascii="宋体" w:hAnsi="宋体" w:eastAsia="宋体" w:cs="宋体"/>
          <w:b/>
          <w:color w:val="auto"/>
          <w:highlight w:val="none"/>
        </w:rPr>
      </w:pPr>
      <w:bookmarkStart w:id="301" w:name="_Toc19872"/>
      <w:r>
        <w:rPr>
          <w:rFonts w:hint="eastAsia" w:ascii="宋体" w:hAnsi="宋体" w:eastAsia="宋体" w:cs="宋体"/>
          <w:b/>
          <w:color w:val="auto"/>
          <w:highlight w:val="none"/>
        </w:rPr>
        <w:t>一、投标函部分</w:t>
      </w:r>
      <w:bookmarkEnd w:id="301"/>
    </w:p>
    <w:p w14:paraId="0F573BBE">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（一）投标函</w:t>
      </w:r>
    </w:p>
    <w:p w14:paraId="21D85E26">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（二）投标函附录</w:t>
      </w:r>
    </w:p>
    <w:p w14:paraId="7705289A">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（三）法定代表人身份证明或附有法定代表人身份证明的授权委托书</w:t>
      </w:r>
    </w:p>
    <w:p w14:paraId="6676768C">
      <w:pPr>
        <w:spacing w:line="360" w:lineRule="auto"/>
        <w:outlineLvl w:val="0"/>
        <w:rPr>
          <w:rFonts w:hint="eastAsia" w:ascii="宋体" w:hAnsi="宋体" w:eastAsia="宋体" w:cs="宋体"/>
          <w:b/>
          <w:color w:val="auto"/>
          <w:highlight w:val="none"/>
        </w:rPr>
      </w:pPr>
      <w:bookmarkStart w:id="302" w:name="_Toc9644"/>
      <w:r>
        <w:rPr>
          <w:rFonts w:hint="eastAsia" w:ascii="宋体" w:hAnsi="宋体" w:eastAsia="宋体" w:cs="宋体"/>
          <w:b/>
          <w:color w:val="auto"/>
          <w:highlight w:val="none"/>
        </w:rPr>
        <w:t>二、经济部分</w:t>
      </w:r>
      <w:bookmarkEnd w:id="302"/>
    </w:p>
    <w:p w14:paraId="5C8FDEC8">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已标价工程量清单</w:t>
      </w:r>
    </w:p>
    <w:p w14:paraId="481416BB">
      <w:pPr>
        <w:spacing w:line="360" w:lineRule="auto"/>
        <w:outlineLvl w:val="0"/>
        <w:rPr>
          <w:rFonts w:hint="eastAsia" w:ascii="宋体" w:hAnsi="宋体" w:eastAsia="宋体" w:cs="宋体"/>
          <w:b/>
          <w:color w:val="auto"/>
          <w:highlight w:val="none"/>
        </w:rPr>
      </w:pPr>
      <w:bookmarkStart w:id="303" w:name="_Toc16841"/>
      <w:r>
        <w:rPr>
          <w:rFonts w:hint="eastAsia" w:ascii="宋体" w:hAnsi="宋体" w:eastAsia="宋体" w:cs="宋体"/>
          <w:b/>
          <w:color w:val="auto"/>
          <w:highlight w:val="none"/>
        </w:rPr>
        <w:t>三、商务部分</w:t>
      </w:r>
      <w:bookmarkEnd w:id="303"/>
    </w:p>
    <w:p w14:paraId="0FCB5B1D">
      <w:pPr>
        <w:spacing w:line="360" w:lineRule="auto"/>
        <w:ind w:firstLine="420" w:firstLineChars="200"/>
        <w:outlineLvl w:val="9"/>
        <w:rPr>
          <w:rFonts w:hint="eastAsia" w:ascii="宋体" w:hAnsi="宋体" w:cs="宋体"/>
          <w:b w:val="0"/>
          <w:color w:val="auto"/>
          <w:highlight w:val="none"/>
          <w:lang w:val="en-US" w:eastAsia="zh-CN"/>
        </w:rPr>
      </w:pPr>
      <w:bookmarkStart w:id="304" w:name="_Toc11555"/>
      <w:r>
        <w:rPr>
          <w:rFonts w:hint="eastAsia" w:ascii="宋体" w:hAnsi="宋体" w:cs="宋体"/>
          <w:b w:val="0"/>
          <w:color w:val="auto"/>
          <w:highlight w:val="none"/>
          <w:lang w:eastAsia="zh-CN"/>
        </w:rPr>
        <w:t>（</w:t>
      </w:r>
      <w:r>
        <w:rPr>
          <w:rFonts w:hint="eastAsia" w:ascii="宋体" w:hAnsi="宋体" w:cs="宋体"/>
          <w:b w:val="0"/>
          <w:color w:val="auto"/>
          <w:highlight w:val="none"/>
          <w:lang w:val="en-US" w:eastAsia="zh-CN"/>
        </w:rPr>
        <w:t>一</w:t>
      </w:r>
      <w:r>
        <w:rPr>
          <w:rFonts w:hint="eastAsia" w:ascii="宋体" w:hAnsi="宋体" w:cs="宋体"/>
          <w:b w:val="0"/>
          <w:color w:val="auto"/>
          <w:highlight w:val="none"/>
          <w:lang w:eastAsia="zh-CN"/>
        </w:rPr>
        <w:t>）</w:t>
      </w:r>
      <w:r>
        <w:rPr>
          <w:rFonts w:hint="eastAsia" w:ascii="宋体" w:hAnsi="宋体" w:cs="宋体"/>
          <w:b w:val="0"/>
          <w:color w:val="auto"/>
          <w:highlight w:val="none"/>
          <w:lang w:val="en-US" w:eastAsia="zh-CN"/>
        </w:rPr>
        <w:t>业绩</w:t>
      </w:r>
    </w:p>
    <w:p w14:paraId="46C6CC45">
      <w:pPr>
        <w:spacing w:line="360" w:lineRule="auto"/>
        <w:ind w:firstLine="420" w:firstLineChars="200"/>
        <w:outlineLvl w:val="0"/>
        <w:rPr>
          <w:rFonts w:hint="eastAsia" w:ascii="宋体" w:hAnsi="宋体" w:eastAsia="宋体" w:cs="宋体"/>
          <w:b/>
          <w:color w:val="auto"/>
          <w:highlight w:val="none"/>
        </w:rPr>
      </w:pPr>
      <w:r>
        <w:rPr>
          <w:rFonts w:hint="eastAsia" w:ascii="宋体" w:hAnsi="宋体" w:cs="宋体"/>
          <w:b w:val="0"/>
          <w:color w:val="auto"/>
          <w:highlight w:val="none"/>
          <w:lang w:val="en-US" w:eastAsia="zh-CN"/>
        </w:rPr>
        <w:t>（二）</w:t>
      </w:r>
      <w:r>
        <w:rPr>
          <w:rFonts w:hint="eastAsia" w:ascii="宋体" w:hAnsi="宋体" w:eastAsia="宋体" w:cs="宋体"/>
          <w:color w:val="auto"/>
          <w:kern w:val="2"/>
          <w:szCs w:val="24"/>
          <w:highlight w:val="none"/>
          <w:lang w:bidi="ar"/>
        </w:rPr>
        <w:t>财务能力</w:t>
      </w:r>
    </w:p>
    <w:p w14:paraId="0C6B4E99">
      <w:pPr>
        <w:spacing w:line="360" w:lineRule="auto"/>
        <w:outlineLvl w:val="0"/>
        <w:rPr>
          <w:rFonts w:hint="eastAsia" w:ascii="宋体" w:hAnsi="宋体" w:eastAsia="宋体" w:cs="宋体"/>
          <w:b/>
          <w:color w:val="auto"/>
          <w:highlight w:val="none"/>
        </w:rPr>
      </w:pPr>
      <w:r>
        <w:rPr>
          <w:rFonts w:hint="eastAsia" w:ascii="宋体" w:hAnsi="宋体" w:eastAsia="宋体" w:cs="宋体"/>
          <w:b/>
          <w:color w:val="auto"/>
          <w:highlight w:val="none"/>
        </w:rPr>
        <w:t>四、技术部分</w:t>
      </w:r>
      <w:bookmarkEnd w:id="304"/>
    </w:p>
    <w:p w14:paraId="7FB72CEA">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技术方案</w:t>
      </w:r>
    </w:p>
    <w:p w14:paraId="4525BBF9">
      <w:pPr>
        <w:spacing w:line="360" w:lineRule="auto"/>
        <w:outlineLvl w:val="0"/>
        <w:rPr>
          <w:rFonts w:hint="eastAsia" w:ascii="宋体" w:hAnsi="宋体" w:eastAsia="宋体" w:cs="宋体"/>
          <w:b/>
          <w:color w:val="auto"/>
          <w:highlight w:val="none"/>
        </w:rPr>
      </w:pPr>
      <w:bookmarkStart w:id="305" w:name="_Toc26297"/>
      <w:r>
        <w:rPr>
          <w:rFonts w:hint="eastAsia" w:ascii="宋体" w:hAnsi="宋体" w:eastAsia="宋体" w:cs="宋体"/>
          <w:b/>
          <w:color w:val="auto"/>
          <w:highlight w:val="none"/>
        </w:rPr>
        <w:t>五、资格审查部分</w:t>
      </w:r>
      <w:bookmarkEnd w:id="305"/>
    </w:p>
    <w:p w14:paraId="10DB515B">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（一）法定代表人身份证明或附有法定代表人身份证明的授权委托书</w:t>
      </w:r>
    </w:p>
    <w:p w14:paraId="6FE8EBC6">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（二）投标人基本情况表</w:t>
      </w:r>
    </w:p>
    <w:p w14:paraId="09138DCC">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cs="宋体"/>
          <w:color w:val="auto"/>
          <w:highlight w:val="none"/>
          <w:lang w:val="en-US" w:eastAsia="zh-CN"/>
        </w:rPr>
        <w:t>三</w:t>
      </w:r>
      <w:r>
        <w:rPr>
          <w:rFonts w:hint="eastAsia" w:ascii="宋体" w:hAnsi="宋体" w:eastAsia="宋体" w:cs="宋体"/>
          <w:color w:val="auto"/>
          <w:highlight w:val="none"/>
        </w:rPr>
        <w:t>）项目管理机构</w:t>
      </w:r>
    </w:p>
    <w:p w14:paraId="4D068ED7">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cs="宋体"/>
          <w:color w:val="auto"/>
          <w:highlight w:val="none"/>
          <w:lang w:val="en-US" w:eastAsia="zh-CN"/>
        </w:rPr>
        <w:t>四</w:t>
      </w:r>
      <w:r>
        <w:rPr>
          <w:rFonts w:hint="eastAsia" w:ascii="宋体" w:hAnsi="宋体" w:eastAsia="宋体" w:cs="宋体"/>
          <w:color w:val="auto"/>
          <w:highlight w:val="none"/>
        </w:rPr>
        <w:t>）类似项目情况表</w:t>
      </w:r>
    </w:p>
    <w:p w14:paraId="15A16A07">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cs="宋体"/>
          <w:color w:val="auto"/>
          <w:highlight w:val="none"/>
          <w:lang w:val="en-US" w:eastAsia="zh-CN"/>
        </w:rPr>
        <w:t>五</w:t>
      </w:r>
      <w:r>
        <w:rPr>
          <w:rFonts w:hint="eastAsia" w:ascii="宋体" w:hAnsi="宋体" w:eastAsia="宋体" w:cs="宋体"/>
          <w:color w:val="auto"/>
          <w:highlight w:val="none"/>
        </w:rPr>
        <w:t>）承诺</w:t>
      </w:r>
    </w:p>
    <w:p w14:paraId="21C468DF">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cs="宋体"/>
          <w:color w:val="auto"/>
          <w:highlight w:val="none"/>
          <w:lang w:val="en-US" w:eastAsia="zh-CN"/>
        </w:rPr>
        <w:t>六</w:t>
      </w:r>
      <w:r>
        <w:rPr>
          <w:rFonts w:hint="eastAsia" w:ascii="宋体" w:hAnsi="宋体" w:eastAsia="宋体" w:cs="宋体"/>
          <w:color w:val="auto"/>
          <w:highlight w:val="none"/>
        </w:rPr>
        <w:t>）其他资料</w:t>
      </w:r>
    </w:p>
    <w:p w14:paraId="352B370C">
      <w:pPr>
        <w:spacing w:line="360" w:lineRule="auto"/>
        <w:ind w:firstLine="420" w:firstLineChars="200"/>
        <w:rPr>
          <w:rFonts w:hint="eastAsia" w:ascii="宋体" w:hAnsi="宋体" w:eastAsia="宋体" w:cs="宋体"/>
          <w:color w:val="auto"/>
          <w:highlight w:val="none"/>
        </w:rPr>
      </w:pPr>
    </w:p>
    <w:p w14:paraId="60357FEA">
      <w:pPr>
        <w:pStyle w:val="4"/>
        <w:spacing w:line="360" w:lineRule="auto"/>
        <w:jc w:val="center"/>
        <w:outlineLvl w:val="0"/>
        <w:rPr>
          <w:rFonts w:hint="eastAsia" w:ascii="宋体" w:hAnsi="宋体" w:eastAsia="宋体" w:cs="宋体"/>
          <w:b w:val="0"/>
          <w:bCs w:val="0"/>
          <w:color w:val="auto"/>
          <w:sz w:val="44"/>
          <w:szCs w:val="44"/>
          <w:highlight w:val="none"/>
        </w:rPr>
      </w:pPr>
      <w:r>
        <w:rPr>
          <w:rFonts w:hint="eastAsia" w:ascii="宋体" w:hAnsi="宋体" w:eastAsia="宋体" w:cs="宋体"/>
          <w:color w:val="auto"/>
          <w:highlight w:val="none"/>
        </w:rPr>
        <w:br w:type="page"/>
      </w:r>
      <w:bookmarkStart w:id="306" w:name="_Toc22269"/>
      <w:bookmarkStart w:id="307" w:name="_Toc33106472"/>
      <w:r>
        <w:rPr>
          <w:rFonts w:hint="eastAsia" w:ascii="宋体" w:hAnsi="宋体" w:eastAsia="宋体" w:cs="宋体"/>
          <w:b w:val="0"/>
          <w:bCs w:val="0"/>
          <w:color w:val="auto"/>
          <w:sz w:val="44"/>
          <w:szCs w:val="44"/>
          <w:highlight w:val="none"/>
        </w:rPr>
        <w:t>一、投标函部分</w:t>
      </w:r>
      <w:bookmarkEnd w:id="306"/>
      <w:bookmarkEnd w:id="307"/>
    </w:p>
    <w:p w14:paraId="6CC1FD41">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05883CB8">
      <w:pPr>
        <w:pStyle w:val="2"/>
        <w:rPr>
          <w:rFonts w:hint="eastAsia" w:ascii="宋体" w:hAnsi="宋体" w:eastAsia="宋体" w:cs="宋体"/>
          <w:color w:val="auto"/>
          <w:highlight w:val="none"/>
        </w:rPr>
      </w:pPr>
    </w:p>
    <w:p w14:paraId="64EA6DCB">
      <w:pPr>
        <w:tabs>
          <w:tab w:val="left" w:pos="2580"/>
          <w:tab w:val="left" w:pos="5940"/>
        </w:tabs>
        <w:autoSpaceDE w:val="0"/>
        <w:autoSpaceDN w:val="0"/>
        <w:adjustRightInd w:val="0"/>
        <w:snapToGrid w:val="0"/>
        <w:spacing w:line="360" w:lineRule="auto"/>
        <w:ind w:firstLine="2940"/>
        <w:jc w:val="left"/>
        <w:rPr>
          <w:rFonts w:hint="eastAsia" w:ascii="宋体" w:hAnsi="宋体" w:eastAsia="宋体" w:cs="宋体"/>
          <w:color w:val="auto"/>
          <w:kern w:val="0"/>
          <w:sz w:val="36"/>
          <w:szCs w:val="36"/>
          <w:highlight w:val="none"/>
        </w:rPr>
      </w:pPr>
      <w:bookmarkStart w:id="308" w:name="_Toc534185830"/>
      <w:bookmarkStart w:id="309" w:name="_Toc536800771"/>
      <w:bookmarkStart w:id="310" w:name="_Toc509218853"/>
      <w:r>
        <w:rPr>
          <w:rFonts w:hint="eastAsia" w:ascii="宋体" w:hAnsi="宋体" w:eastAsia="宋体" w:cs="宋体"/>
          <w:b/>
          <w:color w:val="auto"/>
          <w:sz w:val="32"/>
          <w:szCs w:val="32"/>
          <w:highlight w:val="none"/>
        </w:rPr>
        <w:t xml:space="preserve"> </w:t>
      </w:r>
      <w:bookmarkEnd w:id="308"/>
      <w:bookmarkEnd w:id="309"/>
      <w:bookmarkEnd w:id="310"/>
      <w:r>
        <w:rPr>
          <w:rFonts w:hint="eastAsia" w:ascii="宋体" w:hAnsi="宋体" w:eastAsia="宋体" w:cs="宋体"/>
          <w:color w:val="auto"/>
          <w:kern w:val="0"/>
          <w:sz w:val="36"/>
          <w:szCs w:val="36"/>
          <w:highlight w:val="none"/>
        </w:rPr>
        <w:t>目  录</w:t>
      </w:r>
    </w:p>
    <w:p w14:paraId="79983EF8">
      <w:pPr>
        <w:autoSpaceDE w:val="0"/>
        <w:autoSpaceDN w:val="0"/>
        <w:adjustRightInd w:val="0"/>
        <w:snapToGrid w:val="0"/>
        <w:spacing w:line="360" w:lineRule="auto"/>
        <w:jc w:val="left"/>
        <w:rPr>
          <w:rFonts w:hint="eastAsia" w:ascii="宋体" w:hAnsi="宋体" w:eastAsia="宋体" w:cs="宋体"/>
          <w:color w:val="auto"/>
          <w:kern w:val="0"/>
          <w:sz w:val="24"/>
          <w:szCs w:val="21"/>
          <w:highlight w:val="none"/>
        </w:rPr>
      </w:pPr>
    </w:p>
    <w:p w14:paraId="179D20FE">
      <w:pPr>
        <w:autoSpaceDE w:val="0"/>
        <w:autoSpaceDN w:val="0"/>
        <w:adjustRightIn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（一）投标函</w:t>
      </w:r>
    </w:p>
    <w:p w14:paraId="16F389DC">
      <w:pPr>
        <w:autoSpaceDE w:val="0"/>
        <w:autoSpaceDN w:val="0"/>
        <w:adjustRightIn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（二）投标函附录</w:t>
      </w:r>
    </w:p>
    <w:p w14:paraId="24D52AEE">
      <w:pPr>
        <w:autoSpaceDE w:val="0"/>
        <w:autoSpaceDN w:val="0"/>
        <w:adjustRightIn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（三）法定代表人身份证明或附有法定代表人身份证明的授权委托书</w:t>
      </w:r>
    </w:p>
    <w:p w14:paraId="56EB055F">
      <w:pPr>
        <w:pStyle w:val="5"/>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1"/>
        <w:rPr>
          <w:rFonts w:hint="eastAsia" w:ascii="宋体" w:hAnsi="宋体" w:eastAsia="宋体" w:cs="宋体"/>
          <w:b w:val="0"/>
          <w:color w:val="auto"/>
          <w:highlight w:val="none"/>
        </w:rPr>
      </w:pPr>
      <w:r>
        <w:rPr>
          <w:rFonts w:hint="eastAsia" w:ascii="宋体" w:hAnsi="宋体" w:eastAsia="宋体" w:cs="宋体"/>
          <w:color w:val="auto"/>
          <w:kern w:val="0"/>
          <w:sz w:val="28"/>
          <w:szCs w:val="28"/>
          <w:highlight w:val="none"/>
          <w:u w:val="single"/>
        </w:rPr>
        <w:br w:type="page"/>
      </w:r>
      <w:bookmarkStart w:id="311" w:name="_Toc287607867"/>
      <w:bookmarkStart w:id="312" w:name="_Toc287620814"/>
      <w:bookmarkStart w:id="313" w:name="_Toc509218854"/>
      <w:bookmarkStart w:id="314" w:name="_Toc536800772"/>
      <w:bookmarkStart w:id="315" w:name="_Toc277082643"/>
      <w:bookmarkStart w:id="316" w:name="_Toc430530530"/>
      <w:bookmarkStart w:id="317" w:name="_Toc534185831"/>
      <w:bookmarkStart w:id="318" w:name="_Toc21828"/>
      <w:bookmarkStart w:id="319" w:name="_Toc16206"/>
      <w:bookmarkStart w:id="320" w:name="_Toc224103495"/>
      <w:r>
        <w:rPr>
          <w:rFonts w:hint="eastAsia" w:ascii="宋体" w:hAnsi="宋体" w:eastAsia="宋体" w:cs="宋体"/>
          <w:b w:val="0"/>
          <w:bCs w:val="0"/>
          <w:color w:val="auto"/>
          <w:highlight w:val="none"/>
        </w:rPr>
        <w:t>（一）投标函</w:t>
      </w:r>
      <w:bookmarkEnd w:id="311"/>
      <w:bookmarkEnd w:id="312"/>
      <w:bookmarkEnd w:id="313"/>
      <w:bookmarkEnd w:id="314"/>
      <w:bookmarkEnd w:id="315"/>
      <w:bookmarkEnd w:id="316"/>
      <w:bookmarkEnd w:id="317"/>
      <w:bookmarkEnd w:id="318"/>
      <w:bookmarkEnd w:id="319"/>
      <w:bookmarkEnd w:id="320"/>
    </w:p>
    <w:p w14:paraId="3F5A1D4F">
      <w:pPr>
        <w:keepNext w:val="0"/>
        <w:keepLines w:val="0"/>
        <w:pageBreakBefore w:val="0"/>
        <w:widowControl w:val="0"/>
        <w:tabs>
          <w:tab w:val="left" w:pos="2640"/>
        </w:tabs>
        <w:kinsoku/>
        <w:wordWrap/>
        <w:overflowPunct/>
        <w:topLinePunct w:val="0"/>
        <w:autoSpaceDE w:val="0"/>
        <w:autoSpaceDN w:val="0"/>
        <w:bidi w:val="0"/>
        <w:adjustRightInd w:val="0"/>
        <w:snapToGrid/>
        <w:spacing w:line="360" w:lineRule="auto"/>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（招标人名称）</w:t>
      </w:r>
      <w:r>
        <w:rPr>
          <w:rFonts w:hint="eastAsia" w:ascii="宋体" w:hAnsi="宋体" w:eastAsia="宋体" w:cs="宋体"/>
          <w:snapToGrid w:val="0"/>
          <w:color w:val="auto"/>
          <w:kern w:val="0"/>
          <w:szCs w:val="21"/>
          <w:highlight w:val="none"/>
        </w:rPr>
        <w:t>：</w:t>
      </w:r>
    </w:p>
    <w:p w14:paraId="6E57F9DF">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 xml:space="preserve">1. </w:t>
      </w:r>
      <w:r>
        <w:rPr>
          <w:rFonts w:hint="eastAsia" w:ascii="宋体" w:hAnsi="宋体" w:eastAsia="宋体" w:cs="宋体"/>
          <w:color w:val="auto"/>
          <w:szCs w:val="21"/>
          <w:highlight w:val="none"/>
        </w:rPr>
        <w:t>我方已仔细研究了</w:t>
      </w:r>
      <w:r>
        <w:rPr>
          <w:rFonts w:hint="eastAsia" w:ascii="宋体" w:hAnsi="宋体" w:cs="宋体"/>
          <w:color w:val="auto"/>
          <w:highlight w:val="none"/>
          <w:u w:val="single"/>
          <w:lang w:eastAsia="zh-CN"/>
        </w:rPr>
        <w:t>巫溪至开州高速公路项目机电工程高压外电接入施工专项分包</w:t>
      </w:r>
      <w:r>
        <w:rPr>
          <w:rFonts w:hint="eastAsia" w:ascii="宋体" w:hAnsi="宋体" w:eastAsia="宋体" w:cs="宋体"/>
          <w:color w:val="auto"/>
          <w:szCs w:val="21"/>
          <w:highlight w:val="none"/>
        </w:rPr>
        <w:t>招标文件的全部内容，</w:t>
      </w:r>
      <w:r>
        <w:rPr>
          <w:rFonts w:hint="eastAsia" w:ascii="宋体" w:hAnsi="宋体" w:eastAsia="宋体" w:cs="宋体"/>
          <w:snapToGrid w:val="0"/>
          <w:color w:val="auto"/>
          <w:kern w:val="0"/>
          <w:szCs w:val="21"/>
          <w:highlight w:val="none"/>
        </w:rPr>
        <w:t>愿意以人民币（大写）</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）的投标总报价进行报价</w:t>
      </w:r>
      <w:r>
        <w:rPr>
          <w:rFonts w:hint="eastAsia" w:ascii="宋体" w:hAnsi="宋体" w:eastAsia="宋体" w:cs="宋体"/>
          <w:color w:val="auto"/>
          <w:szCs w:val="21"/>
          <w:highlight w:val="none"/>
        </w:rPr>
        <w:t>，</w:t>
      </w:r>
      <w:r>
        <w:rPr>
          <w:rFonts w:hint="default" w:ascii="宋体" w:hAnsi="宋体" w:cs="宋体"/>
          <w:color w:val="auto"/>
          <w:szCs w:val="21"/>
          <w:highlight w:val="none"/>
        </w:rPr>
        <w:t>其中云阳段报价为</w:t>
      </w:r>
      <w:r>
        <w:rPr>
          <w:rFonts w:hint="eastAsia" w:ascii="宋体" w:hAnsi="宋体" w:eastAsia="宋体" w:cs="宋体"/>
          <w:snapToGrid w:val="0"/>
          <w:color w:val="auto"/>
          <w:kern w:val="0"/>
          <w:szCs w:val="21"/>
          <w:highlight w:val="none"/>
        </w:rPr>
        <w:t>人民币（大写）</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default" w:ascii="宋体" w:hAnsi="宋体" w:cs="宋体"/>
          <w:snapToGrid w:val="0"/>
          <w:color w:val="auto"/>
          <w:kern w:val="0"/>
          <w:szCs w:val="21"/>
          <w:highlight w:val="none"/>
        </w:rPr>
        <w:t>，巫溪段报价为</w:t>
      </w:r>
      <w:r>
        <w:rPr>
          <w:rFonts w:hint="eastAsia" w:ascii="宋体" w:hAnsi="宋体" w:eastAsia="宋体" w:cs="宋体"/>
          <w:snapToGrid w:val="0"/>
          <w:color w:val="auto"/>
          <w:kern w:val="0"/>
          <w:szCs w:val="21"/>
          <w:highlight w:val="none"/>
        </w:rPr>
        <w:t>人民币（大写）</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default" w:ascii="宋体" w:hAnsi="宋体" w:cs="宋体"/>
          <w:snapToGrid w:val="0"/>
          <w:color w:val="auto"/>
          <w:kern w:val="0"/>
          <w:szCs w:val="21"/>
          <w:highlight w:val="none"/>
        </w:rPr>
        <w:t>，</w:t>
      </w:r>
      <w:r>
        <w:rPr>
          <w:rFonts w:hint="eastAsia" w:ascii="宋体" w:hAnsi="宋体" w:eastAsia="宋体" w:cs="宋体"/>
          <w:snapToGrid w:val="0"/>
          <w:color w:val="auto"/>
          <w:kern w:val="0"/>
          <w:szCs w:val="21"/>
          <w:highlight w:val="none"/>
        </w:rPr>
        <w:t>该工程</w:t>
      </w:r>
      <w:r>
        <w:rPr>
          <w:rFonts w:hint="eastAsia" w:ascii="宋体" w:hAnsi="宋体" w:eastAsia="宋体" w:cs="宋体"/>
          <w:snapToGrid w:val="0"/>
          <w:color w:val="auto"/>
          <w:kern w:val="0"/>
          <w:highlight w:val="none"/>
        </w:rPr>
        <w:t>项目经理为</w:t>
      </w:r>
      <w:r>
        <w:rPr>
          <w:rFonts w:hint="eastAsia" w:ascii="宋体" w:hAnsi="宋体" w:eastAsia="宋体" w:cs="宋体"/>
          <w:snapToGrid w:val="0"/>
          <w:color w:val="auto"/>
          <w:kern w:val="0"/>
          <w:highlight w:val="none"/>
          <w:u w:val="single"/>
        </w:rPr>
        <w:t xml:space="preserve">        </w:t>
      </w:r>
      <w:r>
        <w:rPr>
          <w:rFonts w:hint="eastAsia" w:ascii="宋体" w:hAnsi="宋体" w:eastAsia="宋体" w:cs="宋体"/>
          <w:snapToGrid w:val="0"/>
          <w:color w:val="auto"/>
          <w:kern w:val="0"/>
          <w:highlight w:val="none"/>
        </w:rPr>
        <w:t>，项目总工为</w:t>
      </w:r>
      <w:r>
        <w:rPr>
          <w:rFonts w:hint="eastAsia" w:ascii="宋体" w:hAnsi="宋体" w:eastAsia="宋体" w:cs="宋体"/>
          <w:snapToGrid w:val="0"/>
          <w:color w:val="auto"/>
          <w:kern w:val="0"/>
          <w:highlight w:val="none"/>
          <w:u w:val="single"/>
        </w:rPr>
        <w:t xml:space="preserve">        </w:t>
      </w:r>
      <w:r>
        <w:rPr>
          <w:rFonts w:hint="eastAsia" w:ascii="宋体" w:hAnsi="宋体" w:eastAsia="宋体" w:cs="宋体"/>
          <w:snapToGrid w:val="0"/>
          <w:color w:val="auto"/>
          <w:kern w:val="0"/>
          <w:szCs w:val="21"/>
          <w:highlight w:val="none"/>
        </w:rPr>
        <w:t>，委托代理人为：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color w:val="auto"/>
          <w:szCs w:val="21"/>
          <w:highlight w:val="none"/>
        </w:rPr>
        <w:t>工期：</w:t>
      </w:r>
      <w:r>
        <w:rPr>
          <w:rFonts w:hint="eastAsia" w:ascii="宋体" w:hAnsi="宋体" w:eastAsia="宋体" w:cs="宋体"/>
          <w:color w:val="auto"/>
          <w:szCs w:val="21"/>
          <w:highlight w:val="none"/>
          <w:u w:val="single"/>
          <w:lang w:eastAsia="zh-CN"/>
        </w:rPr>
        <w:t>满足招标文件要求</w:t>
      </w:r>
      <w:r>
        <w:rPr>
          <w:rFonts w:hint="eastAsia" w:ascii="宋体" w:hAnsi="宋体" w:eastAsia="宋体" w:cs="宋体"/>
          <w:color w:val="auto"/>
          <w:szCs w:val="21"/>
          <w:highlight w:val="none"/>
        </w:rPr>
        <w:t>，缺陷责任期：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，按合同约定实施和完成承包工程，修补工程中的任何缺陷， 工程质量：</w:t>
      </w:r>
      <w:r>
        <w:rPr>
          <w:rFonts w:hint="eastAsia" w:ascii="宋体" w:hAnsi="宋体" w:eastAsia="宋体" w:cs="宋体"/>
          <w:color w:val="auto"/>
          <w:szCs w:val="21"/>
          <w:highlight w:val="none"/>
          <w:u w:val="single"/>
          <w:lang w:eastAsia="zh-CN"/>
        </w:rPr>
        <w:t>满足招标文件要求</w:t>
      </w:r>
      <w:r>
        <w:rPr>
          <w:rFonts w:hint="eastAsia" w:ascii="宋体" w:hAnsi="宋体" w:eastAsia="宋体" w:cs="宋体"/>
          <w:color w:val="auto"/>
          <w:szCs w:val="21"/>
          <w:highlight w:val="none"/>
        </w:rPr>
        <w:t>，安全目标：</w:t>
      </w:r>
      <w:r>
        <w:rPr>
          <w:rFonts w:hint="eastAsia" w:ascii="宋体" w:hAnsi="宋体" w:eastAsia="宋体" w:cs="宋体"/>
          <w:color w:val="auto"/>
          <w:szCs w:val="21"/>
          <w:highlight w:val="none"/>
          <w:u w:val="single"/>
          <w:lang w:eastAsia="zh-CN"/>
        </w:rPr>
        <w:t>满足招标文件要求</w:t>
      </w:r>
      <w:r>
        <w:rPr>
          <w:rFonts w:hint="eastAsia" w:ascii="宋体" w:hAnsi="宋体" w:eastAsia="宋体" w:cs="宋体"/>
          <w:color w:val="auto"/>
          <w:szCs w:val="21"/>
          <w:highlight w:val="none"/>
        </w:rPr>
        <w:t>。</w:t>
      </w:r>
    </w:p>
    <w:p w14:paraId="31391092">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 我方承诺响应招标文件规定的投标有效期，在投标有效期内不修改、撤销投标文件。</w:t>
      </w:r>
    </w:p>
    <w:p w14:paraId="6641B4C6">
      <w:pPr>
        <w:keepNext w:val="0"/>
        <w:keepLines w:val="0"/>
        <w:pageBreakBefore w:val="0"/>
        <w:widowControl w:val="0"/>
        <w:tabs>
          <w:tab w:val="left" w:pos="2730"/>
          <w:tab w:val="left" w:pos="7980"/>
        </w:tabs>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3. 随同本投标函提交投标保证金一份，金额为人民币（大写）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color w:val="auto"/>
          <w:szCs w:val="21"/>
          <w:highlight w:val="none"/>
          <w:u w:val="single"/>
        </w:rPr>
        <w:t>　　　</w:t>
      </w:r>
      <w:r>
        <w:rPr>
          <w:rFonts w:hint="eastAsia" w:ascii="宋体" w:hAnsi="宋体" w:eastAsia="宋体" w:cs="宋体"/>
          <w:snapToGrid w:val="0"/>
          <w:color w:val="auto"/>
          <w:kern w:val="0"/>
          <w:szCs w:val="21"/>
          <w:highlight w:val="none"/>
        </w:rPr>
        <w:t>）。投标保证金有效期与投标有效期一致，在此期间，若我方违反招投标有关法律、法规及本招标文件的相关规定，投标保证金的受益人为招标人。</w:t>
      </w:r>
    </w:p>
    <w:p w14:paraId="2326684C">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 如我方中标：</w:t>
      </w:r>
    </w:p>
    <w:p w14:paraId="0B4C0E83">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（1）我方承诺在收到中标通知书后，在中标通知书规定的期限内与你方签订合同。</w:t>
      </w:r>
    </w:p>
    <w:p w14:paraId="5A8895BB">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（2）随同本投标函递交的投标函附录属于合同文件的组成部分。</w:t>
      </w:r>
    </w:p>
    <w:p w14:paraId="152C2E4D">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（3）我方承诺按照招标文件规定向你方递交履约担保。</w:t>
      </w:r>
    </w:p>
    <w:p w14:paraId="36E7DB77">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（4）我方承诺在合同约定的期限内完成并移交全部合同工程。</w:t>
      </w:r>
    </w:p>
    <w:p w14:paraId="00F29991">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我方承诺以不低于招标文件</w:t>
      </w:r>
      <w:r>
        <w:rPr>
          <w:rFonts w:hint="eastAsia" w:ascii="宋体" w:hAnsi="宋体" w:eastAsia="宋体" w:cs="宋体"/>
          <w:snapToGrid w:val="0"/>
          <w:color w:val="auto"/>
          <w:kern w:val="0"/>
          <w:szCs w:val="21"/>
          <w:highlight w:val="none"/>
        </w:rPr>
        <w:t>第七章</w:t>
      </w: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技术标准和要求</w:t>
      </w:r>
      <w:r>
        <w:rPr>
          <w:rFonts w:hint="eastAsia" w:ascii="宋体" w:hAnsi="宋体" w:eastAsia="宋体" w:cs="宋体"/>
          <w:snapToGrid w:val="0"/>
          <w:color w:val="auto"/>
          <w:kern w:val="0"/>
          <w:szCs w:val="21"/>
          <w:highlight w:val="none"/>
          <w:lang w:val="en-US" w:eastAsia="zh-CN"/>
        </w:rPr>
        <w:t>中所列的技术指标和参数要求完成全部合同工程。</w:t>
      </w:r>
    </w:p>
    <w:p w14:paraId="7656549D">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snapToGrid w:val="0"/>
          <w:color w:val="auto"/>
          <w:kern w:val="0"/>
          <w:szCs w:val="21"/>
          <w:highlight w:val="none"/>
          <w:u w:val="single"/>
          <w:lang w:val="en-US" w:eastAsia="zh-CN"/>
        </w:rPr>
      </w:pPr>
      <w:r>
        <w:rPr>
          <w:rFonts w:hint="eastAsia" w:ascii="宋体" w:hAnsi="宋体" w:eastAsia="宋体" w:cs="宋体"/>
          <w:snapToGrid w:val="0"/>
          <w:color w:val="auto"/>
          <w:kern w:val="0"/>
          <w:szCs w:val="21"/>
          <w:highlight w:val="none"/>
        </w:rPr>
        <w:t>5. 我方</w:t>
      </w:r>
      <w:r>
        <w:rPr>
          <w:rFonts w:hint="eastAsia" w:ascii="宋体" w:hAnsi="宋体" w:eastAsia="宋体" w:cs="宋体"/>
          <w:snapToGrid w:val="0"/>
          <w:color w:val="auto"/>
          <w:spacing w:val="-2"/>
          <w:kern w:val="0"/>
          <w:szCs w:val="21"/>
          <w:highlight w:val="none"/>
        </w:rPr>
        <w:t>在此声明，所递交的投标文件及有关资料内容完整、真实和准确，且不存在第二章“投标人</w:t>
      </w:r>
      <w:r>
        <w:rPr>
          <w:rFonts w:hint="eastAsia" w:ascii="宋体" w:hAnsi="宋体" w:eastAsia="宋体" w:cs="宋体"/>
          <w:snapToGrid w:val="0"/>
          <w:color w:val="auto"/>
          <w:kern w:val="0"/>
          <w:szCs w:val="21"/>
          <w:highlight w:val="none"/>
        </w:rPr>
        <w:t>须知”第 1.4.3 项规定的任何一种情形。同时我方承诺接受招标文件及附件、澄清及修改通知中所有的内容。</w:t>
      </w:r>
    </w:p>
    <w:p w14:paraId="3D719434">
      <w:pPr>
        <w:keepNext w:val="0"/>
        <w:keepLines w:val="0"/>
        <w:pageBreakBefore w:val="0"/>
        <w:widowControl w:val="0"/>
        <w:tabs>
          <w:tab w:val="left" w:pos="5985"/>
        </w:tabs>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rPr>
        <w:t>6</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（其他补充说明）</w:t>
      </w:r>
      <w:r>
        <w:rPr>
          <w:rFonts w:hint="eastAsia" w:ascii="宋体" w:hAnsi="宋体" w:eastAsia="宋体" w:cs="宋体"/>
          <w:snapToGrid w:val="0"/>
          <w:color w:val="auto"/>
          <w:kern w:val="0"/>
          <w:szCs w:val="21"/>
          <w:highlight w:val="none"/>
        </w:rPr>
        <w:t>。</w:t>
      </w:r>
    </w:p>
    <w:p w14:paraId="0D56349C">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  标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（盖单位法人章） </w:t>
      </w:r>
    </w:p>
    <w:p w14:paraId="4A3E7123">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或盖章）</w:t>
      </w:r>
    </w:p>
    <w:p w14:paraId="75B5D95B">
      <w:pPr>
        <w:keepNext w:val="0"/>
        <w:keepLines w:val="0"/>
        <w:pageBreakBefore w:val="0"/>
        <w:widowControl w:val="0"/>
        <w:tabs>
          <w:tab w:val="left" w:pos="7035"/>
          <w:tab w:val="left" w:pos="7560"/>
          <w:tab w:val="left" w:pos="8300"/>
        </w:tabs>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地    址：</w:t>
      </w:r>
      <w:r>
        <w:rPr>
          <w:rFonts w:hint="eastAsia" w:ascii="宋体" w:hAnsi="宋体" w:eastAsia="宋体" w:cs="宋体"/>
          <w:snapToGrid w:val="0"/>
          <w:color w:val="auto"/>
          <w:kern w:val="0"/>
          <w:szCs w:val="21"/>
          <w:highlight w:val="none"/>
          <w:u w:val="single"/>
        </w:rPr>
        <w:t xml:space="preserve">                                                                             </w:t>
      </w:r>
    </w:p>
    <w:p w14:paraId="56260556">
      <w:pPr>
        <w:keepNext w:val="0"/>
        <w:keepLines w:val="0"/>
        <w:pageBreakBefore w:val="0"/>
        <w:widowControl w:val="0"/>
        <w:tabs>
          <w:tab w:val="left" w:pos="8300"/>
        </w:tabs>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网    址：</w:t>
      </w:r>
      <w:r>
        <w:rPr>
          <w:rFonts w:hint="eastAsia" w:ascii="宋体" w:hAnsi="宋体" w:eastAsia="宋体" w:cs="宋体"/>
          <w:snapToGrid w:val="0"/>
          <w:color w:val="auto"/>
          <w:kern w:val="0"/>
          <w:szCs w:val="21"/>
          <w:highlight w:val="none"/>
          <w:u w:val="single"/>
        </w:rPr>
        <w:t xml:space="preserve">                                                                            </w:t>
      </w:r>
    </w:p>
    <w:p w14:paraId="22015E59">
      <w:pPr>
        <w:keepNext w:val="0"/>
        <w:keepLines w:val="0"/>
        <w:pageBreakBefore w:val="0"/>
        <w:widowControl w:val="0"/>
        <w:tabs>
          <w:tab w:val="left" w:pos="8300"/>
        </w:tabs>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单位电话（座机）：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委托代理人电话（手机）：</w:t>
      </w:r>
      <w:r>
        <w:rPr>
          <w:rFonts w:hint="eastAsia" w:ascii="宋体" w:hAnsi="宋体" w:eastAsia="宋体" w:cs="宋体"/>
          <w:snapToGrid w:val="0"/>
          <w:color w:val="auto"/>
          <w:kern w:val="0"/>
          <w:szCs w:val="21"/>
          <w:highlight w:val="none"/>
          <w:u w:val="single"/>
        </w:rPr>
        <w:t xml:space="preserve">                      </w:t>
      </w:r>
    </w:p>
    <w:p w14:paraId="60377308">
      <w:pPr>
        <w:keepNext w:val="0"/>
        <w:keepLines w:val="0"/>
        <w:pageBreakBefore w:val="0"/>
        <w:widowControl w:val="0"/>
        <w:tabs>
          <w:tab w:val="left" w:pos="8300"/>
        </w:tabs>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传    真：</w:t>
      </w:r>
      <w:r>
        <w:rPr>
          <w:rFonts w:hint="eastAsia" w:ascii="宋体" w:hAnsi="宋体" w:eastAsia="宋体" w:cs="宋体"/>
          <w:snapToGrid w:val="0"/>
          <w:color w:val="auto"/>
          <w:kern w:val="0"/>
          <w:szCs w:val="21"/>
          <w:highlight w:val="none"/>
          <w:u w:val="single"/>
        </w:rPr>
        <w:t xml:space="preserve">                                                                            </w:t>
      </w:r>
    </w:p>
    <w:p w14:paraId="16790B9C">
      <w:pPr>
        <w:keepNext w:val="0"/>
        <w:keepLines w:val="0"/>
        <w:pageBreakBefore w:val="0"/>
        <w:widowControl w:val="0"/>
        <w:tabs>
          <w:tab w:val="left" w:pos="8300"/>
        </w:tabs>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snapToGrid w:val="0"/>
          <w:color w:val="auto"/>
          <w:kern w:val="0"/>
          <w:sz w:val="20"/>
          <w:szCs w:val="20"/>
          <w:highlight w:val="none"/>
        </w:rPr>
      </w:pPr>
      <w:r>
        <w:rPr>
          <w:rFonts w:hint="eastAsia" w:ascii="宋体" w:hAnsi="宋体" w:eastAsia="宋体" w:cs="宋体"/>
          <w:snapToGrid w:val="0"/>
          <w:color w:val="auto"/>
          <w:kern w:val="0"/>
          <w:szCs w:val="21"/>
          <w:highlight w:val="none"/>
        </w:rPr>
        <w:t>邮政编码：</w:t>
      </w:r>
      <w:r>
        <w:rPr>
          <w:rFonts w:hint="eastAsia" w:ascii="宋体" w:hAnsi="宋体" w:eastAsia="宋体" w:cs="宋体"/>
          <w:snapToGrid w:val="0"/>
          <w:color w:val="auto"/>
          <w:kern w:val="0"/>
          <w:szCs w:val="21"/>
          <w:highlight w:val="none"/>
          <w:u w:val="single"/>
        </w:rPr>
        <w:t xml:space="preserve">                                                                            </w:t>
      </w:r>
    </w:p>
    <w:p w14:paraId="4AF5AE75">
      <w:pPr>
        <w:keepNext w:val="0"/>
        <w:keepLines w:val="0"/>
        <w:pageBreakBefore w:val="0"/>
        <w:widowControl w:val="0"/>
        <w:tabs>
          <w:tab w:val="left" w:pos="8300"/>
        </w:tabs>
        <w:kinsoku/>
        <w:wordWrap/>
        <w:overflowPunct/>
        <w:topLinePunct w:val="0"/>
        <w:autoSpaceDE w:val="0"/>
        <w:autoSpaceDN w:val="0"/>
        <w:bidi w:val="0"/>
        <w:adjustRightInd w:val="0"/>
        <w:snapToGrid/>
        <w:spacing w:line="360" w:lineRule="auto"/>
        <w:ind w:firstLine="420" w:firstLineChars="200"/>
        <w:jc w:val="right"/>
        <w:textAlignment w:val="auto"/>
        <w:rPr>
          <w:rFonts w:hint="eastAsia" w:ascii="宋体" w:hAnsi="宋体" w:eastAsia="宋体" w:cs="宋体"/>
          <w:snapToGrid w:val="0"/>
          <w:color w:val="auto"/>
          <w:kern w:val="0"/>
          <w:sz w:val="20"/>
          <w:szCs w:val="20"/>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14:paraId="228F5AA5">
      <w:pPr>
        <w:pStyle w:val="5"/>
        <w:spacing w:before="0" w:line="360" w:lineRule="auto"/>
        <w:jc w:val="center"/>
        <w:outlineLvl w:val="1"/>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highlight w:val="none"/>
        </w:rPr>
        <w:br w:type="page"/>
      </w:r>
      <w:bookmarkStart w:id="321" w:name="_Toc534185832"/>
      <w:bookmarkStart w:id="322" w:name="_Toc6551"/>
      <w:bookmarkStart w:id="323" w:name="_Toc27251"/>
      <w:bookmarkStart w:id="324" w:name="_Toc509218855"/>
      <w:bookmarkStart w:id="325" w:name="_Toc277082645"/>
      <w:bookmarkStart w:id="326" w:name="_Toc287607869"/>
      <w:bookmarkStart w:id="327" w:name="_Toc430530532"/>
      <w:bookmarkStart w:id="328" w:name="_Toc287620816"/>
      <w:bookmarkStart w:id="329" w:name="_Toc224103497"/>
      <w:r>
        <w:rPr>
          <w:rFonts w:hint="eastAsia" w:ascii="宋体" w:hAnsi="宋体" w:eastAsia="宋体" w:cs="宋体"/>
          <w:b w:val="0"/>
          <w:bCs w:val="0"/>
          <w:color w:val="auto"/>
          <w:highlight w:val="none"/>
        </w:rPr>
        <w:t>（二）投标函附录</w:t>
      </w:r>
      <w:bookmarkEnd w:id="321"/>
      <w:bookmarkEnd w:id="322"/>
      <w:bookmarkEnd w:id="323"/>
      <w:bookmarkEnd w:id="324"/>
    </w:p>
    <w:tbl>
      <w:tblPr>
        <w:tblStyle w:val="34"/>
        <w:tblW w:w="8677"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429"/>
        <w:gridCol w:w="1392"/>
        <w:gridCol w:w="3286"/>
        <w:gridCol w:w="850"/>
      </w:tblGrid>
      <w:tr w14:paraId="4AAB29D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jc w:val="center"/>
        </w:trPr>
        <w:tc>
          <w:tcPr>
            <w:tcW w:w="720" w:type="dxa"/>
            <w:vAlign w:val="top"/>
          </w:tcPr>
          <w:p w14:paraId="36FD8CA5">
            <w:pPr>
              <w:keepNext w:val="0"/>
              <w:keepLines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b/>
                <w:bCs/>
                <w:color w:val="auto"/>
                <w:spacing w:val="1"/>
                <w:szCs w:val="22"/>
                <w:highlight w:val="none"/>
                <w:lang w:eastAsia="en-US"/>
              </w:rPr>
            </w:pPr>
            <w:r>
              <w:rPr>
                <w:rFonts w:hint="eastAsia" w:ascii="宋体" w:hAnsi="宋体" w:eastAsia="宋体" w:cs="宋体"/>
                <w:b/>
                <w:bCs/>
                <w:color w:val="auto"/>
                <w:spacing w:val="1"/>
                <w:szCs w:val="22"/>
                <w:highlight w:val="none"/>
                <w:lang w:eastAsia="en-US"/>
              </w:rPr>
              <w:t>序号</w:t>
            </w:r>
          </w:p>
        </w:tc>
        <w:tc>
          <w:tcPr>
            <w:tcW w:w="2429" w:type="dxa"/>
            <w:vAlign w:val="top"/>
          </w:tcPr>
          <w:p w14:paraId="2E8CFB32">
            <w:pPr>
              <w:keepNext w:val="0"/>
              <w:keepLines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b/>
                <w:bCs/>
                <w:color w:val="auto"/>
                <w:spacing w:val="1"/>
                <w:szCs w:val="22"/>
                <w:highlight w:val="none"/>
                <w:lang w:eastAsia="en-US"/>
              </w:rPr>
            </w:pPr>
            <w:r>
              <w:rPr>
                <w:rFonts w:hint="eastAsia" w:ascii="宋体" w:hAnsi="宋体" w:eastAsia="宋体" w:cs="宋体"/>
                <w:b/>
                <w:bCs/>
                <w:color w:val="auto"/>
                <w:spacing w:val="1"/>
                <w:szCs w:val="22"/>
                <w:highlight w:val="none"/>
                <w:lang w:eastAsia="en-US"/>
              </w:rPr>
              <w:t>条款名称</w:t>
            </w:r>
          </w:p>
        </w:tc>
        <w:tc>
          <w:tcPr>
            <w:tcW w:w="1392" w:type="dxa"/>
            <w:tcBorders>
              <w:right w:val="single" w:color="auto" w:sz="4" w:space="0"/>
            </w:tcBorders>
            <w:vAlign w:val="center"/>
          </w:tcPr>
          <w:p w14:paraId="6C95384E">
            <w:pPr>
              <w:keepNext w:val="0"/>
              <w:keepLines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b/>
                <w:bCs/>
                <w:color w:val="auto"/>
                <w:spacing w:val="1"/>
                <w:szCs w:val="22"/>
                <w:highlight w:val="none"/>
                <w:lang w:eastAsia="en-US"/>
              </w:rPr>
            </w:pPr>
            <w:r>
              <w:rPr>
                <w:rFonts w:hint="eastAsia" w:ascii="宋体" w:hAnsi="宋体" w:eastAsia="宋体" w:cs="宋体"/>
                <w:b/>
                <w:bCs/>
                <w:color w:val="auto"/>
                <w:spacing w:val="1"/>
                <w:szCs w:val="22"/>
                <w:highlight w:val="none"/>
              </w:rPr>
              <w:t>合同</w:t>
            </w:r>
            <w:r>
              <w:rPr>
                <w:rFonts w:hint="eastAsia" w:ascii="宋体" w:hAnsi="宋体" w:eastAsia="宋体" w:cs="宋体"/>
                <w:b/>
                <w:bCs/>
                <w:color w:val="auto"/>
                <w:spacing w:val="1"/>
                <w:szCs w:val="22"/>
                <w:highlight w:val="none"/>
                <w:lang w:eastAsia="en-US"/>
              </w:rPr>
              <w:t>条目号</w:t>
            </w:r>
          </w:p>
        </w:tc>
        <w:tc>
          <w:tcPr>
            <w:tcW w:w="3286" w:type="dxa"/>
            <w:tcBorders>
              <w:left w:val="single" w:color="auto" w:sz="4" w:space="0"/>
            </w:tcBorders>
            <w:vAlign w:val="center"/>
          </w:tcPr>
          <w:p w14:paraId="1F85FE52">
            <w:pPr>
              <w:keepNext w:val="0"/>
              <w:keepLines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b/>
                <w:bCs/>
                <w:color w:val="auto"/>
                <w:spacing w:val="1"/>
                <w:szCs w:val="22"/>
                <w:highlight w:val="none"/>
                <w:lang w:eastAsia="en-US"/>
              </w:rPr>
            </w:pPr>
            <w:r>
              <w:rPr>
                <w:rFonts w:hint="eastAsia" w:ascii="宋体" w:hAnsi="宋体" w:eastAsia="宋体" w:cs="宋体"/>
                <w:b/>
                <w:bCs/>
                <w:color w:val="auto"/>
                <w:spacing w:val="1"/>
                <w:szCs w:val="22"/>
                <w:highlight w:val="none"/>
                <w:lang w:eastAsia="en-US"/>
              </w:rPr>
              <w:t>约定内容</w:t>
            </w:r>
          </w:p>
        </w:tc>
        <w:tc>
          <w:tcPr>
            <w:tcW w:w="850" w:type="dxa"/>
            <w:vAlign w:val="center"/>
          </w:tcPr>
          <w:p w14:paraId="1B2CE7F1">
            <w:pPr>
              <w:keepNext w:val="0"/>
              <w:keepLines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b/>
                <w:bCs/>
                <w:color w:val="auto"/>
                <w:spacing w:val="1"/>
                <w:szCs w:val="22"/>
                <w:highlight w:val="none"/>
                <w:lang w:eastAsia="en-US"/>
              </w:rPr>
            </w:pPr>
            <w:r>
              <w:rPr>
                <w:rFonts w:hint="eastAsia" w:ascii="宋体" w:hAnsi="宋体" w:eastAsia="宋体" w:cs="宋体"/>
                <w:b/>
                <w:bCs/>
                <w:color w:val="auto"/>
                <w:spacing w:val="1"/>
                <w:szCs w:val="22"/>
                <w:highlight w:val="none"/>
                <w:lang w:eastAsia="en-US"/>
              </w:rPr>
              <w:t>备注</w:t>
            </w:r>
          </w:p>
        </w:tc>
      </w:tr>
      <w:tr w14:paraId="5EBD4F6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14:paraId="78ED7AE9">
            <w:pPr>
              <w:keepNext w:val="0"/>
              <w:keepLines w:val="0"/>
              <w:suppressLineNumbers w:val="0"/>
              <w:autoSpaceDE w:val="0"/>
              <w:autoSpaceDN w:val="0"/>
              <w:adjustRightInd w:val="0"/>
              <w:spacing w:before="0" w:beforeAutospacing="0" w:after="0" w:afterAutospacing="0" w:line="400" w:lineRule="exact"/>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w:t>
            </w:r>
          </w:p>
        </w:tc>
        <w:tc>
          <w:tcPr>
            <w:tcW w:w="2429" w:type="dxa"/>
            <w:vAlign w:val="center"/>
          </w:tcPr>
          <w:p w14:paraId="08D998B2">
            <w:pPr>
              <w:keepNext w:val="0"/>
              <w:keepLines w:val="0"/>
              <w:suppressLineNumbers w:val="0"/>
              <w:autoSpaceDE w:val="0"/>
              <w:autoSpaceDN w:val="0"/>
              <w:adjustRightInd w:val="0"/>
              <w:spacing w:before="0" w:beforeAutospacing="0" w:after="0" w:afterAutospacing="0" w:line="400" w:lineRule="exact"/>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color w:val="auto"/>
                <w:spacing w:val="1"/>
                <w:szCs w:val="22"/>
                <w:highlight w:val="none"/>
                <w:lang w:eastAsia="en-US"/>
              </w:rPr>
              <w:t>缺陷责任期</w:t>
            </w:r>
          </w:p>
        </w:tc>
        <w:tc>
          <w:tcPr>
            <w:tcW w:w="1392" w:type="dxa"/>
            <w:tcBorders>
              <w:right w:val="single" w:color="auto" w:sz="4" w:space="0"/>
            </w:tcBorders>
            <w:vAlign w:val="center"/>
          </w:tcPr>
          <w:p w14:paraId="260DFE40">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lang w:val="en-US" w:eastAsia="zh-CN"/>
              </w:rPr>
              <w:t>/</w:t>
            </w:r>
          </w:p>
        </w:tc>
        <w:tc>
          <w:tcPr>
            <w:tcW w:w="3286" w:type="dxa"/>
            <w:tcBorders>
              <w:left w:val="single" w:color="auto" w:sz="4" w:space="0"/>
            </w:tcBorders>
            <w:vAlign w:val="center"/>
          </w:tcPr>
          <w:p w14:paraId="48654E5B">
            <w:pPr>
              <w:keepNext w:val="0"/>
              <w:keepLines w:val="0"/>
              <w:suppressLineNumbers w:val="0"/>
              <w:spacing w:before="0" w:beforeAutospacing="0" w:after="0" w:afterAutospacing="0" w:line="400" w:lineRule="exact"/>
              <w:ind w:left="0" w:right="0" w:firstLine="105" w:firstLineChars="50"/>
              <w:rPr>
                <w:rFonts w:hint="eastAsia" w:ascii="宋体" w:hAnsi="宋体" w:eastAsia="宋体" w:cs="宋体"/>
                <w:color w:val="auto"/>
                <w:szCs w:val="22"/>
                <w:highlight w:val="none"/>
              </w:rPr>
            </w:pPr>
            <w:r>
              <w:rPr>
                <w:rFonts w:hint="eastAsia" w:ascii="宋体" w:hAnsi="宋体" w:eastAsia="宋体" w:cs="宋体"/>
                <w:color w:val="auto"/>
                <w:szCs w:val="22"/>
                <w:highlight w:val="none"/>
              </w:rPr>
              <w:t>自实际交工日期起计算</w:t>
            </w:r>
            <w:r>
              <w:rPr>
                <w:rFonts w:hint="eastAsia" w:ascii="宋体" w:hAnsi="宋体" w:eastAsia="宋体" w:cs="宋体"/>
                <w:color w:val="auto"/>
                <w:szCs w:val="22"/>
                <w:highlight w:val="none"/>
                <w:u w:val="single"/>
                <w:lang w:val="en-US" w:eastAsia="zh-CN"/>
              </w:rPr>
              <w:t>24</w:t>
            </w:r>
            <w:r>
              <w:rPr>
                <w:rFonts w:hint="eastAsia" w:ascii="宋体" w:hAnsi="宋体" w:eastAsia="宋体" w:cs="宋体"/>
                <w:color w:val="auto"/>
                <w:szCs w:val="22"/>
                <w:highlight w:val="none"/>
                <w:u w:val="single"/>
              </w:rPr>
              <w:t>月</w:t>
            </w:r>
          </w:p>
        </w:tc>
        <w:tc>
          <w:tcPr>
            <w:tcW w:w="850" w:type="dxa"/>
            <w:vAlign w:val="center"/>
          </w:tcPr>
          <w:p w14:paraId="0DFE1466">
            <w:pPr>
              <w:keepNext w:val="0"/>
              <w:keepLines w:val="0"/>
              <w:suppressLineNumbers w:val="0"/>
              <w:tabs>
                <w:tab w:val="left" w:pos="2190"/>
              </w:tabs>
              <w:autoSpaceDE w:val="0"/>
              <w:autoSpaceDN w:val="0"/>
              <w:adjustRightInd w:val="0"/>
              <w:spacing w:before="0" w:beforeAutospacing="0" w:after="0" w:afterAutospacing="0" w:line="400" w:lineRule="exact"/>
              <w:ind w:left="0" w:right="0"/>
              <w:jc w:val="center"/>
              <w:rPr>
                <w:rFonts w:hint="eastAsia" w:ascii="宋体" w:hAnsi="宋体" w:eastAsia="宋体" w:cs="宋体"/>
                <w:snapToGrid w:val="0"/>
                <w:color w:val="auto"/>
                <w:kern w:val="0"/>
                <w:szCs w:val="21"/>
                <w:highlight w:val="none"/>
              </w:rPr>
            </w:pPr>
          </w:p>
        </w:tc>
      </w:tr>
      <w:tr w14:paraId="0FB3809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14:paraId="60243C5C">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lang w:val="en-US" w:eastAsia="zh-CN"/>
              </w:rPr>
              <w:t>2</w:t>
            </w:r>
          </w:p>
        </w:tc>
        <w:tc>
          <w:tcPr>
            <w:tcW w:w="2429" w:type="dxa"/>
            <w:vAlign w:val="center"/>
          </w:tcPr>
          <w:p w14:paraId="1A126C7F">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eastAsia" w:ascii="宋体" w:hAnsi="宋体" w:eastAsia="宋体" w:cs="宋体"/>
                <w:color w:val="auto"/>
                <w:spacing w:val="1"/>
                <w:szCs w:val="22"/>
                <w:highlight w:val="none"/>
                <w:lang w:eastAsia="en-US"/>
              </w:rPr>
            </w:pPr>
            <w:r>
              <w:rPr>
                <w:rFonts w:hint="eastAsia" w:ascii="宋体" w:hAnsi="宋体" w:eastAsia="宋体" w:cs="宋体"/>
                <w:color w:val="auto"/>
                <w:spacing w:val="1"/>
                <w:szCs w:val="22"/>
                <w:highlight w:val="none"/>
                <w:lang w:eastAsia="en-US"/>
              </w:rPr>
              <w:t>保修期</w:t>
            </w:r>
          </w:p>
        </w:tc>
        <w:tc>
          <w:tcPr>
            <w:tcW w:w="1392" w:type="dxa"/>
            <w:tcBorders>
              <w:right w:val="single" w:color="auto" w:sz="4" w:space="0"/>
            </w:tcBorders>
            <w:vAlign w:val="center"/>
          </w:tcPr>
          <w:p w14:paraId="6CE99341">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2"/>
                <w:highlight w:val="none"/>
              </w:rPr>
            </w:pPr>
            <w:r>
              <w:rPr>
                <w:rFonts w:hint="eastAsia" w:ascii="宋体" w:hAnsi="宋体" w:eastAsia="宋体" w:cs="宋体"/>
                <w:color w:val="auto"/>
                <w:szCs w:val="22"/>
                <w:highlight w:val="none"/>
                <w:lang w:val="en-US" w:eastAsia="zh-CN"/>
              </w:rPr>
              <w:t>/</w:t>
            </w:r>
          </w:p>
        </w:tc>
        <w:tc>
          <w:tcPr>
            <w:tcW w:w="3286" w:type="dxa"/>
            <w:tcBorders>
              <w:left w:val="single" w:color="auto" w:sz="4" w:space="0"/>
            </w:tcBorders>
            <w:vAlign w:val="center"/>
          </w:tcPr>
          <w:p w14:paraId="5B375AB0">
            <w:pPr>
              <w:keepNext w:val="0"/>
              <w:keepLines w:val="0"/>
              <w:suppressLineNumbers w:val="0"/>
              <w:spacing w:before="0" w:beforeAutospacing="0" w:after="0" w:afterAutospacing="0" w:line="400" w:lineRule="exact"/>
              <w:ind w:left="0" w:right="0" w:firstLine="105" w:firstLineChars="50"/>
              <w:rPr>
                <w:rFonts w:hint="eastAsia" w:ascii="宋体" w:hAnsi="宋体" w:eastAsia="宋体" w:cs="宋体"/>
                <w:color w:val="auto"/>
                <w:szCs w:val="22"/>
                <w:highlight w:val="none"/>
              </w:rPr>
            </w:pPr>
            <w:r>
              <w:rPr>
                <w:rFonts w:hint="eastAsia" w:ascii="宋体" w:hAnsi="宋体" w:eastAsia="宋体" w:cs="宋体"/>
                <w:color w:val="auto"/>
                <w:szCs w:val="22"/>
                <w:highlight w:val="none"/>
              </w:rPr>
              <w:t>自实际交工日期起计算</w:t>
            </w:r>
            <w:r>
              <w:rPr>
                <w:rFonts w:hint="eastAsia" w:ascii="宋体" w:hAnsi="宋体" w:eastAsia="宋体" w:cs="宋体"/>
                <w:color w:val="auto"/>
                <w:szCs w:val="22"/>
                <w:highlight w:val="none"/>
                <w:u w:val="single"/>
                <w:lang w:val="en-US" w:eastAsia="zh-CN"/>
              </w:rPr>
              <w:t>5</w:t>
            </w:r>
            <w:r>
              <w:rPr>
                <w:rFonts w:hint="eastAsia" w:ascii="宋体" w:hAnsi="宋体" w:eastAsia="宋体" w:cs="宋体"/>
                <w:color w:val="auto"/>
                <w:szCs w:val="22"/>
                <w:highlight w:val="none"/>
              </w:rPr>
              <w:t>年</w:t>
            </w:r>
          </w:p>
        </w:tc>
        <w:tc>
          <w:tcPr>
            <w:tcW w:w="850" w:type="dxa"/>
            <w:vAlign w:val="center"/>
          </w:tcPr>
          <w:p w14:paraId="5FE9B8D7">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eastAsia" w:ascii="宋体" w:hAnsi="宋体" w:eastAsia="宋体" w:cs="宋体"/>
                <w:snapToGrid w:val="0"/>
                <w:color w:val="auto"/>
                <w:kern w:val="0"/>
                <w:szCs w:val="21"/>
                <w:highlight w:val="none"/>
              </w:rPr>
            </w:pPr>
          </w:p>
        </w:tc>
      </w:tr>
    </w:tbl>
    <w:p w14:paraId="45809D9A">
      <w:pPr>
        <w:spacing w:line="360" w:lineRule="auto"/>
        <w:rPr>
          <w:rFonts w:hint="eastAsia" w:ascii="宋体" w:hAnsi="宋体" w:eastAsia="宋体" w:cs="宋体"/>
          <w:snapToGrid w:val="0"/>
          <w:color w:val="auto"/>
          <w:highlight w:val="none"/>
        </w:rPr>
      </w:pPr>
    </w:p>
    <w:p w14:paraId="6DD29E37">
      <w:pPr>
        <w:tabs>
          <w:tab w:val="left" w:pos="7140"/>
          <w:tab w:val="left" w:pos="7560"/>
          <w:tab w:val="left" w:pos="8300"/>
        </w:tabs>
        <w:autoSpaceDE w:val="0"/>
        <w:autoSpaceDN w:val="0"/>
        <w:adjustRightInd w:val="0"/>
        <w:spacing w:line="360" w:lineRule="auto"/>
        <w:ind w:right="210"/>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  标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（盖单位法人章） </w:t>
      </w:r>
    </w:p>
    <w:p w14:paraId="01866928">
      <w:pPr>
        <w:pStyle w:val="2"/>
        <w:rPr>
          <w:rFonts w:hint="eastAsia" w:ascii="宋体" w:hAnsi="宋体" w:eastAsia="宋体" w:cs="宋体"/>
          <w:snapToGrid w:val="0"/>
          <w:color w:val="auto"/>
          <w:kern w:val="0"/>
          <w:szCs w:val="21"/>
          <w:highlight w:val="none"/>
        </w:rPr>
      </w:pPr>
    </w:p>
    <w:p w14:paraId="40EDD94C">
      <w:pPr>
        <w:pStyle w:val="2"/>
        <w:jc w:val="right"/>
        <w:rPr>
          <w:rFonts w:hint="eastAsia" w:ascii="宋体" w:hAnsi="宋体" w:eastAsia="宋体" w:cs="宋体"/>
          <w:color w:val="auto"/>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或盖章）</w:t>
      </w:r>
      <w:r>
        <w:rPr>
          <w:rFonts w:hint="eastAsia" w:ascii="宋体" w:hAnsi="宋体" w:eastAsia="宋体" w:cs="宋体"/>
          <w:color w:val="auto"/>
          <w:highlight w:val="none"/>
        </w:rPr>
        <w:br w:type="page"/>
      </w:r>
    </w:p>
    <w:p w14:paraId="47157591">
      <w:pPr>
        <w:pStyle w:val="5"/>
        <w:spacing w:before="0" w:line="360" w:lineRule="auto"/>
        <w:jc w:val="center"/>
        <w:outlineLvl w:val="1"/>
        <w:rPr>
          <w:rFonts w:hint="eastAsia" w:ascii="宋体" w:hAnsi="宋体" w:eastAsia="宋体" w:cs="宋体"/>
          <w:b w:val="0"/>
          <w:bCs w:val="0"/>
          <w:color w:val="auto"/>
          <w:highlight w:val="none"/>
        </w:rPr>
      </w:pPr>
      <w:bookmarkStart w:id="330" w:name="_Toc20072"/>
      <w:bookmarkStart w:id="331" w:name="_Toc29609"/>
      <w:r>
        <w:rPr>
          <w:rFonts w:hint="eastAsia" w:ascii="宋体" w:hAnsi="宋体" w:eastAsia="宋体" w:cs="宋体"/>
          <w:b w:val="0"/>
          <w:bCs w:val="0"/>
          <w:color w:val="auto"/>
          <w:highlight w:val="none"/>
        </w:rPr>
        <w:t>（三）法定代表人身份证明或附有法定代表人身份证明的授权委托书</w:t>
      </w:r>
      <w:bookmarkEnd w:id="325"/>
      <w:bookmarkEnd w:id="326"/>
      <w:bookmarkEnd w:id="327"/>
      <w:bookmarkEnd w:id="328"/>
      <w:bookmarkEnd w:id="329"/>
      <w:bookmarkEnd w:id="330"/>
      <w:bookmarkEnd w:id="331"/>
    </w:p>
    <w:p w14:paraId="651FD1B6">
      <w:pPr>
        <w:spacing w:line="480" w:lineRule="auto"/>
        <w:jc w:val="center"/>
        <w:outlineLvl w:val="1"/>
        <w:rPr>
          <w:rFonts w:hint="eastAsia" w:ascii="宋体" w:hAnsi="宋体" w:eastAsia="宋体" w:cs="宋体"/>
          <w:color w:val="auto"/>
          <w:sz w:val="28"/>
          <w:highlight w:val="none"/>
        </w:rPr>
      </w:pPr>
      <w:bookmarkStart w:id="332" w:name="_Toc25663"/>
      <w:bookmarkStart w:id="333" w:name="_Toc32072"/>
      <w:r>
        <w:rPr>
          <w:rFonts w:hint="eastAsia" w:ascii="宋体" w:hAnsi="宋体" w:eastAsia="宋体" w:cs="宋体"/>
          <w:color w:val="auto"/>
          <w:sz w:val="28"/>
          <w:highlight w:val="none"/>
        </w:rPr>
        <w:t>法定代表人身份证明</w:t>
      </w:r>
      <w:bookmarkEnd w:id="332"/>
      <w:bookmarkEnd w:id="333"/>
    </w:p>
    <w:p w14:paraId="14FF18F9">
      <w:pPr>
        <w:spacing w:line="480" w:lineRule="auto"/>
        <w:jc w:val="center"/>
        <w:rPr>
          <w:rFonts w:hint="eastAsia" w:ascii="宋体" w:hAnsi="宋体" w:eastAsia="宋体" w:cs="宋体"/>
          <w:color w:val="auto"/>
          <w:highlight w:val="none"/>
        </w:rPr>
      </w:pPr>
    </w:p>
    <w:p w14:paraId="30832ABF">
      <w:pPr>
        <w:tabs>
          <w:tab w:val="left" w:pos="556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w:t>
      </w:r>
      <w:r>
        <w:rPr>
          <w:rFonts w:hint="eastAsia" w:ascii="宋体" w:hAnsi="宋体" w:eastAsia="宋体" w:cs="宋体"/>
          <w:color w:val="auto"/>
          <w:w w:val="200"/>
          <w:kern w:val="0"/>
          <w:szCs w:val="21"/>
          <w:highlight w:val="none"/>
          <w:u w:val="single"/>
        </w:rPr>
        <w:t xml:space="preserve">                                     </w:t>
      </w:r>
    </w:p>
    <w:p w14:paraId="13EC18E8">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单位性质：</w:t>
      </w:r>
      <w:r>
        <w:rPr>
          <w:rFonts w:hint="eastAsia" w:ascii="宋体" w:hAnsi="宋体" w:eastAsia="宋体" w:cs="宋体"/>
          <w:color w:val="auto"/>
          <w:w w:val="200"/>
          <w:kern w:val="0"/>
          <w:szCs w:val="21"/>
          <w:highlight w:val="none"/>
          <w:u w:val="single"/>
        </w:rPr>
        <w:t xml:space="preserve">                                     </w:t>
      </w:r>
    </w:p>
    <w:p w14:paraId="0EC40A53">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    址：</w:t>
      </w:r>
      <w:r>
        <w:rPr>
          <w:rFonts w:hint="eastAsia" w:ascii="宋体" w:hAnsi="宋体" w:eastAsia="宋体" w:cs="宋体"/>
          <w:color w:val="auto"/>
          <w:w w:val="200"/>
          <w:kern w:val="0"/>
          <w:szCs w:val="21"/>
          <w:highlight w:val="none"/>
          <w:u w:val="single"/>
        </w:rPr>
        <w:t xml:space="preserve">                                     </w:t>
      </w:r>
    </w:p>
    <w:p w14:paraId="40321090">
      <w:pPr>
        <w:tabs>
          <w:tab w:val="left" w:pos="2520"/>
          <w:tab w:val="left" w:pos="3836"/>
        </w:tabs>
        <w:autoSpaceDE w:val="0"/>
        <w:autoSpaceDN w:val="0"/>
        <w:adjustRightInd w:val="0"/>
        <w:snapToGrid w:val="0"/>
        <w:spacing w:line="480" w:lineRule="auto"/>
        <w:ind w:firstLine="390" w:firstLineChars="186"/>
        <w:jc w:val="left"/>
        <w:rPr>
          <w:rFonts w:hint="eastAsia" w:ascii="宋体" w:hAnsi="宋体" w:eastAsia="宋体" w:cs="宋体"/>
          <w:color w:val="auto"/>
          <w:kern w:val="0"/>
          <w:sz w:val="10"/>
          <w:szCs w:val="10"/>
          <w:highlight w:val="none"/>
        </w:rPr>
      </w:pPr>
      <w:r>
        <w:rPr>
          <w:rFonts w:hint="eastAsia" w:ascii="宋体" w:hAnsi="宋体" w:eastAsia="宋体" w:cs="宋体"/>
          <w:color w:val="auto"/>
          <w:kern w:val="0"/>
          <w:szCs w:val="21"/>
          <w:highlight w:val="none"/>
        </w:rPr>
        <w:t>成立时间：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14:paraId="05A0BED1">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经营期限：</w:t>
      </w:r>
      <w:r>
        <w:rPr>
          <w:rFonts w:hint="eastAsia" w:ascii="宋体" w:hAnsi="宋体" w:eastAsia="宋体" w:cs="宋体"/>
          <w:color w:val="auto"/>
          <w:w w:val="200"/>
          <w:kern w:val="0"/>
          <w:szCs w:val="21"/>
          <w:highlight w:val="none"/>
          <w:u w:val="single"/>
        </w:rPr>
        <w:t xml:space="preserve">                                     </w:t>
      </w:r>
    </w:p>
    <w:p w14:paraId="6AAFB5B3">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性别</w:t>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pacing w:val="-1"/>
          <w:kern w:val="0"/>
          <w:szCs w:val="21"/>
          <w:highlight w:val="none"/>
        </w:rPr>
        <w:t>年</w:t>
      </w:r>
      <w:r>
        <w:rPr>
          <w:rFonts w:hint="eastAsia" w:ascii="宋体" w:hAnsi="宋体" w:eastAsia="宋体" w:cs="宋体"/>
          <w:color w:val="auto"/>
          <w:kern w:val="0"/>
          <w:szCs w:val="21"/>
          <w:highlight w:val="none"/>
        </w:rPr>
        <w:t>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职务：</w:t>
      </w:r>
      <w:r>
        <w:rPr>
          <w:rFonts w:hint="eastAsia" w:ascii="宋体" w:hAnsi="宋体" w:eastAsia="宋体" w:cs="宋体"/>
          <w:color w:val="auto"/>
          <w:kern w:val="0"/>
          <w:szCs w:val="21"/>
          <w:highlight w:val="none"/>
          <w:u w:val="single"/>
        </w:rPr>
        <w:t xml:space="preserve">               </w:t>
      </w:r>
    </w:p>
    <w:p w14:paraId="65EE4D30">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系</w:t>
      </w:r>
      <w:r>
        <w:rPr>
          <w:rFonts w:hint="eastAsia" w:ascii="宋体" w:hAnsi="宋体" w:eastAsia="宋体" w:cs="宋体"/>
          <w:color w:val="auto"/>
          <w:kern w:val="0"/>
          <w:szCs w:val="21"/>
          <w:highlight w:val="none"/>
          <w:u w:val="single"/>
        </w:rPr>
        <w:t xml:space="preserve">                                                         （投标人名称）</w:t>
      </w:r>
      <w:r>
        <w:rPr>
          <w:rFonts w:hint="eastAsia" w:ascii="宋体" w:hAnsi="宋体" w:eastAsia="宋体" w:cs="宋体"/>
          <w:color w:val="auto"/>
          <w:kern w:val="0"/>
          <w:szCs w:val="21"/>
          <w:highlight w:val="none"/>
        </w:rPr>
        <w:t>的法定代表人。</w:t>
      </w:r>
    </w:p>
    <w:p w14:paraId="1399B0E9">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特此证明。</w:t>
      </w:r>
    </w:p>
    <w:p w14:paraId="3A098A54">
      <w:pP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附：法定代表人身份证扫描件（双面）</w:t>
      </w:r>
    </w:p>
    <w:p w14:paraId="71D3A324">
      <w:pPr>
        <w:autoSpaceDE w:val="0"/>
        <w:autoSpaceDN w:val="0"/>
        <w:adjustRightInd w:val="0"/>
        <w:snapToGrid w:val="0"/>
        <w:spacing w:line="360" w:lineRule="auto"/>
        <w:jc w:val="left"/>
        <w:rPr>
          <w:rFonts w:hint="eastAsia" w:ascii="宋体" w:hAnsi="宋体" w:eastAsia="宋体" w:cs="宋体"/>
          <w:color w:val="auto"/>
          <w:szCs w:val="21"/>
          <w:highlight w:val="none"/>
        </w:rPr>
      </w:pPr>
    </w:p>
    <w:p w14:paraId="7B0F5F12">
      <w:pPr>
        <w:pStyle w:val="2"/>
        <w:spacing w:after="0" w:line="360" w:lineRule="auto"/>
        <w:rPr>
          <w:rFonts w:hint="eastAsia" w:ascii="宋体" w:hAnsi="宋体" w:eastAsia="宋体" w:cs="宋体"/>
          <w:color w:val="auto"/>
          <w:szCs w:val="21"/>
          <w:highlight w:val="none"/>
        </w:rPr>
      </w:pPr>
    </w:p>
    <w:p w14:paraId="51250F82">
      <w:pPr>
        <w:pStyle w:val="2"/>
        <w:spacing w:after="0" w:line="360" w:lineRule="auto"/>
        <w:rPr>
          <w:rFonts w:hint="eastAsia" w:ascii="宋体" w:hAnsi="宋体" w:eastAsia="宋体" w:cs="宋体"/>
          <w:color w:val="auto"/>
          <w:szCs w:val="21"/>
          <w:highlight w:val="none"/>
        </w:rPr>
      </w:pPr>
    </w:p>
    <w:p w14:paraId="3F63D7B7">
      <w:pPr>
        <w:pStyle w:val="2"/>
        <w:spacing w:after="0" w:line="360" w:lineRule="auto"/>
        <w:rPr>
          <w:rFonts w:hint="eastAsia" w:ascii="宋体" w:hAnsi="宋体" w:eastAsia="宋体" w:cs="宋体"/>
          <w:color w:val="auto"/>
          <w:szCs w:val="21"/>
          <w:highlight w:val="none"/>
        </w:rPr>
      </w:pPr>
    </w:p>
    <w:p w14:paraId="0706307B">
      <w:pPr>
        <w:pStyle w:val="2"/>
        <w:spacing w:after="0" w:line="360" w:lineRule="auto"/>
        <w:rPr>
          <w:rFonts w:hint="eastAsia" w:ascii="宋体" w:hAnsi="宋体" w:eastAsia="宋体" w:cs="宋体"/>
          <w:color w:val="auto"/>
          <w:szCs w:val="21"/>
          <w:highlight w:val="none"/>
        </w:rPr>
      </w:pPr>
    </w:p>
    <w:p w14:paraId="055000C2">
      <w:pPr>
        <w:pStyle w:val="2"/>
        <w:spacing w:after="0" w:line="360" w:lineRule="auto"/>
        <w:rPr>
          <w:rFonts w:hint="eastAsia" w:ascii="宋体" w:hAnsi="宋体" w:eastAsia="宋体" w:cs="宋体"/>
          <w:color w:val="auto"/>
          <w:szCs w:val="21"/>
          <w:highlight w:val="none"/>
        </w:rPr>
      </w:pPr>
    </w:p>
    <w:p w14:paraId="5C446BE6">
      <w:pPr>
        <w:tabs>
          <w:tab w:val="left" w:pos="5460"/>
        </w:tabs>
        <w:autoSpaceDE w:val="0"/>
        <w:autoSpaceDN w:val="0"/>
        <w:adjustRightInd w:val="0"/>
        <w:snapToGrid w:val="0"/>
        <w:spacing w:line="480" w:lineRule="auto"/>
        <w:ind w:firstLine="2100"/>
        <w:jc w:val="righ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w:t>
      </w:r>
      <w:r>
        <w:rPr>
          <w:rFonts w:hint="eastAsia" w:ascii="宋体" w:hAnsi="宋体" w:eastAsia="宋体" w:cs="宋体"/>
          <w:color w:val="auto"/>
          <w:spacing w:val="-1"/>
          <w:kern w:val="0"/>
          <w:szCs w:val="21"/>
          <w:highlight w:val="none"/>
        </w:rPr>
        <w:t>人</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ab/>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rPr>
        <w:t>盖单位法人章）</w:t>
      </w:r>
    </w:p>
    <w:p w14:paraId="03B74B04">
      <w:pPr>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14:paraId="5E80550E">
      <w:pP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日  </w:t>
      </w:r>
    </w:p>
    <w:p w14:paraId="2D560E88">
      <w:pPr>
        <w:pStyle w:val="2"/>
        <w:rPr>
          <w:rFonts w:hint="eastAsia" w:ascii="宋体" w:hAnsi="宋体" w:eastAsia="宋体" w:cs="宋体"/>
          <w:color w:val="auto"/>
          <w:highlight w:val="none"/>
        </w:rPr>
      </w:pPr>
    </w:p>
    <w:p w14:paraId="2A42C4E3">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注：法定代表人身份证明需按上述格式填写完整，不可缺少内容。在此基础上增加内容的不影响其有效性。</w:t>
      </w:r>
    </w:p>
    <w:p w14:paraId="4AF11A5A">
      <w:pPr>
        <w:autoSpaceDE w:val="0"/>
        <w:autoSpaceDN w:val="0"/>
        <w:adjustRightInd w:val="0"/>
        <w:snapToGrid w:val="0"/>
        <w:spacing w:line="360" w:lineRule="auto"/>
        <w:jc w:val="left"/>
        <w:rPr>
          <w:rFonts w:hint="eastAsia" w:ascii="宋体" w:hAnsi="宋体" w:eastAsia="宋体" w:cs="宋体"/>
          <w:color w:val="auto"/>
          <w:kern w:val="0"/>
          <w:highlight w:val="none"/>
        </w:rPr>
      </w:pPr>
    </w:p>
    <w:p w14:paraId="0AA975BC">
      <w:pPr>
        <w:tabs>
          <w:tab w:val="left" w:pos="1680"/>
          <w:tab w:val="left" w:pos="4215"/>
          <w:tab w:val="left" w:pos="4305"/>
          <w:tab w:val="left" w:pos="8000"/>
        </w:tabs>
        <w:autoSpaceDE w:val="0"/>
        <w:autoSpaceDN w:val="0"/>
        <w:adjustRightInd w:val="0"/>
        <w:snapToGrid w:val="0"/>
        <w:spacing w:line="360" w:lineRule="auto"/>
        <w:jc w:val="center"/>
        <w:outlineLvl w:val="1"/>
        <w:rPr>
          <w:rFonts w:hint="eastAsia" w:ascii="宋体" w:hAnsi="宋体" w:eastAsia="宋体" w:cs="宋体"/>
          <w:color w:val="auto"/>
          <w:kern w:val="0"/>
          <w:sz w:val="12"/>
          <w:szCs w:val="12"/>
          <w:highlight w:val="none"/>
        </w:rPr>
      </w:pPr>
      <w:r>
        <w:rPr>
          <w:rFonts w:hint="eastAsia" w:ascii="宋体" w:hAnsi="宋体" w:eastAsia="宋体" w:cs="宋体"/>
          <w:b/>
          <w:color w:val="auto"/>
          <w:kern w:val="0"/>
          <w:sz w:val="28"/>
          <w:szCs w:val="28"/>
          <w:highlight w:val="none"/>
        </w:rPr>
        <w:br w:type="page"/>
      </w:r>
      <w:bookmarkStart w:id="334" w:name="_Toc32670"/>
      <w:bookmarkStart w:id="335" w:name="_Toc31307"/>
      <w:r>
        <w:rPr>
          <w:rFonts w:hint="eastAsia" w:ascii="宋体" w:hAnsi="宋体" w:eastAsia="宋体" w:cs="宋体"/>
          <w:snapToGrid w:val="0"/>
          <w:color w:val="auto"/>
          <w:kern w:val="0"/>
          <w:sz w:val="32"/>
          <w:szCs w:val="32"/>
          <w:highlight w:val="none"/>
        </w:rPr>
        <w:t>授权委托书</w:t>
      </w:r>
      <w:bookmarkEnd w:id="334"/>
      <w:bookmarkEnd w:id="335"/>
    </w:p>
    <w:p w14:paraId="282738F3">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14:paraId="4A387241">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14:paraId="258A2EE8">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rPr>
        <w:t>系</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w:t>
      </w:r>
      <w:r>
        <w:rPr>
          <w:rFonts w:hint="eastAsia" w:ascii="宋体" w:hAnsi="宋体" w:eastAsia="宋体" w:cs="宋体"/>
          <w:color w:val="auto"/>
          <w:spacing w:val="-1"/>
          <w:kern w:val="0"/>
          <w:szCs w:val="21"/>
          <w:highlight w:val="none"/>
          <w:u w:val="single"/>
        </w:rPr>
        <w:t>投</w:t>
      </w:r>
      <w:r>
        <w:rPr>
          <w:rFonts w:hint="eastAsia" w:ascii="宋体" w:hAnsi="宋体" w:eastAsia="宋体" w:cs="宋体"/>
          <w:color w:val="auto"/>
          <w:kern w:val="0"/>
          <w:szCs w:val="21"/>
          <w:highlight w:val="none"/>
          <w:u w:val="single"/>
        </w:rPr>
        <w:t>标人名称</w:t>
      </w:r>
      <w:r>
        <w:rPr>
          <w:rFonts w:hint="eastAsia" w:ascii="宋体" w:hAnsi="宋体" w:eastAsia="宋体" w:cs="宋体"/>
          <w:color w:val="auto"/>
          <w:spacing w:val="1"/>
          <w:kern w:val="0"/>
          <w:szCs w:val="21"/>
          <w:highlight w:val="none"/>
          <w:u w:val="single"/>
        </w:rPr>
        <w:t>）</w:t>
      </w:r>
      <w:r>
        <w:rPr>
          <w:rFonts w:hint="eastAsia" w:ascii="宋体" w:hAnsi="宋体" w:eastAsia="宋体" w:cs="宋体"/>
          <w:color w:val="auto"/>
          <w:kern w:val="0"/>
          <w:szCs w:val="21"/>
          <w:highlight w:val="none"/>
        </w:rPr>
        <w:t>的法定代</w:t>
      </w:r>
      <w:r>
        <w:rPr>
          <w:rFonts w:hint="eastAsia" w:ascii="宋体" w:hAnsi="宋体" w:eastAsia="宋体" w:cs="宋体"/>
          <w:color w:val="auto"/>
          <w:spacing w:val="1"/>
          <w:kern w:val="0"/>
          <w:szCs w:val="21"/>
          <w:highlight w:val="none"/>
        </w:rPr>
        <w:t>表</w:t>
      </w:r>
      <w:r>
        <w:rPr>
          <w:rFonts w:hint="eastAsia" w:ascii="宋体" w:hAnsi="宋体" w:eastAsia="宋体" w:cs="宋体"/>
          <w:color w:val="auto"/>
          <w:kern w:val="0"/>
          <w:szCs w:val="21"/>
          <w:highlight w:val="none"/>
        </w:rPr>
        <w:t>人，现委托</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rPr>
        <w:t>为我方代理人。代理人根据授权，以我方名义签署、澄清、说明、补正、递交、撤回、修改</w:t>
      </w:r>
      <w:r>
        <w:rPr>
          <w:rFonts w:hint="eastAsia" w:ascii="宋体" w:hAnsi="宋体" w:eastAsia="宋体" w:cs="宋体"/>
          <w:color w:val="auto"/>
          <w:w w:val="200"/>
          <w:kern w:val="0"/>
          <w:szCs w:val="21"/>
          <w:highlight w:val="none"/>
          <w:u w:val="single"/>
        </w:rPr>
        <w:t xml:space="preserve">          </w:t>
      </w:r>
      <w:r>
        <w:rPr>
          <w:rFonts w:hint="eastAsia" w:ascii="宋体" w:hAnsi="宋体" w:cs="宋体"/>
          <w:color w:val="auto"/>
          <w:kern w:val="0"/>
          <w:szCs w:val="21"/>
          <w:highlight w:val="none"/>
          <w:u w:val="single"/>
          <w:lang w:eastAsia="zh-CN"/>
        </w:rPr>
        <w:t>巫溪至开州高速公路项目机电工程高压外电接入施工专项分包</w:t>
      </w:r>
      <w:r>
        <w:rPr>
          <w:rFonts w:hint="eastAsia" w:ascii="宋体" w:hAnsi="宋体" w:eastAsia="宋体" w:cs="宋体"/>
          <w:color w:val="auto"/>
          <w:kern w:val="0"/>
          <w:szCs w:val="21"/>
          <w:highlight w:val="none"/>
        </w:rPr>
        <w:t>投标文件、领取原件、签订合同和处理有关事宜， 其法律后果由我方承担。</w:t>
      </w:r>
    </w:p>
    <w:p w14:paraId="0CAF3510">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w:t>
      </w:r>
      <w:r>
        <w:rPr>
          <w:rFonts w:hint="eastAsia" w:ascii="宋体" w:hAnsi="宋体" w:eastAsia="宋体" w:cs="宋体"/>
          <w:color w:val="auto"/>
          <w:spacing w:val="-1"/>
          <w:kern w:val="0"/>
          <w:szCs w:val="21"/>
          <w:highlight w:val="none"/>
        </w:rPr>
        <w:t>期</w:t>
      </w:r>
      <w:r>
        <w:rPr>
          <w:rFonts w:hint="eastAsia" w:ascii="宋体" w:hAnsi="宋体" w:eastAsia="宋体" w:cs="宋体"/>
          <w:color w:val="auto"/>
          <w:kern w:val="0"/>
          <w:szCs w:val="21"/>
          <w:highlight w:val="none"/>
        </w:rPr>
        <w:t>限：</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 xml:space="preserve">。 </w:t>
      </w:r>
    </w:p>
    <w:p w14:paraId="7A0249BB">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 w:val="20"/>
          <w:szCs w:val="20"/>
          <w:highlight w:val="none"/>
        </w:rPr>
      </w:pPr>
      <w:r>
        <w:rPr>
          <w:rFonts w:hint="eastAsia" w:ascii="宋体" w:hAnsi="宋体" w:eastAsia="宋体" w:cs="宋体"/>
          <w:color w:val="auto"/>
          <w:kern w:val="0"/>
          <w:szCs w:val="21"/>
          <w:highlight w:val="none"/>
        </w:rPr>
        <w:t>代理人无转委托权。</w:t>
      </w:r>
    </w:p>
    <w:p w14:paraId="6DC40230">
      <w:pPr>
        <w:tabs>
          <w:tab w:val="left" w:pos="4200"/>
          <w:tab w:val="left" w:pos="462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  标  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盖单位法人章</w:t>
      </w:r>
      <w:r>
        <w:rPr>
          <w:rFonts w:hint="eastAsia" w:ascii="宋体" w:hAnsi="宋体" w:eastAsia="宋体" w:cs="宋体"/>
          <w:color w:val="auto"/>
          <w:kern w:val="0"/>
          <w:szCs w:val="21"/>
          <w:highlight w:val="none"/>
        </w:rPr>
        <w:t>）</w:t>
      </w:r>
    </w:p>
    <w:p w14:paraId="68E122F8">
      <w:pPr>
        <w:tabs>
          <w:tab w:val="left" w:pos="630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或盖章）</w:t>
      </w:r>
    </w:p>
    <w:p w14:paraId="6571608C">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p>
    <w:p w14:paraId="0637FEA2">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委托代理人：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w:t>
      </w:r>
    </w:p>
    <w:p w14:paraId="29F794C8">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p>
    <w:p w14:paraId="417D3957">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单位电话（座机）：</w:t>
      </w:r>
      <w:r>
        <w:rPr>
          <w:rFonts w:hint="eastAsia" w:ascii="宋体" w:hAnsi="宋体" w:eastAsia="宋体" w:cs="宋体"/>
          <w:color w:val="auto"/>
          <w:kern w:val="0"/>
          <w:szCs w:val="21"/>
          <w:highlight w:val="none"/>
          <w:u w:val="single"/>
        </w:rPr>
        <w:t xml:space="preserve">                                    </w:t>
      </w:r>
    </w:p>
    <w:p w14:paraId="236A7F86">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 w:val="20"/>
          <w:szCs w:val="20"/>
          <w:highlight w:val="none"/>
          <w:u w:val="single"/>
        </w:rPr>
      </w:pPr>
      <w:r>
        <w:rPr>
          <w:rFonts w:hint="eastAsia" w:ascii="宋体" w:hAnsi="宋体" w:eastAsia="宋体" w:cs="宋体"/>
          <w:color w:val="auto"/>
          <w:kern w:val="0"/>
          <w:szCs w:val="21"/>
          <w:highlight w:val="none"/>
        </w:rPr>
        <w:t xml:space="preserve">委托代理人电话（手机）：                                                </w:t>
      </w:r>
    </w:p>
    <w:p w14:paraId="7E12BC66">
      <w:pPr>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14:paraId="523EE710">
      <w:pP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附：法定代表人和委托代理人身份证扫描件（双面）</w:t>
      </w:r>
    </w:p>
    <w:p w14:paraId="03B2ACF0">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14:paraId="51239E05">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14:paraId="69DF268A">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14:paraId="1DC79F0D">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14:paraId="33F0C029">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rPr>
        <w:t xml:space="preserve"> </w:t>
      </w:r>
    </w:p>
    <w:p w14:paraId="58819B0D">
      <w:pPr>
        <w:tabs>
          <w:tab w:val="left" w:pos="5760"/>
        </w:tabs>
        <w:autoSpaceDE w:val="0"/>
        <w:autoSpaceDN w:val="0"/>
        <w:adjustRightIn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14:paraId="299121C4">
      <w:pPr>
        <w:spacing w:line="360" w:lineRule="auto"/>
        <w:ind w:firstLine="420" w:firstLineChars="200"/>
        <w:jc w:val="center"/>
        <w:rPr>
          <w:rFonts w:hint="eastAsia" w:ascii="宋体" w:hAnsi="宋体" w:eastAsia="宋体" w:cs="宋体"/>
          <w:snapToGrid w:val="0"/>
          <w:color w:val="auto"/>
          <w:kern w:val="0"/>
          <w:sz w:val="32"/>
          <w:szCs w:val="32"/>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highlight w:val="none"/>
        </w:rPr>
        <w:t>授权委托书需按上述格式填写完整，不可缺少内容。在此基础上增加内容的不影响其有效性。</w:t>
      </w:r>
    </w:p>
    <w:p w14:paraId="69837EDE">
      <w:pPr>
        <w:pStyle w:val="4"/>
        <w:spacing w:line="360" w:lineRule="auto"/>
        <w:jc w:val="center"/>
        <w:outlineLvl w:val="0"/>
        <w:rPr>
          <w:rFonts w:hint="eastAsia" w:ascii="宋体" w:hAnsi="宋体" w:eastAsia="宋体" w:cs="宋体"/>
          <w:b w:val="0"/>
          <w:bCs w:val="0"/>
          <w:color w:val="auto"/>
          <w:sz w:val="44"/>
          <w:szCs w:val="44"/>
          <w:highlight w:val="none"/>
        </w:rPr>
      </w:pPr>
      <w:bookmarkStart w:id="336" w:name="_Toc224103500"/>
      <w:r>
        <w:rPr>
          <w:rFonts w:hint="eastAsia" w:ascii="宋体" w:hAnsi="宋体" w:eastAsia="宋体" w:cs="宋体"/>
          <w:color w:val="auto"/>
          <w:highlight w:val="none"/>
        </w:rPr>
        <w:br w:type="page"/>
      </w:r>
      <w:bookmarkEnd w:id="336"/>
      <w:bookmarkStart w:id="337" w:name="_Toc7263"/>
      <w:bookmarkStart w:id="338" w:name="_Toc11820"/>
      <w:r>
        <w:rPr>
          <w:rFonts w:hint="eastAsia" w:ascii="宋体" w:hAnsi="宋体" w:eastAsia="宋体" w:cs="宋体"/>
          <w:b w:val="0"/>
          <w:bCs w:val="0"/>
          <w:color w:val="auto"/>
          <w:sz w:val="44"/>
          <w:szCs w:val="44"/>
          <w:highlight w:val="none"/>
        </w:rPr>
        <w:t>二、经济部分</w:t>
      </w:r>
      <w:bookmarkEnd w:id="337"/>
      <w:bookmarkEnd w:id="338"/>
    </w:p>
    <w:p w14:paraId="1715577C">
      <w:pPr>
        <w:autoSpaceDE w:val="0"/>
        <w:autoSpaceDN w:val="0"/>
        <w:adjustRightInd w:val="0"/>
        <w:snapToGrid w:val="0"/>
        <w:spacing w:line="360" w:lineRule="auto"/>
        <w:jc w:val="center"/>
        <w:rPr>
          <w:rFonts w:hint="eastAsia" w:ascii="宋体" w:hAnsi="宋体" w:eastAsia="宋体" w:cs="宋体"/>
          <w:color w:val="auto"/>
          <w:sz w:val="32"/>
          <w:szCs w:val="32"/>
          <w:highlight w:val="none"/>
        </w:rPr>
      </w:pPr>
    </w:p>
    <w:p w14:paraId="655BA1CF">
      <w:pPr>
        <w:tabs>
          <w:tab w:val="left" w:pos="3280"/>
          <w:tab w:val="left" w:pos="4680"/>
          <w:tab w:val="left" w:pos="6080"/>
        </w:tabs>
        <w:autoSpaceDE w:val="0"/>
        <w:autoSpaceDN w:val="0"/>
        <w:adjustRightInd w:val="0"/>
        <w:snapToGrid w:val="0"/>
        <w:spacing w:after="156" w:afterLines="50" w:line="360" w:lineRule="auto"/>
        <w:jc w:val="center"/>
        <w:rPr>
          <w:rFonts w:hint="eastAsia" w:ascii="宋体" w:hAnsi="宋体" w:eastAsia="宋体" w:cs="宋体"/>
          <w:color w:val="auto"/>
          <w:kern w:val="0"/>
          <w:sz w:val="24"/>
          <w:szCs w:val="21"/>
          <w:highlight w:val="none"/>
        </w:rPr>
      </w:pPr>
      <w:r>
        <w:rPr>
          <w:rFonts w:hint="eastAsia" w:ascii="宋体" w:hAnsi="宋体" w:eastAsia="宋体" w:cs="宋体"/>
          <w:color w:val="auto"/>
          <w:sz w:val="32"/>
          <w:szCs w:val="32"/>
          <w:highlight w:val="none"/>
        </w:rPr>
        <w:br w:type="page"/>
      </w:r>
    </w:p>
    <w:p w14:paraId="40034DD6">
      <w:pPr>
        <w:autoSpaceDE w:val="0"/>
        <w:autoSpaceDN w:val="0"/>
        <w:adjustRightInd w:val="0"/>
        <w:snapToGrid w:val="0"/>
        <w:spacing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 w:val="36"/>
          <w:szCs w:val="36"/>
          <w:highlight w:val="none"/>
        </w:rPr>
        <w:t>目  录</w:t>
      </w:r>
    </w:p>
    <w:p w14:paraId="68F4C931">
      <w:pPr>
        <w:autoSpaceDE w:val="0"/>
        <w:autoSpaceDN w:val="0"/>
        <w:adjustRightInd w:val="0"/>
        <w:snapToGrid w:val="0"/>
        <w:spacing w:line="360" w:lineRule="auto"/>
        <w:jc w:val="left"/>
        <w:rPr>
          <w:rFonts w:hint="eastAsia" w:ascii="宋体" w:hAnsi="宋体" w:eastAsia="宋体" w:cs="宋体"/>
          <w:color w:val="auto"/>
          <w:kern w:val="0"/>
          <w:szCs w:val="21"/>
          <w:highlight w:val="none"/>
        </w:rPr>
      </w:pPr>
    </w:p>
    <w:p w14:paraId="51814E00">
      <w:pPr>
        <w:autoSpaceDE w:val="0"/>
        <w:autoSpaceDN w:val="0"/>
        <w:adjustRightInd w:val="0"/>
        <w:snapToGrid w:val="0"/>
        <w:spacing w:line="360" w:lineRule="auto"/>
        <w:jc w:val="center"/>
        <w:rPr>
          <w:rFonts w:hint="eastAsia" w:ascii="宋体" w:hAnsi="宋体" w:eastAsia="宋体" w:cs="宋体"/>
          <w:i/>
          <w:iCs/>
          <w:color w:val="auto"/>
          <w:kern w:val="0"/>
          <w:szCs w:val="21"/>
          <w:highlight w:val="none"/>
        </w:rPr>
      </w:pPr>
      <w:r>
        <w:rPr>
          <w:rFonts w:hint="eastAsia" w:ascii="宋体" w:hAnsi="宋体" w:eastAsia="宋体" w:cs="宋体"/>
          <w:i/>
          <w:iCs/>
          <w:color w:val="auto"/>
          <w:kern w:val="0"/>
          <w:szCs w:val="21"/>
          <w:highlight w:val="none"/>
        </w:rPr>
        <w:t>[目录由投标人自行编制]</w:t>
      </w:r>
    </w:p>
    <w:p w14:paraId="1CC893A3">
      <w:pPr>
        <w:pStyle w:val="5"/>
        <w:spacing w:before="0" w:after="0" w:line="240" w:lineRule="auto"/>
        <w:jc w:val="center"/>
        <w:rPr>
          <w:rFonts w:hint="eastAsia" w:ascii="宋体" w:hAnsi="宋体" w:eastAsia="宋体" w:cs="宋体"/>
          <w:b w:val="0"/>
          <w:bCs w:val="0"/>
          <w:color w:val="auto"/>
          <w:highlight w:val="none"/>
        </w:rPr>
      </w:pPr>
      <w:bookmarkStart w:id="339" w:name="_Toc287620820"/>
      <w:bookmarkStart w:id="340" w:name="_Toc277082648"/>
      <w:bookmarkStart w:id="341" w:name="_Toc430530535"/>
      <w:bookmarkStart w:id="342" w:name="_Toc224103501"/>
      <w:bookmarkStart w:id="343" w:name="_Toc287607873"/>
      <w:r>
        <w:rPr>
          <w:rFonts w:hint="eastAsia" w:ascii="宋体" w:hAnsi="宋体" w:eastAsia="宋体" w:cs="宋体"/>
          <w:b w:val="0"/>
          <w:bCs w:val="0"/>
          <w:color w:val="auto"/>
          <w:kern w:val="0"/>
          <w:sz w:val="21"/>
          <w:szCs w:val="21"/>
          <w:highlight w:val="none"/>
        </w:rPr>
        <w:br w:type="page"/>
      </w:r>
      <w:bookmarkStart w:id="344" w:name="_Toc6790"/>
      <w:bookmarkStart w:id="345" w:name="_Toc10606"/>
      <w:r>
        <w:rPr>
          <w:rFonts w:hint="eastAsia" w:ascii="宋体" w:hAnsi="宋体" w:eastAsia="宋体" w:cs="宋体"/>
          <w:b w:val="0"/>
          <w:bCs w:val="0"/>
          <w:color w:val="auto"/>
          <w:highlight w:val="none"/>
        </w:rPr>
        <w:t>（一）已标价工程量清单</w:t>
      </w:r>
      <w:bookmarkEnd w:id="339"/>
      <w:bookmarkEnd w:id="340"/>
      <w:bookmarkEnd w:id="341"/>
      <w:bookmarkEnd w:id="342"/>
      <w:bookmarkEnd w:id="343"/>
      <w:bookmarkEnd w:id="344"/>
      <w:bookmarkEnd w:id="345"/>
    </w:p>
    <w:p w14:paraId="2F59D17A">
      <w:pPr>
        <w:tabs>
          <w:tab w:val="left" w:pos="2580"/>
          <w:tab w:val="left" w:pos="5940"/>
        </w:tabs>
        <w:autoSpaceDE w:val="0"/>
        <w:autoSpaceDN w:val="0"/>
        <w:adjustRightInd w:val="0"/>
        <w:snapToGrid w:val="0"/>
        <w:spacing w:line="360" w:lineRule="auto"/>
        <w:ind w:firstLine="2940"/>
        <w:jc w:val="left"/>
        <w:rPr>
          <w:rFonts w:hint="eastAsia" w:ascii="宋体" w:hAnsi="宋体" w:eastAsia="宋体" w:cs="宋体"/>
          <w:color w:val="auto"/>
          <w:kern w:val="0"/>
          <w:sz w:val="28"/>
          <w:szCs w:val="28"/>
          <w:highlight w:val="none"/>
        </w:rPr>
      </w:pPr>
    </w:p>
    <w:p w14:paraId="525CD8EB">
      <w:pPr>
        <w:pStyle w:val="4"/>
        <w:spacing w:line="360" w:lineRule="auto"/>
        <w:jc w:val="center"/>
        <w:outlineLvl w:val="0"/>
        <w:rPr>
          <w:rFonts w:hint="eastAsia" w:ascii="宋体" w:hAnsi="宋体" w:eastAsia="宋体" w:cs="宋体"/>
          <w:b w:val="0"/>
          <w:bCs w:val="0"/>
          <w:color w:val="auto"/>
          <w:sz w:val="44"/>
          <w:szCs w:val="44"/>
          <w:highlight w:val="none"/>
        </w:rPr>
      </w:pPr>
      <w:r>
        <w:rPr>
          <w:rFonts w:hint="eastAsia" w:ascii="宋体" w:hAnsi="宋体" w:eastAsia="宋体" w:cs="宋体"/>
          <w:color w:val="auto"/>
          <w:highlight w:val="none"/>
        </w:rPr>
        <w:br w:type="page"/>
      </w:r>
      <w:bookmarkStart w:id="346" w:name="_Toc15718"/>
      <w:r>
        <w:rPr>
          <w:rFonts w:hint="eastAsia" w:ascii="宋体" w:hAnsi="宋体" w:eastAsia="宋体" w:cs="宋体"/>
          <w:b w:val="0"/>
          <w:bCs w:val="0"/>
          <w:color w:val="auto"/>
          <w:sz w:val="44"/>
          <w:szCs w:val="44"/>
          <w:highlight w:val="none"/>
        </w:rPr>
        <w:t>三、商务部分</w:t>
      </w:r>
      <w:bookmarkEnd w:id="346"/>
    </w:p>
    <w:p w14:paraId="519FE38E">
      <w:pPr>
        <w:tabs>
          <w:tab w:val="left" w:pos="3280"/>
          <w:tab w:val="left" w:pos="4680"/>
          <w:tab w:val="left" w:pos="6080"/>
        </w:tabs>
        <w:autoSpaceDE w:val="0"/>
        <w:autoSpaceDN w:val="0"/>
        <w:adjustRightInd w:val="0"/>
        <w:snapToGrid w:val="0"/>
        <w:spacing w:after="156" w:afterLines="50" w:line="360" w:lineRule="auto"/>
        <w:jc w:val="center"/>
        <w:outlineLvl w:val="1"/>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8"/>
          <w:szCs w:val="28"/>
          <w:highlight w:val="none"/>
        </w:rPr>
        <w:br w:type="page"/>
      </w:r>
    </w:p>
    <w:p w14:paraId="6D0A8F59">
      <w:pPr>
        <w:autoSpaceDE w:val="0"/>
        <w:autoSpaceDN w:val="0"/>
        <w:adjustRightInd w:val="0"/>
        <w:snapToGrid w:val="0"/>
        <w:spacing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 w:val="36"/>
          <w:szCs w:val="36"/>
          <w:highlight w:val="none"/>
        </w:rPr>
        <w:t>目  录</w:t>
      </w:r>
    </w:p>
    <w:p w14:paraId="77DA6496">
      <w:pPr>
        <w:autoSpaceDE w:val="0"/>
        <w:autoSpaceDN w:val="0"/>
        <w:adjustRightInd w:val="0"/>
        <w:snapToGrid w:val="0"/>
        <w:spacing w:line="360" w:lineRule="auto"/>
        <w:jc w:val="left"/>
        <w:rPr>
          <w:rFonts w:hint="eastAsia" w:ascii="宋体" w:hAnsi="宋体" w:eastAsia="宋体" w:cs="宋体"/>
          <w:color w:val="auto"/>
          <w:kern w:val="0"/>
          <w:szCs w:val="21"/>
          <w:highlight w:val="none"/>
        </w:rPr>
      </w:pPr>
    </w:p>
    <w:p w14:paraId="7CAA7982">
      <w:pPr>
        <w:autoSpaceDE w:val="0"/>
        <w:autoSpaceDN w:val="0"/>
        <w:adjustRightInd w:val="0"/>
        <w:snapToGrid w:val="0"/>
        <w:spacing w:line="360" w:lineRule="auto"/>
        <w:jc w:val="center"/>
        <w:rPr>
          <w:rFonts w:hint="eastAsia" w:ascii="宋体" w:hAnsi="宋体" w:eastAsia="宋体" w:cs="宋体"/>
          <w:i/>
          <w:iCs/>
          <w:color w:val="auto"/>
          <w:kern w:val="0"/>
          <w:szCs w:val="21"/>
          <w:highlight w:val="none"/>
        </w:rPr>
      </w:pPr>
      <w:r>
        <w:rPr>
          <w:rFonts w:hint="eastAsia" w:ascii="宋体" w:hAnsi="宋体" w:eastAsia="宋体" w:cs="宋体"/>
          <w:i/>
          <w:iCs/>
          <w:color w:val="auto"/>
          <w:kern w:val="0"/>
          <w:szCs w:val="21"/>
          <w:highlight w:val="none"/>
        </w:rPr>
        <w:t>[目录由投标人自行编制]</w:t>
      </w:r>
    </w:p>
    <w:p w14:paraId="3F7997A8">
      <w:pPr>
        <w:pStyle w:val="4"/>
        <w:spacing w:line="360" w:lineRule="auto"/>
        <w:rPr>
          <w:rFonts w:hint="eastAsia" w:ascii="宋体" w:hAnsi="宋体" w:eastAsia="宋体" w:cs="宋体"/>
          <w:color w:val="auto"/>
          <w:highlight w:val="none"/>
        </w:rPr>
      </w:pPr>
      <w:r>
        <w:rPr>
          <w:rFonts w:hint="eastAsia" w:ascii="宋体" w:hAnsi="宋体" w:eastAsia="宋体" w:cs="宋体"/>
          <w:color w:val="auto"/>
          <w:szCs w:val="21"/>
          <w:highlight w:val="none"/>
        </w:rPr>
        <w:br w:type="page"/>
      </w:r>
    </w:p>
    <w:p w14:paraId="13FE7788">
      <w:pPr>
        <w:pStyle w:val="4"/>
        <w:spacing w:line="360" w:lineRule="auto"/>
        <w:jc w:val="center"/>
        <w:outlineLvl w:val="0"/>
        <w:rPr>
          <w:rFonts w:hint="eastAsia" w:ascii="宋体" w:hAnsi="宋体" w:eastAsia="宋体" w:cs="宋体"/>
          <w:b w:val="0"/>
          <w:bCs w:val="0"/>
          <w:color w:val="auto"/>
          <w:sz w:val="44"/>
          <w:szCs w:val="44"/>
          <w:highlight w:val="none"/>
        </w:rPr>
      </w:pPr>
      <w:bookmarkStart w:id="347" w:name="_Toc14100"/>
      <w:r>
        <w:rPr>
          <w:rFonts w:hint="eastAsia" w:ascii="宋体" w:hAnsi="宋体" w:eastAsia="宋体" w:cs="宋体"/>
          <w:color w:val="auto"/>
          <w:sz w:val="44"/>
          <w:szCs w:val="44"/>
          <w:highlight w:val="none"/>
        </w:rPr>
        <w:t>四、</w:t>
      </w:r>
      <w:r>
        <w:rPr>
          <w:rFonts w:hint="eastAsia" w:ascii="宋体" w:hAnsi="宋体" w:eastAsia="宋体" w:cs="宋体"/>
          <w:b w:val="0"/>
          <w:bCs w:val="0"/>
          <w:color w:val="auto"/>
          <w:sz w:val="44"/>
          <w:szCs w:val="44"/>
          <w:highlight w:val="none"/>
        </w:rPr>
        <w:t>技术部分</w:t>
      </w:r>
      <w:bookmarkEnd w:id="347"/>
    </w:p>
    <w:p w14:paraId="62843FA2">
      <w:pPr>
        <w:jc w:val="center"/>
        <w:rPr>
          <w:rFonts w:hint="eastAsia" w:ascii="宋体" w:hAnsi="宋体" w:eastAsia="宋体" w:cs="宋体"/>
          <w:i/>
          <w:iCs/>
          <w:color w:val="auto"/>
          <w:highlight w:val="none"/>
        </w:rPr>
      </w:pPr>
      <w:bookmarkStart w:id="348" w:name="_Toc534185833"/>
      <w:bookmarkStart w:id="349" w:name="_Toc536628352"/>
      <w:bookmarkStart w:id="350" w:name="_Toc509218856"/>
      <w:bookmarkStart w:id="351" w:name="_Toc430530537"/>
    </w:p>
    <w:bookmarkEnd w:id="348"/>
    <w:bookmarkEnd w:id="349"/>
    <w:bookmarkEnd w:id="350"/>
    <w:bookmarkEnd w:id="351"/>
    <w:p w14:paraId="1E039043">
      <w:pPr>
        <w:jc w:val="center"/>
        <w:rPr>
          <w:rFonts w:hint="eastAsia" w:ascii="宋体" w:hAnsi="宋体" w:eastAsia="宋体" w:cs="宋体"/>
          <w:color w:val="auto"/>
          <w:highlight w:val="none"/>
        </w:rPr>
      </w:pPr>
    </w:p>
    <w:p w14:paraId="05A42CA9">
      <w:pPr>
        <w:autoSpaceDE w:val="0"/>
        <w:autoSpaceDN w:val="0"/>
        <w:adjustRightInd w:val="0"/>
        <w:snapToGrid w:val="0"/>
        <w:spacing w:line="360" w:lineRule="auto"/>
        <w:jc w:val="center"/>
        <w:rPr>
          <w:rFonts w:hint="eastAsia" w:ascii="宋体" w:hAnsi="宋体" w:eastAsia="宋体" w:cs="宋体"/>
          <w:color w:val="auto"/>
          <w:sz w:val="44"/>
          <w:szCs w:val="44"/>
          <w:highlight w:val="none"/>
        </w:rPr>
      </w:pPr>
    </w:p>
    <w:p w14:paraId="4674A8B4">
      <w:pPr>
        <w:autoSpaceDE w:val="0"/>
        <w:autoSpaceDN w:val="0"/>
        <w:adjustRightInd w:val="0"/>
        <w:snapToGrid w:val="0"/>
        <w:spacing w:line="360" w:lineRule="auto"/>
        <w:jc w:val="center"/>
        <w:rPr>
          <w:rFonts w:hint="eastAsia" w:ascii="宋体" w:hAnsi="宋体" w:eastAsia="宋体" w:cs="宋体"/>
          <w:color w:val="auto"/>
          <w:kern w:val="0"/>
          <w:sz w:val="32"/>
          <w:szCs w:val="32"/>
          <w:highlight w:val="none"/>
        </w:rPr>
      </w:pPr>
      <w:r>
        <w:rPr>
          <w:rFonts w:hint="eastAsia" w:ascii="宋体" w:hAnsi="宋体" w:eastAsia="宋体" w:cs="宋体"/>
          <w:color w:val="auto"/>
          <w:sz w:val="44"/>
          <w:szCs w:val="44"/>
          <w:highlight w:val="none"/>
        </w:rPr>
        <w:br w:type="page"/>
      </w:r>
      <w:r>
        <w:rPr>
          <w:rFonts w:hint="eastAsia" w:ascii="宋体" w:hAnsi="宋体" w:eastAsia="宋体" w:cs="宋体"/>
          <w:color w:val="auto"/>
          <w:kern w:val="0"/>
          <w:sz w:val="36"/>
          <w:szCs w:val="36"/>
          <w:highlight w:val="none"/>
        </w:rPr>
        <w:t>目  录</w:t>
      </w:r>
    </w:p>
    <w:p w14:paraId="18BD2C3F">
      <w:pPr>
        <w:pStyle w:val="2"/>
        <w:rPr>
          <w:rFonts w:hint="eastAsia" w:ascii="宋体" w:hAnsi="宋体" w:eastAsia="宋体" w:cs="宋体"/>
          <w:color w:val="auto"/>
          <w:highlight w:val="none"/>
        </w:rPr>
      </w:pPr>
    </w:p>
    <w:p w14:paraId="7262E22B">
      <w:pPr>
        <w:autoSpaceDE w:val="0"/>
        <w:autoSpaceDN w:val="0"/>
        <w:adjustRightInd w:val="0"/>
        <w:snapToGrid w:val="0"/>
        <w:spacing w:line="360" w:lineRule="auto"/>
        <w:jc w:val="center"/>
        <w:rPr>
          <w:rFonts w:hint="eastAsia" w:ascii="宋体" w:hAnsi="宋体" w:eastAsia="宋体" w:cs="宋体"/>
          <w:i/>
          <w:iCs/>
          <w:color w:val="auto"/>
          <w:kern w:val="0"/>
          <w:szCs w:val="21"/>
          <w:highlight w:val="none"/>
        </w:rPr>
      </w:pPr>
      <w:r>
        <w:rPr>
          <w:rFonts w:hint="eastAsia" w:ascii="宋体" w:hAnsi="宋体" w:eastAsia="宋体" w:cs="宋体"/>
          <w:i/>
          <w:iCs/>
          <w:color w:val="auto"/>
          <w:kern w:val="0"/>
          <w:szCs w:val="21"/>
          <w:highlight w:val="none"/>
        </w:rPr>
        <w:t>[目录由投标人自行编制]</w:t>
      </w:r>
    </w:p>
    <w:p w14:paraId="5CF1CE16">
      <w:pPr>
        <w:autoSpaceDE w:val="0"/>
        <w:autoSpaceDN w:val="0"/>
        <w:adjustRightInd w:val="0"/>
        <w:snapToGrid w:val="0"/>
        <w:spacing w:line="360" w:lineRule="auto"/>
        <w:jc w:val="center"/>
        <w:rPr>
          <w:rFonts w:hint="eastAsia" w:ascii="宋体" w:hAnsi="宋体" w:eastAsia="宋体" w:cs="宋体"/>
          <w:color w:val="auto"/>
          <w:kern w:val="0"/>
          <w:szCs w:val="21"/>
          <w:highlight w:val="none"/>
        </w:rPr>
      </w:pPr>
    </w:p>
    <w:p w14:paraId="46FAAFA5">
      <w:pPr>
        <w:pStyle w:val="5"/>
        <w:spacing w:before="0" w:after="0" w:line="24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bookmarkStart w:id="352" w:name="_Toc586"/>
      <w:r>
        <w:rPr>
          <w:rFonts w:hint="eastAsia" w:ascii="宋体" w:hAnsi="宋体" w:eastAsia="宋体" w:cs="宋体"/>
          <w:b w:val="0"/>
          <w:bCs w:val="0"/>
          <w:color w:val="auto"/>
          <w:sz w:val="36"/>
          <w:szCs w:val="36"/>
          <w:highlight w:val="none"/>
        </w:rPr>
        <w:t>（一）</w:t>
      </w:r>
      <w:r>
        <w:rPr>
          <w:rFonts w:hint="eastAsia" w:ascii="宋体" w:hAnsi="宋体" w:eastAsia="宋体" w:cs="宋体"/>
          <w:b w:val="0"/>
          <w:bCs w:val="0"/>
          <w:color w:val="auto"/>
          <w:highlight w:val="none"/>
        </w:rPr>
        <w:t>技术方案</w:t>
      </w:r>
      <w:bookmarkEnd w:id="352"/>
    </w:p>
    <w:p w14:paraId="08EDDE14">
      <w:pPr>
        <w:autoSpaceDE w:val="0"/>
        <w:autoSpaceDN w:val="0"/>
        <w:adjustRightInd w:val="0"/>
        <w:snapToGrid w:val="0"/>
        <w:spacing w:line="360" w:lineRule="auto"/>
        <w:jc w:val="left"/>
        <w:rPr>
          <w:rFonts w:hint="eastAsia" w:ascii="宋体" w:hAnsi="宋体" w:eastAsia="宋体" w:cs="宋体"/>
          <w:color w:val="auto"/>
          <w:kern w:val="0"/>
          <w:sz w:val="12"/>
          <w:szCs w:val="12"/>
          <w:highlight w:val="none"/>
        </w:rPr>
      </w:pPr>
    </w:p>
    <w:p w14:paraId="6711BD12">
      <w:pPr>
        <w:pStyle w:val="2"/>
        <w:spacing w:line="360" w:lineRule="auto"/>
        <w:ind w:firstLine="420" w:firstLineChars="200"/>
        <w:jc w:val="center"/>
        <w:rPr>
          <w:rFonts w:hint="eastAsia" w:ascii="宋体" w:hAnsi="宋体" w:eastAsia="宋体" w:cs="宋体"/>
          <w:i/>
          <w:color w:val="auto"/>
          <w:kern w:val="0"/>
          <w:szCs w:val="21"/>
          <w:highlight w:val="none"/>
        </w:rPr>
      </w:pPr>
      <w:r>
        <w:rPr>
          <w:rFonts w:hint="eastAsia" w:ascii="宋体" w:hAnsi="宋体" w:eastAsia="宋体" w:cs="宋体"/>
          <w:i/>
          <w:color w:val="auto"/>
          <w:kern w:val="0"/>
          <w:szCs w:val="21"/>
          <w:highlight w:val="none"/>
        </w:rPr>
        <w:t>[投标人应根据招标文件的要求编制技术方案]</w:t>
      </w:r>
    </w:p>
    <w:p w14:paraId="1D16E59B">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highlight w:val="none"/>
        </w:rPr>
        <w:t xml:space="preserve"> 投标人应按以下要点（如有）编制技术方案（文字宜精炼、内容具有针对性）：</w:t>
      </w:r>
    </w:p>
    <w:p w14:paraId="49CB9319">
      <w:pPr>
        <w:pStyle w:val="2"/>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1.1关键设备</w:t>
      </w:r>
    </w:p>
    <w:p w14:paraId="134451B6">
      <w:pPr>
        <w:pStyle w:val="2"/>
        <w:ind w:firstLine="420" w:firstLineChars="200"/>
        <w:rPr>
          <w:rFonts w:hint="eastAsia" w:ascii="宋体" w:hAnsi="宋体" w:cs="宋体"/>
          <w:color w:val="auto"/>
          <w:highlight w:val="none"/>
          <w:lang w:val="en-US" w:eastAsia="zh-CN"/>
        </w:rPr>
      </w:pPr>
      <w:r>
        <w:rPr>
          <w:rFonts w:hint="eastAsia" w:ascii="宋体" w:hAnsi="宋体" w:eastAsia="宋体" w:cs="宋体"/>
          <w:color w:val="auto"/>
          <w:highlight w:val="none"/>
          <w:lang w:val="en-US" w:eastAsia="zh-CN"/>
        </w:rPr>
        <w:t>1.2施工组织设计</w:t>
      </w:r>
    </w:p>
    <w:p w14:paraId="32901F1C">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（1）总体施工组织布置及规划；</w:t>
      </w:r>
    </w:p>
    <w:p w14:paraId="34E7C67D">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（2）主要工程项目的施工方案、方法与技术措施（尤其对重点、关键和难点工程的施工方案、方法及措施）；</w:t>
      </w:r>
    </w:p>
    <w:p w14:paraId="3864372D">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（3）工期</w:t>
      </w:r>
      <w:r>
        <w:rPr>
          <w:rFonts w:hint="eastAsia" w:ascii="宋体" w:hAnsi="宋体" w:eastAsia="宋体" w:cs="宋体"/>
          <w:color w:val="auto"/>
          <w:highlight w:val="none"/>
          <w:lang w:eastAsia="zh-CN"/>
        </w:rPr>
        <w:t>和资金</w:t>
      </w:r>
      <w:r>
        <w:rPr>
          <w:rFonts w:hint="eastAsia" w:ascii="宋体" w:hAnsi="宋体" w:eastAsia="宋体" w:cs="宋体"/>
          <w:color w:val="auto"/>
          <w:highlight w:val="none"/>
        </w:rPr>
        <w:t>保证体系及保证措施；</w:t>
      </w:r>
    </w:p>
    <w:p w14:paraId="5A0C82DD">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（4）工程质量</w:t>
      </w:r>
      <w:r>
        <w:rPr>
          <w:rFonts w:hint="eastAsia" w:ascii="宋体" w:hAnsi="宋体" w:eastAsia="宋体" w:cs="宋体"/>
          <w:color w:val="auto"/>
          <w:highlight w:val="none"/>
          <w:lang w:eastAsia="zh-CN"/>
        </w:rPr>
        <w:t>、安全、环保、水保</w:t>
      </w:r>
      <w:r>
        <w:rPr>
          <w:rFonts w:hint="eastAsia" w:ascii="宋体" w:hAnsi="宋体" w:eastAsia="宋体" w:cs="宋体"/>
          <w:color w:val="auto"/>
          <w:highlight w:val="none"/>
        </w:rPr>
        <w:t>管理体系及保证措施；</w:t>
      </w:r>
    </w:p>
    <w:p w14:paraId="1ACF368F">
      <w:pPr>
        <w:pStyle w:val="2"/>
        <w:ind w:firstLine="420" w:firstLineChars="200"/>
        <w:rPr>
          <w:rFonts w:hint="eastAsia" w:ascii="宋体" w:hAnsi="宋体" w:eastAsia="宋体" w:cs="宋体"/>
          <w:color w:val="auto"/>
          <w:highlight w:val="none"/>
          <w:lang w:eastAsia="zh-CN"/>
        </w:rPr>
      </w:pPr>
      <w:r>
        <w:rPr>
          <w:rFonts w:hint="eastAsia" w:ascii="宋体" w:hAnsi="宋体" w:eastAsia="宋体" w:cs="宋体"/>
          <w:color w:val="auto"/>
          <w:highlight w:val="none"/>
        </w:rPr>
        <w:t>（5）项目风险预测与防范，事故应急预案</w:t>
      </w:r>
      <w:r>
        <w:rPr>
          <w:rFonts w:hint="eastAsia" w:ascii="宋体" w:hAnsi="宋体" w:eastAsia="宋体" w:cs="宋体"/>
          <w:color w:val="auto"/>
          <w:highlight w:val="none"/>
          <w:lang w:eastAsia="zh-CN"/>
        </w:rPr>
        <w:t>；</w:t>
      </w:r>
    </w:p>
    <w:p w14:paraId="42CDD278">
      <w:pPr>
        <w:pStyle w:val="2"/>
        <w:ind w:firstLine="420" w:firstLineChars="20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lang w:eastAsia="zh-CN"/>
        </w:rPr>
        <w:t>）支付保障措施（有关民工工资、劳务专业分包等的按期支付保证措施）</w:t>
      </w:r>
    </w:p>
    <w:p w14:paraId="6DA06845">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）交通组织方案；</w:t>
      </w:r>
    </w:p>
    <w:p w14:paraId="25298620">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8</w:t>
      </w:r>
      <w:r>
        <w:rPr>
          <w:rFonts w:hint="eastAsia" w:ascii="宋体" w:hAnsi="宋体" w:eastAsia="宋体" w:cs="宋体"/>
          <w:color w:val="auto"/>
          <w:highlight w:val="none"/>
        </w:rPr>
        <w:t>）缺陷责任期配合措施；</w:t>
      </w:r>
    </w:p>
    <w:p w14:paraId="79262721">
      <w:pPr>
        <w:pStyle w:val="2"/>
        <w:ind w:firstLine="420" w:firstLineChars="200"/>
        <w:rPr>
          <w:rFonts w:hint="default" w:eastAsia="宋体"/>
          <w:lang w:val="en-US" w:eastAsia="zh-CN"/>
        </w:rPr>
      </w:pPr>
      <w:r>
        <w:rPr>
          <w:rFonts w:hint="eastAsia" w:ascii="宋体" w:hAnsi="宋体" w:eastAsia="宋体" w:cs="宋体"/>
          <w:color w:val="auto"/>
          <w:highlight w:val="none"/>
        </w:rPr>
        <w:t>（9）其他应说明的事项。</w:t>
      </w:r>
    </w:p>
    <w:p w14:paraId="01C276E8">
      <w:pPr>
        <w:pStyle w:val="4"/>
        <w:spacing w:line="360" w:lineRule="auto"/>
        <w:jc w:val="center"/>
        <w:outlineLvl w:val="0"/>
        <w:rPr>
          <w:rFonts w:hint="eastAsia" w:ascii="宋体" w:hAnsi="宋体" w:eastAsia="宋体" w:cs="宋体"/>
          <w:color w:val="auto"/>
          <w:sz w:val="44"/>
          <w:szCs w:val="44"/>
          <w:highlight w:val="none"/>
        </w:rPr>
      </w:pPr>
      <w:r>
        <w:rPr>
          <w:rFonts w:hint="eastAsia" w:ascii="宋体" w:hAnsi="宋体" w:eastAsia="宋体" w:cs="宋体"/>
          <w:color w:val="auto"/>
          <w:highlight w:val="none"/>
        </w:rPr>
        <w:br w:type="page"/>
      </w:r>
      <w:bookmarkStart w:id="353" w:name="_Toc430530545"/>
      <w:bookmarkStart w:id="354" w:name="_Toc277082656"/>
      <w:bookmarkStart w:id="355" w:name="_Toc224103510"/>
      <w:bookmarkStart w:id="356" w:name="_Toc287607882"/>
      <w:bookmarkStart w:id="357" w:name="_Toc287620829"/>
      <w:bookmarkStart w:id="358" w:name="_Toc18649"/>
      <w:r>
        <w:rPr>
          <w:rFonts w:hint="eastAsia" w:ascii="宋体" w:hAnsi="宋体" w:eastAsia="宋体" w:cs="宋体"/>
          <w:b w:val="0"/>
          <w:bCs w:val="0"/>
          <w:color w:val="auto"/>
          <w:sz w:val="44"/>
          <w:szCs w:val="44"/>
          <w:highlight w:val="none"/>
        </w:rPr>
        <w:t>五、资格审查资料</w:t>
      </w:r>
      <w:bookmarkEnd w:id="353"/>
      <w:bookmarkEnd w:id="354"/>
      <w:bookmarkEnd w:id="355"/>
      <w:bookmarkEnd w:id="356"/>
      <w:bookmarkEnd w:id="357"/>
      <w:bookmarkEnd w:id="358"/>
    </w:p>
    <w:bookmarkEnd w:id="258"/>
    <w:bookmarkEnd w:id="259"/>
    <w:bookmarkEnd w:id="260"/>
    <w:p w14:paraId="17D08FA3">
      <w:pPr>
        <w:tabs>
          <w:tab w:val="left" w:pos="3280"/>
          <w:tab w:val="left" w:pos="4680"/>
          <w:tab w:val="left" w:pos="6080"/>
        </w:tabs>
        <w:autoSpaceDE w:val="0"/>
        <w:autoSpaceDN w:val="0"/>
        <w:adjustRightInd w:val="0"/>
        <w:snapToGrid w:val="0"/>
        <w:spacing w:line="480" w:lineRule="auto"/>
        <w:jc w:val="center"/>
        <w:rPr>
          <w:rFonts w:hint="eastAsia" w:ascii="宋体" w:hAnsi="宋体" w:eastAsia="宋体" w:cs="宋体"/>
          <w:b/>
          <w:color w:val="auto"/>
          <w:kern w:val="0"/>
          <w:sz w:val="28"/>
          <w:szCs w:val="28"/>
          <w:highlight w:val="none"/>
        </w:rPr>
      </w:pPr>
      <w:bookmarkStart w:id="359" w:name="_Toc27983327"/>
      <w:r>
        <w:rPr>
          <w:rFonts w:hint="eastAsia" w:ascii="宋体" w:hAnsi="宋体" w:eastAsia="宋体" w:cs="宋体"/>
          <w:color w:val="auto"/>
          <w:sz w:val="32"/>
          <w:szCs w:val="32"/>
          <w:highlight w:val="none"/>
        </w:rPr>
        <w:br w:type="page"/>
      </w:r>
    </w:p>
    <w:p w14:paraId="74FB993F">
      <w:pPr>
        <w:autoSpaceDE w:val="0"/>
        <w:autoSpaceDN w:val="0"/>
        <w:adjustRightInd w:val="0"/>
        <w:snapToGrid w:val="0"/>
        <w:jc w:val="center"/>
        <w:rPr>
          <w:rFonts w:hint="eastAsia" w:ascii="宋体" w:hAnsi="宋体" w:eastAsia="宋体" w:cs="宋体"/>
          <w:color w:val="auto"/>
          <w:kern w:val="0"/>
          <w:sz w:val="36"/>
          <w:szCs w:val="36"/>
          <w:highlight w:val="none"/>
        </w:rPr>
      </w:pPr>
    </w:p>
    <w:p w14:paraId="7C3ED099">
      <w:pPr>
        <w:autoSpaceDE w:val="0"/>
        <w:autoSpaceDN w:val="0"/>
        <w:adjustRightInd w:val="0"/>
        <w:snapToGrid w:val="0"/>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rPr>
        <w:t>目  录</w:t>
      </w:r>
    </w:p>
    <w:p w14:paraId="1564D08D">
      <w:pPr>
        <w:spacing w:line="360" w:lineRule="auto"/>
        <w:jc w:val="center"/>
        <w:rPr>
          <w:rFonts w:hint="eastAsia" w:ascii="宋体" w:hAnsi="宋体" w:eastAsia="宋体" w:cs="宋体"/>
          <w:b/>
          <w:color w:val="auto"/>
          <w:kern w:val="0"/>
          <w:sz w:val="32"/>
          <w:szCs w:val="32"/>
          <w:highlight w:val="none"/>
        </w:rPr>
      </w:pPr>
    </w:p>
    <w:p w14:paraId="3B6821A5">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（一）法定代表人身份证明或附有法定代表人身份证明的授权委托书</w:t>
      </w:r>
    </w:p>
    <w:p w14:paraId="0444C81D">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（二）投标人基本情况表</w:t>
      </w:r>
    </w:p>
    <w:p w14:paraId="36E1A301">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cs="宋体"/>
          <w:color w:val="auto"/>
          <w:highlight w:val="none"/>
          <w:lang w:val="en-US" w:eastAsia="zh-CN"/>
        </w:rPr>
        <w:t>三</w:t>
      </w:r>
      <w:r>
        <w:rPr>
          <w:rFonts w:hint="eastAsia" w:ascii="宋体" w:hAnsi="宋体" w:eastAsia="宋体" w:cs="宋体"/>
          <w:color w:val="auto"/>
          <w:highlight w:val="none"/>
        </w:rPr>
        <w:t>）项目管理机构</w:t>
      </w:r>
    </w:p>
    <w:p w14:paraId="6BABCE36">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cs="宋体"/>
          <w:color w:val="auto"/>
          <w:highlight w:val="none"/>
          <w:lang w:val="en-US" w:eastAsia="zh-CN"/>
        </w:rPr>
        <w:t>四</w:t>
      </w:r>
      <w:r>
        <w:rPr>
          <w:rFonts w:hint="eastAsia" w:ascii="宋体" w:hAnsi="宋体" w:eastAsia="宋体" w:cs="宋体"/>
          <w:color w:val="auto"/>
          <w:highlight w:val="none"/>
        </w:rPr>
        <w:t>）类似项目情况表</w:t>
      </w:r>
    </w:p>
    <w:p w14:paraId="76B27F4A">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cs="宋体"/>
          <w:color w:val="auto"/>
          <w:highlight w:val="none"/>
          <w:lang w:val="en-US" w:eastAsia="zh-CN"/>
        </w:rPr>
        <w:t>五</w:t>
      </w:r>
      <w:r>
        <w:rPr>
          <w:rFonts w:hint="eastAsia" w:ascii="宋体" w:hAnsi="宋体" w:eastAsia="宋体" w:cs="宋体"/>
          <w:color w:val="auto"/>
          <w:highlight w:val="none"/>
        </w:rPr>
        <w:t>）承诺</w:t>
      </w:r>
    </w:p>
    <w:p w14:paraId="4D9757C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highlight w:val="none"/>
        </w:rPr>
        <w:t>（六）其他资料</w:t>
      </w:r>
    </w:p>
    <w:p w14:paraId="62EE3133">
      <w:pPr>
        <w:spacing w:line="360" w:lineRule="auto"/>
        <w:ind w:firstLine="420" w:firstLineChars="200"/>
        <w:rPr>
          <w:rFonts w:hint="eastAsia" w:ascii="宋体" w:hAnsi="宋体" w:eastAsia="宋体" w:cs="宋体"/>
          <w:color w:val="auto"/>
          <w:szCs w:val="21"/>
          <w:highlight w:val="none"/>
        </w:rPr>
      </w:pPr>
    </w:p>
    <w:p w14:paraId="14E70BAA">
      <w:pPr>
        <w:pStyle w:val="2"/>
        <w:rPr>
          <w:rFonts w:hint="eastAsia" w:ascii="宋体" w:hAnsi="宋体" w:eastAsia="宋体" w:cs="宋体"/>
          <w:color w:val="auto"/>
          <w:szCs w:val="21"/>
          <w:highlight w:val="none"/>
        </w:rPr>
      </w:pPr>
    </w:p>
    <w:p w14:paraId="17D12333">
      <w:pPr>
        <w:pStyle w:val="5"/>
        <w:spacing w:before="0" w:after="0" w:line="240" w:lineRule="auto"/>
        <w:jc w:val="center"/>
        <w:rPr>
          <w:rFonts w:hint="eastAsia" w:ascii="宋体" w:hAnsi="宋体" w:eastAsia="宋体" w:cs="宋体"/>
          <w:color w:val="auto"/>
          <w:sz w:val="36"/>
          <w:szCs w:val="36"/>
          <w:highlight w:val="none"/>
        </w:rPr>
      </w:pPr>
      <w:bookmarkStart w:id="360" w:name="_Toc287620830"/>
      <w:bookmarkStart w:id="361" w:name="_Toc287607883"/>
      <w:bookmarkStart w:id="362" w:name="_Toc33106476"/>
      <w:bookmarkStart w:id="363" w:name="_Toc277082657"/>
      <w:bookmarkStart w:id="364" w:name="_Toc224103511"/>
      <w:bookmarkStart w:id="365" w:name="_Toc430530546"/>
      <w:r>
        <w:rPr>
          <w:rFonts w:hint="eastAsia" w:ascii="宋体" w:hAnsi="宋体" w:eastAsia="宋体" w:cs="宋体"/>
          <w:b w:val="0"/>
          <w:bCs w:val="0"/>
          <w:color w:val="auto"/>
          <w:highlight w:val="none"/>
        </w:rPr>
        <w:br w:type="page"/>
      </w:r>
      <w:bookmarkStart w:id="366" w:name="_Toc18889"/>
      <w:r>
        <w:rPr>
          <w:rFonts w:hint="eastAsia" w:ascii="宋体" w:hAnsi="宋体" w:eastAsia="宋体" w:cs="宋体"/>
          <w:b w:val="0"/>
          <w:bCs w:val="0"/>
          <w:color w:val="auto"/>
          <w:highlight w:val="none"/>
        </w:rPr>
        <w:t>（一）法定代表人身份证明或附有法定代表人身份证明的授权委托书</w:t>
      </w:r>
      <w:bookmarkEnd w:id="360"/>
      <w:bookmarkEnd w:id="361"/>
      <w:bookmarkEnd w:id="362"/>
      <w:bookmarkEnd w:id="363"/>
      <w:bookmarkEnd w:id="364"/>
      <w:bookmarkEnd w:id="365"/>
      <w:bookmarkEnd w:id="366"/>
    </w:p>
    <w:p w14:paraId="58890175">
      <w:pPr>
        <w:spacing w:line="480" w:lineRule="auto"/>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t>法定代表人身份证明</w:t>
      </w:r>
    </w:p>
    <w:p w14:paraId="48EED94A">
      <w:pPr>
        <w:spacing w:line="480" w:lineRule="auto"/>
        <w:jc w:val="center"/>
        <w:rPr>
          <w:rFonts w:hint="eastAsia" w:ascii="宋体" w:hAnsi="宋体" w:eastAsia="宋体" w:cs="宋体"/>
          <w:color w:val="auto"/>
          <w:highlight w:val="none"/>
        </w:rPr>
      </w:pPr>
    </w:p>
    <w:p w14:paraId="5388E4A0">
      <w:pPr>
        <w:tabs>
          <w:tab w:val="left" w:pos="556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w:t>
      </w:r>
      <w:r>
        <w:rPr>
          <w:rFonts w:hint="eastAsia" w:ascii="宋体" w:hAnsi="宋体" w:eastAsia="宋体" w:cs="宋体"/>
          <w:color w:val="auto"/>
          <w:w w:val="200"/>
          <w:kern w:val="0"/>
          <w:szCs w:val="21"/>
          <w:highlight w:val="none"/>
          <w:u w:val="single"/>
        </w:rPr>
        <w:t xml:space="preserve">                                     </w:t>
      </w:r>
    </w:p>
    <w:p w14:paraId="5BFB337F">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单位性质：</w:t>
      </w:r>
      <w:r>
        <w:rPr>
          <w:rFonts w:hint="eastAsia" w:ascii="宋体" w:hAnsi="宋体" w:eastAsia="宋体" w:cs="宋体"/>
          <w:color w:val="auto"/>
          <w:w w:val="200"/>
          <w:kern w:val="0"/>
          <w:szCs w:val="21"/>
          <w:highlight w:val="none"/>
          <w:u w:val="single"/>
        </w:rPr>
        <w:t xml:space="preserve">                                     </w:t>
      </w:r>
    </w:p>
    <w:p w14:paraId="0A6A6317">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    址：</w:t>
      </w:r>
      <w:r>
        <w:rPr>
          <w:rFonts w:hint="eastAsia" w:ascii="宋体" w:hAnsi="宋体" w:eastAsia="宋体" w:cs="宋体"/>
          <w:color w:val="auto"/>
          <w:w w:val="200"/>
          <w:kern w:val="0"/>
          <w:szCs w:val="21"/>
          <w:highlight w:val="none"/>
          <w:u w:val="single"/>
        </w:rPr>
        <w:t xml:space="preserve">                                     </w:t>
      </w:r>
    </w:p>
    <w:p w14:paraId="26AE4192">
      <w:pPr>
        <w:tabs>
          <w:tab w:val="left" w:pos="2520"/>
          <w:tab w:val="left" w:pos="3836"/>
        </w:tabs>
        <w:autoSpaceDE w:val="0"/>
        <w:autoSpaceDN w:val="0"/>
        <w:adjustRightInd w:val="0"/>
        <w:snapToGrid w:val="0"/>
        <w:spacing w:line="480" w:lineRule="auto"/>
        <w:ind w:firstLine="390" w:firstLineChars="186"/>
        <w:jc w:val="left"/>
        <w:rPr>
          <w:rFonts w:hint="eastAsia" w:ascii="宋体" w:hAnsi="宋体" w:eastAsia="宋体" w:cs="宋体"/>
          <w:color w:val="auto"/>
          <w:kern w:val="0"/>
          <w:sz w:val="10"/>
          <w:szCs w:val="10"/>
          <w:highlight w:val="none"/>
        </w:rPr>
      </w:pPr>
      <w:r>
        <w:rPr>
          <w:rFonts w:hint="eastAsia" w:ascii="宋体" w:hAnsi="宋体" w:eastAsia="宋体" w:cs="宋体"/>
          <w:color w:val="auto"/>
          <w:kern w:val="0"/>
          <w:szCs w:val="21"/>
          <w:highlight w:val="none"/>
        </w:rPr>
        <w:t>成立时间：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14:paraId="6C3B850A">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经营期限：</w:t>
      </w:r>
      <w:r>
        <w:rPr>
          <w:rFonts w:hint="eastAsia" w:ascii="宋体" w:hAnsi="宋体" w:eastAsia="宋体" w:cs="宋体"/>
          <w:color w:val="auto"/>
          <w:w w:val="200"/>
          <w:kern w:val="0"/>
          <w:szCs w:val="21"/>
          <w:highlight w:val="none"/>
          <w:u w:val="single"/>
        </w:rPr>
        <w:t xml:space="preserve">                                     </w:t>
      </w:r>
    </w:p>
    <w:p w14:paraId="77B93153">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性别</w:t>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pacing w:val="-1"/>
          <w:kern w:val="0"/>
          <w:szCs w:val="21"/>
          <w:highlight w:val="none"/>
        </w:rPr>
        <w:t>年</w:t>
      </w:r>
      <w:r>
        <w:rPr>
          <w:rFonts w:hint="eastAsia" w:ascii="宋体" w:hAnsi="宋体" w:eastAsia="宋体" w:cs="宋体"/>
          <w:color w:val="auto"/>
          <w:kern w:val="0"/>
          <w:szCs w:val="21"/>
          <w:highlight w:val="none"/>
        </w:rPr>
        <w:t>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职务：</w:t>
      </w:r>
      <w:r>
        <w:rPr>
          <w:rFonts w:hint="eastAsia" w:ascii="宋体" w:hAnsi="宋体" w:eastAsia="宋体" w:cs="宋体"/>
          <w:color w:val="auto"/>
          <w:kern w:val="0"/>
          <w:szCs w:val="21"/>
          <w:highlight w:val="none"/>
          <w:u w:val="single"/>
        </w:rPr>
        <w:t xml:space="preserve">               </w:t>
      </w:r>
    </w:p>
    <w:p w14:paraId="3D184767">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系</w:t>
      </w:r>
      <w:r>
        <w:rPr>
          <w:rFonts w:hint="eastAsia" w:ascii="宋体" w:hAnsi="宋体" w:eastAsia="宋体" w:cs="宋体"/>
          <w:color w:val="auto"/>
          <w:kern w:val="0"/>
          <w:szCs w:val="21"/>
          <w:highlight w:val="none"/>
          <w:u w:val="single"/>
        </w:rPr>
        <w:t xml:space="preserve">                                                         （投标人名称）</w:t>
      </w:r>
      <w:r>
        <w:rPr>
          <w:rFonts w:hint="eastAsia" w:ascii="宋体" w:hAnsi="宋体" w:eastAsia="宋体" w:cs="宋体"/>
          <w:color w:val="auto"/>
          <w:kern w:val="0"/>
          <w:szCs w:val="21"/>
          <w:highlight w:val="none"/>
        </w:rPr>
        <w:t>的法定代表人。</w:t>
      </w:r>
    </w:p>
    <w:p w14:paraId="64671FE5">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特此证明。</w:t>
      </w:r>
    </w:p>
    <w:p w14:paraId="4EF3DEDA">
      <w:pP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附：法定代表人身份证扫描件（双面）</w:t>
      </w:r>
    </w:p>
    <w:p w14:paraId="45F06FBB">
      <w:pPr>
        <w:autoSpaceDE w:val="0"/>
        <w:autoSpaceDN w:val="0"/>
        <w:adjustRightInd w:val="0"/>
        <w:snapToGrid w:val="0"/>
        <w:spacing w:line="360" w:lineRule="auto"/>
        <w:jc w:val="left"/>
        <w:rPr>
          <w:rFonts w:hint="eastAsia" w:ascii="宋体" w:hAnsi="宋体" w:eastAsia="宋体" w:cs="宋体"/>
          <w:color w:val="auto"/>
          <w:szCs w:val="21"/>
          <w:highlight w:val="none"/>
        </w:rPr>
      </w:pPr>
    </w:p>
    <w:p w14:paraId="30BE4D81">
      <w:pPr>
        <w:pStyle w:val="2"/>
        <w:spacing w:after="0" w:line="360" w:lineRule="auto"/>
        <w:rPr>
          <w:rFonts w:hint="eastAsia" w:ascii="宋体" w:hAnsi="宋体" w:eastAsia="宋体" w:cs="宋体"/>
          <w:color w:val="auto"/>
          <w:szCs w:val="21"/>
          <w:highlight w:val="none"/>
        </w:rPr>
      </w:pPr>
    </w:p>
    <w:p w14:paraId="56A959F4">
      <w:pPr>
        <w:pStyle w:val="2"/>
        <w:spacing w:after="0" w:line="360" w:lineRule="auto"/>
        <w:rPr>
          <w:rFonts w:hint="eastAsia" w:ascii="宋体" w:hAnsi="宋体" w:eastAsia="宋体" w:cs="宋体"/>
          <w:color w:val="auto"/>
          <w:szCs w:val="21"/>
          <w:highlight w:val="none"/>
        </w:rPr>
      </w:pPr>
    </w:p>
    <w:p w14:paraId="20DBAD06">
      <w:pPr>
        <w:pStyle w:val="2"/>
        <w:spacing w:after="0" w:line="360" w:lineRule="auto"/>
        <w:rPr>
          <w:rFonts w:hint="eastAsia" w:ascii="宋体" w:hAnsi="宋体" w:eastAsia="宋体" w:cs="宋体"/>
          <w:color w:val="auto"/>
          <w:szCs w:val="21"/>
          <w:highlight w:val="none"/>
        </w:rPr>
      </w:pPr>
    </w:p>
    <w:p w14:paraId="4AB1DAE4">
      <w:pPr>
        <w:pStyle w:val="2"/>
        <w:spacing w:after="0" w:line="360" w:lineRule="auto"/>
        <w:rPr>
          <w:rFonts w:hint="eastAsia" w:ascii="宋体" w:hAnsi="宋体" w:eastAsia="宋体" w:cs="宋体"/>
          <w:color w:val="auto"/>
          <w:szCs w:val="21"/>
          <w:highlight w:val="none"/>
        </w:rPr>
      </w:pPr>
    </w:p>
    <w:p w14:paraId="5BBE5F40">
      <w:pPr>
        <w:pStyle w:val="2"/>
        <w:spacing w:after="0" w:line="360" w:lineRule="auto"/>
        <w:rPr>
          <w:rFonts w:hint="eastAsia" w:ascii="宋体" w:hAnsi="宋体" w:eastAsia="宋体" w:cs="宋体"/>
          <w:color w:val="auto"/>
          <w:szCs w:val="21"/>
          <w:highlight w:val="none"/>
        </w:rPr>
      </w:pPr>
    </w:p>
    <w:p w14:paraId="2370D601">
      <w:pPr>
        <w:tabs>
          <w:tab w:val="left" w:pos="3360"/>
        </w:tabs>
        <w:autoSpaceDE w:val="0"/>
        <w:autoSpaceDN w:val="0"/>
        <w:adjustRightInd w:val="0"/>
        <w:snapToGrid w:val="0"/>
        <w:spacing w:line="480" w:lineRule="auto"/>
        <w:ind w:firstLine="390" w:firstLineChars="186"/>
        <w:jc w:val="righ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w:t>
      </w:r>
      <w:r>
        <w:rPr>
          <w:rFonts w:hint="eastAsia" w:ascii="宋体" w:hAnsi="宋体" w:eastAsia="宋体" w:cs="宋体"/>
          <w:color w:val="auto"/>
          <w:spacing w:val="-1"/>
          <w:kern w:val="0"/>
          <w:szCs w:val="21"/>
          <w:highlight w:val="none"/>
        </w:rPr>
        <w:t>人</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ab/>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rPr>
        <w:t>盖单位法人章）</w:t>
      </w:r>
    </w:p>
    <w:p w14:paraId="3CD79070">
      <w:pPr>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14:paraId="50FD311E">
      <w:pP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日    </w:t>
      </w:r>
    </w:p>
    <w:p w14:paraId="74522784">
      <w:pPr>
        <w:autoSpaceDE w:val="0"/>
        <w:autoSpaceDN w:val="0"/>
        <w:adjustRightInd w:val="0"/>
        <w:snapToGrid w:val="0"/>
        <w:spacing w:line="360" w:lineRule="auto"/>
        <w:jc w:val="left"/>
        <w:rPr>
          <w:rFonts w:hint="eastAsia" w:ascii="宋体" w:hAnsi="宋体" w:eastAsia="宋体" w:cs="宋体"/>
          <w:color w:val="auto"/>
          <w:kern w:val="0"/>
          <w:highlight w:val="none"/>
        </w:rPr>
      </w:pPr>
    </w:p>
    <w:p w14:paraId="3A6358DC">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hint="eastAsia" w:ascii="宋体" w:hAnsi="宋体" w:eastAsia="宋体" w:cs="宋体"/>
          <w:color w:val="auto"/>
          <w:kern w:val="0"/>
          <w:szCs w:val="21"/>
          <w:highlight w:val="none"/>
        </w:rPr>
      </w:pPr>
      <w:r>
        <w:rPr>
          <w:rFonts w:hint="eastAsia" w:ascii="宋体" w:hAnsi="宋体" w:eastAsia="宋体" w:cs="宋体"/>
          <w:color w:val="auto"/>
          <w:highlight w:val="none"/>
        </w:rPr>
        <w:t>注：法定代表人身份证明需按上述格式填写完整，不可缺少内容。在此基础上增加内容的不影响其有效性</w:t>
      </w:r>
      <w:r>
        <w:rPr>
          <w:rFonts w:hint="eastAsia" w:ascii="宋体" w:hAnsi="宋体" w:eastAsia="宋体" w:cs="宋体"/>
          <w:color w:val="auto"/>
          <w:kern w:val="0"/>
          <w:szCs w:val="21"/>
          <w:highlight w:val="none"/>
        </w:rPr>
        <w:t>。</w:t>
      </w:r>
    </w:p>
    <w:p w14:paraId="31AA5DF3">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eastAsia="宋体" w:cs="宋体"/>
          <w:color w:val="auto"/>
          <w:kern w:val="0"/>
          <w:sz w:val="28"/>
          <w:szCs w:val="28"/>
          <w:highlight w:val="none"/>
        </w:rPr>
      </w:pPr>
      <w:r>
        <w:rPr>
          <w:rFonts w:hint="eastAsia" w:ascii="宋体" w:hAnsi="宋体" w:eastAsia="宋体" w:cs="宋体"/>
          <w:b/>
          <w:color w:val="auto"/>
          <w:kern w:val="0"/>
          <w:sz w:val="28"/>
          <w:szCs w:val="28"/>
          <w:highlight w:val="none"/>
        </w:rPr>
        <w:br w:type="page"/>
      </w:r>
      <w:r>
        <w:rPr>
          <w:rFonts w:hint="eastAsia" w:ascii="宋体" w:hAnsi="宋体" w:eastAsia="宋体" w:cs="宋体"/>
          <w:snapToGrid w:val="0"/>
          <w:color w:val="auto"/>
          <w:kern w:val="0"/>
          <w:sz w:val="32"/>
          <w:szCs w:val="32"/>
          <w:highlight w:val="none"/>
        </w:rPr>
        <w:t>授权委托书</w:t>
      </w:r>
    </w:p>
    <w:p w14:paraId="595C6F3E">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rPr>
        <w:t>系</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w:t>
      </w:r>
      <w:r>
        <w:rPr>
          <w:rFonts w:hint="eastAsia" w:ascii="宋体" w:hAnsi="宋体" w:eastAsia="宋体" w:cs="宋体"/>
          <w:color w:val="auto"/>
          <w:spacing w:val="-1"/>
          <w:kern w:val="0"/>
          <w:szCs w:val="21"/>
          <w:highlight w:val="none"/>
          <w:u w:val="single"/>
        </w:rPr>
        <w:t>投</w:t>
      </w:r>
      <w:r>
        <w:rPr>
          <w:rFonts w:hint="eastAsia" w:ascii="宋体" w:hAnsi="宋体" w:eastAsia="宋体" w:cs="宋体"/>
          <w:color w:val="auto"/>
          <w:kern w:val="0"/>
          <w:szCs w:val="21"/>
          <w:highlight w:val="none"/>
          <w:u w:val="single"/>
        </w:rPr>
        <w:t>标人名称</w:t>
      </w:r>
      <w:r>
        <w:rPr>
          <w:rFonts w:hint="eastAsia" w:ascii="宋体" w:hAnsi="宋体" w:eastAsia="宋体" w:cs="宋体"/>
          <w:color w:val="auto"/>
          <w:spacing w:val="1"/>
          <w:kern w:val="0"/>
          <w:szCs w:val="21"/>
          <w:highlight w:val="none"/>
          <w:u w:val="single"/>
        </w:rPr>
        <w:t>）</w:t>
      </w:r>
      <w:r>
        <w:rPr>
          <w:rFonts w:hint="eastAsia" w:ascii="宋体" w:hAnsi="宋体" w:eastAsia="宋体" w:cs="宋体"/>
          <w:color w:val="auto"/>
          <w:kern w:val="0"/>
          <w:szCs w:val="21"/>
          <w:highlight w:val="none"/>
        </w:rPr>
        <w:t>的法定代</w:t>
      </w:r>
      <w:r>
        <w:rPr>
          <w:rFonts w:hint="eastAsia" w:ascii="宋体" w:hAnsi="宋体" w:eastAsia="宋体" w:cs="宋体"/>
          <w:color w:val="auto"/>
          <w:spacing w:val="1"/>
          <w:kern w:val="0"/>
          <w:szCs w:val="21"/>
          <w:highlight w:val="none"/>
        </w:rPr>
        <w:t>表</w:t>
      </w:r>
      <w:r>
        <w:rPr>
          <w:rFonts w:hint="eastAsia" w:ascii="宋体" w:hAnsi="宋体" w:eastAsia="宋体" w:cs="宋体"/>
          <w:color w:val="auto"/>
          <w:kern w:val="0"/>
          <w:szCs w:val="21"/>
          <w:highlight w:val="none"/>
        </w:rPr>
        <w:t>人，现委托</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rPr>
        <w:t>为我方代理人。代理人根据授权，以我方名义签署、澄清、说明、补正、递交、撤回、修改</w:t>
      </w:r>
      <w:r>
        <w:rPr>
          <w:rFonts w:hint="eastAsia" w:ascii="宋体" w:hAnsi="宋体" w:eastAsia="宋体" w:cs="宋体"/>
          <w:color w:val="auto"/>
          <w:w w:val="200"/>
          <w:kern w:val="0"/>
          <w:szCs w:val="21"/>
          <w:highlight w:val="none"/>
          <w:u w:val="single"/>
        </w:rPr>
        <w:t xml:space="preserve">          </w:t>
      </w:r>
      <w:r>
        <w:rPr>
          <w:rFonts w:hint="eastAsia" w:ascii="宋体" w:hAnsi="宋体" w:cs="宋体"/>
          <w:color w:val="auto"/>
          <w:kern w:val="0"/>
          <w:szCs w:val="21"/>
          <w:highlight w:val="none"/>
          <w:u w:val="single"/>
          <w:lang w:eastAsia="zh-CN"/>
        </w:rPr>
        <w:t>巫溪至开州高速公路项目机电工程高压外电接入施工专项分包</w:t>
      </w:r>
      <w:r>
        <w:rPr>
          <w:rFonts w:hint="eastAsia" w:ascii="宋体" w:hAnsi="宋体" w:eastAsia="宋体" w:cs="宋体"/>
          <w:color w:val="auto"/>
          <w:kern w:val="0"/>
          <w:szCs w:val="21"/>
          <w:highlight w:val="none"/>
        </w:rPr>
        <w:t>投标文件、领取原件、签订合同和处理有关事宜， 其法律后果由我方承担。</w:t>
      </w:r>
    </w:p>
    <w:p w14:paraId="1B70EA23">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w:t>
      </w:r>
      <w:r>
        <w:rPr>
          <w:rFonts w:hint="eastAsia" w:ascii="宋体" w:hAnsi="宋体" w:eastAsia="宋体" w:cs="宋体"/>
          <w:color w:val="auto"/>
          <w:spacing w:val="-1"/>
          <w:kern w:val="0"/>
          <w:szCs w:val="21"/>
          <w:highlight w:val="none"/>
        </w:rPr>
        <w:t>期</w:t>
      </w:r>
      <w:r>
        <w:rPr>
          <w:rFonts w:hint="eastAsia" w:ascii="宋体" w:hAnsi="宋体" w:eastAsia="宋体" w:cs="宋体"/>
          <w:color w:val="auto"/>
          <w:kern w:val="0"/>
          <w:szCs w:val="21"/>
          <w:highlight w:val="none"/>
        </w:rPr>
        <w:t>限：</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 xml:space="preserve">。 </w:t>
      </w:r>
    </w:p>
    <w:p w14:paraId="5DDDF3B9">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 w:val="20"/>
          <w:szCs w:val="20"/>
          <w:highlight w:val="none"/>
        </w:rPr>
      </w:pPr>
      <w:r>
        <w:rPr>
          <w:rFonts w:hint="eastAsia" w:ascii="宋体" w:hAnsi="宋体" w:eastAsia="宋体" w:cs="宋体"/>
          <w:color w:val="auto"/>
          <w:kern w:val="0"/>
          <w:szCs w:val="21"/>
          <w:highlight w:val="none"/>
        </w:rPr>
        <w:t>代理人无转委托权。</w:t>
      </w:r>
    </w:p>
    <w:p w14:paraId="66739A8A">
      <w:pPr>
        <w:tabs>
          <w:tab w:val="left" w:pos="4200"/>
          <w:tab w:val="left" w:pos="462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  标  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盖单位法人章</w:t>
      </w:r>
      <w:r>
        <w:rPr>
          <w:rFonts w:hint="eastAsia" w:ascii="宋体" w:hAnsi="宋体" w:eastAsia="宋体" w:cs="宋体"/>
          <w:color w:val="auto"/>
          <w:kern w:val="0"/>
          <w:szCs w:val="21"/>
          <w:highlight w:val="none"/>
        </w:rPr>
        <w:t>）</w:t>
      </w:r>
    </w:p>
    <w:p w14:paraId="0B57FFDB">
      <w:pPr>
        <w:tabs>
          <w:tab w:val="left" w:pos="630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或盖章）</w:t>
      </w:r>
    </w:p>
    <w:p w14:paraId="19241412">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p>
    <w:p w14:paraId="1D3FF507">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委托代理人：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w:t>
      </w:r>
    </w:p>
    <w:p w14:paraId="07B9BB25">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p>
    <w:p w14:paraId="06FAF6D2">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单位电话（座机）：</w:t>
      </w:r>
      <w:r>
        <w:rPr>
          <w:rFonts w:hint="eastAsia" w:ascii="宋体" w:hAnsi="宋体" w:eastAsia="宋体" w:cs="宋体"/>
          <w:color w:val="auto"/>
          <w:kern w:val="0"/>
          <w:szCs w:val="21"/>
          <w:highlight w:val="none"/>
          <w:u w:val="single"/>
        </w:rPr>
        <w:t xml:space="preserve">                                    </w:t>
      </w:r>
    </w:p>
    <w:p w14:paraId="351C3D8C">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 w:val="20"/>
          <w:szCs w:val="20"/>
          <w:highlight w:val="none"/>
          <w:u w:val="single"/>
        </w:rPr>
      </w:pPr>
      <w:r>
        <w:rPr>
          <w:rFonts w:hint="eastAsia" w:ascii="宋体" w:hAnsi="宋体" w:eastAsia="宋体" w:cs="宋体"/>
          <w:color w:val="auto"/>
          <w:kern w:val="0"/>
          <w:szCs w:val="21"/>
          <w:highlight w:val="none"/>
        </w:rPr>
        <w:t xml:space="preserve">委托代理人电话（手机）：                                                </w:t>
      </w:r>
    </w:p>
    <w:p w14:paraId="68A90978">
      <w:pPr>
        <w:tabs>
          <w:tab w:val="left" w:pos="6825"/>
        </w:tabs>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14:paraId="569D2043">
      <w:pP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附：法定代表人和委托代理人身份证扫描件（双面）</w:t>
      </w:r>
    </w:p>
    <w:p w14:paraId="73654E5A">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14:paraId="43599D9A">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14:paraId="6137811F">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14:paraId="3EC06B18">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14:paraId="4C533CA4">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14:paraId="4251BEBF">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14:paraId="1F07C0D5">
      <w:pPr>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14:paraId="70C71B18">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14:paraId="538E7967">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rPr>
        <w:t xml:space="preserve"> </w:t>
      </w:r>
    </w:p>
    <w:p w14:paraId="487A0D17">
      <w:pPr>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14:paraId="2E846064">
      <w:pPr>
        <w:autoSpaceDE w:val="0"/>
        <w:autoSpaceDN w:val="0"/>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highlight w:val="none"/>
        </w:rPr>
        <w:t>授权委托书需按上述格式填写完整，不可缺少内容。在此基础上增加内容的不影响其有效性。</w:t>
      </w:r>
    </w:p>
    <w:p w14:paraId="750BB639">
      <w:pPr>
        <w:pStyle w:val="2"/>
        <w:rPr>
          <w:rFonts w:hint="eastAsia" w:ascii="宋体" w:hAnsi="宋体" w:eastAsia="宋体" w:cs="宋体"/>
          <w:color w:val="auto"/>
          <w:highlight w:val="none"/>
        </w:rPr>
      </w:pPr>
    </w:p>
    <w:p w14:paraId="2EADA0A8">
      <w:pPr>
        <w:autoSpaceDE w:val="0"/>
        <w:autoSpaceDN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br w:type="page"/>
      </w:r>
    </w:p>
    <w:bookmarkEnd w:id="359"/>
    <w:p w14:paraId="070696B3">
      <w:pPr>
        <w:pStyle w:val="5"/>
        <w:spacing w:before="0" w:after="0" w:line="240" w:lineRule="auto"/>
        <w:jc w:val="center"/>
        <w:rPr>
          <w:rFonts w:hint="eastAsia" w:ascii="宋体" w:hAnsi="宋体" w:eastAsia="宋体" w:cs="宋体"/>
          <w:color w:val="auto"/>
          <w:highlight w:val="none"/>
        </w:rPr>
      </w:pPr>
      <w:bookmarkStart w:id="367" w:name="_Toc33106478"/>
      <w:bookmarkStart w:id="368" w:name="_Toc16645"/>
      <w:r>
        <w:rPr>
          <w:rFonts w:hint="eastAsia" w:ascii="宋体" w:hAnsi="宋体" w:eastAsia="宋体" w:cs="宋体"/>
          <w:b w:val="0"/>
          <w:bCs w:val="0"/>
          <w:color w:val="auto"/>
          <w:highlight w:val="none"/>
        </w:rPr>
        <w:t>（</w:t>
      </w:r>
      <w:r>
        <w:rPr>
          <w:rFonts w:hint="eastAsia" w:ascii="宋体" w:hAnsi="宋体" w:cs="宋体"/>
          <w:b w:val="0"/>
          <w:bCs w:val="0"/>
          <w:color w:val="auto"/>
          <w:highlight w:val="none"/>
          <w:lang w:val="en-US" w:eastAsia="zh-CN"/>
        </w:rPr>
        <w:t>二</w:t>
      </w:r>
      <w:r>
        <w:rPr>
          <w:rFonts w:hint="eastAsia" w:ascii="宋体" w:hAnsi="宋体" w:eastAsia="宋体" w:cs="宋体"/>
          <w:b w:val="0"/>
          <w:bCs w:val="0"/>
          <w:color w:val="auto"/>
          <w:highlight w:val="none"/>
        </w:rPr>
        <w:t>）投标人基本情况表</w:t>
      </w:r>
      <w:bookmarkEnd w:id="367"/>
      <w:bookmarkEnd w:id="368"/>
    </w:p>
    <w:tbl>
      <w:tblPr>
        <w:tblStyle w:val="34"/>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62"/>
        <w:gridCol w:w="967"/>
        <w:gridCol w:w="1024"/>
        <w:gridCol w:w="904"/>
        <w:gridCol w:w="452"/>
        <w:gridCol w:w="103"/>
        <w:gridCol w:w="1392"/>
        <w:gridCol w:w="529"/>
        <w:gridCol w:w="925"/>
        <w:gridCol w:w="1311"/>
      </w:tblGrid>
      <w:tr w14:paraId="1E58048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0DE73398">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w:t>
            </w:r>
          </w:p>
        </w:tc>
        <w:tc>
          <w:tcPr>
            <w:tcW w:w="7607" w:type="dxa"/>
            <w:gridSpan w:val="9"/>
            <w:vAlign w:val="center"/>
          </w:tcPr>
          <w:p w14:paraId="69BCAA32">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7C67D02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61346B30">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注册地址</w:t>
            </w:r>
          </w:p>
        </w:tc>
        <w:tc>
          <w:tcPr>
            <w:tcW w:w="3450" w:type="dxa"/>
            <w:gridSpan w:val="5"/>
            <w:vAlign w:val="center"/>
          </w:tcPr>
          <w:p w14:paraId="701D9825">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92" w:type="dxa"/>
            <w:vAlign w:val="center"/>
          </w:tcPr>
          <w:p w14:paraId="1723379B">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邮政编码</w:t>
            </w:r>
          </w:p>
        </w:tc>
        <w:tc>
          <w:tcPr>
            <w:tcW w:w="2765" w:type="dxa"/>
            <w:gridSpan w:val="3"/>
            <w:vAlign w:val="center"/>
          </w:tcPr>
          <w:p w14:paraId="16D546ED">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27200F4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restart"/>
            <w:vAlign w:val="center"/>
          </w:tcPr>
          <w:p w14:paraId="2A24222B">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联系方式</w:t>
            </w:r>
          </w:p>
        </w:tc>
        <w:tc>
          <w:tcPr>
            <w:tcW w:w="967" w:type="dxa"/>
            <w:vAlign w:val="center"/>
          </w:tcPr>
          <w:p w14:paraId="537948FA">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联系人</w:t>
            </w:r>
          </w:p>
        </w:tc>
        <w:tc>
          <w:tcPr>
            <w:tcW w:w="2483" w:type="dxa"/>
            <w:gridSpan w:val="4"/>
            <w:vAlign w:val="center"/>
          </w:tcPr>
          <w:p w14:paraId="2F18E72F">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92" w:type="dxa"/>
            <w:vAlign w:val="center"/>
          </w:tcPr>
          <w:p w14:paraId="55FD9B74">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电话</w:t>
            </w:r>
          </w:p>
        </w:tc>
        <w:tc>
          <w:tcPr>
            <w:tcW w:w="2765" w:type="dxa"/>
            <w:gridSpan w:val="3"/>
            <w:vAlign w:val="center"/>
          </w:tcPr>
          <w:p w14:paraId="5CEED4BA">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64C0565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continue"/>
            <w:vAlign w:val="center"/>
          </w:tcPr>
          <w:p w14:paraId="3021F66D">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967" w:type="dxa"/>
            <w:vAlign w:val="center"/>
          </w:tcPr>
          <w:p w14:paraId="79706DD9">
            <w:pPr>
              <w:keepNext w:val="0"/>
              <w:keepLines w:val="0"/>
              <w:suppressLineNumbers w:val="0"/>
              <w:tabs>
                <w:tab w:val="left" w:pos="540"/>
              </w:tabs>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传  真</w:t>
            </w:r>
          </w:p>
        </w:tc>
        <w:tc>
          <w:tcPr>
            <w:tcW w:w="2483" w:type="dxa"/>
            <w:gridSpan w:val="4"/>
            <w:vAlign w:val="center"/>
          </w:tcPr>
          <w:p w14:paraId="3AF7DDB3">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92" w:type="dxa"/>
            <w:vAlign w:val="center"/>
          </w:tcPr>
          <w:p w14:paraId="2E7FF86C">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网址</w:t>
            </w:r>
          </w:p>
        </w:tc>
        <w:tc>
          <w:tcPr>
            <w:tcW w:w="2765" w:type="dxa"/>
            <w:gridSpan w:val="3"/>
            <w:vAlign w:val="center"/>
          </w:tcPr>
          <w:p w14:paraId="08C001C6">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5AEE150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208F6BB9">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组织结构</w:t>
            </w:r>
          </w:p>
        </w:tc>
        <w:tc>
          <w:tcPr>
            <w:tcW w:w="7607" w:type="dxa"/>
            <w:gridSpan w:val="9"/>
            <w:vAlign w:val="center"/>
          </w:tcPr>
          <w:p w14:paraId="2C068438">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4B5177C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16817AE2">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p>
        </w:tc>
        <w:tc>
          <w:tcPr>
            <w:tcW w:w="967" w:type="dxa"/>
            <w:vAlign w:val="center"/>
          </w:tcPr>
          <w:p w14:paraId="574B3101">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  名</w:t>
            </w:r>
          </w:p>
        </w:tc>
        <w:tc>
          <w:tcPr>
            <w:tcW w:w="1024" w:type="dxa"/>
            <w:vAlign w:val="center"/>
          </w:tcPr>
          <w:p w14:paraId="2ECE1581">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56" w:type="dxa"/>
            <w:gridSpan w:val="2"/>
            <w:vAlign w:val="center"/>
          </w:tcPr>
          <w:p w14:paraId="096B732F">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技术职称</w:t>
            </w:r>
          </w:p>
        </w:tc>
        <w:tc>
          <w:tcPr>
            <w:tcW w:w="2024" w:type="dxa"/>
            <w:gridSpan w:val="3"/>
            <w:vAlign w:val="center"/>
          </w:tcPr>
          <w:p w14:paraId="67599BD7">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925" w:type="dxa"/>
            <w:vAlign w:val="center"/>
          </w:tcPr>
          <w:p w14:paraId="5BB33F67">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  话</w:t>
            </w:r>
          </w:p>
        </w:tc>
        <w:tc>
          <w:tcPr>
            <w:tcW w:w="1311" w:type="dxa"/>
            <w:vAlign w:val="center"/>
          </w:tcPr>
          <w:p w14:paraId="081D7B73">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7F28967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0BEC2939">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项目总工</w:t>
            </w:r>
          </w:p>
        </w:tc>
        <w:tc>
          <w:tcPr>
            <w:tcW w:w="967" w:type="dxa"/>
            <w:vAlign w:val="center"/>
          </w:tcPr>
          <w:p w14:paraId="41278DF4">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  名</w:t>
            </w:r>
          </w:p>
        </w:tc>
        <w:tc>
          <w:tcPr>
            <w:tcW w:w="1024" w:type="dxa"/>
            <w:vAlign w:val="center"/>
          </w:tcPr>
          <w:p w14:paraId="39516CA9">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56" w:type="dxa"/>
            <w:gridSpan w:val="2"/>
            <w:vAlign w:val="center"/>
          </w:tcPr>
          <w:p w14:paraId="26625BEA">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技术职称</w:t>
            </w:r>
          </w:p>
        </w:tc>
        <w:tc>
          <w:tcPr>
            <w:tcW w:w="2024" w:type="dxa"/>
            <w:gridSpan w:val="3"/>
            <w:vAlign w:val="center"/>
          </w:tcPr>
          <w:p w14:paraId="7E74E4A8">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925" w:type="dxa"/>
            <w:vAlign w:val="center"/>
          </w:tcPr>
          <w:p w14:paraId="38ED938F">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  话</w:t>
            </w:r>
          </w:p>
        </w:tc>
        <w:tc>
          <w:tcPr>
            <w:tcW w:w="1311" w:type="dxa"/>
            <w:vAlign w:val="center"/>
          </w:tcPr>
          <w:p w14:paraId="79DDAB0F">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54B4F8B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739D3779">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成立时间</w:t>
            </w:r>
          </w:p>
        </w:tc>
        <w:tc>
          <w:tcPr>
            <w:tcW w:w="1991" w:type="dxa"/>
            <w:gridSpan w:val="2"/>
            <w:vAlign w:val="center"/>
          </w:tcPr>
          <w:p w14:paraId="161CE436">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5616" w:type="dxa"/>
            <w:gridSpan w:val="7"/>
            <w:vAlign w:val="center"/>
          </w:tcPr>
          <w:p w14:paraId="2D2BB991">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员工总人数：</w:t>
            </w:r>
          </w:p>
        </w:tc>
      </w:tr>
      <w:tr w14:paraId="0990406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41FBEDE3">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企业资质等级</w:t>
            </w:r>
          </w:p>
        </w:tc>
        <w:tc>
          <w:tcPr>
            <w:tcW w:w="1991" w:type="dxa"/>
            <w:gridSpan w:val="2"/>
            <w:vAlign w:val="center"/>
          </w:tcPr>
          <w:p w14:paraId="104C8977">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904" w:type="dxa"/>
            <w:vMerge w:val="restart"/>
            <w:vAlign w:val="center"/>
          </w:tcPr>
          <w:p w14:paraId="73D362D6">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其中</w:t>
            </w:r>
          </w:p>
        </w:tc>
        <w:tc>
          <w:tcPr>
            <w:tcW w:w="2476" w:type="dxa"/>
            <w:gridSpan w:val="4"/>
            <w:vAlign w:val="center"/>
          </w:tcPr>
          <w:p w14:paraId="4371A078">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w:t>
            </w:r>
          </w:p>
        </w:tc>
        <w:tc>
          <w:tcPr>
            <w:tcW w:w="2236" w:type="dxa"/>
            <w:gridSpan w:val="2"/>
            <w:vAlign w:val="center"/>
          </w:tcPr>
          <w:p w14:paraId="3B482ECF">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71B7127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2C010A40">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kern w:val="0"/>
                <w:szCs w:val="21"/>
                <w:highlight w:val="none"/>
              </w:rPr>
              <w:t>统一社会信用代码</w:t>
            </w:r>
          </w:p>
        </w:tc>
        <w:tc>
          <w:tcPr>
            <w:tcW w:w="1991" w:type="dxa"/>
            <w:gridSpan w:val="2"/>
            <w:vAlign w:val="center"/>
          </w:tcPr>
          <w:p w14:paraId="2CF783A6">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904" w:type="dxa"/>
            <w:vMerge w:val="continue"/>
            <w:vAlign w:val="center"/>
          </w:tcPr>
          <w:p w14:paraId="392F69A3">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476" w:type="dxa"/>
            <w:gridSpan w:val="4"/>
            <w:vAlign w:val="center"/>
          </w:tcPr>
          <w:p w14:paraId="1A31CC22">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高级职称人员</w:t>
            </w:r>
          </w:p>
        </w:tc>
        <w:tc>
          <w:tcPr>
            <w:tcW w:w="2236" w:type="dxa"/>
            <w:gridSpan w:val="2"/>
            <w:vAlign w:val="center"/>
          </w:tcPr>
          <w:p w14:paraId="251ECE81">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721F318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44EFA594">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注册资金</w:t>
            </w:r>
          </w:p>
        </w:tc>
        <w:tc>
          <w:tcPr>
            <w:tcW w:w="1991" w:type="dxa"/>
            <w:gridSpan w:val="2"/>
            <w:vAlign w:val="center"/>
          </w:tcPr>
          <w:p w14:paraId="5DF3AB34">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904" w:type="dxa"/>
            <w:vMerge w:val="continue"/>
            <w:vAlign w:val="center"/>
          </w:tcPr>
          <w:p w14:paraId="0386E321">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476" w:type="dxa"/>
            <w:gridSpan w:val="4"/>
            <w:vAlign w:val="center"/>
          </w:tcPr>
          <w:p w14:paraId="1DAECE81">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中级职称人员</w:t>
            </w:r>
          </w:p>
        </w:tc>
        <w:tc>
          <w:tcPr>
            <w:tcW w:w="2236" w:type="dxa"/>
            <w:gridSpan w:val="2"/>
            <w:vAlign w:val="center"/>
          </w:tcPr>
          <w:p w14:paraId="3BFDE71B">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62746E5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4E654782">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开户银行</w:t>
            </w:r>
          </w:p>
        </w:tc>
        <w:tc>
          <w:tcPr>
            <w:tcW w:w="1991" w:type="dxa"/>
            <w:gridSpan w:val="2"/>
            <w:vAlign w:val="center"/>
          </w:tcPr>
          <w:p w14:paraId="1BB53ECA">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904" w:type="dxa"/>
            <w:vMerge w:val="continue"/>
            <w:vAlign w:val="center"/>
          </w:tcPr>
          <w:p w14:paraId="68116009">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476" w:type="dxa"/>
            <w:gridSpan w:val="4"/>
            <w:vAlign w:val="center"/>
          </w:tcPr>
          <w:p w14:paraId="5BFC203F">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初级职称人员</w:t>
            </w:r>
          </w:p>
        </w:tc>
        <w:tc>
          <w:tcPr>
            <w:tcW w:w="2236" w:type="dxa"/>
            <w:gridSpan w:val="2"/>
            <w:vAlign w:val="center"/>
          </w:tcPr>
          <w:p w14:paraId="3DB6E3AE">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5B8C124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2C8E4AB3">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账号</w:t>
            </w:r>
          </w:p>
        </w:tc>
        <w:tc>
          <w:tcPr>
            <w:tcW w:w="1991" w:type="dxa"/>
            <w:gridSpan w:val="2"/>
            <w:vAlign w:val="center"/>
          </w:tcPr>
          <w:p w14:paraId="0AF0ED3C">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904" w:type="dxa"/>
            <w:vMerge w:val="continue"/>
            <w:vAlign w:val="center"/>
          </w:tcPr>
          <w:p w14:paraId="3E0184B2">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476" w:type="dxa"/>
            <w:gridSpan w:val="4"/>
            <w:vAlign w:val="center"/>
          </w:tcPr>
          <w:p w14:paraId="477BB9C3">
            <w:pPr>
              <w:keepNext w:val="0"/>
              <w:keepLines w:val="0"/>
              <w:suppressLineNumbers w:val="0"/>
              <w:tabs>
                <w:tab w:val="left" w:pos="1240"/>
              </w:tabs>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工</w:t>
            </w:r>
          </w:p>
        </w:tc>
        <w:tc>
          <w:tcPr>
            <w:tcW w:w="2236" w:type="dxa"/>
            <w:gridSpan w:val="2"/>
            <w:vAlign w:val="center"/>
          </w:tcPr>
          <w:p w14:paraId="6871D8E6">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2217518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5B788453">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经营范围</w:t>
            </w:r>
          </w:p>
        </w:tc>
        <w:tc>
          <w:tcPr>
            <w:tcW w:w="7607" w:type="dxa"/>
            <w:gridSpan w:val="9"/>
            <w:vAlign w:val="center"/>
          </w:tcPr>
          <w:p w14:paraId="2CC2E796">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2456DC6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488F681F">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c>
          <w:tcPr>
            <w:tcW w:w="7607" w:type="dxa"/>
            <w:gridSpan w:val="9"/>
            <w:vAlign w:val="center"/>
          </w:tcPr>
          <w:p w14:paraId="16847E69">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bl>
    <w:p w14:paraId="0D660C86">
      <w:pPr>
        <w:spacing w:line="360" w:lineRule="auto"/>
        <w:rPr>
          <w:rFonts w:hint="eastAsia" w:ascii="宋体" w:hAnsi="宋体" w:eastAsia="宋体" w:cs="宋体"/>
          <w:color w:val="auto"/>
          <w:szCs w:val="21"/>
          <w:highlight w:val="none"/>
        </w:rPr>
      </w:pPr>
    </w:p>
    <w:p w14:paraId="77D1A05A">
      <w:pPr>
        <w:pStyle w:val="5"/>
        <w:spacing w:before="0" w:after="0" w:line="240" w:lineRule="auto"/>
        <w:jc w:val="center"/>
        <w:rPr>
          <w:rFonts w:hint="eastAsia" w:ascii="宋体" w:hAnsi="宋体" w:eastAsia="宋体" w:cs="宋体"/>
          <w:b w:val="0"/>
          <w:bCs w:val="0"/>
          <w:color w:val="auto"/>
          <w:highlight w:val="none"/>
        </w:rPr>
      </w:pPr>
      <w:bookmarkStart w:id="369" w:name="_Toc33106479"/>
      <w:bookmarkStart w:id="370" w:name="_Toc2596"/>
      <w:r>
        <w:rPr>
          <w:rFonts w:hint="eastAsia" w:ascii="宋体" w:hAnsi="宋体" w:eastAsia="宋体" w:cs="宋体"/>
          <w:b w:val="0"/>
          <w:bCs w:val="0"/>
          <w:color w:val="auto"/>
          <w:highlight w:val="none"/>
        </w:rPr>
        <w:t>（</w:t>
      </w:r>
      <w:r>
        <w:rPr>
          <w:rFonts w:hint="eastAsia" w:ascii="宋体" w:hAnsi="宋体" w:cs="宋体"/>
          <w:b w:val="0"/>
          <w:bCs w:val="0"/>
          <w:color w:val="auto"/>
          <w:highlight w:val="none"/>
          <w:lang w:val="en-US" w:eastAsia="zh-CN"/>
        </w:rPr>
        <w:t>三</w:t>
      </w:r>
      <w:r>
        <w:rPr>
          <w:rFonts w:hint="eastAsia" w:ascii="宋体" w:hAnsi="宋体" w:eastAsia="宋体" w:cs="宋体"/>
          <w:b w:val="0"/>
          <w:bCs w:val="0"/>
          <w:color w:val="auto"/>
          <w:highlight w:val="none"/>
        </w:rPr>
        <w:t>）项目管理机构</w:t>
      </w:r>
      <w:bookmarkEnd w:id="369"/>
      <w:bookmarkEnd w:id="370"/>
    </w:p>
    <w:p w14:paraId="1F195EDF">
      <w:pPr>
        <w:spacing w:line="360" w:lineRule="auto"/>
        <w:rPr>
          <w:rFonts w:hint="eastAsia" w:ascii="宋体" w:hAnsi="宋体" w:eastAsia="宋体" w:cs="宋体"/>
          <w:color w:val="auto"/>
          <w:highlight w:val="none"/>
        </w:rPr>
      </w:pPr>
    </w:p>
    <w:p w14:paraId="5EBD4846">
      <w:pPr>
        <w:autoSpaceDE w:val="0"/>
        <w:autoSpaceDN w:val="0"/>
        <w:adjustRightInd w:val="0"/>
        <w:snapToGrid w:val="0"/>
        <w:spacing w:line="360" w:lineRule="auto"/>
        <w:jc w:val="center"/>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项目管理机构组成表</w:t>
      </w:r>
    </w:p>
    <w:tbl>
      <w:tblPr>
        <w:tblStyle w:val="34"/>
        <w:tblW w:w="9482"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856"/>
        <w:gridCol w:w="734"/>
        <w:gridCol w:w="776"/>
        <w:gridCol w:w="1167"/>
        <w:gridCol w:w="776"/>
        <w:gridCol w:w="778"/>
        <w:gridCol w:w="776"/>
        <w:gridCol w:w="2723"/>
        <w:gridCol w:w="896"/>
      </w:tblGrid>
      <w:tr w14:paraId="11FF839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restart"/>
            <w:vAlign w:val="center"/>
          </w:tcPr>
          <w:p w14:paraId="7493F7C6">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734" w:type="dxa"/>
            <w:vMerge w:val="restart"/>
            <w:vAlign w:val="center"/>
          </w:tcPr>
          <w:p w14:paraId="7A2E2414">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776" w:type="dxa"/>
            <w:vMerge w:val="restart"/>
            <w:vAlign w:val="center"/>
          </w:tcPr>
          <w:p w14:paraId="11CF85BE">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职称</w:t>
            </w:r>
          </w:p>
        </w:tc>
        <w:tc>
          <w:tcPr>
            <w:tcW w:w="6220" w:type="dxa"/>
            <w:gridSpan w:val="5"/>
            <w:vAlign w:val="center"/>
          </w:tcPr>
          <w:p w14:paraId="2BC5BA84">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执业或职业资格证明</w:t>
            </w:r>
          </w:p>
        </w:tc>
        <w:tc>
          <w:tcPr>
            <w:tcW w:w="896" w:type="dxa"/>
            <w:vAlign w:val="center"/>
          </w:tcPr>
          <w:p w14:paraId="7461236F">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r>
      <w:tr w14:paraId="2345C1B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continue"/>
            <w:vAlign w:val="top"/>
          </w:tcPr>
          <w:p w14:paraId="6CB3CF4D">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34" w:type="dxa"/>
            <w:vMerge w:val="continue"/>
            <w:vAlign w:val="top"/>
          </w:tcPr>
          <w:p w14:paraId="27FF1819">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Merge w:val="continue"/>
            <w:vAlign w:val="top"/>
          </w:tcPr>
          <w:p w14:paraId="48DFEED1">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center"/>
          </w:tcPr>
          <w:p w14:paraId="161DA8BF">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证书名称</w:t>
            </w:r>
          </w:p>
        </w:tc>
        <w:tc>
          <w:tcPr>
            <w:tcW w:w="776" w:type="dxa"/>
            <w:vAlign w:val="center"/>
          </w:tcPr>
          <w:p w14:paraId="1B710693">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级别</w:t>
            </w:r>
          </w:p>
        </w:tc>
        <w:tc>
          <w:tcPr>
            <w:tcW w:w="778" w:type="dxa"/>
            <w:vAlign w:val="center"/>
          </w:tcPr>
          <w:p w14:paraId="71099A6B">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证号</w:t>
            </w:r>
          </w:p>
        </w:tc>
        <w:tc>
          <w:tcPr>
            <w:tcW w:w="776" w:type="dxa"/>
            <w:vAlign w:val="center"/>
          </w:tcPr>
          <w:p w14:paraId="31D05BAB">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专业</w:t>
            </w:r>
          </w:p>
        </w:tc>
        <w:tc>
          <w:tcPr>
            <w:tcW w:w="2723" w:type="dxa"/>
            <w:vAlign w:val="center"/>
          </w:tcPr>
          <w:p w14:paraId="00C5BFB4">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养老保险</w:t>
            </w:r>
          </w:p>
        </w:tc>
        <w:tc>
          <w:tcPr>
            <w:tcW w:w="896" w:type="dxa"/>
            <w:vAlign w:val="top"/>
          </w:tcPr>
          <w:p w14:paraId="6359AB46">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14:paraId="3D0276C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center"/>
          </w:tcPr>
          <w:p w14:paraId="39BE8C1E">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w:t>
            </w:r>
          </w:p>
        </w:tc>
        <w:tc>
          <w:tcPr>
            <w:tcW w:w="734" w:type="dxa"/>
            <w:vAlign w:val="top"/>
          </w:tcPr>
          <w:p w14:paraId="4F9C31D7">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5ED7F81C">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14:paraId="5EEDFF3E">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6FBFD8E2">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14:paraId="58324851">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1113DCC8">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14:paraId="4C8FDFF6">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14:paraId="27916E7D">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14:paraId="03448AA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03" w:hRule="exact"/>
        </w:trPr>
        <w:tc>
          <w:tcPr>
            <w:tcW w:w="856" w:type="dxa"/>
            <w:vAlign w:val="center"/>
          </w:tcPr>
          <w:p w14:paraId="2C068047">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项目总工</w:t>
            </w:r>
          </w:p>
        </w:tc>
        <w:tc>
          <w:tcPr>
            <w:tcW w:w="734" w:type="dxa"/>
            <w:vAlign w:val="top"/>
          </w:tcPr>
          <w:p w14:paraId="2ED460BE">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64093BA6">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14:paraId="62F39C41">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331ABDD2">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14:paraId="2149E877">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0EDBB171">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14:paraId="1E7CE8EB">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14:paraId="352F70AB">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14:paraId="1AB93B9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14:paraId="238EC9A4">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专职安全员</w:t>
            </w:r>
          </w:p>
        </w:tc>
        <w:tc>
          <w:tcPr>
            <w:tcW w:w="734" w:type="dxa"/>
            <w:vAlign w:val="top"/>
          </w:tcPr>
          <w:p w14:paraId="6338D665">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46D11A8C">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14:paraId="4D261B32">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71AC47F4">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14:paraId="3BA6A42A">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5B2C5A24">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14:paraId="71E7C440">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14:paraId="693413EF">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14:paraId="01BA35A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14:paraId="4317632F">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34" w:type="dxa"/>
            <w:vAlign w:val="top"/>
          </w:tcPr>
          <w:p w14:paraId="5A46F123">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362BF077">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14:paraId="4C333511">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4B6972F6">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14:paraId="46059287">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22CB0FF9">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14:paraId="4D2EBB09">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14:paraId="2EF0AAF2">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14:paraId="0B1E3B7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14:paraId="68B929F1">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34" w:type="dxa"/>
            <w:vAlign w:val="top"/>
          </w:tcPr>
          <w:p w14:paraId="07521456">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1BFD39C0">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14:paraId="314703C5">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59C37D2E">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14:paraId="41E38FCA">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29A3B7E5">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14:paraId="1F6ED36E">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14:paraId="217622E8">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14:paraId="2BA232C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14:paraId="09C245CA">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34" w:type="dxa"/>
            <w:vAlign w:val="top"/>
          </w:tcPr>
          <w:p w14:paraId="590CBA30">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59142F78">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14:paraId="4A25E7AA">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651B3A46">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14:paraId="39B887D5">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294C6DC8">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14:paraId="5999851B">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14:paraId="674CDEF2">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14:paraId="2477BAB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14:paraId="4AD5B738">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34" w:type="dxa"/>
            <w:vAlign w:val="top"/>
          </w:tcPr>
          <w:p w14:paraId="699753EA">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2AFE5CC5">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14:paraId="4070B2BA">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47D20A1F">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14:paraId="7DAB3E14">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532D7D46">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14:paraId="3CB72E3A">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14:paraId="381E9F5C">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14:paraId="52CE3CA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14:paraId="726D414C">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34" w:type="dxa"/>
            <w:vAlign w:val="top"/>
          </w:tcPr>
          <w:p w14:paraId="3353A353">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03E2BF8B">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14:paraId="1A0D241D">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60BA1D33">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14:paraId="4140357F">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3A4A0BC3">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14:paraId="3B990FE7">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14:paraId="57C8392B">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14:paraId="66164AE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14:paraId="086CF052">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34" w:type="dxa"/>
            <w:vAlign w:val="top"/>
          </w:tcPr>
          <w:p w14:paraId="6069D36A">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771F139A">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14:paraId="3B5B899E">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33D91AB8">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14:paraId="09392930">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70A5F3C5">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14:paraId="480C3684">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14:paraId="36C97EBF">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14:paraId="4FBABB8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14:paraId="33276DA3">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34" w:type="dxa"/>
            <w:vAlign w:val="top"/>
          </w:tcPr>
          <w:p w14:paraId="414247F6">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50A4872E">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14:paraId="1FB24B96">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74B1DD45">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14:paraId="13FC67F4">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21EEB109">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14:paraId="4F08C406">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14:paraId="2D739D65">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14:paraId="4FB7636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14:paraId="7A363A61">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34" w:type="dxa"/>
            <w:vAlign w:val="top"/>
          </w:tcPr>
          <w:p w14:paraId="121171F0">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5A10A35E">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14:paraId="7F73EF0B">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47594B1E">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14:paraId="12E1D087">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3BD3752B">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14:paraId="133CDE47">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14:paraId="1CDE1DCE">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14:paraId="1926773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14:paraId="04B91B39">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34" w:type="dxa"/>
            <w:vAlign w:val="top"/>
          </w:tcPr>
          <w:p w14:paraId="40414B90">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77E14775">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14:paraId="32EA6852">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4BF188B8">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14:paraId="3DAED39A">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6597FB71">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14:paraId="04CB235E">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14:paraId="123BE49E">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14:paraId="2206075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14:paraId="3ED799FB">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34" w:type="dxa"/>
            <w:vAlign w:val="top"/>
          </w:tcPr>
          <w:p w14:paraId="197E3335">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6399A684">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14:paraId="3196E709">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00B67715">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14:paraId="0F66F859">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178A1CC0">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14:paraId="7CFE04A1">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14:paraId="79AD0117">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14:paraId="7860520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14:paraId="414303F3">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34" w:type="dxa"/>
            <w:vAlign w:val="top"/>
          </w:tcPr>
          <w:p w14:paraId="7F51CF39">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46114053">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14:paraId="1444D0FB">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6742382C">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14:paraId="060D4684">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4B350EA8">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14:paraId="7C2801DA">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14:paraId="4254E14D">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14:paraId="6600E5E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14:paraId="710283E3">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34" w:type="dxa"/>
            <w:vAlign w:val="top"/>
          </w:tcPr>
          <w:p w14:paraId="3DD1A53E">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71294C07">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14:paraId="2086862D">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6AEF1BA5">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14:paraId="3367804C">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62E7A33C">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14:paraId="7CF0754C">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14:paraId="0012A109">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14:paraId="22FD524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14:paraId="09354529">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34" w:type="dxa"/>
            <w:vAlign w:val="top"/>
          </w:tcPr>
          <w:p w14:paraId="57EB4EE3">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36414A0F">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14:paraId="01D695DB">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64196D53">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14:paraId="7704477E">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35E280C3">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14:paraId="1110899D">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14:paraId="3C6171C2">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14:paraId="1190CFB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14:paraId="2BB6224F">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34" w:type="dxa"/>
            <w:vAlign w:val="top"/>
          </w:tcPr>
          <w:p w14:paraId="65B02615">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668FB008">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14:paraId="5A9BE6D9">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3EAA6361">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14:paraId="1FA97E05">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0D92871A">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14:paraId="00A51F4C">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14:paraId="629AE968">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r w14:paraId="07D3B45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14:paraId="16C9089B">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34" w:type="dxa"/>
            <w:vAlign w:val="top"/>
          </w:tcPr>
          <w:p w14:paraId="19FFF632">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62F56C7E">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1167" w:type="dxa"/>
            <w:vAlign w:val="top"/>
          </w:tcPr>
          <w:p w14:paraId="6CA99610">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1C3A69C9">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8" w:type="dxa"/>
            <w:vAlign w:val="top"/>
          </w:tcPr>
          <w:p w14:paraId="018F052C">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776" w:type="dxa"/>
            <w:vAlign w:val="top"/>
          </w:tcPr>
          <w:p w14:paraId="4187AC3F">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2723" w:type="dxa"/>
            <w:vAlign w:val="top"/>
          </w:tcPr>
          <w:p w14:paraId="0072F9A8">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c>
          <w:tcPr>
            <w:tcW w:w="896" w:type="dxa"/>
            <w:vAlign w:val="top"/>
          </w:tcPr>
          <w:p w14:paraId="099043C8">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auto"/>
                <w:kern w:val="0"/>
                <w:szCs w:val="21"/>
                <w:highlight w:val="none"/>
              </w:rPr>
            </w:pPr>
          </w:p>
        </w:tc>
      </w:tr>
    </w:tbl>
    <w:p w14:paraId="0AFC39C0">
      <w:pPr>
        <w:spacing w:line="20" w:lineRule="exact"/>
        <w:jc w:val="center"/>
        <w:rPr>
          <w:rFonts w:hint="eastAsia" w:ascii="宋体" w:hAnsi="宋体" w:eastAsia="宋体" w:cs="宋体"/>
          <w:color w:val="auto"/>
          <w:szCs w:val="21"/>
          <w:highlight w:val="none"/>
        </w:rPr>
      </w:pPr>
    </w:p>
    <w:p w14:paraId="29F35DD5">
      <w:pPr>
        <w:spacing w:line="360" w:lineRule="auto"/>
        <w:ind w:firstLine="420" w:firstLineChars="200"/>
        <w:jc w:val="center"/>
        <w:rPr>
          <w:rFonts w:hint="eastAsia" w:ascii="宋体" w:hAnsi="宋体" w:eastAsia="宋体" w:cs="宋体"/>
          <w:color w:val="auto"/>
          <w:sz w:val="32"/>
          <w:szCs w:val="32"/>
          <w:highlight w:val="none"/>
        </w:rPr>
      </w:pPr>
      <w:r>
        <w:rPr>
          <w:rFonts w:hint="eastAsia" w:ascii="宋体" w:hAnsi="宋体" w:eastAsia="宋体" w:cs="宋体"/>
          <w:color w:val="auto"/>
          <w:szCs w:val="21"/>
          <w:highlight w:val="none"/>
        </w:rPr>
        <w:t>注：本表仅填项目经理、项目总工</w:t>
      </w:r>
      <w:r>
        <w:rPr>
          <w:rFonts w:hint="eastAsia" w:ascii="宋体" w:hAnsi="宋体" w:eastAsia="宋体" w:cs="宋体"/>
          <w:color w:val="auto"/>
          <w:szCs w:val="21"/>
          <w:highlight w:val="none"/>
          <w:lang w:eastAsia="zh-CN"/>
        </w:rPr>
        <w:t>、专职安全员</w:t>
      </w:r>
      <w:r>
        <w:rPr>
          <w:rFonts w:hint="eastAsia" w:ascii="宋体" w:hAnsi="宋体" w:eastAsia="宋体" w:cs="宋体"/>
          <w:color w:val="auto"/>
          <w:szCs w:val="21"/>
          <w:highlight w:val="none"/>
        </w:rPr>
        <w:t>相关信息</w:t>
      </w:r>
      <w:r>
        <w:rPr>
          <w:rFonts w:hint="eastAsia" w:ascii="宋体" w:hAnsi="宋体" w:eastAsia="宋体" w:cs="宋体"/>
          <w:color w:val="auto"/>
          <w:szCs w:val="21"/>
          <w:highlight w:val="none"/>
        </w:rPr>
        <w:br w:type="page"/>
      </w:r>
      <w:r>
        <w:rPr>
          <w:rFonts w:hint="eastAsia" w:ascii="宋体" w:hAnsi="宋体" w:eastAsia="宋体" w:cs="宋体"/>
          <w:color w:val="auto"/>
          <w:kern w:val="0"/>
          <w:sz w:val="28"/>
          <w:szCs w:val="28"/>
          <w:highlight w:val="none"/>
        </w:rPr>
        <w:t>项目经理</w:t>
      </w:r>
      <w:r>
        <w:rPr>
          <w:rFonts w:hint="eastAsia" w:ascii="宋体" w:hAnsi="宋体" w:eastAsia="宋体" w:cs="宋体"/>
          <w:color w:val="auto"/>
          <w:kern w:val="0"/>
          <w:sz w:val="28"/>
          <w:szCs w:val="28"/>
          <w:highlight w:val="none"/>
          <w:lang w:eastAsia="zh-CN"/>
        </w:rPr>
        <w:t>、</w:t>
      </w:r>
      <w:r>
        <w:rPr>
          <w:rFonts w:hint="eastAsia" w:ascii="宋体" w:hAnsi="宋体" w:eastAsia="宋体" w:cs="宋体"/>
          <w:color w:val="auto"/>
          <w:kern w:val="0"/>
          <w:sz w:val="28"/>
          <w:szCs w:val="28"/>
          <w:highlight w:val="none"/>
        </w:rPr>
        <w:t>项目总工</w:t>
      </w:r>
      <w:r>
        <w:rPr>
          <w:rFonts w:hint="eastAsia" w:ascii="宋体" w:hAnsi="宋体" w:eastAsia="宋体" w:cs="宋体"/>
          <w:color w:val="auto"/>
          <w:kern w:val="0"/>
          <w:sz w:val="28"/>
          <w:szCs w:val="28"/>
          <w:highlight w:val="none"/>
          <w:lang w:eastAsia="zh-CN"/>
        </w:rPr>
        <w:t>及专职安全员</w:t>
      </w:r>
      <w:r>
        <w:rPr>
          <w:rFonts w:hint="eastAsia" w:ascii="宋体" w:hAnsi="宋体" w:eastAsia="宋体" w:cs="宋体"/>
          <w:color w:val="auto"/>
          <w:kern w:val="0"/>
          <w:sz w:val="28"/>
          <w:szCs w:val="28"/>
          <w:highlight w:val="none"/>
        </w:rPr>
        <w:t>简历表</w:t>
      </w:r>
    </w:p>
    <w:tbl>
      <w:tblPr>
        <w:tblStyle w:val="34"/>
        <w:tblW w:w="8994"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06"/>
        <w:gridCol w:w="397"/>
        <w:gridCol w:w="793"/>
        <w:gridCol w:w="1020"/>
        <w:gridCol w:w="1175"/>
        <w:gridCol w:w="780"/>
        <w:gridCol w:w="1388"/>
        <w:gridCol w:w="178"/>
        <w:gridCol w:w="1957"/>
      </w:tblGrid>
      <w:tr w14:paraId="6BFEDF3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14:paraId="63C3CDDE">
            <w:pPr>
              <w:keepNext w:val="0"/>
              <w:keepLines w:val="0"/>
              <w:suppressLineNumbers w:val="0"/>
              <w:tabs>
                <w:tab w:val="left" w:pos="520"/>
              </w:tabs>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1190" w:type="dxa"/>
            <w:gridSpan w:val="2"/>
            <w:vAlign w:val="center"/>
          </w:tcPr>
          <w:p w14:paraId="71DE73CD">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020" w:type="dxa"/>
            <w:vAlign w:val="center"/>
          </w:tcPr>
          <w:p w14:paraId="65AB459C">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年龄</w:t>
            </w:r>
          </w:p>
        </w:tc>
        <w:tc>
          <w:tcPr>
            <w:tcW w:w="1175" w:type="dxa"/>
            <w:vAlign w:val="center"/>
          </w:tcPr>
          <w:p w14:paraId="3B4E5B38">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346" w:type="dxa"/>
            <w:gridSpan w:val="3"/>
            <w:vAlign w:val="center"/>
          </w:tcPr>
          <w:p w14:paraId="5D41C4A4">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学历</w:t>
            </w:r>
          </w:p>
        </w:tc>
        <w:tc>
          <w:tcPr>
            <w:tcW w:w="1957" w:type="dxa"/>
            <w:vAlign w:val="center"/>
          </w:tcPr>
          <w:p w14:paraId="1488C8F8">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27307EB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14:paraId="4EC252B6">
            <w:pPr>
              <w:keepNext w:val="0"/>
              <w:keepLines w:val="0"/>
              <w:suppressLineNumbers w:val="0"/>
              <w:tabs>
                <w:tab w:val="left" w:pos="520"/>
              </w:tabs>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职称</w:t>
            </w:r>
          </w:p>
        </w:tc>
        <w:tc>
          <w:tcPr>
            <w:tcW w:w="1190" w:type="dxa"/>
            <w:gridSpan w:val="2"/>
            <w:vAlign w:val="center"/>
          </w:tcPr>
          <w:p w14:paraId="62276D2D">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020" w:type="dxa"/>
            <w:vAlign w:val="center"/>
          </w:tcPr>
          <w:p w14:paraId="3D84E479">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1175" w:type="dxa"/>
            <w:vAlign w:val="center"/>
          </w:tcPr>
          <w:p w14:paraId="0DA13555">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346" w:type="dxa"/>
            <w:gridSpan w:val="3"/>
            <w:vAlign w:val="center"/>
          </w:tcPr>
          <w:p w14:paraId="19A7F331">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拟在本合同任职</w:t>
            </w:r>
          </w:p>
        </w:tc>
        <w:tc>
          <w:tcPr>
            <w:tcW w:w="1957" w:type="dxa"/>
            <w:vAlign w:val="center"/>
          </w:tcPr>
          <w:p w14:paraId="0D77EC3F">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5562212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14:paraId="546B82B6">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毕业学校</w:t>
            </w:r>
          </w:p>
        </w:tc>
        <w:tc>
          <w:tcPr>
            <w:tcW w:w="7688" w:type="dxa"/>
            <w:gridSpan w:val="8"/>
            <w:vAlign w:val="center"/>
          </w:tcPr>
          <w:p w14:paraId="39BBD8E4">
            <w:pPr>
              <w:keepNext w:val="0"/>
              <w:keepLines w:val="0"/>
              <w:suppressLineNumbers w:val="0"/>
              <w:tabs>
                <w:tab w:val="left" w:pos="2820"/>
                <w:tab w:val="left" w:pos="4080"/>
              </w:tabs>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年</w:t>
            </w:r>
            <w:r>
              <w:rPr>
                <w:rFonts w:hint="eastAsia" w:ascii="宋体" w:hAnsi="宋体" w:eastAsia="宋体" w:cs="宋体"/>
                <w:color w:val="auto"/>
                <w:spacing w:val="-1"/>
                <w:kern w:val="0"/>
                <w:szCs w:val="21"/>
                <w:highlight w:val="none"/>
              </w:rPr>
              <w:t>毕</w:t>
            </w:r>
            <w:r>
              <w:rPr>
                <w:rFonts w:hint="eastAsia" w:ascii="宋体" w:hAnsi="宋体" w:eastAsia="宋体" w:cs="宋体"/>
                <w:color w:val="auto"/>
                <w:kern w:val="0"/>
                <w:szCs w:val="21"/>
                <w:highlight w:val="none"/>
              </w:rPr>
              <w:t>业于</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学校</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专业</w:t>
            </w:r>
          </w:p>
        </w:tc>
      </w:tr>
      <w:tr w14:paraId="3B7657C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8994" w:type="dxa"/>
            <w:gridSpan w:val="9"/>
            <w:vAlign w:val="center"/>
          </w:tcPr>
          <w:p w14:paraId="6D00911B">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主要工作经历</w:t>
            </w:r>
          </w:p>
        </w:tc>
      </w:tr>
      <w:tr w14:paraId="5088736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34440AC2">
            <w:pPr>
              <w:keepNext w:val="0"/>
              <w:keepLines w:val="0"/>
              <w:suppressLineNumbers w:val="0"/>
              <w:tabs>
                <w:tab w:val="left" w:pos="520"/>
              </w:tabs>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时间</w:t>
            </w:r>
          </w:p>
        </w:tc>
        <w:tc>
          <w:tcPr>
            <w:tcW w:w="3768" w:type="dxa"/>
            <w:gridSpan w:val="4"/>
            <w:vAlign w:val="center"/>
          </w:tcPr>
          <w:p w14:paraId="4EDA0803">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参加过的类似项目</w:t>
            </w:r>
          </w:p>
        </w:tc>
        <w:tc>
          <w:tcPr>
            <w:tcW w:w="1388" w:type="dxa"/>
            <w:vAlign w:val="center"/>
          </w:tcPr>
          <w:p w14:paraId="178AC417">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担任职务</w:t>
            </w:r>
          </w:p>
        </w:tc>
        <w:tc>
          <w:tcPr>
            <w:tcW w:w="2135" w:type="dxa"/>
            <w:gridSpan w:val="2"/>
            <w:vAlign w:val="center"/>
          </w:tcPr>
          <w:p w14:paraId="2D66C726">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发包人及联系电话</w:t>
            </w:r>
          </w:p>
        </w:tc>
      </w:tr>
      <w:tr w14:paraId="3ECE01C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1259DEFC">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3768" w:type="dxa"/>
            <w:gridSpan w:val="4"/>
            <w:vAlign w:val="center"/>
          </w:tcPr>
          <w:p w14:paraId="705335A8">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88" w:type="dxa"/>
            <w:vAlign w:val="center"/>
          </w:tcPr>
          <w:p w14:paraId="4196AF1A">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135" w:type="dxa"/>
            <w:gridSpan w:val="2"/>
            <w:vAlign w:val="center"/>
          </w:tcPr>
          <w:p w14:paraId="1A47AE6A">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23861E6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4DF41D7B">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3768" w:type="dxa"/>
            <w:gridSpan w:val="4"/>
            <w:vAlign w:val="center"/>
          </w:tcPr>
          <w:p w14:paraId="0F57403A">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88" w:type="dxa"/>
            <w:vAlign w:val="center"/>
          </w:tcPr>
          <w:p w14:paraId="63587784">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135" w:type="dxa"/>
            <w:gridSpan w:val="2"/>
            <w:vAlign w:val="center"/>
          </w:tcPr>
          <w:p w14:paraId="5322AA84">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0C97C2A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636FADD6">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3768" w:type="dxa"/>
            <w:gridSpan w:val="4"/>
            <w:vAlign w:val="center"/>
          </w:tcPr>
          <w:p w14:paraId="7F1E2722">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88" w:type="dxa"/>
            <w:vAlign w:val="center"/>
          </w:tcPr>
          <w:p w14:paraId="175A9F0D">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135" w:type="dxa"/>
            <w:gridSpan w:val="2"/>
            <w:vAlign w:val="center"/>
          </w:tcPr>
          <w:p w14:paraId="2F3415C6">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0248275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4C17045E">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3768" w:type="dxa"/>
            <w:gridSpan w:val="4"/>
            <w:vAlign w:val="center"/>
          </w:tcPr>
          <w:p w14:paraId="09CD8EAE">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88" w:type="dxa"/>
            <w:vAlign w:val="center"/>
          </w:tcPr>
          <w:p w14:paraId="33C9B95B">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135" w:type="dxa"/>
            <w:gridSpan w:val="2"/>
            <w:vAlign w:val="center"/>
          </w:tcPr>
          <w:p w14:paraId="0B1A0C18">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3C9553D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4294C6FD">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3768" w:type="dxa"/>
            <w:gridSpan w:val="4"/>
            <w:vAlign w:val="center"/>
          </w:tcPr>
          <w:p w14:paraId="1F7A5CA8">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88" w:type="dxa"/>
            <w:vAlign w:val="center"/>
          </w:tcPr>
          <w:p w14:paraId="04E48367">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135" w:type="dxa"/>
            <w:gridSpan w:val="2"/>
            <w:vAlign w:val="center"/>
          </w:tcPr>
          <w:p w14:paraId="074ADC93">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53DE3BD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014E05A3">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3768" w:type="dxa"/>
            <w:gridSpan w:val="4"/>
            <w:vAlign w:val="center"/>
          </w:tcPr>
          <w:p w14:paraId="0B6EC6E0">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88" w:type="dxa"/>
            <w:vAlign w:val="center"/>
          </w:tcPr>
          <w:p w14:paraId="697D3D76">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135" w:type="dxa"/>
            <w:gridSpan w:val="2"/>
            <w:vAlign w:val="center"/>
          </w:tcPr>
          <w:p w14:paraId="7B4216F5">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2170B28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06928E44">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3768" w:type="dxa"/>
            <w:gridSpan w:val="4"/>
            <w:vAlign w:val="center"/>
          </w:tcPr>
          <w:p w14:paraId="1F5C2AEF">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88" w:type="dxa"/>
            <w:vAlign w:val="center"/>
          </w:tcPr>
          <w:p w14:paraId="6E9BE331">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135" w:type="dxa"/>
            <w:gridSpan w:val="2"/>
            <w:vAlign w:val="center"/>
          </w:tcPr>
          <w:p w14:paraId="762F1EB4">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44C484B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2CBAC3B0">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3768" w:type="dxa"/>
            <w:gridSpan w:val="4"/>
            <w:vAlign w:val="center"/>
          </w:tcPr>
          <w:p w14:paraId="6114C7B5">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88" w:type="dxa"/>
            <w:vAlign w:val="center"/>
          </w:tcPr>
          <w:p w14:paraId="3110D2D5">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135" w:type="dxa"/>
            <w:gridSpan w:val="2"/>
            <w:vAlign w:val="center"/>
          </w:tcPr>
          <w:p w14:paraId="753F08E1">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6CDB476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7210EA44">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3768" w:type="dxa"/>
            <w:gridSpan w:val="4"/>
            <w:vAlign w:val="center"/>
          </w:tcPr>
          <w:p w14:paraId="7071B72C">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88" w:type="dxa"/>
            <w:vAlign w:val="center"/>
          </w:tcPr>
          <w:p w14:paraId="2A42D2C9">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135" w:type="dxa"/>
            <w:gridSpan w:val="2"/>
            <w:vAlign w:val="center"/>
          </w:tcPr>
          <w:p w14:paraId="32493F31">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411A256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6E604159">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3768" w:type="dxa"/>
            <w:gridSpan w:val="4"/>
            <w:vAlign w:val="center"/>
          </w:tcPr>
          <w:p w14:paraId="2306796E">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88" w:type="dxa"/>
            <w:vAlign w:val="center"/>
          </w:tcPr>
          <w:p w14:paraId="199612A3">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135" w:type="dxa"/>
            <w:gridSpan w:val="2"/>
            <w:vAlign w:val="center"/>
          </w:tcPr>
          <w:p w14:paraId="4359297E">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7756FDF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1779C1CB">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3768" w:type="dxa"/>
            <w:gridSpan w:val="4"/>
            <w:vAlign w:val="center"/>
          </w:tcPr>
          <w:p w14:paraId="3EF2E79D">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88" w:type="dxa"/>
            <w:vAlign w:val="center"/>
          </w:tcPr>
          <w:p w14:paraId="64071B7A">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135" w:type="dxa"/>
            <w:gridSpan w:val="2"/>
            <w:vAlign w:val="center"/>
          </w:tcPr>
          <w:p w14:paraId="4ECBD15E">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3681758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1981023A">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3768" w:type="dxa"/>
            <w:gridSpan w:val="4"/>
            <w:vAlign w:val="center"/>
          </w:tcPr>
          <w:p w14:paraId="39F5C340">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88" w:type="dxa"/>
            <w:vAlign w:val="center"/>
          </w:tcPr>
          <w:p w14:paraId="7CF85E0E">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135" w:type="dxa"/>
            <w:gridSpan w:val="2"/>
            <w:vAlign w:val="center"/>
          </w:tcPr>
          <w:p w14:paraId="633322AB">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3DCD9E1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7C7E352E">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3768" w:type="dxa"/>
            <w:gridSpan w:val="4"/>
            <w:vAlign w:val="center"/>
          </w:tcPr>
          <w:p w14:paraId="3FC54557">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1388" w:type="dxa"/>
            <w:vAlign w:val="center"/>
          </w:tcPr>
          <w:p w14:paraId="7B2D3D02">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c>
          <w:tcPr>
            <w:tcW w:w="2135" w:type="dxa"/>
            <w:gridSpan w:val="2"/>
            <w:vAlign w:val="center"/>
          </w:tcPr>
          <w:p w14:paraId="56B0C976">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bl>
    <w:p w14:paraId="2BB9E5F6">
      <w:pPr>
        <w:spacing w:line="360" w:lineRule="auto"/>
        <w:rPr>
          <w:rFonts w:hint="eastAsia" w:ascii="宋体" w:hAnsi="宋体" w:eastAsia="宋体" w:cs="宋体"/>
          <w:color w:val="auto"/>
          <w:highlight w:val="none"/>
        </w:rPr>
      </w:pPr>
      <w:bookmarkStart w:id="371" w:name="_Toc224103515"/>
    </w:p>
    <w:bookmarkEnd w:id="371"/>
    <w:p w14:paraId="1397B49F">
      <w:pPr>
        <w:pStyle w:val="5"/>
        <w:spacing w:before="0" w:line="240" w:lineRule="auto"/>
        <w:jc w:val="center"/>
        <w:rPr>
          <w:rFonts w:hint="eastAsia" w:ascii="宋体" w:hAnsi="宋体" w:eastAsia="宋体" w:cs="宋体"/>
          <w:b w:val="0"/>
          <w:color w:val="auto"/>
          <w:highlight w:val="none"/>
        </w:rPr>
      </w:pPr>
      <w:bookmarkStart w:id="372" w:name="_Toc534185842"/>
      <w:bookmarkStart w:id="373" w:name="_Toc27983330"/>
      <w:bookmarkStart w:id="374" w:name="_Toc430530551"/>
      <w:bookmarkStart w:id="375" w:name="_Toc509218865"/>
      <w:bookmarkStart w:id="376" w:name="_Toc287607889"/>
      <w:bookmarkStart w:id="377" w:name="_Toc224103516"/>
      <w:bookmarkStart w:id="378" w:name="_Toc277082661"/>
      <w:bookmarkStart w:id="379" w:name="_Toc287620835"/>
      <w:r>
        <w:rPr>
          <w:rFonts w:hint="eastAsia" w:ascii="宋体" w:hAnsi="宋体" w:eastAsia="宋体" w:cs="宋体"/>
          <w:bCs w:val="0"/>
          <w:color w:val="auto"/>
          <w:szCs w:val="28"/>
          <w:highlight w:val="none"/>
        </w:rPr>
        <w:br w:type="page"/>
      </w:r>
      <w:bookmarkStart w:id="380" w:name="_Toc9392"/>
      <w:r>
        <w:rPr>
          <w:rFonts w:hint="eastAsia" w:ascii="宋体" w:hAnsi="宋体" w:eastAsia="宋体" w:cs="宋体"/>
          <w:b w:val="0"/>
          <w:color w:val="auto"/>
          <w:highlight w:val="none"/>
        </w:rPr>
        <w:t>（</w:t>
      </w:r>
      <w:r>
        <w:rPr>
          <w:rFonts w:hint="eastAsia" w:ascii="宋体" w:hAnsi="宋体" w:cs="宋体"/>
          <w:b w:val="0"/>
          <w:color w:val="auto"/>
          <w:highlight w:val="none"/>
          <w:lang w:val="en-US" w:eastAsia="zh-CN"/>
        </w:rPr>
        <w:t>四</w:t>
      </w:r>
      <w:r>
        <w:rPr>
          <w:rFonts w:hint="eastAsia" w:ascii="宋体" w:hAnsi="宋体" w:eastAsia="宋体" w:cs="宋体"/>
          <w:b w:val="0"/>
          <w:color w:val="auto"/>
          <w:highlight w:val="none"/>
        </w:rPr>
        <w:t>）类似项目情况表</w:t>
      </w:r>
      <w:bookmarkEnd w:id="372"/>
      <w:bookmarkEnd w:id="373"/>
      <w:bookmarkEnd w:id="374"/>
      <w:bookmarkEnd w:id="375"/>
      <w:bookmarkEnd w:id="376"/>
      <w:bookmarkEnd w:id="377"/>
      <w:bookmarkEnd w:id="378"/>
      <w:bookmarkEnd w:id="379"/>
      <w:bookmarkEnd w:id="380"/>
    </w:p>
    <w:tbl>
      <w:tblPr>
        <w:tblStyle w:val="34"/>
        <w:tblW w:w="948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456"/>
        <w:gridCol w:w="8027"/>
      </w:tblGrid>
      <w:tr w14:paraId="59503E7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43" w:hRule="exact"/>
          <w:jc w:val="center"/>
        </w:trPr>
        <w:tc>
          <w:tcPr>
            <w:tcW w:w="1456" w:type="dxa"/>
            <w:vAlign w:val="center"/>
          </w:tcPr>
          <w:p w14:paraId="10B9FE52">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项目名称</w:t>
            </w:r>
          </w:p>
        </w:tc>
        <w:tc>
          <w:tcPr>
            <w:tcW w:w="8027" w:type="dxa"/>
            <w:vAlign w:val="center"/>
          </w:tcPr>
          <w:p w14:paraId="6A11E2E4">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059B313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14:paraId="1E658284">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项目所在地</w:t>
            </w:r>
          </w:p>
        </w:tc>
        <w:tc>
          <w:tcPr>
            <w:tcW w:w="8027" w:type="dxa"/>
            <w:vAlign w:val="center"/>
          </w:tcPr>
          <w:p w14:paraId="7D7FE669">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4AC4F42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6" w:hRule="exact"/>
          <w:jc w:val="center"/>
        </w:trPr>
        <w:tc>
          <w:tcPr>
            <w:tcW w:w="1456" w:type="dxa"/>
            <w:vAlign w:val="center"/>
          </w:tcPr>
          <w:p w14:paraId="0D5B71D0">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发包人名称</w:t>
            </w:r>
          </w:p>
        </w:tc>
        <w:tc>
          <w:tcPr>
            <w:tcW w:w="8027" w:type="dxa"/>
            <w:vAlign w:val="center"/>
          </w:tcPr>
          <w:p w14:paraId="299E8906">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579FBD5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14:paraId="028C032C">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发包人地址</w:t>
            </w:r>
          </w:p>
        </w:tc>
        <w:tc>
          <w:tcPr>
            <w:tcW w:w="8027" w:type="dxa"/>
            <w:vAlign w:val="center"/>
          </w:tcPr>
          <w:p w14:paraId="5C22BE33">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23F54BF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14:paraId="7D122212">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发包人电话</w:t>
            </w:r>
          </w:p>
        </w:tc>
        <w:tc>
          <w:tcPr>
            <w:tcW w:w="8027" w:type="dxa"/>
            <w:vAlign w:val="center"/>
          </w:tcPr>
          <w:p w14:paraId="49206A18">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18A5378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1" w:hRule="exact"/>
          <w:jc w:val="center"/>
        </w:trPr>
        <w:tc>
          <w:tcPr>
            <w:tcW w:w="1456" w:type="dxa"/>
            <w:vAlign w:val="center"/>
          </w:tcPr>
          <w:p w14:paraId="6E7FF0DE">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合同价格</w:t>
            </w:r>
          </w:p>
        </w:tc>
        <w:tc>
          <w:tcPr>
            <w:tcW w:w="8027" w:type="dxa"/>
            <w:vAlign w:val="center"/>
          </w:tcPr>
          <w:p w14:paraId="18D8CB1F">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23E9C80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5" w:hRule="exact"/>
          <w:jc w:val="center"/>
        </w:trPr>
        <w:tc>
          <w:tcPr>
            <w:tcW w:w="1456" w:type="dxa"/>
            <w:vAlign w:val="center"/>
          </w:tcPr>
          <w:p w14:paraId="123FB086">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开工日期</w:t>
            </w:r>
          </w:p>
        </w:tc>
        <w:tc>
          <w:tcPr>
            <w:tcW w:w="8027" w:type="dxa"/>
            <w:vAlign w:val="center"/>
          </w:tcPr>
          <w:p w14:paraId="7591E895">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5347F40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9" w:hRule="exact"/>
          <w:jc w:val="center"/>
        </w:trPr>
        <w:tc>
          <w:tcPr>
            <w:tcW w:w="1456" w:type="dxa"/>
            <w:vAlign w:val="center"/>
          </w:tcPr>
          <w:p w14:paraId="71C7970B">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交工（或竣工）日期</w:t>
            </w:r>
          </w:p>
        </w:tc>
        <w:tc>
          <w:tcPr>
            <w:tcW w:w="8027" w:type="dxa"/>
            <w:vAlign w:val="center"/>
          </w:tcPr>
          <w:p w14:paraId="137B7AEC">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0ACD71F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14:paraId="5172A8C1">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承担的工作</w:t>
            </w:r>
          </w:p>
        </w:tc>
        <w:tc>
          <w:tcPr>
            <w:tcW w:w="8027" w:type="dxa"/>
            <w:vAlign w:val="center"/>
          </w:tcPr>
          <w:p w14:paraId="25B45FA9">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4E4667E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14:paraId="647F0527">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工程质量</w:t>
            </w:r>
          </w:p>
        </w:tc>
        <w:tc>
          <w:tcPr>
            <w:tcW w:w="8027" w:type="dxa"/>
            <w:vAlign w:val="center"/>
          </w:tcPr>
          <w:p w14:paraId="0560654B">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2725ECB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14:paraId="35E6094E">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w:t>
            </w:r>
          </w:p>
        </w:tc>
        <w:tc>
          <w:tcPr>
            <w:tcW w:w="8027" w:type="dxa"/>
            <w:vAlign w:val="center"/>
          </w:tcPr>
          <w:p w14:paraId="578435BF">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333A7E6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0" w:hRule="exact"/>
          <w:jc w:val="center"/>
        </w:trPr>
        <w:tc>
          <w:tcPr>
            <w:tcW w:w="1456" w:type="dxa"/>
            <w:vAlign w:val="center"/>
          </w:tcPr>
          <w:p w14:paraId="3972C892">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项目总工</w:t>
            </w:r>
          </w:p>
        </w:tc>
        <w:tc>
          <w:tcPr>
            <w:tcW w:w="8027" w:type="dxa"/>
            <w:vAlign w:val="center"/>
          </w:tcPr>
          <w:p w14:paraId="5652AF7D">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654860A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63" w:hRule="exact"/>
          <w:jc w:val="center"/>
        </w:trPr>
        <w:tc>
          <w:tcPr>
            <w:tcW w:w="1456" w:type="dxa"/>
            <w:vAlign w:val="center"/>
          </w:tcPr>
          <w:p w14:paraId="253E06B6">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总监理工程师及电话</w:t>
            </w:r>
          </w:p>
        </w:tc>
        <w:tc>
          <w:tcPr>
            <w:tcW w:w="8027" w:type="dxa"/>
            <w:vAlign w:val="center"/>
          </w:tcPr>
          <w:p w14:paraId="6CB96916">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4BC66BD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367" w:hRule="exact"/>
          <w:jc w:val="center"/>
        </w:trPr>
        <w:tc>
          <w:tcPr>
            <w:tcW w:w="1456" w:type="dxa"/>
            <w:vAlign w:val="center"/>
          </w:tcPr>
          <w:p w14:paraId="34E5175C">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项目描述</w:t>
            </w:r>
          </w:p>
        </w:tc>
        <w:tc>
          <w:tcPr>
            <w:tcW w:w="8027" w:type="dxa"/>
            <w:vAlign w:val="center"/>
          </w:tcPr>
          <w:p w14:paraId="7EDFD775">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r w14:paraId="4476519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48" w:hRule="exact"/>
          <w:jc w:val="center"/>
        </w:trPr>
        <w:tc>
          <w:tcPr>
            <w:tcW w:w="1456" w:type="dxa"/>
            <w:vAlign w:val="center"/>
          </w:tcPr>
          <w:p w14:paraId="22D3CAFF">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c>
          <w:tcPr>
            <w:tcW w:w="8027" w:type="dxa"/>
            <w:vAlign w:val="center"/>
          </w:tcPr>
          <w:p w14:paraId="120B7AD2">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auto"/>
                <w:kern w:val="0"/>
                <w:szCs w:val="21"/>
                <w:highlight w:val="none"/>
              </w:rPr>
            </w:pPr>
          </w:p>
        </w:tc>
      </w:tr>
    </w:tbl>
    <w:p w14:paraId="0C1F10B1">
      <w:pPr>
        <w:pStyle w:val="5"/>
        <w:spacing w:before="0" w:line="360" w:lineRule="auto"/>
        <w:jc w:val="center"/>
        <w:rPr>
          <w:rFonts w:hint="eastAsia" w:ascii="宋体" w:hAnsi="宋体" w:eastAsia="宋体" w:cs="宋体"/>
          <w:b w:val="0"/>
          <w:color w:val="auto"/>
          <w:highlight w:val="none"/>
        </w:rPr>
      </w:pPr>
      <w:bookmarkStart w:id="381" w:name="_Toc509218866"/>
      <w:bookmarkStart w:id="382" w:name="_Toc27983331"/>
      <w:bookmarkStart w:id="383" w:name="_Toc277082663"/>
      <w:bookmarkStart w:id="384" w:name="_Toc287607893"/>
      <w:bookmarkStart w:id="385" w:name="_Toc534185843"/>
      <w:bookmarkStart w:id="386" w:name="_Toc224103520"/>
      <w:bookmarkStart w:id="387" w:name="_Toc430530552"/>
      <w:bookmarkStart w:id="388" w:name="_Toc287620839"/>
      <w:bookmarkStart w:id="389" w:name="_Toc28356"/>
      <w:r>
        <w:rPr>
          <w:rFonts w:hint="eastAsia" w:ascii="宋体" w:hAnsi="宋体" w:eastAsia="宋体" w:cs="宋体"/>
          <w:b w:val="0"/>
          <w:color w:val="auto"/>
          <w:highlight w:val="none"/>
        </w:rPr>
        <w:t>（</w:t>
      </w:r>
      <w:r>
        <w:rPr>
          <w:rFonts w:hint="eastAsia" w:ascii="宋体" w:hAnsi="宋体" w:cs="宋体"/>
          <w:b w:val="0"/>
          <w:color w:val="auto"/>
          <w:highlight w:val="none"/>
          <w:lang w:val="en-US" w:eastAsia="zh-CN"/>
        </w:rPr>
        <w:t>五</w:t>
      </w:r>
      <w:r>
        <w:rPr>
          <w:rFonts w:hint="eastAsia" w:ascii="宋体" w:hAnsi="宋体" w:eastAsia="宋体" w:cs="宋体"/>
          <w:b w:val="0"/>
          <w:color w:val="auto"/>
          <w:highlight w:val="none"/>
        </w:rPr>
        <w:t>）</w:t>
      </w:r>
      <w:bookmarkEnd w:id="381"/>
      <w:bookmarkEnd w:id="382"/>
      <w:bookmarkEnd w:id="383"/>
      <w:bookmarkEnd w:id="384"/>
      <w:bookmarkEnd w:id="385"/>
      <w:bookmarkEnd w:id="386"/>
      <w:bookmarkEnd w:id="387"/>
      <w:bookmarkEnd w:id="388"/>
      <w:r>
        <w:rPr>
          <w:rFonts w:hint="eastAsia" w:ascii="宋体" w:hAnsi="宋体" w:eastAsia="宋体" w:cs="宋体"/>
          <w:b w:val="0"/>
          <w:color w:val="auto"/>
          <w:highlight w:val="none"/>
        </w:rPr>
        <w:t>承诺</w:t>
      </w:r>
      <w:bookmarkEnd w:id="389"/>
    </w:p>
    <w:p w14:paraId="76F096B7">
      <w:pPr>
        <w:keepNext w:val="0"/>
        <w:keepLines w:val="0"/>
        <w:pageBreakBefore w:val="0"/>
        <w:widowControl w:val="0"/>
        <w:kinsoku/>
        <w:wordWrap/>
        <w:overflowPunct/>
        <w:topLinePunct w:val="0"/>
        <w:bidi w:val="0"/>
        <w:adjustRightInd w:val="0"/>
        <w:snapToGrid w:val="0"/>
        <w:spacing w:afterLines="0" w:line="360" w:lineRule="auto"/>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        （招标人名称）</w:t>
      </w:r>
      <w:r>
        <w:rPr>
          <w:rFonts w:hint="eastAsia" w:ascii="宋体" w:hAnsi="宋体" w:eastAsia="宋体" w:cs="宋体"/>
          <w:color w:val="auto"/>
          <w:szCs w:val="21"/>
          <w:highlight w:val="none"/>
        </w:rPr>
        <w:t>：</w:t>
      </w:r>
    </w:p>
    <w:p w14:paraId="6F08CCBD">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我公司</w:t>
      </w:r>
      <w:r>
        <w:rPr>
          <w:rFonts w:hint="eastAsia" w:ascii="宋体" w:hAnsi="宋体" w:eastAsia="宋体" w:cs="宋体"/>
          <w:color w:val="auto"/>
          <w:szCs w:val="21"/>
          <w:highlight w:val="none"/>
          <w:u w:val="single"/>
        </w:rPr>
        <w:t xml:space="preserve">        （投标人名称）</w:t>
      </w:r>
      <w:r>
        <w:rPr>
          <w:rFonts w:hint="eastAsia" w:ascii="宋体" w:hAnsi="宋体" w:eastAsia="宋体" w:cs="宋体"/>
          <w:color w:val="auto"/>
          <w:szCs w:val="21"/>
          <w:highlight w:val="none"/>
        </w:rPr>
        <w:t>参加了贵单位</w:t>
      </w:r>
      <w:r>
        <w:rPr>
          <w:rFonts w:hint="eastAsia" w:ascii="宋体" w:hAnsi="宋体" w:cs="宋体"/>
          <w:color w:val="auto"/>
          <w:szCs w:val="21"/>
          <w:highlight w:val="none"/>
          <w:u w:val="single"/>
          <w:lang w:eastAsia="zh-CN"/>
        </w:rPr>
        <w:t>巫溪至开州高速公路项目机电工程高压外电接入施工专项分包</w:t>
      </w:r>
      <w:r>
        <w:rPr>
          <w:rFonts w:hint="eastAsia" w:ascii="宋体" w:hAnsi="宋体" w:eastAsia="宋体" w:cs="宋体"/>
          <w:color w:val="auto"/>
          <w:szCs w:val="21"/>
          <w:highlight w:val="none"/>
        </w:rPr>
        <w:t>的投标，自愿作出以下承诺：</w:t>
      </w:r>
    </w:p>
    <w:p w14:paraId="419DBDF2">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1、投标截止日投标资格情况不存在下列情形之一：</w:t>
      </w:r>
    </w:p>
    <w:p w14:paraId="12ED81AA">
      <w:pPr>
        <w:keepNext w:val="0"/>
        <w:keepLines w:val="0"/>
        <w:pageBreakBefore w:val="0"/>
        <w:widowControl w:val="0"/>
        <w:kinsoku/>
        <w:wordWrap/>
        <w:overflowPunct/>
        <w:topLinePunct w:val="0"/>
        <w:bidi w:val="0"/>
        <w:adjustRightInd w:val="0"/>
        <w:snapToGrid w:val="0"/>
        <w:spacing w:afterLines="0"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（1）被人民法院列入失信被执行人名单且在被执行期内；</w:t>
      </w:r>
    </w:p>
    <w:p w14:paraId="0EF708DB">
      <w:pPr>
        <w:keepNext w:val="0"/>
        <w:keepLines w:val="0"/>
        <w:pageBreakBefore w:val="0"/>
        <w:widowControl w:val="0"/>
        <w:kinsoku/>
        <w:wordWrap/>
        <w:overflowPunct/>
        <w:topLinePunct w:val="0"/>
        <w:bidi w:val="0"/>
        <w:adjustRightInd w:val="0"/>
        <w:snapToGrid w:val="0"/>
        <w:spacing w:afterLines="0"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（2）被列入《重庆市工程建设领域招标投标信用管理暂行办法》规定的重点关注名单且记分达到12分且在记分有效期内；</w:t>
      </w:r>
    </w:p>
    <w:p w14:paraId="1A86C3BF">
      <w:pPr>
        <w:keepNext w:val="0"/>
        <w:keepLines w:val="0"/>
        <w:pageBreakBefore w:val="0"/>
        <w:widowControl w:val="0"/>
        <w:kinsoku/>
        <w:wordWrap/>
        <w:overflowPunct/>
        <w:topLinePunct w:val="0"/>
        <w:bidi w:val="0"/>
        <w:adjustRightInd w:val="0"/>
        <w:snapToGrid w:val="0"/>
        <w:spacing w:afterLines="0"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（3）被列入《重庆市工程建设领域招标投标信用管理暂行办法》规定的重庆市工程建设领域招标投标失信惩戒对象名单（以下称黑名单）且在记分有效期内；</w:t>
      </w:r>
    </w:p>
    <w:p w14:paraId="0AC988D3">
      <w:pPr>
        <w:keepNext w:val="0"/>
        <w:keepLines w:val="0"/>
        <w:pageBreakBefore w:val="0"/>
        <w:widowControl w:val="0"/>
        <w:kinsoku/>
        <w:wordWrap/>
        <w:overflowPunct/>
        <w:topLinePunct w:val="0"/>
        <w:bidi w:val="0"/>
        <w:adjustRightInd w:val="0"/>
        <w:snapToGrid w:val="0"/>
        <w:spacing w:afterLines="0"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（4）被国家、重庆市（含市或任意区县）有关行政部门处以暂停投标资格行政处罚，且在处罚期限内；</w:t>
      </w:r>
    </w:p>
    <w:p w14:paraId="62B0C923">
      <w:pPr>
        <w:keepNext w:val="0"/>
        <w:keepLines w:val="0"/>
        <w:pageBreakBefore w:val="0"/>
        <w:widowControl w:val="0"/>
        <w:kinsoku/>
        <w:wordWrap/>
        <w:overflowPunct/>
        <w:topLinePunct w:val="0"/>
        <w:bidi w:val="0"/>
        <w:adjustRightInd w:val="0"/>
        <w:snapToGrid w:val="0"/>
        <w:spacing w:afterLines="0"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（5）被重庆市市级有关行业主管部门暂停在渝承揽新业务且在暂停期内；</w:t>
      </w:r>
    </w:p>
    <w:p w14:paraId="79447E83">
      <w:pPr>
        <w:keepNext w:val="0"/>
        <w:keepLines w:val="0"/>
        <w:pageBreakBefore w:val="0"/>
        <w:widowControl w:val="0"/>
        <w:kinsoku/>
        <w:wordWrap/>
        <w:overflowPunct/>
        <w:topLinePunct w:val="0"/>
        <w:bidi w:val="0"/>
        <w:adjustRightInd w:val="0"/>
        <w:snapToGrid w:val="0"/>
        <w:spacing w:afterLines="0"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（6）被责令停业，暂扣或吊销执照，或吊销资质证书；</w:t>
      </w:r>
    </w:p>
    <w:p w14:paraId="1BC1BDDF">
      <w:pPr>
        <w:keepNext w:val="0"/>
        <w:keepLines w:val="0"/>
        <w:pageBreakBefore w:val="0"/>
        <w:widowControl w:val="0"/>
        <w:kinsoku/>
        <w:wordWrap/>
        <w:overflowPunct/>
        <w:topLinePunct w:val="0"/>
        <w:bidi w:val="0"/>
        <w:adjustRightInd w:val="0"/>
        <w:snapToGrid w:val="0"/>
        <w:spacing w:afterLines="0"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（7）进入清算程序，或被宣告破产，或其他丧失履约能力的情形；</w:t>
      </w:r>
    </w:p>
    <w:p w14:paraId="0577A840">
      <w:pPr>
        <w:keepNext w:val="0"/>
        <w:keepLines w:val="0"/>
        <w:pageBreakBefore w:val="0"/>
        <w:widowControl w:val="0"/>
        <w:kinsoku/>
        <w:wordWrap/>
        <w:overflowPunct/>
        <w:topLinePunct w:val="0"/>
        <w:bidi w:val="0"/>
        <w:adjustRightInd w:val="0"/>
        <w:snapToGrid w:val="0"/>
        <w:spacing w:afterLines="0"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（8）在国家企业信用信息公示系统（http://www.gsxt.gov.cn/）中被列入严重违法失信企业名单；</w:t>
      </w:r>
    </w:p>
    <w:p w14:paraId="6302CCA2">
      <w:pPr>
        <w:keepNext w:val="0"/>
        <w:keepLines w:val="0"/>
        <w:pageBreakBefore w:val="0"/>
        <w:widowControl w:val="0"/>
        <w:kinsoku/>
        <w:wordWrap/>
        <w:overflowPunct/>
        <w:topLinePunct w:val="0"/>
        <w:bidi w:val="0"/>
        <w:adjustRightInd w:val="0"/>
        <w:snapToGrid w:val="0"/>
        <w:spacing w:afterLines="0"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（9）投标人或其法定代表人、拟委任的项目经理在近两年内有行贿犯罪行为的。</w:t>
      </w:r>
    </w:p>
    <w:p w14:paraId="2F2E26B1">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2.1我公司拟派的项目经理按注册建造师的相关规定到岗履职和未被禁止参与投标。</w:t>
      </w:r>
    </w:p>
    <w:p w14:paraId="1AE21262">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2.1.1拟派的项目经理中标后在本项目任职，签订合同时拟派的项目经理必须与投标文件中的项目经理一致，并满足办理施工许可手续的相关要求。不能按承诺到岗履约的，按合同相关条款处罚并上报行政主管部门，给贵单位造成损失的，我公司依法承担违约赔偿责任。拟派的项目经理中标后不得随意更换。</w:t>
      </w:r>
    </w:p>
    <w:p w14:paraId="3E646471">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2.1.2拟派的项目经理未被重庆市</w:t>
      </w:r>
      <w:r>
        <w:rPr>
          <w:rFonts w:hint="eastAsia" w:ascii="宋体" w:hAnsi="宋体" w:eastAsia="宋体" w:cs="宋体"/>
          <w:szCs w:val="21"/>
          <w:highlight w:val="none"/>
          <w:lang w:val="en-US" w:eastAsia="zh-CN"/>
        </w:rPr>
        <w:t>市级有关行业</w:t>
      </w:r>
      <w:r>
        <w:rPr>
          <w:rFonts w:hint="eastAsia" w:ascii="宋体" w:hAnsi="宋体" w:eastAsia="宋体" w:cs="宋体"/>
          <w:color w:val="auto"/>
          <w:szCs w:val="21"/>
          <w:highlight w:val="none"/>
        </w:rPr>
        <w:t>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14:paraId="484700B3">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2.1.3</w:t>
      </w:r>
      <w:r>
        <w:rPr>
          <w:rFonts w:hint="eastAsia" w:ascii="宋体" w:hAnsi="宋体" w:eastAsia="宋体" w:cs="宋体"/>
          <w:color w:val="auto"/>
          <w:szCs w:val="21"/>
          <w:highlight w:val="none"/>
          <w:lang w:val="en-US" w:eastAsia="zh-CN"/>
        </w:rPr>
        <w:t>为保证我公司拟派的项目经理到本项目到岗履职，我公司还承诺：</w:t>
      </w:r>
    </w:p>
    <w:p w14:paraId="4E4FF0E6">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若我公司拟派本项目的项目经理有在其他项目任职的情形的（或有在其他项目中标或拟中标的情形的），应在收到中标通知书后</w:t>
      </w:r>
      <w:r>
        <w:rPr>
          <w:rFonts w:hint="eastAsia" w:ascii="宋体" w:hAnsi="宋体" w:eastAsia="宋体" w:cs="宋体"/>
          <w:color w:val="auto"/>
          <w:szCs w:val="21"/>
          <w:highlight w:val="none"/>
          <w:u w:val="single"/>
          <w:lang w:val="en-US" w:eastAsia="zh-CN"/>
        </w:rPr>
        <w:t xml:space="preserve"> 14 </w:t>
      </w:r>
      <w:r>
        <w:rPr>
          <w:rFonts w:hint="eastAsia" w:ascii="宋体" w:hAnsi="宋体" w:eastAsia="宋体" w:cs="宋体"/>
          <w:color w:val="auto"/>
          <w:szCs w:val="21"/>
          <w:highlight w:val="none"/>
          <w:lang w:val="en-US" w:eastAsia="zh-CN"/>
        </w:rPr>
        <w:t>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招标文件规定递交放弃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14:paraId="3BED2C14">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若我公司拟派项目经理放弃在其他项目任职的将提供：①经业主或建设单位同意任职变更的文件；②负责项目监管的行业行政主管部门出具同意任职变更的证明材料。</w:t>
      </w:r>
    </w:p>
    <w:p w14:paraId="64922AFB">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若我公司拟派项目经理放弃在其他项目中标或拟中标的将提供：①经中标或拟中标的其他项目建设单位同意的放弃中标函</w:t>
      </w:r>
      <w:r>
        <w:rPr>
          <w:rFonts w:hint="eastAsia" w:ascii="宋体" w:hAnsi="宋体" w:eastAsia="宋体" w:cs="宋体"/>
          <w:color w:val="auto"/>
          <w:szCs w:val="21"/>
          <w:highlight w:val="none"/>
        </w:rPr>
        <w:t>。</w:t>
      </w:r>
    </w:p>
    <w:p w14:paraId="1AD28760">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我公司拟派的项目总工按相关规定到岗履职和未被禁止参与投标。</w:t>
      </w:r>
    </w:p>
    <w:p w14:paraId="3B360FA8">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.1拟派的项目总工中标后</w:t>
      </w:r>
      <w:r>
        <w:rPr>
          <w:rFonts w:hint="eastAsia" w:ascii="宋体" w:hAnsi="宋体" w:eastAsia="宋体" w:cs="宋体"/>
          <w:color w:val="auto"/>
          <w:szCs w:val="21"/>
          <w:highlight w:val="none"/>
          <w:lang w:val="en-US" w:eastAsia="zh-CN"/>
        </w:rPr>
        <w:t>只能</w:t>
      </w:r>
      <w:r>
        <w:rPr>
          <w:rFonts w:hint="eastAsia" w:ascii="宋体" w:hAnsi="宋体" w:eastAsia="宋体" w:cs="宋体"/>
          <w:color w:val="auto"/>
          <w:szCs w:val="21"/>
          <w:highlight w:val="none"/>
        </w:rPr>
        <w:t>在本项目任职，签订合同时拟派的项目总工必须与投标文件中的项目总工一致，并满足办理施工许可手续的相关要求。不能按承诺到岗履约的，按合同相关条款处罚并上报行政主管部门，给贵单位造成损失的，我公司依法承担违约赔偿责任。拟派的项目总工中标后不得随意更换。</w:t>
      </w:r>
    </w:p>
    <w:p w14:paraId="4513EE99">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2拟派的项目总工未被重庆市交通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14:paraId="7E4E4061">
      <w:pPr>
        <w:keepNext w:val="0"/>
        <w:keepLines w:val="0"/>
        <w:suppressLineNumbers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我公司</w:t>
      </w:r>
      <w:r>
        <w:rPr>
          <w:rFonts w:hint="eastAsia" w:ascii="宋体" w:hAnsi="宋体" w:eastAsia="宋体" w:cs="宋体"/>
          <w:color w:val="auto"/>
          <w:szCs w:val="21"/>
          <w:highlight w:val="none"/>
        </w:rPr>
        <w:t>承诺拟派项目总工按相关规定到岗履职和未被禁止参与投标。</w:t>
      </w:r>
    </w:p>
    <w:p w14:paraId="13890044">
      <w:pPr>
        <w:adjustRightInd w:val="0"/>
        <w:snapToGrid w:val="0"/>
        <w:spacing w:after="0" w:afterLines="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我公司</w:t>
      </w:r>
      <w:r>
        <w:rPr>
          <w:rFonts w:hint="eastAsia" w:ascii="宋体" w:hAnsi="宋体" w:eastAsia="宋体" w:cs="宋体"/>
          <w:color w:val="auto"/>
          <w:szCs w:val="21"/>
          <w:highlight w:val="none"/>
        </w:rPr>
        <w:t>承诺拟派项目总工中标后</w:t>
      </w:r>
      <w:r>
        <w:rPr>
          <w:rFonts w:hint="eastAsia" w:ascii="宋体" w:hAnsi="宋体" w:eastAsia="宋体" w:cs="宋体"/>
          <w:color w:val="auto"/>
          <w:szCs w:val="21"/>
          <w:highlight w:val="none"/>
          <w:lang w:val="en-US" w:eastAsia="zh-CN"/>
        </w:rPr>
        <w:t>只能</w:t>
      </w:r>
      <w:r>
        <w:rPr>
          <w:rFonts w:hint="eastAsia" w:ascii="宋体" w:hAnsi="宋体" w:eastAsia="宋体" w:cs="宋体"/>
          <w:color w:val="auto"/>
          <w:szCs w:val="21"/>
          <w:highlight w:val="none"/>
        </w:rPr>
        <w:t>在本项目任职，签订合同时拟派的项目总工必须与投标文件中的项目总工一致，并满足办理施工许可手续的相关要求。不能按承诺到岗履约的，按合同相关条款处罚并上报行政主管部门，给招标人造成损失的，投标人依法承担违约赔偿责任。拟派项目总工中标后不得随意更换。</w:t>
      </w:r>
    </w:p>
    <w:p w14:paraId="5769B082">
      <w:pPr>
        <w:adjustRightInd w:val="0"/>
        <w:snapToGrid w:val="0"/>
        <w:spacing w:after="0" w:afterLines="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我公司</w:t>
      </w:r>
      <w:r>
        <w:rPr>
          <w:rFonts w:hint="eastAsia" w:ascii="宋体" w:hAnsi="宋体" w:eastAsia="宋体" w:cs="宋体"/>
          <w:color w:val="auto"/>
          <w:szCs w:val="21"/>
          <w:highlight w:val="none"/>
        </w:rPr>
        <w:t>承诺拟派项目总工未被重庆市交通主管部门暂停在渝承揽新业务。若被暂停在渝承揽新业务但仍参加投标，将被否决投标；已取得中标候选人资格或中标资格的，招标人有权取消其中标候选人资格或中标资格；给招标人造成损失的，投标人依法承担违约赔偿责任。</w:t>
      </w:r>
    </w:p>
    <w:p w14:paraId="5791E80F">
      <w:pPr>
        <w:adjustRightInd w:val="0"/>
        <w:snapToGrid w:val="0"/>
        <w:spacing w:afterLines="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2.4</w:t>
      </w:r>
      <w:r>
        <w:rPr>
          <w:rFonts w:hint="eastAsia" w:ascii="宋体" w:hAnsi="宋体" w:eastAsia="宋体" w:cs="宋体"/>
          <w:color w:val="auto"/>
          <w:szCs w:val="21"/>
          <w:highlight w:val="none"/>
          <w:lang w:eastAsia="zh-CN"/>
        </w:rPr>
        <w:t>我公司</w:t>
      </w:r>
      <w:r>
        <w:rPr>
          <w:rFonts w:hint="eastAsia" w:ascii="宋体" w:hAnsi="宋体" w:eastAsia="宋体" w:cs="宋体"/>
          <w:color w:val="auto"/>
          <w:szCs w:val="21"/>
          <w:highlight w:val="none"/>
        </w:rPr>
        <w:t>承诺拟投入其他管理和技术人员</w:t>
      </w:r>
      <w:r>
        <w:rPr>
          <w:rFonts w:hint="eastAsia" w:ascii="宋体" w:hAnsi="宋体" w:eastAsia="宋体" w:cs="宋体"/>
          <w:color w:val="auto"/>
          <w:szCs w:val="21"/>
          <w:highlight w:val="none"/>
          <w:lang w:eastAsia="zh-CN"/>
        </w:rPr>
        <w:t>满足招标人要求，并在</w:t>
      </w:r>
      <w:r>
        <w:rPr>
          <w:rFonts w:hint="eastAsia" w:ascii="宋体" w:hAnsi="宋体" w:eastAsia="宋体" w:cs="宋体"/>
          <w:color w:val="auto"/>
          <w:szCs w:val="21"/>
          <w:highlight w:val="none"/>
        </w:rPr>
        <w:t>招标人和</w:t>
      </w:r>
      <w:r>
        <w:rPr>
          <w:rFonts w:hint="eastAsia" w:ascii="宋体" w:hAnsi="宋体" w:eastAsia="宋体" w:cs="宋体"/>
          <w:color w:val="auto"/>
          <w:szCs w:val="21"/>
          <w:highlight w:val="none"/>
          <w:lang w:eastAsia="zh-CN"/>
        </w:rPr>
        <w:t>我公司</w:t>
      </w:r>
      <w:r>
        <w:rPr>
          <w:rFonts w:hint="eastAsia" w:ascii="宋体" w:hAnsi="宋体" w:eastAsia="宋体" w:cs="宋体"/>
          <w:color w:val="auto"/>
          <w:szCs w:val="21"/>
          <w:highlight w:val="none"/>
        </w:rPr>
        <w:t>在合同谈判阶段确定。</w:t>
      </w:r>
    </w:p>
    <w:p w14:paraId="79C58FB5">
      <w:pPr>
        <w:adjustRightInd w:val="0"/>
        <w:snapToGrid w:val="0"/>
        <w:spacing w:afterLines="0" w:line="360" w:lineRule="auto"/>
        <w:ind w:firstLine="420" w:firstLineChars="200"/>
        <w:rPr>
          <w:rFonts w:hint="eastAsia" w:ascii="宋体" w:hAnsi="宋体" w:eastAsia="宋体" w:cs="宋体"/>
          <w:highlight w:val="none"/>
          <w:lang w:val="en-US" w:eastAsia="zh-CN"/>
        </w:rPr>
      </w:pPr>
      <w:r>
        <w:rPr>
          <w:rFonts w:hint="eastAsia" w:ascii="宋体" w:hAnsi="宋体" w:eastAsia="宋体" w:cs="宋体"/>
          <w:color w:val="auto"/>
          <w:szCs w:val="21"/>
          <w:highlight w:val="none"/>
          <w:lang w:val="en-US" w:eastAsia="zh-CN"/>
        </w:rPr>
        <w:t>2.5</w:t>
      </w:r>
      <w:r>
        <w:rPr>
          <w:rFonts w:hint="eastAsia" w:ascii="宋体" w:hAnsi="宋体" w:eastAsia="宋体" w:cs="宋体"/>
          <w:color w:val="auto"/>
          <w:szCs w:val="21"/>
          <w:highlight w:val="none"/>
          <w:lang w:eastAsia="zh-CN"/>
        </w:rPr>
        <w:t>我公司</w:t>
      </w:r>
      <w:r>
        <w:rPr>
          <w:rFonts w:hint="eastAsia" w:ascii="宋体" w:hAnsi="宋体" w:eastAsia="宋体" w:cs="宋体"/>
          <w:color w:val="auto"/>
          <w:szCs w:val="21"/>
          <w:highlight w:val="none"/>
        </w:rPr>
        <w:t>承诺投入主要机械设备和试验检测设备</w:t>
      </w:r>
      <w:r>
        <w:rPr>
          <w:rFonts w:hint="eastAsia" w:ascii="宋体" w:hAnsi="宋体" w:eastAsia="宋体" w:cs="宋体"/>
          <w:color w:val="auto"/>
          <w:szCs w:val="21"/>
          <w:highlight w:val="none"/>
          <w:lang w:eastAsia="zh-CN"/>
        </w:rPr>
        <w:t>招标人要求，并在</w:t>
      </w:r>
      <w:r>
        <w:rPr>
          <w:rFonts w:hint="eastAsia" w:ascii="宋体" w:hAnsi="宋体" w:eastAsia="宋体" w:cs="宋体"/>
          <w:color w:val="auto"/>
          <w:szCs w:val="21"/>
          <w:highlight w:val="none"/>
        </w:rPr>
        <w:t>招标人和</w:t>
      </w:r>
      <w:r>
        <w:rPr>
          <w:rFonts w:hint="eastAsia" w:ascii="宋体" w:hAnsi="宋体" w:eastAsia="宋体" w:cs="宋体"/>
          <w:color w:val="auto"/>
          <w:szCs w:val="21"/>
          <w:highlight w:val="none"/>
          <w:lang w:eastAsia="zh-CN"/>
        </w:rPr>
        <w:t>我公司</w:t>
      </w:r>
      <w:r>
        <w:rPr>
          <w:rFonts w:hint="eastAsia" w:ascii="宋体" w:hAnsi="宋体" w:eastAsia="宋体" w:cs="宋体"/>
          <w:color w:val="auto"/>
          <w:szCs w:val="21"/>
          <w:highlight w:val="none"/>
        </w:rPr>
        <w:t>在合同谈判阶段确定。</w:t>
      </w:r>
    </w:p>
    <w:p w14:paraId="46224C5B">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3、我公司若中标，将在合同谈判结束后7日内按照本项目招标文件“投标人须知”前附表1.4.1的要求，向</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提供参与本项目施工工作的人员名单，并附相应人员的身份证、执业资格证、职称证书、社保缴费证明等证明材料作为投标书附件并作为合同文件的组成部分。如果我</w:t>
      </w:r>
      <w:r>
        <w:rPr>
          <w:rFonts w:hint="eastAsia" w:ascii="宋体" w:hAnsi="宋体" w:eastAsia="宋体" w:cs="宋体"/>
          <w:color w:val="auto"/>
          <w:szCs w:val="21"/>
          <w:highlight w:val="none"/>
          <w:lang w:val="en-US" w:eastAsia="zh-CN"/>
        </w:rPr>
        <w:t>公司</w:t>
      </w:r>
      <w:r>
        <w:rPr>
          <w:rFonts w:hint="eastAsia" w:ascii="宋体" w:hAnsi="宋体" w:eastAsia="宋体" w:cs="宋体"/>
          <w:color w:val="auto"/>
          <w:szCs w:val="21"/>
          <w:highlight w:val="none"/>
        </w:rPr>
        <w:t>在合同谈判结束后7日内，不能向</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提供上述材料（除不可抗力因素），视为我</w:t>
      </w:r>
      <w:r>
        <w:rPr>
          <w:rFonts w:hint="eastAsia" w:ascii="宋体" w:hAnsi="宋体" w:eastAsia="宋体" w:cs="宋体"/>
          <w:color w:val="auto"/>
          <w:szCs w:val="21"/>
          <w:highlight w:val="none"/>
          <w:lang w:val="en-US" w:eastAsia="zh-CN"/>
        </w:rPr>
        <w:t>公司</w:t>
      </w:r>
      <w:r>
        <w:rPr>
          <w:rFonts w:hint="eastAsia" w:ascii="宋体" w:hAnsi="宋体" w:eastAsia="宋体" w:cs="宋体"/>
          <w:color w:val="auto"/>
          <w:szCs w:val="21"/>
          <w:highlight w:val="none"/>
        </w:rPr>
        <w:t>放弃中标候选人资格。</w:t>
      </w:r>
    </w:p>
    <w:p w14:paraId="37B0202E">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4、我公司若中标，将在合同谈判结束后7日内按照本项目招标文件“投标人须知”前附表1.4.1的要求，向</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提供主要设备进场清单。如果我</w:t>
      </w:r>
      <w:r>
        <w:rPr>
          <w:rFonts w:hint="eastAsia" w:ascii="宋体" w:hAnsi="宋体" w:eastAsia="宋体" w:cs="宋体"/>
          <w:color w:val="auto"/>
          <w:szCs w:val="21"/>
          <w:highlight w:val="none"/>
          <w:lang w:val="en-US" w:eastAsia="zh-CN"/>
        </w:rPr>
        <w:t>公司</w:t>
      </w:r>
      <w:r>
        <w:rPr>
          <w:rFonts w:hint="eastAsia" w:ascii="宋体" w:hAnsi="宋体" w:eastAsia="宋体" w:cs="宋体"/>
          <w:color w:val="auto"/>
          <w:szCs w:val="21"/>
          <w:highlight w:val="none"/>
        </w:rPr>
        <w:t>在合同谈判结束后7日内，不能向</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提供上述材料（除不可抗力因素），视为我</w:t>
      </w:r>
      <w:r>
        <w:rPr>
          <w:rFonts w:hint="eastAsia" w:ascii="宋体" w:hAnsi="宋体" w:eastAsia="宋体" w:cs="宋体"/>
          <w:color w:val="auto"/>
          <w:szCs w:val="21"/>
          <w:highlight w:val="none"/>
          <w:lang w:val="en-US" w:eastAsia="zh-CN"/>
        </w:rPr>
        <w:t>公司</w:t>
      </w:r>
      <w:r>
        <w:rPr>
          <w:rFonts w:hint="eastAsia" w:ascii="宋体" w:hAnsi="宋体" w:eastAsia="宋体" w:cs="宋体"/>
          <w:color w:val="auto"/>
          <w:szCs w:val="21"/>
          <w:highlight w:val="none"/>
        </w:rPr>
        <w:t>放弃中标候选人资格。</w:t>
      </w:r>
    </w:p>
    <w:p w14:paraId="250827A3">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5、我公司严格按照第五章“工程量清单”、第八章“工程量清单计量规则”的规定进行报价。招标文件中规定工程量清单不允许修改的内容不得修改。投标总报价不高于</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公布的投标总报价最高限价。各清单子目单价不高于</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公布的各清单子目单价最高限价的。若出现差错，按招标文件第二章投标人须知前附表第3.2.9项规定的原则进行处理（或结算）。</w:t>
      </w:r>
    </w:p>
    <w:p w14:paraId="473CD5B1">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6、我公司在</w:t>
      </w:r>
      <w:r>
        <w:rPr>
          <w:rFonts w:hint="eastAsia" w:ascii="宋体" w:hAnsi="宋体" w:cs="宋体"/>
          <w:color w:val="auto"/>
          <w:szCs w:val="21"/>
          <w:highlight w:val="none"/>
          <w:lang w:eastAsia="zh-CN"/>
        </w:rPr>
        <w:t>投标文件</w:t>
      </w:r>
      <w:r>
        <w:rPr>
          <w:rFonts w:hint="eastAsia" w:ascii="宋体" w:hAnsi="宋体" w:eastAsia="宋体" w:cs="宋体"/>
          <w:color w:val="auto"/>
          <w:szCs w:val="21"/>
          <w:highlight w:val="none"/>
        </w:rPr>
        <w:t>中提供的相关证明材料真实有效，不存在弄虚作假情形。</w:t>
      </w:r>
      <w:r>
        <w:rPr>
          <w:rFonts w:hint="eastAsia" w:ascii="宋体" w:hAnsi="宋体" w:eastAsia="宋体" w:cs="宋体"/>
          <w:color w:val="auto"/>
          <w:szCs w:val="21"/>
          <w:highlight w:val="none"/>
          <w:u w:val="single"/>
          <w:lang w:val="en-US" w:eastAsia="zh-CN"/>
        </w:rPr>
        <w:t>贵单位</w:t>
      </w:r>
      <w:r>
        <w:rPr>
          <w:rFonts w:hint="eastAsia" w:ascii="宋体" w:hAnsi="宋体" w:eastAsia="宋体" w:cs="宋体"/>
          <w:color w:val="auto"/>
          <w:szCs w:val="21"/>
          <w:highlight w:val="none"/>
          <w:u w:val="single"/>
        </w:rPr>
        <w:t>在合同签订前均有权对我</w:t>
      </w:r>
      <w:r>
        <w:rPr>
          <w:rFonts w:hint="eastAsia" w:ascii="宋体" w:hAnsi="宋体" w:eastAsia="宋体" w:cs="宋体"/>
          <w:color w:val="auto"/>
          <w:szCs w:val="21"/>
          <w:highlight w:val="none"/>
          <w:u w:val="single"/>
          <w:lang w:val="en-US" w:eastAsia="zh-CN"/>
        </w:rPr>
        <w:t>公</w:t>
      </w:r>
      <w:r>
        <w:rPr>
          <w:rFonts w:hint="eastAsia" w:ascii="宋体" w:hAnsi="宋体" w:eastAsia="宋体" w:cs="宋体"/>
          <w:color w:val="auto"/>
          <w:szCs w:val="21"/>
          <w:highlight w:val="none"/>
          <w:u w:val="single"/>
        </w:rPr>
        <w:t>司提供的资料进行核实，若发现弄虚作假，</w:t>
      </w:r>
      <w:r>
        <w:rPr>
          <w:rFonts w:hint="eastAsia" w:ascii="宋体" w:hAnsi="宋体" w:eastAsia="宋体" w:cs="宋体"/>
          <w:color w:val="auto"/>
          <w:szCs w:val="21"/>
          <w:highlight w:val="none"/>
          <w:u w:val="single"/>
          <w:lang w:val="en-US" w:eastAsia="zh-CN"/>
        </w:rPr>
        <w:t>按相关规定</w:t>
      </w:r>
      <w:r>
        <w:rPr>
          <w:rFonts w:hint="eastAsia" w:ascii="宋体" w:hAnsi="宋体" w:eastAsia="宋体" w:cs="宋体"/>
          <w:color w:val="auto"/>
          <w:szCs w:val="21"/>
          <w:highlight w:val="none"/>
          <w:u w:val="single"/>
        </w:rPr>
        <w:t>取消</w:t>
      </w:r>
      <w:r>
        <w:rPr>
          <w:rFonts w:hint="eastAsia" w:ascii="宋体" w:hAnsi="宋体" w:eastAsia="宋体" w:cs="宋体"/>
          <w:color w:val="auto"/>
          <w:szCs w:val="21"/>
          <w:highlight w:val="none"/>
          <w:u w:val="single"/>
          <w:lang w:val="en-US" w:eastAsia="zh-CN"/>
        </w:rPr>
        <w:t>我公司</w:t>
      </w:r>
      <w:r>
        <w:rPr>
          <w:rFonts w:hint="eastAsia" w:ascii="宋体" w:hAnsi="宋体" w:eastAsia="宋体" w:cs="宋体"/>
          <w:color w:val="auto"/>
          <w:szCs w:val="21"/>
          <w:highlight w:val="none"/>
          <w:u w:val="single"/>
        </w:rPr>
        <w:t>中标资格，并按相关法律法规报招标投标监督部门，投标保证金不予退还，我</w:t>
      </w:r>
      <w:r>
        <w:rPr>
          <w:rFonts w:hint="eastAsia" w:ascii="宋体" w:hAnsi="宋体" w:eastAsia="宋体" w:cs="宋体"/>
          <w:color w:val="auto"/>
          <w:szCs w:val="21"/>
          <w:highlight w:val="none"/>
          <w:u w:val="single"/>
          <w:lang w:val="en-US" w:eastAsia="zh-CN"/>
        </w:rPr>
        <w:t>公</w:t>
      </w:r>
      <w:r>
        <w:rPr>
          <w:rFonts w:hint="eastAsia" w:ascii="宋体" w:hAnsi="宋体" w:eastAsia="宋体" w:cs="宋体"/>
          <w:color w:val="auto"/>
          <w:szCs w:val="21"/>
          <w:highlight w:val="none"/>
          <w:u w:val="single"/>
        </w:rPr>
        <w:t>司自愿承担因此造成的相关责任并赔偿相应损失</w:t>
      </w:r>
      <w:r>
        <w:rPr>
          <w:rFonts w:hint="eastAsia" w:ascii="宋体" w:hAnsi="宋体" w:eastAsia="宋体" w:cs="宋体"/>
          <w:color w:val="auto"/>
          <w:szCs w:val="21"/>
          <w:highlight w:val="none"/>
        </w:rPr>
        <w:t>。</w:t>
      </w:r>
    </w:p>
    <w:p w14:paraId="48AC4CF9">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7、我公司</w:t>
      </w:r>
      <w:r>
        <w:rPr>
          <w:rFonts w:hint="eastAsia" w:ascii="宋体" w:hAnsi="宋体" w:eastAsia="宋体" w:cs="宋体"/>
          <w:color w:val="auto"/>
          <w:szCs w:val="21"/>
          <w:highlight w:val="none"/>
        </w:rPr>
        <w:t>不存在第二章</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投标人须知第 1.4.3 项规定的任何一种情形</w:t>
      </w:r>
      <w:r>
        <w:rPr>
          <w:rFonts w:hint="eastAsia" w:ascii="宋体" w:hAnsi="宋体" w:eastAsia="宋体" w:cs="宋体"/>
          <w:color w:val="auto"/>
          <w:szCs w:val="21"/>
          <w:highlight w:val="none"/>
          <w:lang w:eastAsia="zh-CN"/>
        </w:rPr>
        <w:t>。</w:t>
      </w:r>
    </w:p>
    <w:p w14:paraId="67ECE555">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8、我公司的投标文件符合第二章 投标人须知第 1.3.1 项的规定。</w:t>
      </w:r>
    </w:p>
    <w:p w14:paraId="3AF6A3EC">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、我公司的投标文件符合第四章 合同条款及格式规定，投标文件中没有</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不能接受的条件。</w:t>
      </w:r>
    </w:p>
    <w:p w14:paraId="0AA8E0A4">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10</w:t>
      </w:r>
      <w:r>
        <w:rPr>
          <w:rFonts w:hint="eastAsia" w:ascii="宋体" w:hAnsi="宋体" w:eastAsia="宋体" w:cs="宋体"/>
          <w:color w:val="auto"/>
          <w:szCs w:val="21"/>
          <w:highlight w:val="none"/>
        </w:rPr>
        <w:t>、我公司的投标文件符合第七章 技术标准和要求（如有）。</w:t>
      </w:r>
    </w:p>
    <w:p w14:paraId="4DF1F6BF">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11、我公司接受招标文件中关于“不平衡报价”的相关约定（如有）。</w:t>
      </w:r>
    </w:p>
    <w:p w14:paraId="6195DDC8">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auto"/>
          <w:szCs w:val="21"/>
          <w:highlight w:val="none"/>
          <w:lang w:val="en-US"/>
        </w:rPr>
      </w:pPr>
      <w:r>
        <w:rPr>
          <w:rFonts w:hint="eastAsia" w:ascii="宋体" w:hAnsi="宋体" w:eastAsia="宋体" w:cs="宋体"/>
          <w:szCs w:val="21"/>
          <w:highlight w:val="none"/>
          <w:lang w:val="en-US" w:eastAsia="zh-CN"/>
        </w:rPr>
        <w:t>12、我公司接受招标文件中关于“不允许负数报价”的相关要求（如有）。</w:t>
      </w:r>
    </w:p>
    <w:p w14:paraId="15AA2DC5">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p>
    <w:p w14:paraId="246908E6">
      <w:pPr>
        <w:keepNext w:val="0"/>
        <w:keepLines w:val="0"/>
        <w:pageBreakBefore w:val="0"/>
        <w:widowControl w:val="0"/>
        <w:tabs>
          <w:tab w:val="left" w:pos="4200"/>
          <w:tab w:val="left" w:pos="4620"/>
        </w:tabs>
        <w:kinsoku/>
        <w:wordWrap/>
        <w:overflowPunct/>
        <w:topLinePunct w:val="0"/>
        <w:autoSpaceDE w:val="0"/>
        <w:autoSpaceDN w:val="0"/>
        <w:bidi w:val="0"/>
        <w:adjustRightInd w:val="0"/>
        <w:snapToGrid w:val="0"/>
        <w:spacing w:line="380" w:lineRule="exact"/>
        <w:ind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  标  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盖单位法人章</w:t>
      </w:r>
      <w:r>
        <w:rPr>
          <w:rFonts w:hint="eastAsia" w:ascii="宋体" w:hAnsi="宋体" w:eastAsia="宋体" w:cs="宋体"/>
          <w:color w:val="auto"/>
          <w:kern w:val="0"/>
          <w:szCs w:val="21"/>
          <w:highlight w:val="none"/>
        </w:rPr>
        <w:t>）</w:t>
      </w:r>
    </w:p>
    <w:p w14:paraId="227C89CE">
      <w:pPr>
        <w:keepNext w:val="0"/>
        <w:keepLines w:val="0"/>
        <w:pageBreakBefore w:val="0"/>
        <w:widowControl w:val="0"/>
        <w:tabs>
          <w:tab w:val="left" w:pos="6300"/>
        </w:tabs>
        <w:kinsoku/>
        <w:wordWrap/>
        <w:overflowPunct/>
        <w:topLinePunct w:val="0"/>
        <w:autoSpaceDE w:val="0"/>
        <w:autoSpaceDN w:val="0"/>
        <w:bidi w:val="0"/>
        <w:adjustRightInd w:val="0"/>
        <w:snapToGrid w:val="0"/>
        <w:spacing w:line="380" w:lineRule="exact"/>
        <w:ind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或盖章）</w:t>
      </w:r>
    </w:p>
    <w:p w14:paraId="1032ED57">
      <w:pPr>
        <w:keepNext w:val="0"/>
        <w:keepLines w:val="0"/>
        <w:pageBreakBefore w:val="0"/>
        <w:widowControl w:val="0"/>
        <w:kinsoku/>
        <w:wordWrap/>
        <w:overflowPunct/>
        <w:topLinePunct w:val="0"/>
        <w:bidi w:val="0"/>
        <w:snapToGrid w:val="0"/>
        <w:spacing w:line="380" w:lineRule="exact"/>
        <w:ind w:firstLine="420" w:firstLineChars="200"/>
        <w:jc w:val="right"/>
        <w:textAlignment w:val="auto"/>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14:paraId="209DA5EA">
      <w:pPr>
        <w:rPr>
          <w:rFonts w:hint="eastAsia" w:ascii="宋体" w:hAnsi="宋体" w:eastAsia="宋体" w:cs="宋体"/>
          <w:color w:val="auto"/>
          <w:highlight w:val="none"/>
        </w:rPr>
      </w:pPr>
    </w:p>
    <w:p w14:paraId="7DDA520D">
      <w:pPr>
        <w:rPr>
          <w:rFonts w:hint="eastAsia" w:ascii="宋体" w:hAnsi="宋体" w:eastAsia="宋体" w:cs="宋体"/>
          <w:color w:val="auto"/>
          <w:highlight w:val="none"/>
        </w:rPr>
      </w:pPr>
    </w:p>
    <w:p w14:paraId="520BA098">
      <w:pPr>
        <w:pStyle w:val="5"/>
        <w:spacing w:before="0" w:line="360" w:lineRule="auto"/>
        <w:jc w:val="center"/>
        <w:rPr>
          <w:rFonts w:hint="eastAsia" w:ascii="宋体" w:hAnsi="宋体" w:eastAsia="宋体" w:cs="宋体"/>
          <w:b w:val="0"/>
          <w:color w:val="auto"/>
          <w:highlight w:val="none"/>
        </w:rPr>
      </w:pPr>
      <w:bookmarkStart w:id="390" w:name="_Toc27983333"/>
      <w:r>
        <w:rPr>
          <w:rFonts w:hint="eastAsia" w:ascii="宋体" w:hAnsi="宋体" w:eastAsia="宋体" w:cs="宋体"/>
          <w:b w:val="0"/>
          <w:bCs w:val="0"/>
          <w:color w:val="auto"/>
          <w:sz w:val="21"/>
          <w:szCs w:val="24"/>
          <w:highlight w:val="none"/>
        </w:rPr>
        <w:br w:type="page"/>
      </w:r>
      <w:bookmarkStart w:id="391" w:name="_Toc4368"/>
      <w:r>
        <w:rPr>
          <w:rFonts w:hint="eastAsia" w:ascii="宋体" w:hAnsi="宋体" w:eastAsia="宋体" w:cs="宋体"/>
          <w:b w:val="0"/>
          <w:color w:val="auto"/>
          <w:highlight w:val="none"/>
        </w:rPr>
        <w:t>（</w:t>
      </w:r>
      <w:r>
        <w:rPr>
          <w:rFonts w:hint="eastAsia" w:ascii="宋体" w:hAnsi="宋体" w:cs="宋体"/>
          <w:b w:val="0"/>
          <w:color w:val="auto"/>
          <w:highlight w:val="none"/>
          <w:lang w:val="en-US" w:eastAsia="zh-CN"/>
        </w:rPr>
        <w:t>六</w:t>
      </w:r>
      <w:r>
        <w:rPr>
          <w:rFonts w:hint="eastAsia" w:ascii="宋体" w:hAnsi="宋体" w:eastAsia="宋体" w:cs="宋体"/>
          <w:b w:val="0"/>
          <w:color w:val="auto"/>
          <w:highlight w:val="none"/>
        </w:rPr>
        <w:t>）其他资料</w:t>
      </w:r>
      <w:bookmarkEnd w:id="390"/>
      <w:bookmarkEnd w:id="391"/>
    </w:p>
    <w:p w14:paraId="5D9B7404">
      <w:pPr>
        <w:pStyle w:val="2"/>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投标保证金</w:t>
      </w:r>
    </w:p>
    <w:p w14:paraId="4782D6FE">
      <w:pPr>
        <w:pStyle w:val="2"/>
        <w:ind w:firstLine="420" w:firstLineChars="200"/>
        <w:rPr>
          <w:rFonts w:hint="eastAsia" w:ascii="宋体" w:hAnsi="宋体" w:eastAsia="宋体" w:cs="宋体"/>
          <w:i/>
          <w:color w:val="auto"/>
          <w:szCs w:val="21"/>
          <w:highlight w:val="none"/>
        </w:rPr>
      </w:pPr>
      <w:r>
        <w:rPr>
          <w:rFonts w:hint="eastAsia" w:ascii="宋体" w:hAnsi="宋体" w:eastAsia="宋体" w:cs="宋体"/>
          <w:i/>
          <w:color w:val="auto"/>
          <w:szCs w:val="21"/>
          <w:highlight w:val="none"/>
        </w:rPr>
        <w:t>[以转账支票或电汇形式交纳投标保证金的提供以下资料]</w:t>
      </w:r>
    </w:p>
    <w:p w14:paraId="41269326">
      <w:pPr>
        <w:pStyle w:val="2"/>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（1）企业基本账户开户证明文件。</w:t>
      </w:r>
    </w:p>
    <w:p w14:paraId="0B71DDF2">
      <w:pPr>
        <w:spacing w:line="240" w:lineRule="auto"/>
        <w:ind w:firstLine="0" w:firstLineChars="0"/>
        <w:rPr>
          <w:rFonts w:hint="eastAsia" w:ascii="宋体" w:hAnsi="宋体" w:eastAsia="宋体" w:cs="宋体"/>
          <w:i/>
          <w:color w:val="auto"/>
          <w:szCs w:val="21"/>
          <w:highlight w:val="none"/>
        </w:rPr>
      </w:pPr>
      <w:r>
        <w:rPr>
          <w:rFonts w:hint="eastAsia" w:ascii="宋体" w:hAnsi="宋体" w:eastAsia="宋体" w:cs="宋体"/>
          <w:i/>
          <w:color w:val="auto"/>
          <w:szCs w:val="21"/>
          <w:highlight w:val="none"/>
        </w:rPr>
        <w:br w:type="page"/>
      </w:r>
    </w:p>
    <w:p w14:paraId="50E6CCFF">
      <w:pPr>
        <w:spacing w:line="360" w:lineRule="auto"/>
        <w:ind w:firstLine="360" w:firstLineChars="200"/>
        <w:rPr>
          <w:rFonts w:hint="eastAsia" w:ascii="宋体" w:hAnsi="宋体" w:eastAsia="宋体" w:cs="宋体"/>
          <w:i/>
          <w:iCs/>
          <w:sz w:val="18"/>
          <w:szCs w:val="18"/>
          <w:highlight w:val="none"/>
        </w:rPr>
      </w:pPr>
      <w:r>
        <w:rPr>
          <w:rFonts w:hint="eastAsia" w:ascii="宋体" w:hAnsi="宋体" w:eastAsia="宋体" w:cs="宋体"/>
          <w:i/>
          <w:iCs/>
          <w:sz w:val="18"/>
          <w:szCs w:val="18"/>
          <w:highlight w:val="none"/>
        </w:rPr>
        <w:t>[以纸质投标保函形式交纳投标保证金的提供以下资料]</w:t>
      </w:r>
    </w:p>
    <w:p w14:paraId="23CDE14D">
      <w:pPr>
        <w:spacing w:line="360" w:lineRule="auto"/>
        <w:ind w:firstLine="360" w:firstLineChars="200"/>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rPr>
        <w:t>（1）纸质投标保函</w:t>
      </w:r>
      <w:r>
        <w:rPr>
          <w:rFonts w:hint="eastAsia" w:ascii="宋体" w:hAnsi="宋体" w:eastAsia="宋体" w:cs="宋体"/>
          <w:sz w:val="18"/>
          <w:szCs w:val="18"/>
          <w:highlight w:val="none"/>
          <w:lang w:eastAsia="zh-CN"/>
        </w:rPr>
        <w:t>（如有）</w:t>
      </w:r>
    </w:p>
    <w:p w14:paraId="37BDB5F3">
      <w:pPr>
        <w:keepNext w:val="0"/>
        <w:keepLines w:val="0"/>
        <w:pageBreakBefore w:val="0"/>
        <w:widowControl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投标保函示范文本</w:t>
      </w:r>
    </w:p>
    <w:p w14:paraId="0D67B3F9">
      <w:pPr>
        <w:keepNext w:val="0"/>
        <w:keepLines w:val="0"/>
        <w:pageBreakBefore w:val="0"/>
        <w:widowControl w:val="0"/>
        <w:kinsoku/>
        <w:wordWrap w:val="0"/>
        <w:overflowPunct/>
        <w:topLinePunct w:val="0"/>
        <w:autoSpaceDE/>
        <w:autoSpaceDN/>
        <w:bidi w:val="0"/>
        <w:adjustRightInd/>
        <w:snapToGrid/>
        <w:spacing w:line="360" w:lineRule="auto"/>
        <w:ind w:right="0" w:rightChars="0"/>
        <w:jc w:val="righ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14:paraId="56295FF4">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申请人：</w:t>
      </w:r>
    </w:p>
    <w:p w14:paraId="03DD28D3">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28EF127D">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w:t>
      </w:r>
    </w:p>
    <w:p w14:paraId="1D7F6943">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7AD8FE58">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开立人：</w:t>
      </w:r>
    </w:p>
    <w:p w14:paraId="21C5D5B7">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32DAFA01">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宋体" w:hAnsi="宋体" w:eastAsia="宋体" w:cs="宋体"/>
          <w:color w:val="auto"/>
          <w:kern w:val="2"/>
          <w:sz w:val="21"/>
          <w:szCs w:val="21"/>
          <w:highlight w:val="none"/>
          <w:u w:val="single"/>
        </w:rPr>
      </w:pPr>
    </w:p>
    <w:p w14:paraId="42578036">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（受益人名称）</w:t>
      </w:r>
      <w:r>
        <w:rPr>
          <w:rFonts w:hint="eastAsia" w:ascii="宋体" w:hAnsi="宋体" w:eastAsia="宋体" w:cs="宋体"/>
          <w:color w:val="auto"/>
          <w:kern w:val="2"/>
          <w:sz w:val="21"/>
          <w:szCs w:val="21"/>
          <w:highlight w:val="none"/>
          <w:lang w:eastAsia="zh-CN"/>
        </w:rPr>
        <w:t>：</w:t>
      </w:r>
    </w:p>
    <w:p w14:paraId="39678791">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396" w:firstLineChars="200"/>
        <w:jc w:val="both"/>
        <w:textAlignment w:val="auto"/>
        <w:outlineLvl w:val="9"/>
        <w:rPr>
          <w:rFonts w:hint="eastAsia" w:ascii="宋体" w:hAnsi="宋体" w:eastAsia="宋体" w:cs="宋体"/>
          <w:color w:val="auto"/>
          <w:spacing w:val="-6"/>
          <w:kern w:val="0"/>
          <w:sz w:val="21"/>
          <w:szCs w:val="21"/>
          <w:highlight w:val="none"/>
          <w:lang w:val="en-US" w:eastAsia="zh-CN" w:bidi="ar-SA"/>
        </w:rPr>
      </w:pPr>
      <w:r>
        <w:rPr>
          <w:rFonts w:hint="eastAsia" w:ascii="宋体" w:hAnsi="宋体" w:eastAsia="宋体" w:cs="宋体"/>
          <w:color w:val="auto"/>
          <w:spacing w:val="-6"/>
          <w:kern w:val="0"/>
          <w:sz w:val="21"/>
          <w:szCs w:val="21"/>
          <w:highlight w:val="none"/>
          <w:lang w:val="en-US" w:eastAsia="zh-CN" w:bidi="ar-SA"/>
        </w:rPr>
        <w:t>我方（即“开立人”）已获得通知，本保函申请人（即“投标人”）已响应贵方于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月</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spacing w:val="-6"/>
          <w:kern w:val="0"/>
          <w:sz w:val="21"/>
          <w:szCs w:val="21"/>
          <w:highlight w:val="none"/>
          <w:lang w:val="en-US" w:eastAsia="zh-CN" w:bidi="ar-SA"/>
        </w:rPr>
        <w:t>就</w:t>
      </w:r>
      <w:r>
        <w:rPr>
          <w:rFonts w:hint="eastAsia" w:ascii="宋体" w:hAnsi="宋体" w:eastAsia="宋体" w:cs="宋体"/>
          <w:color w:val="auto"/>
          <w:spacing w:val="-6"/>
          <w:kern w:val="0"/>
          <w:sz w:val="21"/>
          <w:szCs w:val="21"/>
          <w:highlight w:val="none"/>
          <w:u w:val="single"/>
          <w:lang w:val="en-US" w:eastAsia="zh-CN" w:bidi="ar-SA"/>
        </w:rPr>
        <w:t xml:space="preserve">                   </w:t>
      </w:r>
      <w:r>
        <w:rPr>
          <w:rFonts w:hint="eastAsia" w:ascii="宋体" w:hAnsi="宋体" w:eastAsia="宋体" w:cs="宋体"/>
          <w:color w:val="auto"/>
          <w:spacing w:val="-6"/>
          <w:kern w:val="0"/>
          <w:sz w:val="21"/>
          <w:szCs w:val="21"/>
          <w:highlight w:val="none"/>
          <w:lang w:val="en-US" w:eastAsia="zh-CN" w:bidi="ar-SA"/>
        </w:rPr>
        <w:t>（以下简称“本工程”）发出的招标文件以及后续发布的答疑补遗文件，并拟向招标人（即“受益人”）提交投标文件（即“基础交易”）。</w:t>
      </w:r>
    </w:p>
    <w:p w14:paraId="412ABDB2">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一、我方理解根据招标条件，投标人必须提交一份投标保函（以下简称“本保函”），以担保投标人诚信履行其在上述基础交易中承担的投标人义务。鉴此，应申请人要求，我方在此同意向贵方出具此投标保函，本保函担保金额为人民币（大写）</w:t>
      </w: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元（¥</w:t>
      </w: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w:t>
      </w:r>
    </w:p>
    <w:p w14:paraId="2E71CC60">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二、我方在投标人发生以下情形时承担保证担保责任：</w:t>
      </w:r>
    </w:p>
    <w:p w14:paraId="5A0D39BF">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left="0" w:leftChars="0"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（1）投标人在开标后至投标有效期满之前撤销投标的； </w:t>
      </w:r>
    </w:p>
    <w:p w14:paraId="5B7F4437">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（2）投标人在收到中标通知后，不能或拒绝在中标通知书规定的时间内与贵方签订合同； </w:t>
      </w:r>
    </w:p>
    <w:p w14:paraId="61A77888">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（3）投标人在与贵方签订合同前，未在规定的时间内提交符合招标文件要求的履约担保；</w:t>
      </w:r>
    </w:p>
    <w:p w14:paraId="4FDE46DF">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（4）投标人违反招标文件规定的其他情形。</w:t>
      </w:r>
    </w:p>
    <w:p w14:paraId="71E9B1AE">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三、本保函为不可撤销、不可转让的见索即付保函。本保函有效期自开立之日起至投标有效期届满之日后的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止（提示：建议</w:t>
      </w:r>
      <w:r>
        <w:rPr>
          <w:rFonts w:hint="eastAsia" w:ascii="宋体" w:hAnsi="宋体" w:eastAsia="宋体" w:cs="宋体"/>
          <w:color w:val="auto"/>
          <w:kern w:val="2"/>
          <w:sz w:val="21"/>
          <w:szCs w:val="21"/>
          <w:highlight w:val="none"/>
          <w:lang w:val="en-US" w:eastAsia="zh-CN"/>
        </w:rPr>
        <w:t>30日</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。投标有效期延长的，本保函有效期相应顺延，最迟不超过</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月</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（提示：建议按保函有效期不超过</w:t>
      </w:r>
      <w:r>
        <w:rPr>
          <w:rFonts w:hint="eastAsia" w:ascii="宋体" w:hAnsi="宋体" w:eastAsia="宋体" w:cs="宋体"/>
          <w:color w:val="auto"/>
          <w:kern w:val="2"/>
          <w:sz w:val="21"/>
          <w:szCs w:val="21"/>
          <w:highlight w:val="none"/>
          <w:lang w:val="en-US" w:eastAsia="zh-CN"/>
        </w:rPr>
        <w:t>270日考虑</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w:t>
      </w:r>
    </w:p>
    <w:p w14:paraId="7C743AEA">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四、</w:t>
      </w:r>
      <w:r>
        <w:rPr>
          <w:rFonts w:hint="eastAsia" w:ascii="宋体" w:hAnsi="宋体" w:eastAsia="宋体" w:cs="宋体"/>
          <w:color w:val="auto"/>
          <w:kern w:val="2"/>
          <w:sz w:val="21"/>
          <w:szCs w:val="21"/>
          <w:highlight w:val="none"/>
        </w:rPr>
        <w:t>我方承诺，在收到受益人发来的书面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个工作</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（提示：建议</w:t>
      </w:r>
      <w:r>
        <w:rPr>
          <w:rFonts w:hint="eastAsia" w:ascii="宋体" w:hAnsi="宋体" w:eastAsia="宋体" w:cs="宋体"/>
          <w:color w:val="auto"/>
          <w:kern w:val="2"/>
          <w:sz w:val="21"/>
          <w:szCs w:val="21"/>
          <w:highlight w:val="none"/>
          <w:lang w:val="en-US" w:eastAsia="zh-CN"/>
        </w:rPr>
        <w:t>10—15个工作日</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内无条件支付，前述书面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通知即为付款要求之单据，且应满足以下要求：</w:t>
      </w:r>
    </w:p>
    <w:p w14:paraId="128B9647">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通知到达的日期在本保函的有效期内；</w:t>
      </w:r>
    </w:p>
    <w:p w14:paraId="5CC712D1">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（2）载明要求支付的金额；</w:t>
      </w:r>
    </w:p>
    <w:p w14:paraId="62E1F7F9">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（3）载明申请人违反招投标文件规定的义务内容和具体条款；</w:t>
      </w:r>
    </w:p>
    <w:p w14:paraId="66D46053">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（4）声明不存在招标文件规定免除申请人或我方支付责任的情形；</w:t>
      </w:r>
    </w:p>
    <w:p w14:paraId="48211BA1">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spacing w:val="0"/>
          <w:kern w:val="2"/>
          <w:sz w:val="21"/>
          <w:szCs w:val="21"/>
          <w:highlight w:val="none"/>
          <w:lang w:eastAsia="zh-CN"/>
        </w:rPr>
        <w:t>（</w:t>
      </w:r>
      <w:r>
        <w:rPr>
          <w:rFonts w:hint="eastAsia" w:ascii="宋体" w:hAnsi="宋体" w:eastAsia="宋体" w:cs="宋体"/>
          <w:color w:val="auto"/>
          <w:spacing w:val="0"/>
          <w:kern w:val="2"/>
          <w:sz w:val="21"/>
          <w:szCs w:val="21"/>
          <w:highlight w:val="none"/>
          <w:lang w:val="en-US" w:eastAsia="zh-CN"/>
        </w:rPr>
        <w:t>5</w:t>
      </w:r>
      <w:r>
        <w:rPr>
          <w:rFonts w:hint="eastAsia" w:ascii="宋体" w:hAnsi="宋体" w:eastAsia="宋体" w:cs="宋体"/>
          <w:color w:val="auto"/>
          <w:spacing w:val="0"/>
          <w:kern w:val="2"/>
          <w:sz w:val="21"/>
          <w:szCs w:val="21"/>
          <w:highlight w:val="none"/>
          <w:lang w:eastAsia="zh-CN"/>
        </w:rPr>
        <w:t>）索赔</w:t>
      </w:r>
      <w:r>
        <w:rPr>
          <w:rFonts w:hint="eastAsia" w:ascii="宋体" w:hAnsi="宋体" w:eastAsia="宋体" w:cs="宋体"/>
          <w:color w:val="auto"/>
          <w:spacing w:val="0"/>
          <w:kern w:val="2"/>
          <w:sz w:val="21"/>
          <w:szCs w:val="21"/>
          <w:highlight w:val="none"/>
        </w:rPr>
        <w:t>通知应在本保函有效期内到达的地址是：</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w:t>
      </w:r>
    </w:p>
    <w:p w14:paraId="39C68FCF">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受益人发出的书面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通知应由其为鉴明受益人法定代表人或授权代理人签</w:t>
      </w:r>
      <w:r>
        <w:rPr>
          <w:rFonts w:hint="eastAsia" w:ascii="宋体" w:hAnsi="宋体" w:eastAsia="宋体" w:cs="宋体"/>
          <w:color w:val="auto"/>
          <w:kern w:val="2"/>
          <w:sz w:val="21"/>
          <w:szCs w:val="21"/>
          <w:highlight w:val="none"/>
          <w:lang w:eastAsia="zh-CN"/>
        </w:rPr>
        <w:t>名</w:t>
      </w:r>
      <w:r>
        <w:rPr>
          <w:rFonts w:hint="eastAsia" w:ascii="宋体" w:hAnsi="宋体" w:eastAsia="宋体" w:cs="宋体"/>
          <w:color w:val="auto"/>
          <w:kern w:val="2"/>
          <w:sz w:val="21"/>
          <w:szCs w:val="21"/>
          <w:highlight w:val="none"/>
        </w:rPr>
        <w:t>并加盖公章。</w:t>
      </w:r>
    </w:p>
    <w:p w14:paraId="546F8CBA">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五、本保函项下的权利不得转让，不得设定担保。</w:t>
      </w:r>
      <w:r>
        <w:rPr>
          <w:rFonts w:hint="eastAsia" w:ascii="宋体" w:hAnsi="宋体" w:eastAsia="宋体" w:cs="宋体"/>
          <w:color w:val="auto"/>
          <w:kern w:val="2"/>
          <w:sz w:val="21"/>
          <w:szCs w:val="21"/>
          <w:highlight w:val="none"/>
          <w:lang w:eastAsia="zh-CN"/>
        </w:rPr>
        <w:t>贵方</w:t>
      </w:r>
      <w:r>
        <w:rPr>
          <w:rFonts w:hint="eastAsia" w:ascii="宋体" w:hAnsi="宋体" w:eastAsia="宋体" w:cs="宋体"/>
          <w:color w:val="auto"/>
          <w:kern w:val="2"/>
          <w:sz w:val="21"/>
          <w:szCs w:val="21"/>
          <w:highlight w:val="none"/>
        </w:rPr>
        <w:t>未经我方书面同意转让本保函或其项下任何权利，对我方不发生法律效力。</w:t>
      </w:r>
    </w:p>
    <w:p w14:paraId="6AAE5B89">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六、本保函项下的基础交易不成立、不生效、无效、被撤销、被解除，不影响本保函的独立有效。 </w:t>
      </w:r>
    </w:p>
    <w:p w14:paraId="4BF06B02">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七、受益人应在本保函到期后的</w:t>
      </w:r>
      <w:r>
        <w:rPr>
          <w:rFonts w:hint="eastAsia" w:ascii="宋体" w:hAnsi="宋体" w:eastAsia="宋体" w:cs="宋体"/>
          <w:color w:val="auto"/>
          <w:kern w:val="2"/>
          <w:sz w:val="21"/>
          <w:szCs w:val="21"/>
          <w:highlight w:val="none"/>
          <w:lang w:val="en-US" w:eastAsia="zh-CN"/>
        </w:rPr>
        <w:t>七</w:t>
      </w:r>
      <w:r>
        <w:rPr>
          <w:rFonts w:hint="eastAsia" w:ascii="宋体" w:hAnsi="宋体" w:eastAsia="宋体" w:cs="宋体"/>
          <w:color w:val="auto"/>
          <w:kern w:val="2"/>
          <w:sz w:val="21"/>
          <w:szCs w:val="21"/>
          <w:highlight w:val="none"/>
          <w:lang w:eastAsia="zh-CN"/>
        </w:rPr>
        <w:t>个工作</w:t>
      </w:r>
      <w:r>
        <w:rPr>
          <w:rFonts w:hint="eastAsia" w:ascii="宋体" w:hAnsi="宋体" w:eastAsia="宋体" w:cs="宋体"/>
          <w:color w:val="auto"/>
          <w:kern w:val="2"/>
          <w:sz w:val="21"/>
          <w:szCs w:val="21"/>
          <w:highlight w:val="none"/>
        </w:rPr>
        <w:t>日内将本保函正本退回我方注销，但是不论受益人是否按此要求将本保函正本退回我方，我方在本保函项下的义务和责任均在保函有效期到期后自动消灭。</w:t>
      </w:r>
    </w:p>
    <w:p w14:paraId="70898E94">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rPr>
        <w:t>八、</w:t>
      </w:r>
      <w:r>
        <w:rPr>
          <w:rFonts w:hint="eastAsia" w:ascii="宋体" w:hAnsi="宋体" w:eastAsia="宋体" w:cs="宋体"/>
          <w:color w:val="auto"/>
          <w:kern w:val="2"/>
          <w:sz w:val="21"/>
          <w:szCs w:val="21"/>
          <w:highlight w:val="none"/>
          <w:lang w:eastAsia="zh-CN"/>
        </w:rPr>
        <w:t>本保函的开具是我方真实意思表示，符合法律法规规定，我方同意遵守本保函约定并无条件承担担保责任。本保函与其他规定或条款不一致时，以本保函约定为准。</w:t>
      </w:r>
    </w:p>
    <w:p w14:paraId="7345515F">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九、</w:t>
      </w:r>
      <w:r>
        <w:rPr>
          <w:rFonts w:hint="eastAsia" w:ascii="宋体" w:hAnsi="宋体" w:eastAsia="宋体" w:cs="宋体"/>
          <w:color w:val="auto"/>
          <w:kern w:val="2"/>
          <w:sz w:val="21"/>
          <w:szCs w:val="21"/>
          <w:highlight w:val="none"/>
        </w:rPr>
        <w:t>本保函适用的法律为中华人民共和国法律，争议裁判管辖地为中华人民共和国</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4FCB6369">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十</w:t>
      </w:r>
      <w:r>
        <w:rPr>
          <w:rFonts w:hint="eastAsia" w:ascii="宋体" w:hAnsi="宋体" w:eastAsia="宋体" w:cs="宋体"/>
          <w:color w:val="auto"/>
          <w:kern w:val="2"/>
          <w:sz w:val="21"/>
          <w:szCs w:val="21"/>
          <w:highlight w:val="none"/>
        </w:rPr>
        <w:t>、本保函自我方法定代表人或授权代表</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并加盖公章之日起生效。</w:t>
      </w:r>
    </w:p>
    <w:p w14:paraId="2AB81569">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none"/>
        </w:rPr>
      </w:pPr>
      <w:r>
        <w:rPr>
          <w:rFonts w:hint="eastAsia" w:ascii="宋体" w:hAnsi="宋体" w:eastAsia="宋体" w:cs="宋体"/>
          <w:color w:val="auto"/>
          <w:kern w:val="2"/>
          <w:sz w:val="21"/>
          <w:szCs w:val="21"/>
          <w:highlight w:val="none"/>
          <w:lang w:eastAsia="zh-CN"/>
        </w:rPr>
        <w:t>十一、本保函在重庆市辖区范围内的核验地点：</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；核验方式：</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none"/>
          <w:lang w:val="en-US" w:eastAsia="zh-CN"/>
        </w:rPr>
        <w:t>。</w:t>
      </w:r>
    </w:p>
    <w:p w14:paraId="7249B828">
      <w:pPr>
        <w:keepNext w:val="0"/>
        <w:keepLines w:val="0"/>
        <w:pageBreakBefore w:val="0"/>
        <w:widowControl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p>
    <w:p w14:paraId="27006EB8">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开 立 人：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（公章）</w:t>
      </w:r>
    </w:p>
    <w:p w14:paraId="58048365">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法定代表人（或授权</w:t>
      </w:r>
      <w:r>
        <w:rPr>
          <w:rFonts w:hint="eastAsia" w:ascii="宋体" w:hAnsi="宋体" w:eastAsia="宋体" w:cs="宋体"/>
          <w:color w:val="auto"/>
          <w:kern w:val="2"/>
          <w:sz w:val="21"/>
          <w:szCs w:val="21"/>
          <w:highlight w:val="none"/>
          <w:lang w:eastAsia="zh-CN"/>
        </w:rPr>
        <w:t>代表</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w:t>
      </w:r>
    </w:p>
    <w:p w14:paraId="31B0E144">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    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14:paraId="4261A09A">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邮政编码：</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14:paraId="66BE42E4">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电    话：</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14:paraId="73F89E05">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传    真：</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14:paraId="335B496C">
      <w:pPr>
        <w:pStyle w:val="2"/>
        <w:ind w:firstLine="420" w:firstLineChars="200"/>
        <w:rPr>
          <w:rFonts w:hint="eastAsia" w:ascii="宋体" w:hAnsi="宋体" w:eastAsia="宋体" w:cs="宋体"/>
          <w:szCs w:val="21"/>
          <w:highlight w:val="none"/>
          <w:lang w:eastAsia="zh-CN"/>
        </w:rPr>
      </w:pPr>
      <w:r>
        <w:rPr>
          <w:rFonts w:hint="eastAsia" w:ascii="宋体" w:hAnsi="宋体" w:eastAsia="宋体" w:cs="宋体"/>
          <w:color w:val="auto"/>
          <w:kern w:val="2"/>
          <w:sz w:val="21"/>
          <w:szCs w:val="21"/>
          <w:highlight w:val="none"/>
        </w:rPr>
        <w:t xml:space="preserve">开立时间：    年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 xml:space="preserve">  月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 xml:space="preserve"> </w:t>
      </w:r>
      <w:r>
        <w:rPr>
          <w:rFonts w:hint="eastAsia" w:ascii="宋体" w:hAnsi="宋体" w:eastAsia="宋体" w:cs="宋体"/>
          <w:color w:val="auto"/>
          <w:kern w:val="2"/>
          <w:sz w:val="21"/>
          <w:szCs w:val="21"/>
          <w:highlight w:val="none"/>
          <w:lang w:eastAsia="zh-CN"/>
        </w:rPr>
        <w:t>日</w:t>
      </w:r>
    </w:p>
    <w:p w14:paraId="49EFC1F8">
      <w:pPr>
        <w:spacing w:line="240" w:lineRule="auto"/>
        <w:ind w:firstLine="0" w:firstLineChars="0"/>
        <w:rPr>
          <w:rFonts w:hint="eastAsia" w:ascii="宋体" w:hAnsi="宋体" w:eastAsia="宋体" w:cs="宋体"/>
          <w:i/>
          <w:color w:val="auto"/>
          <w:szCs w:val="21"/>
          <w:highlight w:val="none"/>
        </w:rPr>
      </w:pPr>
      <w:r>
        <w:rPr>
          <w:rFonts w:hint="eastAsia" w:ascii="宋体" w:hAnsi="宋体" w:eastAsia="宋体" w:cs="宋体"/>
          <w:i/>
          <w:color w:val="auto"/>
          <w:szCs w:val="21"/>
          <w:highlight w:val="none"/>
        </w:rPr>
        <w:br w:type="page"/>
      </w:r>
    </w:p>
    <w:p w14:paraId="15AD6EB8">
      <w:pPr>
        <w:spacing w:line="360" w:lineRule="auto"/>
        <w:ind w:firstLine="360" w:firstLineChars="200"/>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2.</w:t>
      </w:r>
    </w:p>
    <w:p w14:paraId="16CE2847">
      <w:pPr>
        <w:spacing w:line="360" w:lineRule="auto"/>
        <w:ind w:firstLine="360" w:firstLineChars="200"/>
        <w:rPr>
          <w:rFonts w:hint="eastAsia" w:ascii="宋体" w:hAnsi="宋体" w:eastAsia="宋体" w:cs="宋体"/>
          <w:sz w:val="18"/>
          <w:szCs w:val="18"/>
          <w:highlight w:val="none"/>
        </w:rPr>
      </w:pPr>
      <w:r>
        <w:rPr>
          <w:rFonts w:hint="eastAsia" w:ascii="宋体" w:hAnsi="宋体" w:eastAsia="宋体" w:cs="宋体"/>
          <w:sz w:val="18"/>
          <w:szCs w:val="18"/>
          <w:highlight w:val="none"/>
        </w:rPr>
        <w:t>……</w:t>
      </w:r>
    </w:p>
    <w:p w14:paraId="189D7F99">
      <w:pPr>
        <w:spacing w:line="360" w:lineRule="auto"/>
        <w:ind w:firstLine="420" w:firstLineChars="200"/>
        <w:rPr>
          <w:rFonts w:hint="eastAsia" w:ascii="宋体" w:hAnsi="宋体" w:eastAsia="宋体" w:cs="宋体"/>
          <w:color w:val="auto"/>
          <w:szCs w:val="21"/>
          <w:highlight w:val="none"/>
        </w:rPr>
      </w:pPr>
    </w:p>
    <w:sectPr>
      <w:footerReference r:id="rId8" w:type="first"/>
      <w:footerReference r:id="rId7" w:type="default"/>
      <w:pgSz w:w="11906" w:h="16838"/>
      <w:pgMar w:top="1304" w:right="1134" w:bottom="1304" w:left="130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00004FF" w:usb2="00000000" w:usb3="00000000" w:csb0="2000019F" w:csb1="00000000"/>
  </w:font>
  <w:font w:name="等线 Light">
    <w:panose1 w:val="02010600030101010101"/>
    <w:charset w:val="86"/>
    <w:family w:val="roman"/>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2E2EEB">
    <w:pPr>
      <w:pStyle w:val="2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357595">
    <w:pPr>
      <w:pStyle w:val="2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3198EDD">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wrap="none" lIns="0" tIns="0" rIns="0" bIns="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d299MkBAACaAwAADgAAAGRycy9lMm9Eb2MueG1srVPNjtMwEL4j8Q6W&#10;79Rpk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m+&#10;zvr0AWpMewiYmIY7P+TcyQ/ozLQHFW3+IiGCcVT3fFVXDomI/Gi9Wq8rDAmMzRfEYY/PQ4T0VnpL&#10;stHQiOMrqvLTe0hj6pySqzl/r41BP6+N+8uBmNnDcu9jj9lKw36YGt/79ox8epx8Qx0uOiXmnUNh&#10;85LMRpyN/WwcQ9SHrmxRrgfh9piwidJbrjDCToVxZIXdtF55J/68l6zHX2r7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p3b30yQEAAJoDAAAOAAAAAAAAAAEAIAAAAB4BAABkcnMvZTJvRG9j&#10;LnhtbFBLBQYAAAAABgAGAFkBAABZBQAAAAA=&#10;">
              <v:fill on="f" focussize="0,0"/>
              <v:stroke on="f"/>
              <v:imagedata o:title=""/>
              <o:lock v:ext="edit" aspectratio="f"/>
              <v:textbox inset="0mm,0mm,0mm,0mm" style="mso-fit-shape-to-text:t;">
                <w:txbxContent>
                  <w:p w14:paraId="73198EDD">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20D796">
    <w:pPr>
      <w:pStyle w:val="2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6EE6BBF">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236</w:t>
                          </w:r>
                          <w:r>
                            <w:rPr>
                              <w:rFonts w:hint="eastAsia"/>
                              <w:sz w:val="18"/>
                            </w:rPr>
                            <w:fldChar w:fldCharType="end"/>
                          </w:r>
                        </w:p>
                      </w:txbxContent>
                    </wps:txbx>
                    <wps:bodyPr wrap="none" lIns="0" tIns="0" rIns="0" bIns="0" upright="0">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GvOMMkBAACaAwAADgAAAGRycy9lMm9Eb2MueG1srVPNjtMwEL4j8Q6W&#10;79Rph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IoSxy0O/PL92+XHr8vPr2T5&#10;OuvTB6gx7SFgYhru/IBbM/sBnZn2oKLNXyREMI7qnq/qyiERkR+tV+t1hSGBsfmC+OzxeYiQ3kpv&#10;STYaGnF8RVV+eg9pTJ1TcjXn77UxZYTG/eVAzOxhufexx2ylYT9MhPa+PSOfHiffUIeLTol551DY&#10;vCSzEWdjPxvHEPWhK1uU60G4PSZsovSWK4ywU2EcWWE3rVfeiT/vJevxl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BUa84wyQEAAJoDAAAOAAAAAAAAAAEAIAAAAB4BAABkcnMvZTJvRG9j&#10;LnhtbFBLBQYAAAAABgAGAFkBAABZBQAAAAA=&#10;">
              <v:fill on="f" focussize="0,0"/>
              <v:stroke on="f"/>
              <v:imagedata o:title=""/>
              <o:lock v:ext="edit" aspectratio="f"/>
              <v:textbox inset="0mm,0mm,0mm,0mm" style="mso-fit-shape-to-text:t;">
                <w:txbxContent>
                  <w:p w14:paraId="46EE6BBF">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236</w:t>
                    </w:r>
                    <w:r>
                      <w:rPr>
                        <w:rFonts w:hint="eastAsia"/>
                        <w:sz w:val="1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573F45">
    <w:pPr>
      <w:pStyle w:val="22"/>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76FBB4E">
                          <w:pPr>
                            <w:pStyle w:val="22"/>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50</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576FBB4E">
                    <w:pPr>
                      <w:pStyle w:val="22"/>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50</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DFEED0">
    <w:pPr>
      <w:jc w:val="center"/>
      <w:rPr>
        <w:rFonts w:hint="eastAsia"/>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A67822E">
                          <w:pPr>
                            <w:pStyle w:val="2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50</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14:paraId="1A67822E">
                    <w:pPr>
                      <w:pStyle w:val="2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50</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E08706">
    <w:pPr>
      <w:pStyle w:val="2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0"/>
  <w:bordersDoNotSurroundFooter w:val="0"/>
  <w:trackRevisions w:val="1"/>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0YzI4NGJiMjg2ZWZlN2MzZDcyYzg5ZDEwYzBhZDAifQ=="/>
  </w:docVars>
  <w:rsids>
    <w:rsidRoot w:val="00172A27"/>
    <w:rsid w:val="00004E30"/>
    <w:rsid w:val="00011781"/>
    <w:rsid w:val="00016728"/>
    <w:rsid w:val="00020313"/>
    <w:rsid w:val="00026DD6"/>
    <w:rsid w:val="00032EA9"/>
    <w:rsid w:val="00033AFE"/>
    <w:rsid w:val="0004017D"/>
    <w:rsid w:val="000469AC"/>
    <w:rsid w:val="00050829"/>
    <w:rsid w:val="00050ABE"/>
    <w:rsid w:val="0005107E"/>
    <w:rsid w:val="00051AE9"/>
    <w:rsid w:val="00052D54"/>
    <w:rsid w:val="00055276"/>
    <w:rsid w:val="00056A3E"/>
    <w:rsid w:val="000627BA"/>
    <w:rsid w:val="000630BA"/>
    <w:rsid w:val="00084AE9"/>
    <w:rsid w:val="00090CB1"/>
    <w:rsid w:val="0009119A"/>
    <w:rsid w:val="0009147B"/>
    <w:rsid w:val="00093A3C"/>
    <w:rsid w:val="00093E5E"/>
    <w:rsid w:val="00093FC0"/>
    <w:rsid w:val="000A25F6"/>
    <w:rsid w:val="000A6654"/>
    <w:rsid w:val="000A6B23"/>
    <w:rsid w:val="000B351A"/>
    <w:rsid w:val="000B7F54"/>
    <w:rsid w:val="000C04B5"/>
    <w:rsid w:val="000C3532"/>
    <w:rsid w:val="000C3584"/>
    <w:rsid w:val="000C419B"/>
    <w:rsid w:val="000C5D3B"/>
    <w:rsid w:val="000C6B74"/>
    <w:rsid w:val="000C72E6"/>
    <w:rsid w:val="000D04CE"/>
    <w:rsid w:val="000D0569"/>
    <w:rsid w:val="000D0B07"/>
    <w:rsid w:val="000D156D"/>
    <w:rsid w:val="000D1931"/>
    <w:rsid w:val="000D1CE2"/>
    <w:rsid w:val="000D572A"/>
    <w:rsid w:val="000D5770"/>
    <w:rsid w:val="000D598C"/>
    <w:rsid w:val="000D706D"/>
    <w:rsid w:val="000E2501"/>
    <w:rsid w:val="000E39FF"/>
    <w:rsid w:val="000E4805"/>
    <w:rsid w:val="000F16ED"/>
    <w:rsid w:val="000F29C7"/>
    <w:rsid w:val="000F6B02"/>
    <w:rsid w:val="000F6C40"/>
    <w:rsid w:val="0010468B"/>
    <w:rsid w:val="00110D79"/>
    <w:rsid w:val="001117DC"/>
    <w:rsid w:val="0011427F"/>
    <w:rsid w:val="001157DE"/>
    <w:rsid w:val="0011642D"/>
    <w:rsid w:val="00122604"/>
    <w:rsid w:val="00123244"/>
    <w:rsid w:val="00130B3B"/>
    <w:rsid w:val="00131232"/>
    <w:rsid w:val="001331FD"/>
    <w:rsid w:val="001337FB"/>
    <w:rsid w:val="00136206"/>
    <w:rsid w:val="001400A7"/>
    <w:rsid w:val="001416F0"/>
    <w:rsid w:val="00141E5B"/>
    <w:rsid w:val="00142D41"/>
    <w:rsid w:val="00143B5A"/>
    <w:rsid w:val="00154B46"/>
    <w:rsid w:val="00154B92"/>
    <w:rsid w:val="00155818"/>
    <w:rsid w:val="00157515"/>
    <w:rsid w:val="00160B3A"/>
    <w:rsid w:val="001620CF"/>
    <w:rsid w:val="00170350"/>
    <w:rsid w:val="00170EC1"/>
    <w:rsid w:val="00171011"/>
    <w:rsid w:val="00172FC8"/>
    <w:rsid w:val="0017458B"/>
    <w:rsid w:val="00175AC9"/>
    <w:rsid w:val="00175FFB"/>
    <w:rsid w:val="001763E8"/>
    <w:rsid w:val="001765B2"/>
    <w:rsid w:val="00181E55"/>
    <w:rsid w:val="001917A6"/>
    <w:rsid w:val="0019297B"/>
    <w:rsid w:val="00194AF8"/>
    <w:rsid w:val="0019575F"/>
    <w:rsid w:val="001A0EFE"/>
    <w:rsid w:val="001A2A9D"/>
    <w:rsid w:val="001A35DE"/>
    <w:rsid w:val="001A51BE"/>
    <w:rsid w:val="001B0B34"/>
    <w:rsid w:val="001C047F"/>
    <w:rsid w:val="001C0CCE"/>
    <w:rsid w:val="001C1521"/>
    <w:rsid w:val="001C1EA3"/>
    <w:rsid w:val="001C40F9"/>
    <w:rsid w:val="001C6AAC"/>
    <w:rsid w:val="001D16FB"/>
    <w:rsid w:val="001D2643"/>
    <w:rsid w:val="001D266A"/>
    <w:rsid w:val="001D2E77"/>
    <w:rsid w:val="001D31B2"/>
    <w:rsid w:val="001D356C"/>
    <w:rsid w:val="001D3800"/>
    <w:rsid w:val="001D3B25"/>
    <w:rsid w:val="001D6C85"/>
    <w:rsid w:val="001E2BFB"/>
    <w:rsid w:val="001E3A04"/>
    <w:rsid w:val="001E44BF"/>
    <w:rsid w:val="001F07B1"/>
    <w:rsid w:val="001F1EB1"/>
    <w:rsid w:val="001F2DE0"/>
    <w:rsid w:val="001F57BD"/>
    <w:rsid w:val="001F5BBB"/>
    <w:rsid w:val="00206472"/>
    <w:rsid w:val="00206AED"/>
    <w:rsid w:val="0021264E"/>
    <w:rsid w:val="00214719"/>
    <w:rsid w:val="0021787D"/>
    <w:rsid w:val="00220911"/>
    <w:rsid w:val="0022336A"/>
    <w:rsid w:val="0022570F"/>
    <w:rsid w:val="002277A7"/>
    <w:rsid w:val="00227F52"/>
    <w:rsid w:val="00231AD5"/>
    <w:rsid w:val="00231DD9"/>
    <w:rsid w:val="00235B2B"/>
    <w:rsid w:val="00242561"/>
    <w:rsid w:val="00243645"/>
    <w:rsid w:val="002437E4"/>
    <w:rsid w:val="00247E2F"/>
    <w:rsid w:val="00255021"/>
    <w:rsid w:val="002554B3"/>
    <w:rsid w:val="00257B7B"/>
    <w:rsid w:val="0026052D"/>
    <w:rsid w:val="002645FD"/>
    <w:rsid w:val="00270FB7"/>
    <w:rsid w:val="0027107C"/>
    <w:rsid w:val="00271883"/>
    <w:rsid w:val="00272CA8"/>
    <w:rsid w:val="002752A3"/>
    <w:rsid w:val="00280578"/>
    <w:rsid w:val="00281AE5"/>
    <w:rsid w:val="0028756C"/>
    <w:rsid w:val="00287844"/>
    <w:rsid w:val="002A497B"/>
    <w:rsid w:val="002A4A5F"/>
    <w:rsid w:val="002A5B7A"/>
    <w:rsid w:val="002B4786"/>
    <w:rsid w:val="002B6D5B"/>
    <w:rsid w:val="002B741E"/>
    <w:rsid w:val="002B74C3"/>
    <w:rsid w:val="002B7D73"/>
    <w:rsid w:val="002C0775"/>
    <w:rsid w:val="002D23CC"/>
    <w:rsid w:val="002D7EEA"/>
    <w:rsid w:val="002E0532"/>
    <w:rsid w:val="002E0A27"/>
    <w:rsid w:val="002E153F"/>
    <w:rsid w:val="002E2625"/>
    <w:rsid w:val="002E32C6"/>
    <w:rsid w:val="002F59A8"/>
    <w:rsid w:val="00302D15"/>
    <w:rsid w:val="00303BFC"/>
    <w:rsid w:val="00307376"/>
    <w:rsid w:val="0031271A"/>
    <w:rsid w:val="00313D18"/>
    <w:rsid w:val="00314B37"/>
    <w:rsid w:val="00315502"/>
    <w:rsid w:val="00323F0D"/>
    <w:rsid w:val="00324FE8"/>
    <w:rsid w:val="00326B68"/>
    <w:rsid w:val="00331C30"/>
    <w:rsid w:val="003321B7"/>
    <w:rsid w:val="003325EA"/>
    <w:rsid w:val="0033373E"/>
    <w:rsid w:val="0033429C"/>
    <w:rsid w:val="00343092"/>
    <w:rsid w:val="00350343"/>
    <w:rsid w:val="003557EB"/>
    <w:rsid w:val="00356952"/>
    <w:rsid w:val="00356B8F"/>
    <w:rsid w:val="00360052"/>
    <w:rsid w:val="00360ABA"/>
    <w:rsid w:val="003738A5"/>
    <w:rsid w:val="00381EB0"/>
    <w:rsid w:val="00387A16"/>
    <w:rsid w:val="00387D09"/>
    <w:rsid w:val="0039252B"/>
    <w:rsid w:val="00392FE1"/>
    <w:rsid w:val="0039557B"/>
    <w:rsid w:val="003A0052"/>
    <w:rsid w:val="003A3E7E"/>
    <w:rsid w:val="003A6CC2"/>
    <w:rsid w:val="003B7AC9"/>
    <w:rsid w:val="003C4E87"/>
    <w:rsid w:val="003D1C4A"/>
    <w:rsid w:val="003D2052"/>
    <w:rsid w:val="003D3400"/>
    <w:rsid w:val="003D471C"/>
    <w:rsid w:val="003D78D6"/>
    <w:rsid w:val="003E24AF"/>
    <w:rsid w:val="003E3418"/>
    <w:rsid w:val="003E35A0"/>
    <w:rsid w:val="003F2258"/>
    <w:rsid w:val="003F7811"/>
    <w:rsid w:val="00400C51"/>
    <w:rsid w:val="00402995"/>
    <w:rsid w:val="00403267"/>
    <w:rsid w:val="004038A9"/>
    <w:rsid w:val="00403C7B"/>
    <w:rsid w:val="00404997"/>
    <w:rsid w:val="004054E2"/>
    <w:rsid w:val="00411627"/>
    <w:rsid w:val="00412CFF"/>
    <w:rsid w:val="00423B51"/>
    <w:rsid w:val="004265F1"/>
    <w:rsid w:val="00427C6E"/>
    <w:rsid w:val="00430592"/>
    <w:rsid w:val="00430B33"/>
    <w:rsid w:val="00430D12"/>
    <w:rsid w:val="00437D1B"/>
    <w:rsid w:val="004639BE"/>
    <w:rsid w:val="004649E8"/>
    <w:rsid w:val="00464F66"/>
    <w:rsid w:val="0046512B"/>
    <w:rsid w:val="00466253"/>
    <w:rsid w:val="004678A0"/>
    <w:rsid w:val="00470214"/>
    <w:rsid w:val="004709CA"/>
    <w:rsid w:val="00486C9D"/>
    <w:rsid w:val="004912D7"/>
    <w:rsid w:val="00492D77"/>
    <w:rsid w:val="00492F62"/>
    <w:rsid w:val="00496797"/>
    <w:rsid w:val="004975FD"/>
    <w:rsid w:val="004A165A"/>
    <w:rsid w:val="004A6D98"/>
    <w:rsid w:val="004A750E"/>
    <w:rsid w:val="004B170B"/>
    <w:rsid w:val="004B1EE1"/>
    <w:rsid w:val="004B5075"/>
    <w:rsid w:val="004B5576"/>
    <w:rsid w:val="004B6FE3"/>
    <w:rsid w:val="004B7A07"/>
    <w:rsid w:val="004C23C6"/>
    <w:rsid w:val="004C2D2E"/>
    <w:rsid w:val="004C3C0B"/>
    <w:rsid w:val="004C6BE8"/>
    <w:rsid w:val="004D0415"/>
    <w:rsid w:val="004D0F3C"/>
    <w:rsid w:val="004D147A"/>
    <w:rsid w:val="004D3FA9"/>
    <w:rsid w:val="004D56D8"/>
    <w:rsid w:val="004D6495"/>
    <w:rsid w:val="004D7653"/>
    <w:rsid w:val="004D7E8A"/>
    <w:rsid w:val="004E2E89"/>
    <w:rsid w:val="004E44AA"/>
    <w:rsid w:val="004E4B72"/>
    <w:rsid w:val="004E574A"/>
    <w:rsid w:val="004E59CD"/>
    <w:rsid w:val="004F06A3"/>
    <w:rsid w:val="004F1377"/>
    <w:rsid w:val="004F171E"/>
    <w:rsid w:val="004F1F95"/>
    <w:rsid w:val="004F3309"/>
    <w:rsid w:val="004F74EF"/>
    <w:rsid w:val="004F766D"/>
    <w:rsid w:val="004F7A92"/>
    <w:rsid w:val="00507003"/>
    <w:rsid w:val="00507E2A"/>
    <w:rsid w:val="00507EF5"/>
    <w:rsid w:val="00517E37"/>
    <w:rsid w:val="00520AEE"/>
    <w:rsid w:val="00520C85"/>
    <w:rsid w:val="00522EA7"/>
    <w:rsid w:val="0052605F"/>
    <w:rsid w:val="005321D3"/>
    <w:rsid w:val="00532D34"/>
    <w:rsid w:val="00532FB4"/>
    <w:rsid w:val="00535AF0"/>
    <w:rsid w:val="00543C4F"/>
    <w:rsid w:val="00545354"/>
    <w:rsid w:val="00546D10"/>
    <w:rsid w:val="00546F80"/>
    <w:rsid w:val="0054717A"/>
    <w:rsid w:val="00551498"/>
    <w:rsid w:val="00551D50"/>
    <w:rsid w:val="00560E84"/>
    <w:rsid w:val="00562A62"/>
    <w:rsid w:val="005632B8"/>
    <w:rsid w:val="0056403F"/>
    <w:rsid w:val="00566911"/>
    <w:rsid w:val="0057003B"/>
    <w:rsid w:val="00590024"/>
    <w:rsid w:val="005900DD"/>
    <w:rsid w:val="005905D7"/>
    <w:rsid w:val="0059091A"/>
    <w:rsid w:val="005919A1"/>
    <w:rsid w:val="00594578"/>
    <w:rsid w:val="0059486D"/>
    <w:rsid w:val="00595454"/>
    <w:rsid w:val="0059704B"/>
    <w:rsid w:val="00597636"/>
    <w:rsid w:val="005A0996"/>
    <w:rsid w:val="005A2294"/>
    <w:rsid w:val="005A4452"/>
    <w:rsid w:val="005A5125"/>
    <w:rsid w:val="005A5D8E"/>
    <w:rsid w:val="005B0DF1"/>
    <w:rsid w:val="005B59A3"/>
    <w:rsid w:val="005B795B"/>
    <w:rsid w:val="005C4367"/>
    <w:rsid w:val="005C5B12"/>
    <w:rsid w:val="005D556F"/>
    <w:rsid w:val="005D68BA"/>
    <w:rsid w:val="005D6A7E"/>
    <w:rsid w:val="005E2F48"/>
    <w:rsid w:val="005E42A1"/>
    <w:rsid w:val="005E492E"/>
    <w:rsid w:val="005F0EC9"/>
    <w:rsid w:val="005F2415"/>
    <w:rsid w:val="005F5B7D"/>
    <w:rsid w:val="00605EF0"/>
    <w:rsid w:val="006116C8"/>
    <w:rsid w:val="006119B6"/>
    <w:rsid w:val="0061491F"/>
    <w:rsid w:val="00615A69"/>
    <w:rsid w:val="00615F67"/>
    <w:rsid w:val="00616345"/>
    <w:rsid w:val="006173A0"/>
    <w:rsid w:val="00617BA0"/>
    <w:rsid w:val="0062496B"/>
    <w:rsid w:val="006259A3"/>
    <w:rsid w:val="0062786C"/>
    <w:rsid w:val="00627C48"/>
    <w:rsid w:val="0063086C"/>
    <w:rsid w:val="00630BAC"/>
    <w:rsid w:val="00636680"/>
    <w:rsid w:val="0064026C"/>
    <w:rsid w:val="00644AF1"/>
    <w:rsid w:val="0064710E"/>
    <w:rsid w:val="00653D25"/>
    <w:rsid w:val="006549B8"/>
    <w:rsid w:val="006602F9"/>
    <w:rsid w:val="0066103C"/>
    <w:rsid w:val="00662913"/>
    <w:rsid w:val="006630E4"/>
    <w:rsid w:val="00663221"/>
    <w:rsid w:val="0067797E"/>
    <w:rsid w:val="00681700"/>
    <w:rsid w:val="00683B0E"/>
    <w:rsid w:val="00684FF2"/>
    <w:rsid w:val="00687033"/>
    <w:rsid w:val="006905D1"/>
    <w:rsid w:val="00693C78"/>
    <w:rsid w:val="00695252"/>
    <w:rsid w:val="00696076"/>
    <w:rsid w:val="0069722C"/>
    <w:rsid w:val="006A3B73"/>
    <w:rsid w:val="006A49D4"/>
    <w:rsid w:val="006B0775"/>
    <w:rsid w:val="006B0D35"/>
    <w:rsid w:val="006B12BC"/>
    <w:rsid w:val="006B47F1"/>
    <w:rsid w:val="006B6496"/>
    <w:rsid w:val="006C22D1"/>
    <w:rsid w:val="006D0373"/>
    <w:rsid w:val="006D3B14"/>
    <w:rsid w:val="006D6F0E"/>
    <w:rsid w:val="006E169A"/>
    <w:rsid w:val="006E2665"/>
    <w:rsid w:val="006E46CB"/>
    <w:rsid w:val="006F23D8"/>
    <w:rsid w:val="006F7DCC"/>
    <w:rsid w:val="00700CC0"/>
    <w:rsid w:val="007013CD"/>
    <w:rsid w:val="00702DD0"/>
    <w:rsid w:val="00704B9A"/>
    <w:rsid w:val="00706886"/>
    <w:rsid w:val="0070735D"/>
    <w:rsid w:val="007115D3"/>
    <w:rsid w:val="007147E3"/>
    <w:rsid w:val="00714D40"/>
    <w:rsid w:val="00716AAF"/>
    <w:rsid w:val="0072283E"/>
    <w:rsid w:val="00722B28"/>
    <w:rsid w:val="007305F4"/>
    <w:rsid w:val="0073457A"/>
    <w:rsid w:val="00735199"/>
    <w:rsid w:val="00735AD0"/>
    <w:rsid w:val="00736F40"/>
    <w:rsid w:val="00740C18"/>
    <w:rsid w:val="00741770"/>
    <w:rsid w:val="00746658"/>
    <w:rsid w:val="0075087C"/>
    <w:rsid w:val="007522C2"/>
    <w:rsid w:val="00753F34"/>
    <w:rsid w:val="007564A6"/>
    <w:rsid w:val="00756A64"/>
    <w:rsid w:val="00762290"/>
    <w:rsid w:val="00763573"/>
    <w:rsid w:val="00765640"/>
    <w:rsid w:val="00766B67"/>
    <w:rsid w:val="00770B58"/>
    <w:rsid w:val="0077617D"/>
    <w:rsid w:val="0077694F"/>
    <w:rsid w:val="00780227"/>
    <w:rsid w:val="0078221B"/>
    <w:rsid w:val="00782469"/>
    <w:rsid w:val="00784742"/>
    <w:rsid w:val="0078608F"/>
    <w:rsid w:val="00786581"/>
    <w:rsid w:val="00786FD1"/>
    <w:rsid w:val="00787394"/>
    <w:rsid w:val="0079067D"/>
    <w:rsid w:val="0079300F"/>
    <w:rsid w:val="0079352C"/>
    <w:rsid w:val="00794731"/>
    <w:rsid w:val="0079555B"/>
    <w:rsid w:val="00796DC8"/>
    <w:rsid w:val="007A2170"/>
    <w:rsid w:val="007A3176"/>
    <w:rsid w:val="007B3FDB"/>
    <w:rsid w:val="007B7651"/>
    <w:rsid w:val="007B7C7C"/>
    <w:rsid w:val="007C3F88"/>
    <w:rsid w:val="007C4228"/>
    <w:rsid w:val="007D0307"/>
    <w:rsid w:val="007D5067"/>
    <w:rsid w:val="007D69F9"/>
    <w:rsid w:val="007E1E6F"/>
    <w:rsid w:val="007E5981"/>
    <w:rsid w:val="007E6D61"/>
    <w:rsid w:val="007F1D54"/>
    <w:rsid w:val="007F3000"/>
    <w:rsid w:val="007F5652"/>
    <w:rsid w:val="008004F7"/>
    <w:rsid w:val="008028EC"/>
    <w:rsid w:val="00803E21"/>
    <w:rsid w:val="008060F2"/>
    <w:rsid w:val="008063C5"/>
    <w:rsid w:val="00806F22"/>
    <w:rsid w:val="0080703F"/>
    <w:rsid w:val="0081150E"/>
    <w:rsid w:val="00813CD2"/>
    <w:rsid w:val="00814925"/>
    <w:rsid w:val="00815D9F"/>
    <w:rsid w:val="008213F5"/>
    <w:rsid w:val="0082716F"/>
    <w:rsid w:val="008305F0"/>
    <w:rsid w:val="00831807"/>
    <w:rsid w:val="00831B52"/>
    <w:rsid w:val="0083494A"/>
    <w:rsid w:val="00837CA8"/>
    <w:rsid w:val="00840A44"/>
    <w:rsid w:val="008429F5"/>
    <w:rsid w:val="00843E28"/>
    <w:rsid w:val="0084438E"/>
    <w:rsid w:val="00847F28"/>
    <w:rsid w:val="008515FE"/>
    <w:rsid w:val="0085470A"/>
    <w:rsid w:val="00856607"/>
    <w:rsid w:val="0086175C"/>
    <w:rsid w:val="00862668"/>
    <w:rsid w:val="00863074"/>
    <w:rsid w:val="008718DD"/>
    <w:rsid w:val="008779A2"/>
    <w:rsid w:val="008831D7"/>
    <w:rsid w:val="00884350"/>
    <w:rsid w:val="00884A6A"/>
    <w:rsid w:val="00885592"/>
    <w:rsid w:val="00885F9C"/>
    <w:rsid w:val="00887982"/>
    <w:rsid w:val="00892E15"/>
    <w:rsid w:val="008948FE"/>
    <w:rsid w:val="008A39FF"/>
    <w:rsid w:val="008A78F5"/>
    <w:rsid w:val="008A7909"/>
    <w:rsid w:val="008B1327"/>
    <w:rsid w:val="008B3BCC"/>
    <w:rsid w:val="008B4192"/>
    <w:rsid w:val="008B6988"/>
    <w:rsid w:val="008C0765"/>
    <w:rsid w:val="008C3435"/>
    <w:rsid w:val="008C3DAC"/>
    <w:rsid w:val="008D0206"/>
    <w:rsid w:val="008D3E97"/>
    <w:rsid w:val="008D3F97"/>
    <w:rsid w:val="008D4341"/>
    <w:rsid w:val="008D5C11"/>
    <w:rsid w:val="008D7712"/>
    <w:rsid w:val="008E1810"/>
    <w:rsid w:val="008E30EB"/>
    <w:rsid w:val="008E3E29"/>
    <w:rsid w:val="008E5DC9"/>
    <w:rsid w:val="008E6007"/>
    <w:rsid w:val="008E615F"/>
    <w:rsid w:val="008E7C11"/>
    <w:rsid w:val="008F2924"/>
    <w:rsid w:val="008F3AE8"/>
    <w:rsid w:val="008F4C81"/>
    <w:rsid w:val="008F7D76"/>
    <w:rsid w:val="009006D4"/>
    <w:rsid w:val="00900897"/>
    <w:rsid w:val="009025D6"/>
    <w:rsid w:val="009061A8"/>
    <w:rsid w:val="00907B30"/>
    <w:rsid w:val="00911690"/>
    <w:rsid w:val="00912C5B"/>
    <w:rsid w:val="009174C7"/>
    <w:rsid w:val="009207F4"/>
    <w:rsid w:val="0092106D"/>
    <w:rsid w:val="00924A13"/>
    <w:rsid w:val="00935191"/>
    <w:rsid w:val="00943F40"/>
    <w:rsid w:val="00963BE8"/>
    <w:rsid w:val="009642A0"/>
    <w:rsid w:val="009642C7"/>
    <w:rsid w:val="009660B9"/>
    <w:rsid w:val="009673A8"/>
    <w:rsid w:val="0096795A"/>
    <w:rsid w:val="00967F51"/>
    <w:rsid w:val="00970A96"/>
    <w:rsid w:val="00973E47"/>
    <w:rsid w:val="009742D9"/>
    <w:rsid w:val="00974C92"/>
    <w:rsid w:val="00976F66"/>
    <w:rsid w:val="0098378E"/>
    <w:rsid w:val="00984059"/>
    <w:rsid w:val="00984248"/>
    <w:rsid w:val="00985033"/>
    <w:rsid w:val="00986E18"/>
    <w:rsid w:val="00992959"/>
    <w:rsid w:val="00993D83"/>
    <w:rsid w:val="0099584B"/>
    <w:rsid w:val="00997A63"/>
    <w:rsid w:val="009A1001"/>
    <w:rsid w:val="009A3E57"/>
    <w:rsid w:val="009A7BD9"/>
    <w:rsid w:val="009B017F"/>
    <w:rsid w:val="009B372E"/>
    <w:rsid w:val="009B56FA"/>
    <w:rsid w:val="009C0156"/>
    <w:rsid w:val="009C1BA8"/>
    <w:rsid w:val="009C22CC"/>
    <w:rsid w:val="009C32F7"/>
    <w:rsid w:val="009C3706"/>
    <w:rsid w:val="009C4F3B"/>
    <w:rsid w:val="009E1DF0"/>
    <w:rsid w:val="009F13D6"/>
    <w:rsid w:val="009F4A43"/>
    <w:rsid w:val="00A010BF"/>
    <w:rsid w:val="00A04584"/>
    <w:rsid w:val="00A0723B"/>
    <w:rsid w:val="00A12B8A"/>
    <w:rsid w:val="00A12C79"/>
    <w:rsid w:val="00A13975"/>
    <w:rsid w:val="00A15B86"/>
    <w:rsid w:val="00A166FA"/>
    <w:rsid w:val="00A22C1D"/>
    <w:rsid w:val="00A234B4"/>
    <w:rsid w:val="00A310DB"/>
    <w:rsid w:val="00A32CF3"/>
    <w:rsid w:val="00A33474"/>
    <w:rsid w:val="00A345D8"/>
    <w:rsid w:val="00A4123D"/>
    <w:rsid w:val="00A42A1D"/>
    <w:rsid w:val="00A43594"/>
    <w:rsid w:val="00A47BA3"/>
    <w:rsid w:val="00A50377"/>
    <w:rsid w:val="00A564D6"/>
    <w:rsid w:val="00A6048D"/>
    <w:rsid w:val="00A63203"/>
    <w:rsid w:val="00A65778"/>
    <w:rsid w:val="00A66FBD"/>
    <w:rsid w:val="00A773E2"/>
    <w:rsid w:val="00A82769"/>
    <w:rsid w:val="00A85010"/>
    <w:rsid w:val="00A85F0A"/>
    <w:rsid w:val="00A875F0"/>
    <w:rsid w:val="00A87945"/>
    <w:rsid w:val="00A90E67"/>
    <w:rsid w:val="00A92A85"/>
    <w:rsid w:val="00A94C2B"/>
    <w:rsid w:val="00A95A34"/>
    <w:rsid w:val="00AA0996"/>
    <w:rsid w:val="00AA1932"/>
    <w:rsid w:val="00AA1C23"/>
    <w:rsid w:val="00AA241C"/>
    <w:rsid w:val="00AA79CC"/>
    <w:rsid w:val="00AB626D"/>
    <w:rsid w:val="00AC2403"/>
    <w:rsid w:val="00AC37CA"/>
    <w:rsid w:val="00AC600F"/>
    <w:rsid w:val="00AC6713"/>
    <w:rsid w:val="00AD00C2"/>
    <w:rsid w:val="00AD1477"/>
    <w:rsid w:val="00AD1AE5"/>
    <w:rsid w:val="00AD1FFC"/>
    <w:rsid w:val="00AD4BBF"/>
    <w:rsid w:val="00AE0CFC"/>
    <w:rsid w:val="00AE0F94"/>
    <w:rsid w:val="00AE0FFC"/>
    <w:rsid w:val="00AE1978"/>
    <w:rsid w:val="00AE3E6C"/>
    <w:rsid w:val="00AE49F9"/>
    <w:rsid w:val="00AF2A17"/>
    <w:rsid w:val="00AF389A"/>
    <w:rsid w:val="00B01174"/>
    <w:rsid w:val="00B01708"/>
    <w:rsid w:val="00B02066"/>
    <w:rsid w:val="00B03679"/>
    <w:rsid w:val="00B108C7"/>
    <w:rsid w:val="00B1242E"/>
    <w:rsid w:val="00B15B72"/>
    <w:rsid w:val="00B1609E"/>
    <w:rsid w:val="00B21F97"/>
    <w:rsid w:val="00B23E49"/>
    <w:rsid w:val="00B27E5E"/>
    <w:rsid w:val="00B32F7B"/>
    <w:rsid w:val="00B3409E"/>
    <w:rsid w:val="00B34A73"/>
    <w:rsid w:val="00B355F2"/>
    <w:rsid w:val="00B361FA"/>
    <w:rsid w:val="00B41ECB"/>
    <w:rsid w:val="00B4289E"/>
    <w:rsid w:val="00B44B16"/>
    <w:rsid w:val="00B509CC"/>
    <w:rsid w:val="00B57172"/>
    <w:rsid w:val="00B708CE"/>
    <w:rsid w:val="00B71B0E"/>
    <w:rsid w:val="00B720B2"/>
    <w:rsid w:val="00B7724F"/>
    <w:rsid w:val="00B80173"/>
    <w:rsid w:val="00B80912"/>
    <w:rsid w:val="00B82042"/>
    <w:rsid w:val="00B85466"/>
    <w:rsid w:val="00B86A9D"/>
    <w:rsid w:val="00B86AFF"/>
    <w:rsid w:val="00B90314"/>
    <w:rsid w:val="00B943BB"/>
    <w:rsid w:val="00B9763B"/>
    <w:rsid w:val="00BA1E41"/>
    <w:rsid w:val="00BA61B5"/>
    <w:rsid w:val="00BB0539"/>
    <w:rsid w:val="00BB2F15"/>
    <w:rsid w:val="00BB3CF5"/>
    <w:rsid w:val="00BC04EE"/>
    <w:rsid w:val="00BC0A52"/>
    <w:rsid w:val="00BC36D8"/>
    <w:rsid w:val="00BC5C6B"/>
    <w:rsid w:val="00BC5F7A"/>
    <w:rsid w:val="00BD486F"/>
    <w:rsid w:val="00BE1030"/>
    <w:rsid w:val="00BE1D59"/>
    <w:rsid w:val="00BE477B"/>
    <w:rsid w:val="00BE689F"/>
    <w:rsid w:val="00BE6C32"/>
    <w:rsid w:val="00BF0D61"/>
    <w:rsid w:val="00BF0E29"/>
    <w:rsid w:val="00BF22CF"/>
    <w:rsid w:val="00BF39DE"/>
    <w:rsid w:val="00BF47E5"/>
    <w:rsid w:val="00C01F70"/>
    <w:rsid w:val="00C020DD"/>
    <w:rsid w:val="00C029DA"/>
    <w:rsid w:val="00C02B4B"/>
    <w:rsid w:val="00C04BBD"/>
    <w:rsid w:val="00C05920"/>
    <w:rsid w:val="00C0608E"/>
    <w:rsid w:val="00C060DB"/>
    <w:rsid w:val="00C11C75"/>
    <w:rsid w:val="00C12168"/>
    <w:rsid w:val="00C15A76"/>
    <w:rsid w:val="00C16A43"/>
    <w:rsid w:val="00C22375"/>
    <w:rsid w:val="00C36E17"/>
    <w:rsid w:val="00C50CBA"/>
    <w:rsid w:val="00C51D01"/>
    <w:rsid w:val="00C53252"/>
    <w:rsid w:val="00C56F3D"/>
    <w:rsid w:val="00C60B52"/>
    <w:rsid w:val="00C652DF"/>
    <w:rsid w:val="00C65616"/>
    <w:rsid w:val="00C74E86"/>
    <w:rsid w:val="00C756CC"/>
    <w:rsid w:val="00C75ED1"/>
    <w:rsid w:val="00C76544"/>
    <w:rsid w:val="00C76D7B"/>
    <w:rsid w:val="00C83AB7"/>
    <w:rsid w:val="00C84009"/>
    <w:rsid w:val="00C84318"/>
    <w:rsid w:val="00C84D21"/>
    <w:rsid w:val="00C932E6"/>
    <w:rsid w:val="00C9683C"/>
    <w:rsid w:val="00CA3BE9"/>
    <w:rsid w:val="00CA69DF"/>
    <w:rsid w:val="00CB0D49"/>
    <w:rsid w:val="00CB1818"/>
    <w:rsid w:val="00CB3EAA"/>
    <w:rsid w:val="00CB680F"/>
    <w:rsid w:val="00CC3C54"/>
    <w:rsid w:val="00CC50FB"/>
    <w:rsid w:val="00CC748B"/>
    <w:rsid w:val="00CD0859"/>
    <w:rsid w:val="00CD2C9A"/>
    <w:rsid w:val="00CD34A5"/>
    <w:rsid w:val="00CD7D26"/>
    <w:rsid w:val="00CE0006"/>
    <w:rsid w:val="00CE0726"/>
    <w:rsid w:val="00CE3865"/>
    <w:rsid w:val="00CE3C3E"/>
    <w:rsid w:val="00CE69DB"/>
    <w:rsid w:val="00CF5728"/>
    <w:rsid w:val="00CF6388"/>
    <w:rsid w:val="00D01F4D"/>
    <w:rsid w:val="00D03344"/>
    <w:rsid w:val="00D05F15"/>
    <w:rsid w:val="00D1025C"/>
    <w:rsid w:val="00D10F49"/>
    <w:rsid w:val="00D15FED"/>
    <w:rsid w:val="00D245DE"/>
    <w:rsid w:val="00D24EBF"/>
    <w:rsid w:val="00D33C33"/>
    <w:rsid w:val="00D40F94"/>
    <w:rsid w:val="00D42CC1"/>
    <w:rsid w:val="00D50CCE"/>
    <w:rsid w:val="00D51A49"/>
    <w:rsid w:val="00D55576"/>
    <w:rsid w:val="00D60AE1"/>
    <w:rsid w:val="00D6103E"/>
    <w:rsid w:val="00D61529"/>
    <w:rsid w:val="00D70FB6"/>
    <w:rsid w:val="00D73030"/>
    <w:rsid w:val="00D744CE"/>
    <w:rsid w:val="00D748EB"/>
    <w:rsid w:val="00D75F5D"/>
    <w:rsid w:val="00D76503"/>
    <w:rsid w:val="00D77F2E"/>
    <w:rsid w:val="00D81ABC"/>
    <w:rsid w:val="00D8266A"/>
    <w:rsid w:val="00D831F5"/>
    <w:rsid w:val="00D85CFC"/>
    <w:rsid w:val="00D87FC9"/>
    <w:rsid w:val="00D96B0A"/>
    <w:rsid w:val="00D978CF"/>
    <w:rsid w:val="00D97CC2"/>
    <w:rsid w:val="00DA0744"/>
    <w:rsid w:val="00DA2537"/>
    <w:rsid w:val="00DA2721"/>
    <w:rsid w:val="00DA79DF"/>
    <w:rsid w:val="00DB0AD1"/>
    <w:rsid w:val="00DB2FC1"/>
    <w:rsid w:val="00DB6728"/>
    <w:rsid w:val="00DC01D7"/>
    <w:rsid w:val="00DC0956"/>
    <w:rsid w:val="00DC5C89"/>
    <w:rsid w:val="00DC5CB6"/>
    <w:rsid w:val="00DC6C9E"/>
    <w:rsid w:val="00DC6CBA"/>
    <w:rsid w:val="00DD257D"/>
    <w:rsid w:val="00DD3638"/>
    <w:rsid w:val="00DD5258"/>
    <w:rsid w:val="00DE32A2"/>
    <w:rsid w:val="00DE7418"/>
    <w:rsid w:val="00DE796C"/>
    <w:rsid w:val="00DF0A97"/>
    <w:rsid w:val="00DF2AE7"/>
    <w:rsid w:val="00DF4446"/>
    <w:rsid w:val="00DF5B41"/>
    <w:rsid w:val="00DF7885"/>
    <w:rsid w:val="00E0055E"/>
    <w:rsid w:val="00E03A73"/>
    <w:rsid w:val="00E04E62"/>
    <w:rsid w:val="00E05DAE"/>
    <w:rsid w:val="00E111BE"/>
    <w:rsid w:val="00E16CAC"/>
    <w:rsid w:val="00E17210"/>
    <w:rsid w:val="00E17299"/>
    <w:rsid w:val="00E1783C"/>
    <w:rsid w:val="00E20383"/>
    <w:rsid w:val="00E3303A"/>
    <w:rsid w:val="00E361F5"/>
    <w:rsid w:val="00E37699"/>
    <w:rsid w:val="00E40928"/>
    <w:rsid w:val="00E40E60"/>
    <w:rsid w:val="00E51350"/>
    <w:rsid w:val="00E51D86"/>
    <w:rsid w:val="00E51ED2"/>
    <w:rsid w:val="00E53479"/>
    <w:rsid w:val="00E55907"/>
    <w:rsid w:val="00E560FC"/>
    <w:rsid w:val="00E64F2F"/>
    <w:rsid w:val="00E669E4"/>
    <w:rsid w:val="00E75CDE"/>
    <w:rsid w:val="00E769C9"/>
    <w:rsid w:val="00E810F5"/>
    <w:rsid w:val="00E82A94"/>
    <w:rsid w:val="00E914D5"/>
    <w:rsid w:val="00E92F99"/>
    <w:rsid w:val="00E96CF4"/>
    <w:rsid w:val="00E9768A"/>
    <w:rsid w:val="00EA2132"/>
    <w:rsid w:val="00EA47A2"/>
    <w:rsid w:val="00EA5325"/>
    <w:rsid w:val="00EA53D3"/>
    <w:rsid w:val="00EA78F5"/>
    <w:rsid w:val="00EA7A1D"/>
    <w:rsid w:val="00EA7D8F"/>
    <w:rsid w:val="00EB2A4C"/>
    <w:rsid w:val="00EB3172"/>
    <w:rsid w:val="00EB56F7"/>
    <w:rsid w:val="00EB58DE"/>
    <w:rsid w:val="00EC0307"/>
    <w:rsid w:val="00EC42A9"/>
    <w:rsid w:val="00EC7D86"/>
    <w:rsid w:val="00ED055D"/>
    <w:rsid w:val="00ED16CF"/>
    <w:rsid w:val="00ED3C95"/>
    <w:rsid w:val="00ED6CC5"/>
    <w:rsid w:val="00ED7F97"/>
    <w:rsid w:val="00EE50BB"/>
    <w:rsid w:val="00EF142E"/>
    <w:rsid w:val="00EF1678"/>
    <w:rsid w:val="00F009F0"/>
    <w:rsid w:val="00F01A2C"/>
    <w:rsid w:val="00F027EF"/>
    <w:rsid w:val="00F04A7F"/>
    <w:rsid w:val="00F05431"/>
    <w:rsid w:val="00F10D38"/>
    <w:rsid w:val="00F22061"/>
    <w:rsid w:val="00F22A1C"/>
    <w:rsid w:val="00F25E7F"/>
    <w:rsid w:val="00F25F54"/>
    <w:rsid w:val="00F266BD"/>
    <w:rsid w:val="00F3026F"/>
    <w:rsid w:val="00F32057"/>
    <w:rsid w:val="00F34F46"/>
    <w:rsid w:val="00F43788"/>
    <w:rsid w:val="00F51178"/>
    <w:rsid w:val="00F517C8"/>
    <w:rsid w:val="00F52500"/>
    <w:rsid w:val="00F5606A"/>
    <w:rsid w:val="00F57924"/>
    <w:rsid w:val="00F61E07"/>
    <w:rsid w:val="00F61E65"/>
    <w:rsid w:val="00F62398"/>
    <w:rsid w:val="00F63D9A"/>
    <w:rsid w:val="00F64420"/>
    <w:rsid w:val="00F65076"/>
    <w:rsid w:val="00F725DF"/>
    <w:rsid w:val="00F73A4F"/>
    <w:rsid w:val="00F745ED"/>
    <w:rsid w:val="00F75DBF"/>
    <w:rsid w:val="00F80B54"/>
    <w:rsid w:val="00F82763"/>
    <w:rsid w:val="00F8351F"/>
    <w:rsid w:val="00F842A5"/>
    <w:rsid w:val="00F86A15"/>
    <w:rsid w:val="00F87954"/>
    <w:rsid w:val="00F9159B"/>
    <w:rsid w:val="00F91FE2"/>
    <w:rsid w:val="00F930D1"/>
    <w:rsid w:val="00F93D8C"/>
    <w:rsid w:val="00F94736"/>
    <w:rsid w:val="00FA2978"/>
    <w:rsid w:val="00FA68C6"/>
    <w:rsid w:val="00FA7C8E"/>
    <w:rsid w:val="00FA7D07"/>
    <w:rsid w:val="00FB0174"/>
    <w:rsid w:val="00FB1292"/>
    <w:rsid w:val="00FB1EF8"/>
    <w:rsid w:val="00FB6004"/>
    <w:rsid w:val="00FC061E"/>
    <w:rsid w:val="00FC4FD9"/>
    <w:rsid w:val="00FC7909"/>
    <w:rsid w:val="00FD4667"/>
    <w:rsid w:val="00FE0054"/>
    <w:rsid w:val="00FE0586"/>
    <w:rsid w:val="00FE0B63"/>
    <w:rsid w:val="00FE4676"/>
    <w:rsid w:val="00FF0ADE"/>
    <w:rsid w:val="00FF0C78"/>
    <w:rsid w:val="00FF1D8B"/>
    <w:rsid w:val="00FF3860"/>
    <w:rsid w:val="00FF4240"/>
    <w:rsid w:val="00FF54F5"/>
    <w:rsid w:val="00FF582D"/>
    <w:rsid w:val="010374BA"/>
    <w:rsid w:val="014F77FD"/>
    <w:rsid w:val="01BD7155"/>
    <w:rsid w:val="01C8709F"/>
    <w:rsid w:val="01CB6AEA"/>
    <w:rsid w:val="01CE7572"/>
    <w:rsid w:val="01DD18A6"/>
    <w:rsid w:val="022934DD"/>
    <w:rsid w:val="027A5940"/>
    <w:rsid w:val="02B67D2C"/>
    <w:rsid w:val="03030405"/>
    <w:rsid w:val="042E36E9"/>
    <w:rsid w:val="0449181A"/>
    <w:rsid w:val="044A1D23"/>
    <w:rsid w:val="044D54CE"/>
    <w:rsid w:val="047D65FE"/>
    <w:rsid w:val="048A5101"/>
    <w:rsid w:val="0491196B"/>
    <w:rsid w:val="04DA472B"/>
    <w:rsid w:val="055714ED"/>
    <w:rsid w:val="05592D53"/>
    <w:rsid w:val="05697E55"/>
    <w:rsid w:val="0585676B"/>
    <w:rsid w:val="05944D89"/>
    <w:rsid w:val="059E36F3"/>
    <w:rsid w:val="05CA44E8"/>
    <w:rsid w:val="05EF7AF1"/>
    <w:rsid w:val="0620273A"/>
    <w:rsid w:val="063117E0"/>
    <w:rsid w:val="064B0E32"/>
    <w:rsid w:val="067E64B8"/>
    <w:rsid w:val="06C07E9C"/>
    <w:rsid w:val="073C009B"/>
    <w:rsid w:val="073D68E0"/>
    <w:rsid w:val="07AA1305"/>
    <w:rsid w:val="07BE618B"/>
    <w:rsid w:val="07C21DA0"/>
    <w:rsid w:val="081F724D"/>
    <w:rsid w:val="083B1C9D"/>
    <w:rsid w:val="083C0673"/>
    <w:rsid w:val="084E094B"/>
    <w:rsid w:val="08522C62"/>
    <w:rsid w:val="08756B3B"/>
    <w:rsid w:val="08885BC3"/>
    <w:rsid w:val="08910757"/>
    <w:rsid w:val="08987BE8"/>
    <w:rsid w:val="08A971B0"/>
    <w:rsid w:val="08E67654"/>
    <w:rsid w:val="08FE575D"/>
    <w:rsid w:val="092C0626"/>
    <w:rsid w:val="09691011"/>
    <w:rsid w:val="096A500A"/>
    <w:rsid w:val="097825B5"/>
    <w:rsid w:val="09784721"/>
    <w:rsid w:val="097C3834"/>
    <w:rsid w:val="097D43D3"/>
    <w:rsid w:val="09A12942"/>
    <w:rsid w:val="09EA17B6"/>
    <w:rsid w:val="0A1022FA"/>
    <w:rsid w:val="0A1259C1"/>
    <w:rsid w:val="0A33107E"/>
    <w:rsid w:val="0A59403A"/>
    <w:rsid w:val="0AA6526E"/>
    <w:rsid w:val="0AC30814"/>
    <w:rsid w:val="0AC814E4"/>
    <w:rsid w:val="0AE957B4"/>
    <w:rsid w:val="0B00739E"/>
    <w:rsid w:val="0B0F72C5"/>
    <w:rsid w:val="0B233575"/>
    <w:rsid w:val="0B453633"/>
    <w:rsid w:val="0B6D05B8"/>
    <w:rsid w:val="0B805DF3"/>
    <w:rsid w:val="0BA91FDC"/>
    <w:rsid w:val="0BD7795F"/>
    <w:rsid w:val="0C3A4C9D"/>
    <w:rsid w:val="0C4A2238"/>
    <w:rsid w:val="0C8E45B7"/>
    <w:rsid w:val="0C8F3B55"/>
    <w:rsid w:val="0CB5111D"/>
    <w:rsid w:val="0CF40FAD"/>
    <w:rsid w:val="0D150B42"/>
    <w:rsid w:val="0D8043C0"/>
    <w:rsid w:val="0D973D58"/>
    <w:rsid w:val="0D9F2BF4"/>
    <w:rsid w:val="0DB24751"/>
    <w:rsid w:val="0DB93D8E"/>
    <w:rsid w:val="0DD84F41"/>
    <w:rsid w:val="0DE047BF"/>
    <w:rsid w:val="0E1B0C80"/>
    <w:rsid w:val="0E313CB2"/>
    <w:rsid w:val="0E9D16CD"/>
    <w:rsid w:val="0EAE5F16"/>
    <w:rsid w:val="0EC37F60"/>
    <w:rsid w:val="0ECD7BAA"/>
    <w:rsid w:val="0EDA6C83"/>
    <w:rsid w:val="0EE17BF8"/>
    <w:rsid w:val="0F20638A"/>
    <w:rsid w:val="0F3B2869"/>
    <w:rsid w:val="0F3E2235"/>
    <w:rsid w:val="0F4372C8"/>
    <w:rsid w:val="0F994834"/>
    <w:rsid w:val="0F996FC7"/>
    <w:rsid w:val="0FAD4F92"/>
    <w:rsid w:val="0FD93D3D"/>
    <w:rsid w:val="0FDB683D"/>
    <w:rsid w:val="0FEB191A"/>
    <w:rsid w:val="0FEC0DA5"/>
    <w:rsid w:val="1011212B"/>
    <w:rsid w:val="10780128"/>
    <w:rsid w:val="10D33F74"/>
    <w:rsid w:val="1130644C"/>
    <w:rsid w:val="113A5835"/>
    <w:rsid w:val="11672002"/>
    <w:rsid w:val="116B5697"/>
    <w:rsid w:val="11846B40"/>
    <w:rsid w:val="11857183"/>
    <w:rsid w:val="118C77D3"/>
    <w:rsid w:val="11A36112"/>
    <w:rsid w:val="11A63E39"/>
    <w:rsid w:val="11EE7BE1"/>
    <w:rsid w:val="12415B32"/>
    <w:rsid w:val="126C71EE"/>
    <w:rsid w:val="12A05B91"/>
    <w:rsid w:val="12C64289"/>
    <w:rsid w:val="12D322B2"/>
    <w:rsid w:val="12D75E24"/>
    <w:rsid w:val="12E42BD4"/>
    <w:rsid w:val="12E8751A"/>
    <w:rsid w:val="135F621C"/>
    <w:rsid w:val="13AA3592"/>
    <w:rsid w:val="141D7709"/>
    <w:rsid w:val="14391111"/>
    <w:rsid w:val="146C6716"/>
    <w:rsid w:val="14764402"/>
    <w:rsid w:val="1476678A"/>
    <w:rsid w:val="14850D94"/>
    <w:rsid w:val="149743A5"/>
    <w:rsid w:val="14A5693F"/>
    <w:rsid w:val="14A9258C"/>
    <w:rsid w:val="14AC5F02"/>
    <w:rsid w:val="14AD5701"/>
    <w:rsid w:val="14D86A5D"/>
    <w:rsid w:val="153D55BD"/>
    <w:rsid w:val="15776D7E"/>
    <w:rsid w:val="157A0D68"/>
    <w:rsid w:val="158031FC"/>
    <w:rsid w:val="15983282"/>
    <w:rsid w:val="15EE3AB6"/>
    <w:rsid w:val="15F731EB"/>
    <w:rsid w:val="16082DF9"/>
    <w:rsid w:val="16630470"/>
    <w:rsid w:val="16647707"/>
    <w:rsid w:val="16866203"/>
    <w:rsid w:val="16A672C9"/>
    <w:rsid w:val="16AE3F18"/>
    <w:rsid w:val="16B81603"/>
    <w:rsid w:val="16CF1CC6"/>
    <w:rsid w:val="17072BAB"/>
    <w:rsid w:val="1711696E"/>
    <w:rsid w:val="17197107"/>
    <w:rsid w:val="171B3F42"/>
    <w:rsid w:val="1724402F"/>
    <w:rsid w:val="172E7810"/>
    <w:rsid w:val="173156EC"/>
    <w:rsid w:val="17794346"/>
    <w:rsid w:val="177B7D38"/>
    <w:rsid w:val="18016D14"/>
    <w:rsid w:val="182E0082"/>
    <w:rsid w:val="18470F08"/>
    <w:rsid w:val="18492666"/>
    <w:rsid w:val="185507A1"/>
    <w:rsid w:val="1856717A"/>
    <w:rsid w:val="186D1005"/>
    <w:rsid w:val="187359FA"/>
    <w:rsid w:val="188E727B"/>
    <w:rsid w:val="193079D5"/>
    <w:rsid w:val="196462BA"/>
    <w:rsid w:val="1977632C"/>
    <w:rsid w:val="197C1FCE"/>
    <w:rsid w:val="19A20EDD"/>
    <w:rsid w:val="19A526C7"/>
    <w:rsid w:val="19A95D61"/>
    <w:rsid w:val="1A156636"/>
    <w:rsid w:val="1A3C0C0D"/>
    <w:rsid w:val="1A585BC2"/>
    <w:rsid w:val="1A5E6A00"/>
    <w:rsid w:val="1A8671EE"/>
    <w:rsid w:val="1A9262B2"/>
    <w:rsid w:val="1AA616FE"/>
    <w:rsid w:val="1AAD645B"/>
    <w:rsid w:val="1ABE4144"/>
    <w:rsid w:val="1AC4341A"/>
    <w:rsid w:val="1AE0318D"/>
    <w:rsid w:val="1AEC42A8"/>
    <w:rsid w:val="1AEE6276"/>
    <w:rsid w:val="1AF323D8"/>
    <w:rsid w:val="1AF62C69"/>
    <w:rsid w:val="1B990233"/>
    <w:rsid w:val="1BC20C24"/>
    <w:rsid w:val="1BE03E5C"/>
    <w:rsid w:val="1BEA5591"/>
    <w:rsid w:val="1BFD27A2"/>
    <w:rsid w:val="1C011678"/>
    <w:rsid w:val="1C2302B3"/>
    <w:rsid w:val="1C2A7E30"/>
    <w:rsid w:val="1C33156F"/>
    <w:rsid w:val="1C53323F"/>
    <w:rsid w:val="1C756A7F"/>
    <w:rsid w:val="1C955067"/>
    <w:rsid w:val="1CE87118"/>
    <w:rsid w:val="1D206CD3"/>
    <w:rsid w:val="1DED6AA9"/>
    <w:rsid w:val="1E587E3F"/>
    <w:rsid w:val="1E925EEC"/>
    <w:rsid w:val="1E966286"/>
    <w:rsid w:val="1E9B5208"/>
    <w:rsid w:val="1EE25BAC"/>
    <w:rsid w:val="1F404FCB"/>
    <w:rsid w:val="1FD74DCB"/>
    <w:rsid w:val="201B73DE"/>
    <w:rsid w:val="203043BA"/>
    <w:rsid w:val="203D6437"/>
    <w:rsid w:val="20522D90"/>
    <w:rsid w:val="20913A89"/>
    <w:rsid w:val="209605CD"/>
    <w:rsid w:val="20C032A2"/>
    <w:rsid w:val="20C470C3"/>
    <w:rsid w:val="211D336B"/>
    <w:rsid w:val="21224CAB"/>
    <w:rsid w:val="21491DF7"/>
    <w:rsid w:val="21590E3E"/>
    <w:rsid w:val="219515B2"/>
    <w:rsid w:val="219A17D7"/>
    <w:rsid w:val="21A33D9D"/>
    <w:rsid w:val="21C26024"/>
    <w:rsid w:val="21DD798D"/>
    <w:rsid w:val="22215336"/>
    <w:rsid w:val="224D32E0"/>
    <w:rsid w:val="22630AD3"/>
    <w:rsid w:val="228A2EBA"/>
    <w:rsid w:val="22A868C7"/>
    <w:rsid w:val="22E83C69"/>
    <w:rsid w:val="22F05CD0"/>
    <w:rsid w:val="235C1616"/>
    <w:rsid w:val="237D466B"/>
    <w:rsid w:val="23B161B8"/>
    <w:rsid w:val="23BE63FD"/>
    <w:rsid w:val="23DF56EE"/>
    <w:rsid w:val="23E87558"/>
    <w:rsid w:val="243D0021"/>
    <w:rsid w:val="244D7793"/>
    <w:rsid w:val="24571916"/>
    <w:rsid w:val="24D66E91"/>
    <w:rsid w:val="24D96407"/>
    <w:rsid w:val="25036463"/>
    <w:rsid w:val="25454C92"/>
    <w:rsid w:val="264F5BB1"/>
    <w:rsid w:val="26730A93"/>
    <w:rsid w:val="267A2882"/>
    <w:rsid w:val="26BC3ED1"/>
    <w:rsid w:val="26CF5E39"/>
    <w:rsid w:val="26E03B86"/>
    <w:rsid w:val="26E5714E"/>
    <w:rsid w:val="277977B9"/>
    <w:rsid w:val="278060D3"/>
    <w:rsid w:val="27817123"/>
    <w:rsid w:val="2796417F"/>
    <w:rsid w:val="27EE79E5"/>
    <w:rsid w:val="28966B51"/>
    <w:rsid w:val="28AA26C7"/>
    <w:rsid w:val="28BE532C"/>
    <w:rsid w:val="28C36618"/>
    <w:rsid w:val="28CD0B68"/>
    <w:rsid w:val="29036481"/>
    <w:rsid w:val="29D335AD"/>
    <w:rsid w:val="29EB3A23"/>
    <w:rsid w:val="29FC6BA5"/>
    <w:rsid w:val="2A3335CD"/>
    <w:rsid w:val="2A42741A"/>
    <w:rsid w:val="2A5E2A81"/>
    <w:rsid w:val="2A955F72"/>
    <w:rsid w:val="2AAB5DE7"/>
    <w:rsid w:val="2ADC6E62"/>
    <w:rsid w:val="2AE61750"/>
    <w:rsid w:val="2B2D30AD"/>
    <w:rsid w:val="2B4E1731"/>
    <w:rsid w:val="2B840CEF"/>
    <w:rsid w:val="2B8E23A4"/>
    <w:rsid w:val="2BC34B28"/>
    <w:rsid w:val="2BC7066A"/>
    <w:rsid w:val="2BCC2AC0"/>
    <w:rsid w:val="2BE5710C"/>
    <w:rsid w:val="2BEF4671"/>
    <w:rsid w:val="2BF4566F"/>
    <w:rsid w:val="2C0223D5"/>
    <w:rsid w:val="2C0F0641"/>
    <w:rsid w:val="2CC9010B"/>
    <w:rsid w:val="2CFC5020"/>
    <w:rsid w:val="2D3C672F"/>
    <w:rsid w:val="2D5C161A"/>
    <w:rsid w:val="2D8C0CA9"/>
    <w:rsid w:val="2DB476A8"/>
    <w:rsid w:val="2DF3356B"/>
    <w:rsid w:val="2E211F3C"/>
    <w:rsid w:val="2E3C2B38"/>
    <w:rsid w:val="2E5E719D"/>
    <w:rsid w:val="2E8161AC"/>
    <w:rsid w:val="2E864028"/>
    <w:rsid w:val="2E8A51CB"/>
    <w:rsid w:val="2E9A469C"/>
    <w:rsid w:val="2EA90039"/>
    <w:rsid w:val="2EE74166"/>
    <w:rsid w:val="2F1B3FB6"/>
    <w:rsid w:val="2F351546"/>
    <w:rsid w:val="2F6E50EF"/>
    <w:rsid w:val="302F2916"/>
    <w:rsid w:val="30D70AF0"/>
    <w:rsid w:val="30E04FE4"/>
    <w:rsid w:val="318B6AEF"/>
    <w:rsid w:val="319B301C"/>
    <w:rsid w:val="31A16195"/>
    <w:rsid w:val="31C75B74"/>
    <w:rsid w:val="31DA3FA2"/>
    <w:rsid w:val="32020E00"/>
    <w:rsid w:val="32064B97"/>
    <w:rsid w:val="32262AF8"/>
    <w:rsid w:val="322724E2"/>
    <w:rsid w:val="323B56EB"/>
    <w:rsid w:val="325516D3"/>
    <w:rsid w:val="326A1263"/>
    <w:rsid w:val="328F02A0"/>
    <w:rsid w:val="32C93B11"/>
    <w:rsid w:val="32DD5CE2"/>
    <w:rsid w:val="32FA66E7"/>
    <w:rsid w:val="330453E1"/>
    <w:rsid w:val="33592AE7"/>
    <w:rsid w:val="33613E2E"/>
    <w:rsid w:val="339A2E9C"/>
    <w:rsid w:val="33C56533"/>
    <w:rsid w:val="33CA1B48"/>
    <w:rsid w:val="33D23AE7"/>
    <w:rsid w:val="33E82C54"/>
    <w:rsid w:val="33E84C6F"/>
    <w:rsid w:val="33EE16C5"/>
    <w:rsid w:val="33F7209D"/>
    <w:rsid w:val="34094D01"/>
    <w:rsid w:val="34373666"/>
    <w:rsid w:val="3448190B"/>
    <w:rsid w:val="344D638C"/>
    <w:rsid w:val="34623430"/>
    <w:rsid w:val="34A43D50"/>
    <w:rsid w:val="34CF6B76"/>
    <w:rsid w:val="3522336A"/>
    <w:rsid w:val="356614A1"/>
    <w:rsid w:val="35896407"/>
    <w:rsid w:val="35991723"/>
    <w:rsid w:val="35A4308C"/>
    <w:rsid w:val="35BA3378"/>
    <w:rsid w:val="35E43AC5"/>
    <w:rsid w:val="365C138D"/>
    <w:rsid w:val="365D3297"/>
    <w:rsid w:val="365F2FA1"/>
    <w:rsid w:val="36A12F8B"/>
    <w:rsid w:val="36A83DEA"/>
    <w:rsid w:val="36B75F37"/>
    <w:rsid w:val="36E6215E"/>
    <w:rsid w:val="370C6480"/>
    <w:rsid w:val="37197C52"/>
    <w:rsid w:val="373B1965"/>
    <w:rsid w:val="37464D41"/>
    <w:rsid w:val="376B5470"/>
    <w:rsid w:val="377F0339"/>
    <w:rsid w:val="378576A4"/>
    <w:rsid w:val="378661DC"/>
    <w:rsid w:val="378D144C"/>
    <w:rsid w:val="37CE36AA"/>
    <w:rsid w:val="37D912AF"/>
    <w:rsid w:val="37F938E1"/>
    <w:rsid w:val="381A4397"/>
    <w:rsid w:val="38AE536D"/>
    <w:rsid w:val="38CB45F6"/>
    <w:rsid w:val="38D70825"/>
    <w:rsid w:val="38F013CF"/>
    <w:rsid w:val="38F8681E"/>
    <w:rsid w:val="39120ACB"/>
    <w:rsid w:val="392873D2"/>
    <w:rsid w:val="393D2D73"/>
    <w:rsid w:val="393E267E"/>
    <w:rsid w:val="394936CA"/>
    <w:rsid w:val="394C7A4E"/>
    <w:rsid w:val="39BF7CCB"/>
    <w:rsid w:val="39DF5E7B"/>
    <w:rsid w:val="39FC031F"/>
    <w:rsid w:val="3A1563B6"/>
    <w:rsid w:val="3A4A20F0"/>
    <w:rsid w:val="3A63223A"/>
    <w:rsid w:val="3A683CF4"/>
    <w:rsid w:val="3A9D5677"/>
    <w:rsid w:val="3ADE2055"/>
    <w:rsid w:val="3AF50D0F"/>
    <w:rsid w:val="3B037BEE"/>
    <w:rsid w:val="3B0D436B"/>
    <w:rsid w:val="3B1B48C3"/>
    <w:rsid w:val="3B3D3804"/>
    <w:rsid w:val="3B6D0393"/>
    <w:rsid w:val="3BA42917"/>
    <w:rsid w:val="3BA709F1"/>
    <w:rsid w:val="3BE96E33"/>
    <w:rsid w:val="3C0250F7"/>
    <w:rsid w:val="3C0850EA"/>
    <w:rsid w:val="3C620FD2"/>
    <w:rsid w:val="3C6B3FB1"/>
    <w:rsid w:val="3CA57EE7"/>
    <w:rsid w:val="3CB54F9E"/>
    <w:rsid w:val="3CBE68F7"/>
    <w:rsid w:val="3CDE7AB5"/>
    <w:rsid w:val="3D430101"/>
    <w:rsid w:val="3D724CBB"/>
    <w:rsid w:val="3D9D3166"/>
    <w:rsid w:val="3DA576C2"/>
    <w:rsid w:val="3DD83EEF"/>
    <w:rsid w:val="3DF4772F"/>
    <w:rsid w:val="3E0266DA"/>
    <w:rsid w:val="3E120575"/>
    <w:rsid w:val="3E16030B"/>
    <w:rsid w:val="3E9F6B4F"/>
    <w:rsid w:val="3EB05AE8"/>
    <w:rsid w:val="3ECF7E9E"/>
    <w:rsid w:val="3F1359D9"/>
    <w:rsid w:val="3F181114"/>
    <w:rsid w:val="3F736F49"/>
    <w:rsid w:val="3F936427"/>
    <w:rsid w:val="400F12C7"/>
    <w:rsid w:val="40330355"/>
    <w:rsid w:val="40452F37"/>
    <w:rsid w:val="404B0D61"/>
    <w:rsid w:val="40555F24"/>
    <w:rsid w:val="4074430D"/>
    <w:rsid w:val="408332FD"/>
    <w:rsid w:val="408A49C4"/>
    <w:rsid w:val="409E72AD"/>
    <w:rsid w:val="40CD51FF"/>
    <w:rsid w:val="40D06FF7"/>
    <w:rsid w:val="41173673"/>
    <w:rsid w:val="412D0429"/>
    <w:rsid w:val="41890F84"/>
    <w:rsid w:val="41935AA8"/>
    <w:rsid w:val="41AF06E5"/>
    <w:rsid w:val="420F5CD5"/>
    <w:rsid w:val="422D088A"/>
    <w:rsid w:val="42672AE3"/>
    <w:rsid w:val="42E626B8"/>
    <w:rsid w:val="4310260B"/>
    <w:rsid w:val="43302ED5"/>
    <w:rsid w:val="439239BC"/>
    <w:rsid w:val="43960C56"/>
    <w:rsid w:val="43F6136F"/>
    <w:rsid w:val="445F05C2"/>
    <w:rsid w:val="44A67551"/>
    <w:rsid w:val="44BE0447"/>
    <w:rsid w:val="4522752F"/>
    <w:rsid w:val="455B34EE"/>
    <w:rsid w:val="45EA7CB3"/>
    <w:rsid w:val="45EB7527"/>
    <w:rsid w:val="46083C3C"/>
    <w:rsid w:val="4620416D"/>
    <w:rsid w:val="464D3E6C"/>
    <w:rsid w:val="466435C2"/>
    <w:rsid w:val="46806F6C"/>
    <w:rsid w:val="46895B7E"/>
    <w:rsid w:val="46971B71"/>
    <w:rsid w:val="46A00372"/>
    <w:rsid w:val="46B85657"/>
    <w:rsid w:val="46CD0AAD"/>
    <w:rsid w:val="471E3299"/>
    <w:rsid w:val="47230359"/>
    <w:rsid w:val="472C7632"/>
    <w:rsid w:val="47640A2A"/>
    <w:rsid w:val="47667C11"/>
    <w:rsid w:val="47976D64"/>
    <w:rsid w:val="47C84024"/>
    <w:rsid w:val="47D51828"/>
    <w:rsid w:val="47D56597"/>
    <w:rsid w:val="47ED6C78"/>
    <w:rsid w:val="4815401C"/>
    <w:rsid w:val="483B43E5"/>
    <w:rsid w:val="48745BFB"/>
    <w:rsid w:val="48A81E74"/>
    <w:rsid w:val="48B17B95"/>
    <w:rsid w:val="48CB4707"/>
    <w:rsid w:val="48FC59EA"/>
    <w:rsid w:val="49061368"/>
    <w:rsid w:val="490A1A5A"/>
    <w:rsid w:val="491B1607"/>
    <w:rsid w:val="49BA2155"/>
    <w:rsid w:val="49C03205"/>
    <w:rsid w:val="49E6074E"/>
    <w:rsid w:val="4A187B73"/>
    <w:rsid w:val="4A45370A"/>
    <w:rsid w:val="4A7D10F6"/>
    <w:rsid w:val="4A8357D3"/>
    <w:rsid w:val="4A896A3D"/>
    <w:rsid w:val="4A9B4458"/>
    <w:rsid w:val="4AA83FBD"/>
    <w:rsid w:val="4AC95400"/>
    <w:rsid w:val="4ACC757D"/>
    <w:rsid w:val="4AD75231"/>
    <w:rsid w:val="4B1332DA"/>
    <w:rsid w:val="4B3D3E36"/>
    <w:rsid w:val="4BAE3A09"/>
    <w:rsid w:val="4BE5166F"/>
    <w:rsid w:val="4C004579"/>
    <w:rsid w:val="4C011CB5"/>
    <w:rsid w:val="4C0F41D3"/>
    <w:rsid w:val="4C5335A6"/>
    <w:rsid w:val="4CB60BAC"/>
    <w:rsid w:val="4CCB6C1A"/>
    <w:rsid w:val="4CCC055B"/>
    <w:rsid w:val="4CCD679D"/>
    <w:rsid w:val="4D002EC4"/>
    <w:rsid w:val="4D234A65"/>
    <w:rsid w:val="4D645B95"/>
    <w:rsid w:val="4D6E2F78"/>
    <w:rsid w:val="4D840EA6"/>
    <w:rsid w:val="4DB712C8"/>
    <w:rsid w:val="4DF94646"/>
    <w:rsid w:val="4E217075"/>
    <w:rsid w:val="4E2E13A4"/>
    <w:rsid w:val="4E4978FA"/>
    <w:rsid w:val="4E707357"/>
    <w:rsid w:val="4E811D9C"/>
    <w:rsid w:val="4E975A2F"/>
    <w:rsid w:val="4ECB62BD"/>
    <w:rsid w:val="4F132D93"/>
    <w:rsid w:val="4F1E65B6"/>
    <w:rsid w:val="4F2215D0"/>
    <w:rsid w:val="4F385F62"/>
    <w:rsid w:val="4F3A01B4"/>
    <w:rsid w:val="4F7C2662"/>
    <w:rsid w:val="4F7C73A7"/>
    <w:rsid w:val="4F8A7BC1"/>
    <w:rsid w:val="4F8B7540"/>
    <w:rsid w:val="4FA67681"/>
    <w:rsid w:val="4FC03BB7"/>
    <w:rsid w:val="4FCB5D11"/>
    <w:rsid w:val="4FD6416C"/>
    <w:rsid w:val="4FEF0E15"/>
    <w:rsid w:val="50010D18"/>
    <w:rsid w:val="50251EFD"/>
    <w:rsid w:val="50490A1A"/>
    <w:rsid w:val="5054412B"/>
    <w:rsid w:val="5070182A"/>
    <w:rsid w:val="509E60CE"/>
    <w:rsid w:val="51350182"/>
    <w:rsid w:val="514A7DDE"/>
    <w:rsid w:val="51D90B7F"/>
    <w:rsid w:val="51E724FE"/>
    <w:rsid w:val="5242311F"/>
    <w:rsid w:val="527A50A7"/>
    <w:rsid w:val="5284158D"/>
    <w:rsid w:val="52B50C5A"/>
    <w:rsid w:val="52C221B5"/>
    <w:rsid w:val="52CD6292"/>
    <w:rsid w:val="53163E96"/>
    <w:rsid w:val="533B7406"/>
    <w:rsid w:val="53A72CFD"/>
    <w:rsid w:val="53B848D6"/>
    <w:rsid w:val="53CF0D45"/>
    <w:rsid w:val="541A5C3D"/>
    <w:rsid w:val="54664225"/>
    <w:rsid w:val="5494028B"/>
    <w:rsid w:val="54975600"/>
    <w:rsid w:val="54AE00FE"/>
    <w:rsid w:val="54B34286"/>
    <w:rsid w:val="54B424A6"/>
    <w:rsid w:val="54D50B1E"/>
    <w:rsid w:val="54DD0B09"/>
    <w:rsid w:val="553852FD"/>
    <w:rsid w:val="553D46AE"/>
    <w:rsid w:val="554F3275"/>
    <w:rsid w:val="557E23A2"/>
    <w:rsid w:val="55A91241"/>
    <w:rsid w:val="55B84A33"/>
    <w:rsid w:val="55BD329A"/>
    <w:rsid w:val="55E157DD"/>
    <w:rsid w:val="56B116AB"/>
    <w:rsid w:val="56FC16C3"/>
    <w:rsid w:val="570829E1"/>
    <w:rsid w:val="57B5615E"/>
    <w:rsid w:val="57B86E53"/>
    <w:rsid w:val="57C97459"/>
    <w:rsid w:val="584743F2"/>
    <w:rsid w:val="587C4EEC"/>
    <w:rsid w:val="587F41EE"/>
    <w:rsid w:val="58851615"/>
    <w:rsid w:val="58B21DED"/>
    <w:rsid w:val="58BF552E"/>
    <w:rsid w:val="58F3018E"/>
    <w:rsid w:val="59655DE8"/>
    <w:rsid w:val="59AA3E42"/>
    <w:rsid w:val="59C559E9"/>
    <w:rsid w:val="5A061B67"/>
    <w:rsid w:val="5A107862"/>
    <w:rsid w:val="5A1E2E4C"/>
    <w:rsid w:val="5A2F7AF3"/>
    <w:rsid w:val="5A303418"/>
    <w:rsid w:val="5A72163D"/>
    <w:rsid w:val="5AB35F4C"/>
    <w:rsid w:val="5ACB1A0A"/>
    <w:rsid w:val="5ACB66A0"/>
    <w:rsid w:val="5AD31898"/>
    <w:rsid w:val="5AF80C77"/>
    <w:rsid w:val="5AF92E38"/>
    <w:rsid w:val="5B061EEA"/>
    <w:rsid w:val="5B0B5357"/>
    <w:rsid w:val="5B1A5B33"/>
    <w:rsid w:val="5B93523E"/>
    <w:rsid w:val="5BC6081F"/>
    <w:rsid w:val="5BCB373A"/>
    <w:rsid w:val="5BFE2ECC"/>
    <w:rsid w:val="5C09332D"/>
    <w:rsid w:val="5C2241EA"/>
    <w:rsid w:val="5C427612"/>
    <w:rsid w:val="5CAE3391"/>
    <w:rsid w:val="5CEA67F5"/>
    <w:rsid w:val="5D0B72B7"/>
    <w:rsid w:val="5D2F3E81"/>
    <w:rsid w:val="5D3A3002"/>
    <w:rsid w:val="5D5C74CD"/>
    <w:rsid w:val="5D9D650F"/>
    <w:rsid w:val="5DB541FC"/>
    <w:rsid w:val="5DC60B7B"/>
    <w:rsid w:val="5DE75350"/>
    <w:rsid w:val="5DF632D6"/>
    <w:rsid w:val="5DFE85A4"/>
    <w:rsid w:val="5E005F94"/>
    <w:rsid w:val="5E226469"/>
    <w:rsid w:val="5E400F94"/>
    <w:rsid w:val="5E872B41"/>
    <w:rsid w:val="5E8D25FF"/>
    <w:rsid w:val="5EB91925"/>
    <w:rsid w:val="5EE9514B"/>
    <w:rsid w:val="5EEA4405"/>
    <w:rsid w:val="5F0D6980"/>
    <w:rsid w:val="5F3D56E4"/>
    <w:rsid w:val="5F7807E8"/>
    <w:rsid w:val="5F8F1CCA"/>
    <w:rsid w:val="5FD567BC"/>
    <w:rsid w:val="5FD93481"/>
    <w:rsid w:val="5FF45A39"/>
    <w:rsid w:val="600A145C"/>
    <w:rsid w:val="601C7FF7"/>
    <w:rsid w:val="601E2C61"/>
    <w:rsid w:val="60345CAD"/>
    <w:rsid w:val="604E7CF8"/>
    <w:rsid w:val="60951E5E"/>
    <w:rsid w:val="60C61354"/>
    <w:rsid w:val="611B5A95"/>
    <w:rsid w:val="61637845"/>
    <w:rsid w:val="616C642D"/>
    <w:rsid w:val="61743132"/>
    <w:rsid w:val="619A3CD5"/>
    <w:rsid w:val="61CE53C5"/>
    <w:rsid w:val="623A1223"/>
    <w:rsid w:val="624B649A"/>
    <w:rsid w:val="62590A51"/>
    <w:rsid w:val="62636F1C"/>
    <w:rsid w:val="628840AC"/>
    <w:rsid w:val="62A14F38"/>
    <w:rsid w:val="62B2525D"/>
    <w:rsid w:val="62B4404D"/>
    <w:rsid w:val="62E4555A"/>
    <w:rsid w:val="633C3A66"/>
    <w:rsid w:val="635316CE"/>
    <w:rsid w:val="636662E6"/>
    <w:rsid w:val="639C4864"/>
    <w:rsid w:val="63B46F70"/>
    <w:rsid w:val="63CC7EC7"/>
    <w:rsid w:val="63DD2BD2"/>
    <w:rsid w:val="63E35DF8"/>
    <w:rsid w:val="64744580"/>
    <w:rsid w:val="64820488"/>
    <w:rsid w:val="64B15EB8"/>
    <w:rsid w:val="64B2485B"/>
    <w:rsid w:val="65347477"/>
    <w:rsid w:val="65366619"/>
    <w:rsid w:val="655D18A4"/>
    <w:rsid w:val="65BA5ECB"/>
    <w:rsid w:val="65DC4FC3"/>
    <w:rsid w:val="65ED39EF"/>
    <w:rsid w:val="661D1CBA"/>
    <w:rsid w:val="6699415C"/>
    <w:rsid w:val="66A345A3"/>
    <w:rsid w:val="66C93DB8"/>
    <w:rsid w:val="6703250B"/>
    <w:rsid w:val="672735E8"/>
    <w:rsid w:val="67373B2C"/>
    <w:rsid w:val="673E2FAD"/>
    <w:rsid w:val="677907D4"/>
    <w:rsid w:val="677B2F49"/>
    <w:rsid w:val="6782583F"/>
    <w:rsid w:val="67A8253D"/>
    <w:rsid w:val="67DB9BAC"/>
    <w:rsid w:val="67EE6C5E"/>
    <w:rsid w:val="680E4C29"/>
    <w:rsid w:val="6896659C"/>
    <w:rsid w:val="68F22FB3"/>
    <w:rsid w:val="69026F3E"/>
    <w:rsid w:val="69040F22"/>
    <w:rsid w:val="690D529F"/>
    <w:rsid w:val="691741BA"/>
    <w:rsid w:val="69404255"/>
    <w:rsid w:val="695612B7"/>
    <w:rsid w:val="6983580F"/>
    <w:rsid w:val="69961679"/>
    <w:rsid w:val="69D55525"/>
    <w:rsid w:val="69E12289"/>
    <w:rsid w:val="69E52602"/>
    <w:rsid w:val="69F12C12"/>
    <w:rsid w:val="69F85C4B"/>
    <w:rsid w:val="6A0B6749"/>
    <w:rsid w:val="6A462E5B"/>
    <w:rsid w:val="6A941EE2"/>
    <w:rsid w:val="6AA12E96"/>
    <w:rsid w:val="6B142F59"/>
    <w:rsid w:val="6B191868"/>
    <w:rsid w:val="6B2D7F4D"/>
    <w:rsid w:val="6B391FC4"/>
    <w:rsid w:val="6B6415CC"/>
    <w:rsid w:val="6B725C27"/>
    <w:rsid w:val="6BA72D16"/>
    <w:rsid w:val="6BAF252C"/>
    <w:rsid w:val="6BC76EEF"/>
    <w:rsid w:val="6BF71620"/>
    <w:rsid w:val="6C692E30"/>
    <w:rsid w:val="6CD07E03"/>
    <w:rsid w:val="6CDC1B25"/>
    <w:rsid w:val="6CF20C90"/>
    <w:rsid w:val="6CF55EE7"/>
    <w:rsid w:val="6D0A5679"/>
    <w:rsid w:val="6D274E65"/>
    <w:rsid w:val="6D35349C"/>
    <w:rsid w:val="6DC2F6AF"/>
    <w:rsid w:val="6E3B0A35"/>
    <w:rsid w:val="6E617936"/>
    <w:rsid w:val="6E64080E"/>
    <w:rsid w:val="6E836E66"/>
    <w:rsid w:val="6E8B3884"/>
    <w:rsid w:val="6E922416"/>
    <w:rsid w:val="6E9A3775"/>
    <w:rsid w:val="6ECB182C"/>
    <w:rsid w:val="6EEA7644"/>
    <w:rsid w:val="6EEE586F"/>
    <w:rsid w:val="6EF374CD"/>
    <w:rsid w:val="6EFB7FD5"/>
    <w:rsid w:val="6F363068"/>
    <w:rsid w:val="6F3D3DDE"/>
    <w:rsid w:val="6F77E2A4"/>
    <w:rsid w:val="6F7C126C"/>
    <w:rsid w:val="6FB830E8"/>
    <w:rsid w:val="6FEA5E6C"/>
    <w:rsid w:val="6FEF445D"/>
    <w:rsid w:val="70147557"/>
    <w:rsid w:val="70195AE2"/>
    <w:rsid w:val="70233379"/>
    <w:rsid w:val="703273BA"/>
    <w:rsid w:val="70621F78"/>
    <w:rsid w:val="70622071"/>
    <w:rsid w:val="706D7EFF"/>
    <w:rsid w:val="70900C9D"/>
    <w:rsid w:val="70990BE0"/>
    <w:rsid w:val="70D00331"/>
    <w:rsid w:val="71466F01"/>
    <w:rsid w:val="71D97BD7"/>
    <w:rsid w:val="71DC5AD4"/>
    <w:rsid w:val="72170B15"/>
    <w:rsid w:val="72210BEB"/>
    <w:rsid w:val="722D43F7"/>
    <w:rsid w:val="72817588"/>
    <w:rsid w:val="729565A6"/>
    <w:rsid w:val="72975FE7"/>
    <w:rsid w:val="72BB1C50"/>
    <w:rsid w:val="72BD1547"/>
    <w:rsid w:val="72CE59A2"/>
    <w:rsid w:val="72D02A03"/>
    <w:rsid w:val="72F71CE0"/>
    <w:rsid w:val="730513DA"/>
    <w:rsid w:val="738F4C25"/>
    <w:rsid w:val="73954547"/>
    <w:rsid w:val="73C61AAF"/>
    <w:rsid w:val="7405578E"/>
    <w:rsid w:val="740622E5"/>
    <w:rsid w:val="74245921"/>
    <w:rsid w:val="74994F19"/>
    <w:rsid w:val="74EC2851"/>
    <w:rsid w:val="75332BD9"/>
    <w:rsid w:val="7549409D"/>
    <w:rsid w:val="754E6641"/>
    <w:rsid w:val="75511F93"/>
    <w:rsid w:val="755702EC"/>
    <w:rsid w:val="755A18A0"/>
    <w:rsid w:val="75622B13"/>
    <w:rsid w:val="756714AE"/>
    <w:rsid w:val="756D3404"/>
    <w:rsid w:val="759B3E2D"/>
    <w:rsid w:val="759F3CDD"/>
    <w:rsid w:val="75A7007A"/>
    <w:rsid w:val="75A823AB"/>
    <w:rsid w:val="75F30DB1"/>
    <w:rsid w:val="76576F7D"/>
    <w:rsid w:val="765D4BDE"/>
    <w:rsid w:val="76987597"/>
    <w:rsid w:val="76A36ECC"/>
    <w:rsid w:val="76CE02F2"/>
    <w:rsid w:val="76FB50AD"/>
    <w:rsid w:val="77053749"/>
    <w:rsid w:val="77112281"/>
    <w:rsid w:val="771732C7"/>
    <w:rsid w:val="77247BB4"/>
    <w:rsid w:val="77B169C2"/>
    <w:rsid w:val="77E236CF"/>
    <w:rsid w:val="77E425EF"/>
    <w:rsid w:val="78C91297"/>
    <w:rsid w:val="78F51F09"/>
    <w:rsid w:val="7902696A"/>
    <w:rsid w:val="791E38B3"/>
    <w:rsid w:val="79535D1B"/>
    <w:rsid w:val="795E3DD1"/>
    <w:rsid w:val="79B03E9D"/>
    <w:rsid w:val="79BC326B"/>
    <w:rsid w:val="79EB7293"/>
    <w:rsid w:val="79F06ECD"/>
    <w:rsid w:val="79F63C5C"/>
    <w:rsid w:val="79FA4D95"/>
    <w:rsid w:val="79FC146F"/>
    <w:rsid w:val="7A0D4B3C"/>
    <w:rsid w:val="7A4714C9"/>
    <w:rsid w:val="7A666614"/>
    <w:rsid w:val="7A8157E9"/>
    <w:rsid w:val="7A9859BB"/>
    <w:rsid w:val="7B0331A2"/>
    <w:rsid w:val="7B15385D"/>
    <w:rsid w:val="7B4423FD"/>
    <w:rsid w:val="7B4A229F"/>
    <w:rsid w:val="7B784258"/>
    <w:rsid w:val="7B9D3C3F"/>
    <w:rsid w:val="7BA01165"/>
    <w:rsid w:val="7BB921DB"/>
    <w:rsid w:val="7BBA6ECC"/>
    <w:rsid w:val="7BD067C2"/>
    <w:rsid w:val="7BFF4C55"/>
    <w:rsid w:val="7C07182B"/>
    <w:rsid w:val="7C3D774D"/>
    <w:rsid w:val="7C72542F"/>
    <w:rsid w:val="7C8C4E16"/>
    <w:rsid w:val="7CA31EB3"/>
    <w:rsid w:val="7CBF1C41"/>
    <w:rsid w:val="7CC9772B"/>
    <w:rsid w:val="7CF14FFE"/>
    <w:rsid w:val="7D7168E4"/>
    <w:rsid w:val="7D763BC4"/>
    <w:rsid w:val="7D7F4EE0"/>
    <w:rsid w:val="7D943F20"/>
    <w:rsid w:val="7DBE2F74"/>
    <w:rsid w:val="7DCE109B"/>
    <w:rsid w:val="7DF740E9"/>
    <w:rsid w:val="7E932B20"/>
    <w:rsid w:val="7EA80065"/>
    <w:rsid w:val="7ED07010"/>
    <w:rsid w:val="7EDBEC2A"/>
    <w:rsid w:val="7EF79F78"/>
    <w:rsid w:val="7EFF0D20"/>
    <w:rsid w:val="7F210069"/>
    <w:rsid w:val="7F307FA6"/>
    <w:rsid w:val="7F587F69"/>
    <w:rsid w:val="7F996F32"/>
    <w:rsid w:val="7FBA2792"/>
    <w:rsid w:val="7FBC3959"/>
    <w:rsid w:val="7FBF06F2"/>
    <w:rsid w:val="7FDD6B9E"/>
    <w:rsid w:val="AFFE8D0F"/>
    <w:rsid w:val="EBDF181A"/>
    <w:rsid w:val="EE5DA99A"/>
    <w:rsid w:val="FBB17288"/>
    <w:rsid w:val="FDFF2670"/>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6"/>
    <w:qFormat/>
    <w:uiPriority w:val="0"/>
    <w:pPr>
      <w:keepNext/>
      <w:keepLines/>
      <w:spacing w:before="340" w:beforeLines="0" w:after="330" w:afterLines="0" w:line="578" w:lineRule="auto"/>
      <w:outlineLvl w:val="0"/>
    </w:pPr>
    <w:rPr>
      <w:b/>
      <w:bCs/>
      <w:kern w:val="44"/>
      <w:sz w:val="44"/>
      <w:szCs w:val="44"/>
    </w:rPr>
  </w:style>
  <w:style w:type="paragraph" w:styleId="4">
    <w:name w:val="heading 2"/>
    <w:basedOn w:val="1"/>
    <w:next w:val="1"/>
    <w:link w:val="81"/>
    <w:qFormat/>
    <w:uiPriority w:val="0"/>
    <w:pPr>
      <w:keepNext/>
      <w:keepLines/>
      <w:spacing w:before="260" w:beforeLines="0" w:after="260" w:afterLines="0" w:line="416" w:lineRule="auto"/>
      <w:outlineLvl w:val="1"/>
    </w:pPr>
    <w:rPr>
      <w:rFonts w:ascii="Cambria" w:hAnsi="Cambria"/>
      <w:b/>
      <w:bCs/>
      <w:kern w:val="0"/>
      <w:sz w:val="32"/>
      <w:szCs w:val="32"/>
    </w:rPr>
  </w:style>
  <w:style w:type="paragraph" w:styleId="5">
    <w:name w:val="heading 3"/>
    <w:basedOn w:val="1"/>
    <w:next w:val="1"/>
    <w:link w:val="88"/>
    <w:qFormat/>
    <w:uiPriority w:val="0"/>
    <w:pPr>
      <w:keepNext/>
      <w:keepLines/>
      <w:spacing w:before="260" w:beforeLines="0" w:after="260" w:afterLines="0" w:line="416" w:lineRule="auto"/>
      <w:outlineLvl w:val="2"/>
    </w:pPr>
    <w:rPr>
      <w:b/>
      <w:bCs/>
      <w:sz w:val="32"/>
      <w:szCs w:val="32"/>
    </w:rPr>
  </w:style>
  <w:style w:type="paragraph" w:styleId="6">
    <w:name w:val="heading 4"/>
    <w:basedOn w:val="1"/>
    <w:next w:val="1"/>
    <w:qFormat/>
    <w:uiPriority w:val="0"/>
    <w:pPr>
      <w:widowControl/>
      <w:spacing w:before="100" w:beforeLines="0" w:beforeAutospacing="1" w:after="100" w:afterLines="0" w:afterAutospacing="1"/>
      <w:jc w:val="left"/>
      <w:outlineLvl w:val="3"/>
    </w:pPr>
    <w:rPr>
      <w:rFonts w:ascii="宋体" w:hAnsi="宋体" w:cs="宋体"/>
      <w:b/>
      <w:bCs/>
      <w:kern w:val="0"/>
      <w:sz w:val="24"/>
    </w:rPr>
  </w:style>
  <w:style w:type="paragraph" w:styleId="7">
    <w:name w:val="heading 5"/>
    <w:basedOn w:val="1"/>
    <w:next w:val="1"/>
    <w:qFormat/>
    <w:uiPriority w:val="0"/>
    <w:pPr>
      <w:widowControl/>
      <w:spacing w:before="100" w:beforeLines="0" w:beforeAutospacing="1" w:after="100" w:afterLines="0" w:afterAutospacing="1"/>
      <w:jc w:val="left"/>
      <w:outlineLvl w:val="4"/>
    </w:pPr>
    <w:rPr>
      <w:rFonts w:ascii="宋体" w:hAnsi="宋体" w:cs="宋体"/>
      <w:b/>
      <w:bCs/>
      <w:kern w:val="0"/>
      <w:sz w:val="20"/>
      <w:szCs w:val="20"/>
    </w:rPr>
  </w:style>
  <w:style w:type="paragraph" w:styleId="8">
    <w:name w:val="heading 9"/>
    <w:basedOn w:val="1"/>
    <w:next w:val="1"/>
    <w:link w:val="83"/>
    <w:qFormat/>
    <w:uiPriority w:val="0"/>
    <w:pPr>
      <w:keepNext/>
      <w:keepLines/>
      <w:spacing w:before="240" w:after="64" w:line="320" w:lineRule="auto"/>
      <w:outlineLvl w:val="8"/>
    </w:pPr>
    <w:rPr>
      <w:rFonts w:ascii="等线 Light" w:hAnsi="等线 Light" w:eastAsia="等线 Light"/>
      <w:szCs w:val="21"/>
    </w:rPr>
  </w:style>
  <w:style w:type="character" w:default="1" w:styleId="36">
    <w:name w:val="Default Paragraph Font"/>
    <w:semiHidden/>
    <w:qFormat/>
    <w:uiPriority w:val="0"/>
  </w:style>
  <w:style w:type="table" w:default="1" w:styleId="34">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1"/>
    <w:qFormat/>
    <w:uiPriority w:val="0"/>
    <w:pPr>
      <w:keepNext w:val="0"/>
      <w:keepLines w:val="0"/>
      <w:widowControl w:val="0"/>
      <w:suppressLineNumbers w:val="0"/>
      <w:spacing w:after="120" w:afterAutospacing="0"/>
      <w:jc w:val="both"/>
    </w:pPr>
    <w:rPr>
      <w:rFonts w:hint="default" w:ascii="Times New Roman" w:hAnsi="Times New Roman" w:eastAsia="宋体" w:cs="Times New Roman"/>
      <w:kern w:val="2"/>
      <w:sz w:val="21"/>
      <w:szCs w:val="21"/>
      <w:lang w:val="en-US" w:eastAsia="zh-CN" w:bidi="ar"/>
    </w:rPr>
  </w:style>
  <w:style w:type="paragraph" w:styleId="9">
    <w:name w:val="toc 7"/>
    <w:basedOn w:val="1"/>
    <w:next w:val="1"/>
    <w:unhideWhenUsed/>
    <w:qFormat/>
    <w:uiPriority w:val="39"/>
    <w:pPr>
      <w:ind w:left="2520" w:leftChars="1200"/>
    </w:pPr>
    <w:rPr>
      <w:rFonts w:ascii="等线" w:hAnsi="等线" w:eastAsia="等线" w:cs="Times New Roman"/>
      <w:szCs w:val="22"/>
    </w:rPr>
  </w:style>
  <w:style w:type="paragraph" w:styleId="10">
    <w:name w:val="table of authorities"/>
    <w:basedOn w:val="1"/>
    <w:next w:val="1"/>
    <w:qFormat/>
    <w:uiPriority w:val="99"/>
    <w:pPr>
      <w:ind w:left="420" w:leftChars="200"/>
    </w:pPr>
  </w:style>
  <w:style w:type="paragraph" w:styleId="11">
    <w:name w:val="Normal Indent"/>
    <w:basedOn w:val="12"/>
    <w:qFormat/>
    <w:uiPriority w:val="0"/>
    <w:pPr>
      <w:adjustRightInd w:val="0"/>
      <w:spacing w:line="480" w:lineRule="atLeast"/>
      <w:ind w:firstLine="600"/>
      <w:textAlignment w:val="baseline"/>
    </w:pPr>
    <w:rPr>
      <w:rFonts w:eastAsia="仿宋_GB2312"/>
      <w:kern w:val="0"/>
      <w:sz w:val="30"/>
      <w:szCs w:val="20"/>
    </w:rPr>
  </w:style>
  <w:style w:type="paragraph" w:styleId="12">
    <w:name w:val="Balloon Text"/>
    <w:basedOn w:val="1"/>
    <w:link w:val="87"/>
    <w:qFormat/>
    <w:uiPriority w:val="0"/>
    <w:rPr>
      <w:sz w:val="18"/>
      <w:szCs w:val="18"/>
    </w:rPr>
  </w:style>
  <w:style w:type="paragraph" w:styleId="13">
    <w:name w:val="annotation text"/>
    <w:basedOn w:val="1"/>
    <w:link w:val="82"/>
    <w:qFormat/>
    <w:uiPriority w:val="99"/>
    <w:pPr>
      <w:jc w:val="left"/>
    </w:pPr>
  </w:style>
  <w:style w:type="paragraph" w:styleId="14">
    <w:name w:val="Body Text Indent"/>
    <w:basedOn w:val="1"/>
    <w:next w:val="1"/>
    <w:qFormat/>
    <w:uiPriority w:val="0"/>
    <w:pPr>
      <w:ind w:firstLine="407" w:firstLineChars="200"/>
    </w:pPr>
  </w:style>
  <w:style w:type="paragraph" w:styleId="15">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6">
    <w:name w:val="toc 5"/>
    <w:basedOn w:val="1"/>
    <w:next w:val="1"/>
    <w:unhideWhenUsed/>
    <w:qFormat/>
    <w:uiPriority w:val="39"/>
    <w:pPr>
      <w:ind w:left="1680" w:leftChars="800"/>
    </w:pPr>
    <w:rPr>
      <w:rFonts w:ascii="等线" w:hAnsi="等线" w:eastAsia="等线" w:cs="Times New Roman"/>
      <w:szCs w:val="22"/>
    </w:rPr>
  </w:style>
  <w:style w:type="paragraph" w:styleId="17">
    <w:name w:val="toc 3"/>
    <w:basedOn w:val="1"/>
    <w:next w:val="1"/>
    <w:qFormat/>
    <w:uiPriority w:val="39"/>
    <w:pPr>
      <w:keepNext w:val="0"/>
      <w:keepLines w:val="0"/>
      <w:spacing w:before="0" w:after="0" w:line="240" w:lineRule="auto"/>
      <w:ind w:left="420"/>
      <w:jc w:val="left"/>
      <w:outlineLvl w:val="9"/>
    </w:pPr>
    <w:rPr>
      <w:i/>
      <w:iCs/>
      <w:sz w:val="20"/>
      <w:szCs w:val="20"/>
    </w:rPr>
  </w:style>
  <w:style w:type="paragraph" w:styleId="18">
    <w:name w:val="Plain Text"/>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Courier New"/>
      <w:kern w:val="2"/>
      <w:sz w:val="21"/>
      <w:szCs w:val="21"/>
      <w:lang w:val="en-US" w:eastAsia="zh-CN" w:bidi="ar"/>
    </w:rPr>
  </w:style>
  <w:style w:type="paragraph" w:styleId="19">
    <w:name w:val="toc 8"/>
    <w:basedOn w:val="1"/>
    <w:next w:val="1"/>
    <w:unhideWhenUsed/>
    <w:qFormat/>
    <w:uiPriority w:val="39"/>
    <w:pPr>
      <w:ind w:left="2940" w:leftChars="1400"/>
    </w:pPr>
    <w:rPr>
      <w:rFonts w:ascii="等线" w:hAnsi="等线" w:eastAsia="等线" w:cs="Times New Roman"/>
      <w:szCs w:val="22"/>
    </w:rPr>
  </w:style>
  <w:style w:type="paragraph" w:styleId="20">
    <w:name w:val="Date"/>
    <w:basedOn w:val="1"/>
    <w:next w:val="1"/>
    <w:link w:val="77"/>
    <w:qFormat/>
    <w:uiPriority w:val="0"/>
    <w:pPr>
      <w:ind w:left="100" w:leftChars="2500"/>
    </w:pPr>
  </w:style>
  <w:style w:type="paragraph" w:styleId="21">
    <w:name w:val="Body Text Indent 2"/>
    <w:basedOn w:val="1"/>
    <w:qFormat/>
    <w:uiPriority w:val="0"/>
    <w:pPr>
      <w:widowControl/>
      <w:spacing w:line="480" w:lineRule="auto"/>
      <w:ind w:firstLine="560"/>
      <w:jc w:val="left"/>
    </w:pPr>
    <w:rPr>
      <w:kern w:val="0"/>
      <w:sz w:val="28"/>
    </w:rPr>
  </w:style>
  <w:style w:type="paragraph" w:styleId="22">
    <w:name w:val="footer"/>
    <w:basedOn w:val="1"/>
    <w:qFormat/>
    <w:uiPriority w:val="99"/>
    <w:pPr>
      <w:tabs>
        <w:tab w:val="center" w:pos="4153"/>
        <w:tab w:val="right" w:pos="8306"/>
      </w:tabs>
      <w:snapToGrid w:val="0"/>
      <w:jc w:val="left"/>
    </w:pPr>
    <w:rPr>
      <w:sz w:val="18"/>
      <w:szCs w:val="18"/>
    </w:rPr>
  </w:style>
  <w:style w:type="paragraph" w:styleId="2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4">
    <w:name w:val="toc 1"/>
    <w:basedOn w:val="1"/>
    <w:next w:val="1"/>
    <w:qFormat/>
    <w:uiPriority w:val="39"/>
    <w:pPr>
      <w:keepNext w:val="0"/>
      <w:keepLines w:val="0"/>
      <w:spacing w:before="120" w:after="120" w:line="240" w:lineRule="auto"/>
      <w:jc w:val="left"/>
      <w:outlineLvl w:val="9"/>
    </w:pPr>
    <w:rPr>
      <w:caps/>
      <w:kern w:val="2"/>
      <w:sz w:val="20"/>
      <w:szCs w:val="20"/>
    </w:rPr>
  </w:style>
  <w:style w:type="paragraph" w:styleId="25">
    <w:name w:val="toc 4"/>
    <w:basedOn w:val="1"/>
    <w:next w:val="1"/>
    <w:unhideWhenUsed/>
    <w:qFormat/>
    <w:uiPriority w:val="39"/>
    <w:pPr>
      <w:ind w:left="1260" w:leftChars="600"/>
    </w:pPr>
    <w:rPr>
      <w:rFonts w:ascii="等线" w:hAnsi="等线" w:eastAsia="等线" w:cs="Times New Roman"/>
      <w:szCs w:val="22"/>
    </w:rPr>
  </w:style>
  <w:style w:type="paragraph" w:styleId="26">
    <w:name w:val="Subtitle"/>
    <w:basedOn w:val="1"/>
    <w:link w:val="80"/>
    <w:qFormat/>
    <w:uiPriority w:val="0"/>
    <w:pPr>
      <w:widowControl/>
      <w:jc w:val="center"/>
    </w:pPr>
    <w:rPr>
      <w:kern w:val="0"/>
      <w:sz w:val="20"/>
      <w:u w:val="single"/>
      <w:lang w:eastAsia="en-US"/>
    </w:rPr>
  </w:style>
  <w:style w:type="paragraph" w:styleId="27">
    <w:name w:val="toc 6"/>
    <w:basedOn w:val="1"/>
    <w:next w:val="1"/>
    <w:unhideWhenUsed/>
    <w:qFormat/>
    <w:uiPriority w:val="39"/>
    <w:pPr>
      <w:ind w:left="2100" w:leftChars="1000"/>
    </w:pPr>
    <w:rPr>
      <w:rFonts w:ascii="等线" w:hAnsi="等线" w:eastAsia="等线" w:cs="Times New Roman"/>
      <w:szCs w:val="22"/>
    </w:rPr>
  </w:style>
  <w:style w:type="paragraph" w:styleId="28">
    <w:name w:val="toc 2"/>
    <w:basedOn w:val="4"/>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29">
    <w:name w:val="toc 9"/>
    <w:basedOn w:val="1"/>
    <w:next w:val="1"/>
    <w:unhideWhenUsed/>
    <w:qFormat/>
    <w:uiPriority w:val="39"/>
    <w:pPr>
      <w:ind w:left="3360" w:leftChars="1600"/>
    </w:pPr>
    <w:rPr>
      <w:rFonts w:ascii="等线" w:hAnsi="等线" w:eastAsia="等线" w:cs="Times New Roman"/>
      <w:szCs w:val="22"/>
    </w:rPr>
  </w:style>
  <w:style w:type="paragraph" w:styleId="30">
    <w:name w:val="Body Text 2"/>
    <w:basedOn w:val="1"/>
    <w:qFormat/>
    <w:uiPriority w:val="0"/>
    <w:rPr>
      <w:i/>
      <w:iCs/>
      <w:sz w:val="26"/>
    </w:rPr>
  </w:style>
  <w:style w:type="paragraph" w:styleId="31">
    <w:name w:val="Normal (Web)"/>
    <w:basedOn w:val="1"/>
    <w:qFormat/>
    <w:uiPriority w:val="0"/>
    <w:rPr>
      <w:sz w:val="24"/>
    </w:rPr>
  </w:style>
  <w:style w:type="paragraph" w:styleId="32">
    <w:name w:val="annotation subject"/>
    <w:basedOn w:val="13"/>
    <w:next w:val="13"/>
    <w:link w:val="79"/>
    <w:qFormat/>
    <w:uiPriority w:val="0"/>
    <w:rPr>
      <w:b/>
      <w:bCs/>
    </w:rPr>
  </w:style>
  <w:style w:type="paragraph" w:styleId="33">
    <w:name w:val="Body Text First Indent 2"/>
    <w:basedOn w:val="14"/>
    <w:next w:val="1"/>
    <w:qFormat/>
    <w:uiPriority w:val="0"/>
    <w:pPr>
      <w:spacing w:after="120"/>
      <w:ind w:left="420" w:leftChars="200" w:firstLine="420"/>
    </w:pPr>
    <w:rPr>
      <w:szCs w:val="20"/>
    </w:rPr>
  </w:style>
  <w:style w:type="table" w:styleId="35">
    <w:name w:val="Table Grid"/>
    <w:basedOn w:val="3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7">
    <w:name w:val="page number"/>
    <w:basedOn w:val="36"/>
    <w:qFormat/>
    <w:uiPriority w:val="0"/>
  </w:style>
  <w:style w:type="character" w:styleId="38">
    <w:name w:val="Hyperlink"/>
    <w:qFormat/>
    <w:uiPriority w:val="99"/>
    <w:rPr>
      <w:color w:val="0000FF"/>
      <w:u w:val="single"/>
    </w:rPr>
  </w:style>
  <w:style w:type="character" w:styleId="39">
    <w:name w:val="annotation reference"/>
    <w:qFormat/>
    <w:uiPriority w:val="0"/>
    <w:rPr>
      <w:sz w:val="21"/>
      <w:szCs w:val="21"/>
    </w:rPr>
  </w:style>
  <w:style w:type="paragraph" w:customStyle="1" w:styleId="40">
    <w:name w:val="样式 标题 3 + (中文) 黑体 小四 非加粗 段前: 7.8 磅 段后: 0 磅 行距: 固定值 20 磅"/>
    <w:basedOn w:val="5"/>
    <w:qFormat/>
    <w:uiPriority w:val="0"/>
    <w:pPr>
      <w:numPr>
        <w:ilvl w:val="0"/>
        <w:numId w:val="0"/>
      </w:numPr>
      <w:spacing w:before="0" w:after="0" w:line="400" w:lineRule="exact"/>
    </w:pPr>
    <w:rPr>
      <w:rFonts w:eastAsia="黑体" w:cs="宋体"/>
      <w:b w:val="0"/>
      <w:sz w:val="24"/>
    </w:rPr>
  </w:style>
  <w:style w:type="paragraph" w:customStyle="1" w:styleId="41">
    <w:name w:val="Normal_4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2">
    <w:name w:val="_Style 37"/>
    <w:unhideWhenUsed/>
    <w:qFormat/>
    <w:uiPriority w:val="99"/>
    <w:rPr>
      <w:rFonts w:ascii="Times New Roman" w:hAnsi="Times New Roman" w:eastAsia="宋体" w:cs="Times New Roman"/>
      <w:kern w:val="2"/>
      <w:sz w:val="21"/>
      <w:szCs w:val="24"/>
      <w:lang w:val="en-US" w:eastAsia="zh-CN" w:bidi="ar-SA"/>
    </w:rPr>
  </w:style>
  <w:style w:type="paragraph" w:customStyle="1" w:styleId="43">
    <w:name w:val="Table Paragraph"/>
    <w:basedOn w:val="1"/>
    <w:qFormat/>
    <w:uiPriority w:val="99"/>
    <w:pPr>
      <w:autoSpaceDE w:val="0"/>
      <w:autoSpaceDN w:val="0"/>
      <w:jc w:val="left"/>
    </w:pPr>
    <w:rPr>
      <w:rFonts w:ascii="微软雅黑" w:hAnsi="微软雅黑" w:eastAsia="微软雅黑" w:cs="微软雅黑"/>
      <w:kern w:val="0"/>
      <w:sz w:val="22"/>
      <w:szCs w:val="22"/>
      <w:lang w:val="zh-CN" w:bidi="zh-CN"/>
    </w:rPr>
  </w:style>
  <w:style w:type="paragraph" w:customStyle="1" w:styleId="44">
    <w:name w:val="_Style 10"/>
    <w:basedOn w:val="3"/>
    <w:next w:val="1"/>
    <w:qFormat/>
    <w:uiPriority w:val="39"/>
    <w:pPr>
      <w:widowControl/>
      <w:spacing w:before="480" w:beforeLines="0" w:after="0" w:afterLines="0" w:line="276" w:lineRule="auto"/>
      <w:jc w:val="left"/>
      <w:outlineLvl w:val="9"/>
    </w:pPr>
    <w:rPr>
      <w:rFonts w:ascii="Cambria" w:hAnsi="Cambria"/>
      <w:color w:val="365F91"/>
      <w:kern w:val="0"/>
      <w:sz w:val="28"/>
      <w:szCs w:val="28"/>
    </w:rPr>
  </w:style>
  <w:style w:type="paragraph" w:customStyle="1" w:styleId="45">
    <w:name w:val="Normal_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6">
    <w:name w:val="Normal_12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7">
    <w:name w:val="Normal_3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8">
    <w:name w:val="列出段落1"/>
    <w:basedOn w:val="1"/>
    <w:qFormat/>
    <w:uiPriority w:val="0"/>
    <w:pPr>
      <w:ind w:firstLine="420" w:firstLineChars="200"/>
    </w:pPr>
    <w:rPr>
      <w:sz w:val="28"/>
      <w:szCs w:val="28"/>
    </w:rPr>
  </w:style>
  <w:style w:type="paragraph" w:customStyle="1" w:styleId="49">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50">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1">
    <w:name w:val="Normal_1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2">
    <w:name w:val="Normal_13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3">
    <w:name w:val="Normal_13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4">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5">
    <w:name w:val="Default"/>
    <w:next w:val="56"/>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56">
    <w:name w:val="List Paragraph"/>
    <w:basedOn w:val="57"/>
    <w:qFormat/>
    <w:uiPriority w:val="1"/>
    <w:pPr>
      <w:autoSpaceDE w:val="0"/>
      <w:autoSpaceDN w:val="0"/>
      <w:ind w:left="702" w:firstLine="420"/>
      <w:jc w:val="left"/>
    </w:pPr>
    <w:rPr>
      <w:rFonts w:ascii="宋体" w:hAnsi="宋体" w:cs="宋体"/>
      <w:kern w:val="0"/>
      <w:sz w:val="22"/>
      <w:szCs w:val="22"/>
      <w:lang w:val="zh-CN" w:bidi="zh-CN"/>
    </w:rPr>
  </w:style>
  <w:style w:type="paragraph" w:customStyle="1" w:styleId="57">
    <w:name w:val="五级条标题"/>
    <w:basedOn w:val="58"/>
    <w:next w:val="58"/>
    <w:qFormat/>
    <w:uiPriority w:val="0"/>
    <w:pPr>
      <w:outlineLvl w:val="6"/>
    </w:pPr>
  </w:style>
  <w:style w:type="paragraph" w:customStyle="1" w:styleId="58">
    <w:name w:val="章标题"/>
    <w:next w:val="59"/>
    <w:qFormat/>
    <w:uiPriority w:val="0"/>
    <w:pPr>
      <w:jc w:val="both"/>
      <w:outlineLvl w:val="1"/>
    </w:pPr>
    <w:rPr>
      <w:rFonts w:ascii="黑体" w:hAnsi="黑体" w:eastAsia="黑体" w:cs="Times New Roman"/>
      <w:kern w:val="1"/>
      <w:sz w:val="21"/>
      <w:lang w:val="en-US" w:eastAsia="zh-CN" w:bidi="ar-SA"/>
    </w:rPr>
  </w:style>
  <w:style w:type="paragraph" w:customStyle="1" w:styleId="59">
    <w:name w:val="目次、标准名称标题"/>
    <w:basedOn w:val="60"/>
    <w:next w:val="60"/>
    <w:qFormat/>
    <w:uiPriority w:val="0"/>
    <w:pPr>
      <w:keepNext/>
      <w:pageBreakBefore/>
      <w:pBdr>
        <w:top w:val="none" w:color="000000" w:sz="0" w:space="3"/>
        <w:left w:val="none" w:color="000000" w:sz="0" w:space="3"/>
        <w:bottom w:val="none" w:color="000000" w:sz="0" w:space="3"/>
        <w:right w:val="none" w:color="000000" w:sz="0" w:space="3"/>
        <w:between w:val="none" w:color="000000" w:sz="0" w:space="0"/>
      </w:pBdr>
      <w:shd w:val="clear" w:color="FFFFFF" w:fill="FFFFFF"/>
      <w:spacing w:before="640" w:after="560" w:line="460" w:lineRule="exact"/>
      <w:jc w:val="center"/>
      <w:outlineLvl w:val="0"/>
    </w:pPr>
  </w:style>
  <w:style w:type="paragraph" w:customStyle="1" w:styleId="60">
    <w:name w:val="投标正文"/>
    <w:basedOn w:val="61"/>
    <w:qFormat/>
    <w:uiPriority w:val="0"/>
    <w:pPr>
      <w:spacing w:line="360" w:lineRule="auto"/>
    </w:pPr>
    <w:rPr>
      <w:spacing w:val="15"/>
      <w:sz w:val="32"/>
      <w:szCs w:val="32"/>
    </w:rPr>
  </w:style>
  <w:style w:type="paragraph" w:customStyle="1" w:styleId="61">
    <w:name w:val="四级条标题"/>
    <w:basedOn w:val="62"/>
    <w:next w:val="62"/>
    <w:qFormat/>
    <w:uiPriority w:val="0"/>
    <w:pPr>
      <w:outlineLvl w:val="5"/>
    </w:pPr>
  </w:style>
  <w:style w:type="paragraph" w:customStyle="1" w:styleId="62">
    <w:name w:val="三级条标题"/>
    <w:basedOn w:val="63"/>
    <w:next w:val="63"/>
    <w:qFormat/>
    <w:uiPriority w:val="0"/>
    <w:pPr>
      <w:outlineLvl w:val="4"/>
    </w:pPr>
  </w:style>
  <w:style w:type="paragraph" w:customStyle="1" w:styleId="63">
    <w:name w:val="二级条标题"/>
    <w:basedOn w:val="64"/>
    <w:next w:val="64"/>
    <w:qFormat/>
    <w:uiPriority w:val="0"/>
    <w:pPr>
      <w:outlineLvl w:val="3"/>
    </w:pPr>
  </w:style>
  <w:style w:type="paragraph" w:customStyle="1" w:styleId="64">
    <w:name w:val="一级条标题"/>
    <w:next w:val="11"/>
    <w:qFormat/>
    <w:uiPriority w:val="0"/>
    <w:pPr>
      <w:outlineLvl w:val="2"/>
    </w:pPr>
    <w:rPr>
      <w:rFonts w:ascii="黑体" w:hAnsi="黑体" w:eastAsia="黑体" w:cs="Times New Roman"/>
      <w:kern w:val="1"/>
      <w:sz w:val="21"/>
      <w:szCs w:val="21"/>
      <w:lang w:val="en-US" w:eastAsia="zh-CN" w:bidi="ar-SA"/>
    </w:rPr>
  </w:style>
  <w:style w:type="paragraph" w:customStyle="1" w:styleId="65">
    <w:name w:val="Normal_13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6">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67">
    <w:name w:val="Normal_12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8">
    <w:name w:val="TOC 标题1"/>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69">
    <w:name w:val="正  文"/>
    <w:basedOn w:val="1"/>
    <w:qFormat/>
    <w:uiPriority w:val="0"/>
    <w:pPr>
      <w:spacing w:line="360" w:lineRule="auto"/>
      <w:ind w:firstLine="200" w:firstLineChars="200"/>
    </w:pPr>
    <w:rPr>
      <w:rFonts w:ascii="宋体" w:hAnsi="Calibri"/>
      <w:sz w:val="24"/>
    </w:rPr>
  </w:style>
  <w:style w:type="paragraph" w:customStyle="1" w:styleId="70">
    <w:name w:val="Normal_12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1">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2">
    <w:name w:val="header"/>
    <w:basedOn w:val="1"/>
    <w:qFormat/>
    <w:uiPriority w:val="0"/>
    <w:pPr>
      <w:pBdr>
        <w:bottom w:val="single" w:color="auto" w:sz="6" w:space="1"/>
      </w:pBdr>
      <w:tabs>
        <w:tab w:val="center" w:pos="4153"/>
        <w:tab w:val="right" w:pos="8306"/>
      </w:tabs>
      <w:snapToGrid w:val="0"/>
      <w:jc w:val="center"/>
    </w:pPr>
    <w:rPr>
      <w:rFonts w:eastAsia="等线"/>
      <w:sz w:val="18"/>
      <w:szCs w:val="20"/>
    </w:rPr>
  </w:style>
  <w:style w:type="paragraph" w:customStyle="1" w:styleId="73">
    <w:name w:val="Normal_1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4">
    <w:name w:val="Normal_12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5">
    <w:name w:val="Normal_131"/>
    <w:qFormat/>
    <w:uiPriority w:val="0"/>
    <w:pPr>
      <w:spacing w:before="120" w:after="240"/>
      <w:jc w:val="both"/>
    </w:pPr>
    <w:rPr>
      <w:rFonts w:ascii="Times New Roman" w:hAnsi="Times New Roman" w:eastAsia="Calibri" w:cs="Times New Roman"/>
      <w:sz w:val="22"/>
      <w:szCs w:val="22"/>
      <w:lang w:val="ru-RU" w:eastAsia="en-US" w:bidi="ar-SA"/>
    </w:rPr>
  </w:style>
  <w:style w:type="character" w:customStyle="1" w:styleId="76">
    <w:name w:val="标题 1 Char"/>
    <w:link w:val="3"/>
    <w:qFormat/>
    <w:uiPriority w:val="0"/>
    <w:rPr>
      <w:b/>
      <w:bCs/>
      <w:kern w:val="44"/>
      <w:sz w:val="44"/>
      <w:szCs w:val="44"/>
    </w:rPr>
  </w:style>
  <w:style w:type="character" w:customStyle="1" w:styleId="77">
    <w:name w:val="日期 Char"/>
    <w:link w:val="20"/>
    <w:qFormat/>
    <w:uiPriority w:val="0"/>
    <w:rPr>
      <w:kern w:val="2"/>
      <w:sz w:val="21"/>
      <w:szCs w:val="24"/>
    </w:rPr>
  </w:style>
  <w:style w:type="character" w:customStyle="1" w:styleId="78">
    <w:name w:val="尾注文本 Char"/>
    <w:qFormat/>
    <w:uiPriority w:val="0"/>
    <w:rPr>
      <w:kern w:val="2"/>
      <w:sz w:val="21"/>
      <w:szCs w:val="24"/>
    </w:rPr>
  </w:style>
  <w:style w:type="character" w:customStyle="1" w:styleId="79">
    <w:name w:val="批注主题 Char"/>
    <w:link w:val="32"/>
    <w:qFormat/>
    <w:uiPriority w:val="0"/>
    <w:rPr>
      <w:b/>
      <w:bCs/>
      <w:kern w:val="2"/>
      <w:sz w:val="21"/>
      <w:szCs w:val="24"/>
    </w:rPr>
  </w:style>
  <w:style w:type="character" w:customStyle="1" w:styleId="80">
    <w:name w:val="副标题 Char"/>
    <w:link w:val="26"/>
    <w:qFormat/>
    <w:uiPriority w:val="0"/>
    <w:rPr>
      <w:szCs w:val="24"/>
      <w:u w:val="single"/>
      <w:lang w:eastAsia="en-US"/>
    </w:rPr>
  </w:style>
  <w:style w:type="character" w:customStyle="1" w:styleId="81">
    <w:name w:val="标题 2 Char"/>
    <w:link w:val="4"/>
    <w:qFormat/>
    <w:uiPriority w:val="0"/>
    <w:rPr>
      <w:rFonts w:ascii="Cambria" w:hAnsi="Cambria"/>
      <w:b/>
      <w:bCs/>
      <w:sz w:val="32"/>
      <w:szCs w:val="32"/>
    </w:rPr>
  </w:style>
  <w:style w:type="character" w:customStyle="1" w:styleId="82">
    <w:name w:val="批注文字 Char"/>
    <w:link w:val="13"/>
    <w:qFormat/>
    <w:uiPriority w:val="99"/>
    <w:rPr>
      <w:kern w:val="2"/>
      <w:sz w:val="21"/>
      <w:szCs w:val="24"/>
    </w:rPr>
  </w:style>
  <w:style w:type="character" w:customStyle="1" w:styleId="83">
    <w:name w:val="标题 9 Char"/>
    <w:link w:val="8"/>
    <w:semiHidden/>
    <w:qFormat/>
    <w:uiPriority w:val="0"/>
    <w:rPr>
      <w:rFonts w:ascii="等线 Light" w:hAnsi="等线 Light" w:eastAsia="等线 Light" w:cs="Times New Roman"/>
      <w:kern w:val="2"/>
      <w:sz w:val="21"/>
      <w:szCs w:val="21"/>
    </w:rPr>
  </w:style>
  <w:style w:type="character" w:customStyle="1" w:styleId="84">
    <w:name w:val="标题 2 Char2"/>
    <w:qFormat/>
    <w:uiPriority w:val="0"/>
    <w:rPr>
      <w:rFonts w:ascii="Cambria" w:hAnsi="Cambria" w:eastAsia="宋体"/>
      <w:b/>
      <w:bCs/>
      <w:kern w:val="2"/>
      <w:sz w:val="32"/>
      <w:szCs w:val="32"/>
      <w:lang w:val="en-US" w:eastAsia="zh-CN" w:bidi="ar-SA"/>
    </w:rPr>
  </w:style>
  <w:style w:type="character" w:customStyle="1" w:styleId="85">
    <w:name w:val="副标题 Char3"/>
    <w:qFormat/>
    <w:uiPriority w:val="0"/>
    <w:rPr>
      <w:rFonts w:eastAsia="宋体"/>
      <w:szCs w:val="24"/>
      <w:u w:val="single"/>
      <w:lang w:val="en-US" w:eastAsia="en-US" w:bidi="ar-SA"/>
    </w:rPr>
  </w:style>
  <w:style w:type="character" w:customStyle="1" w:styleId="86">
    <w:name w:val="批注文字 Char3"/>
    <w:qFormat/>
    <w:uiPriority w:val="99"/>
    <w:rPr>
      <w:rFonts w:eastAsia="宋体"/>
      <w:kern w:val="2"/>
      <w:sz w:val="21"/>
      <w:szCs w:val="24"/>
      <w:lang w:val="en-US" w:eastAsia="zh-CN" w:bidi="ar-SA"/>
    </w:rPr>
  </w:style>
  <w:style w:type="character" w:customStyle="1" w:styleId="87">
    <w:name w:val="批注框文本 Char"/>
    <w:link w:val="12"/>
    <w:qFormat/>
    <w:uiPriority w:val="0"/>
    <w:rPr>
      <w:kern w:val="2"/>
      <w:sz w:val="18"/>
      <w:szCs w:val="18"/>
    </w:rPr>
  </w:style>
  <w:style w:type="character" w:customStyle="1" w:styleId="88">
    <w:name w:val="标题 3 Char"/>
    <w:link w:val="5"/>
    <w:qFormat/>
    <w:uiPriority w:val="0"/>
    <w:rPr>
      <w:b/>
      <w:bCs/>
      <w:kern w:val="2"/>
      <w:sz w:val="32"/>
      <w:szCs w:val="32"/>
    </w:rPr>
  </w:style>
  <w:style w:type="character" w:customStyle="1" w:styleId="89">
    <w:name w:val="未处理的提及"/>
    <w:unhideWhenUsed/>
    <w:qFormat/>
    <w:uiPriority w:val="99"/>
    <w:rPr>
      <w:color w:val="605E5C"/>
      <w:shd w:val="clear" w:color="auto" w:fill="E1DFDD"/>
    </w:rPr>
  </w:style>
  <w:style w:type="character" w:customStyle="1" w:styleId="90">
    <w:name w:val="15"/>
    <w:basedOn w:val="36"/>
    <w:qFormat/>
    <w:uiPriority w:val="0"/>
    <w:rPr>
      <w:rFonts w:hint="default" w:ascii="Times New Roman" w:hAnsi="Times New Roman" w:cs="Times New Roman"/>
    </w:rPr>
  </w:style>
  <w:style w:type="character" w:customStyle="1" w:styleId="91">
    <w:name w:val="10"/>
    <w:basedOn w:val="36"/>
    <w:qFormat/>
    <w:uiPriority w:val="0"/>
    <w:rPr>
      <w:rFonts w:hint="default" w:ascii="Times New Roman" w:hAnsi="Times New Roman" w:cs="Times New Roman"/>
    </w:rPr>
  </w:style>
  <w:style w:type="paragraph" w:customStyle="1" w:styleId="92">
    <w:name w:val="_Style 7"/>
    <w:basedOn w:val="3"/>
    <w:next w:val="1"/>
    <w:qFormat/>
    <w:uiPriority w:val="0"/>
    <w:pPr>
      <w:outlineLvl w:val="9"/>
    </w:pPr>
  </w:style>
  <w:style w:type="character" w:customStyle="1" w:styleId="93">
    <w:name w:val="font11"/>
    <w:basedOn w:val="36"/>
    <w:qFormat/>
    <w:uiPriority w:val="0"/>
    <w:rPr>
      <w:rFonts w:hint="eastAsia" w:ascii="宋体" w:hAnsi="宋体" w:eastAsia="宋体" w:cs="宋体"/>
      <w:color w:val="000000"/>
      <w:sz w:val="21"/>
      <w:szCs w:val="21"/>
      <w:u w:val="none"/>
    </w:rPr>
  </w:style>
  <w:style w:type="paragraph" w:customStyle="1" w:styleId="94">
    <w:name w:val="列表段落1"/>
    <w:basedOn w:val="57"/>
    <w:qFormat/>
    <w:uiPriority w:val="0"/>
    <w:pPr>
      <w:ind w:firstLine="420" w:firstLineChars="200"/>
    </w:pPr>
    <w:rPr>
      <w:rFonts w:ascii="Calibri" w:hAnsi="Calibri" w:eastAsia="宋体"/>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P R C</Company>
  <Pages>93</Pages>
  <Words>37626</Words>
  <Characters>40067</Characters>
  <Lines>1</Lines>
  <Paragraphs>1</Paragraphs>
  <TotalTime>0</TotalTime>
  <ScaleCrop>false</ScaleCrop>
  <LinksUpToDate>false</LinksUpToDate>
  <CharactersWithSpaces>43884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2020-12-29T01:28:00Z</dcterms:created>
  <dc:creator>Lenovo E480</dc:creator>
  <cp:lastModifiedBy>Kevin</cp:lastModifiedBy>
  <cp:lastPrinted>2020-12-24T01:27:00Z</cp:lastPrinted>
  <dcterms:modified xsi:type="dcterms:W3CDTF">2024-08-01T04:07:06Z</dcterms:modified>
  <dc:title>重庆市公路工程施工</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C69E1A85EBD54C7AB9F2385B34505506</vt:lpwstr>
  </property>
</Properties>
</file>