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F5B53">
      <w:pPr>
        <w:spacing w:line="400" w:lineRule="exact"/>
        <w:jc w:val="center"/>
        <w:rPr>
          <w:rFonts w:ascii="宋体" w:hAnsi="宋体" w:cs="宋体"/>
          <w:b/>
          <w:sz w:val="32"/>
          <w:szCs w:val="32"/>
        </w:rPr>
      </w:pPr>
    </w:p>
    <w:p w14:paraId="64D640B0">
      <w:pPr>
        <w:jc w:val="cente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巫溪至开州高速公路项目机电工程（开州段）高压外电接入施工专项分包</w:t>
      </w:r>
    </w:p>
    <w:p w14:paraId="4D07C849">
      <w:pPr>
        <w:rPr>
          <w:rFonts w:ascii="宋体" w:hAnsi="宋体" w:cs="宋体"/>
          <w:sz w:val="28"/>
          <w:szCs w:val="28"/>
        </w:rPr>
      </w:pPr>
    </w:p>
    <w:p w14:paraId="2761BCBD">
      <w:pPr>
        <w:jc w:val="center"/>
        <w:rPr>
          <w:rFonts w:ascii="宋体" w:hAnsi="宋体" w:cs="宋体"/>
          <w:b/>
          <w:sz w:val="48"/>
          <w:szCs w:val="48"/>
        </w:rPr>
      </w:pPr>
      <w:r>
        <w:rPr>
          <w:rFonts w:hint="eastAsia" w:ascii="宋体" w:hAnsi="宋体" w:cs="宋体"/>
          <w:b/>
          <w:sz w:val="48"/>
          <w:szCs w:val="48"/>
        </w:rPr>
        <w:t>竞</w:t>
      </w:r>
    </w:p>
    <w:p w14:paraId="5142F0BB">
      <w:pPr>
        <w:jc w:val="center"/>
        <w:rPr>
          <w:rFonts w:ascii="宋体" w:hAnsi="宋体" w:cs="宋体"/>
          <w:b/>
          <w:sz w:val="48"/>
          <w:szCs w:val="48"/>
        </w:rPr>
      </w:pPr>
    </w:p>
    <w:p w14:paraId="7BECD725">
      <w:pPr>
        <w:jc w:val="center"/>
        <w:rPr>
          <w:rFonts w:ascii="宋体" w:hAnsi="宋体" w:cs="宋体"/>
          <w:b/>
          <w:sz w:val="48"/>
          <w:szCs w:val="48"/>
        </w:rPr>
      </w:pPr>
      <w:r>
        <w:rPr>
          <w:rFonts w:hint="eastAsia" w:ascii="宋体" w:hAnsi="宋体" w:cs="宋体"/>
          <w:b/>
          <w:sz w:val="48"/>
          <w:szCs w:val="48"/>
        </w:rPr>
        <w:t>争</w:t>
      </w:r>
    </w:p>
    <w:p w14:paraId="758347FF">
      <w:pPr>
        <w:jc w:val="center"/>
        <w:rPr>
          <w:rFonts w:ascii="宋体" w:hAnsi="宋体" w:cs="宋体"/>
          <w:b/>
          <w:sz w:val="48"/>
          <w:szCs w:val="48"/>
        </w:rPr>
      </w:pPr>
    </w:p>
    <w:p w14:paraId="6675133B">
      <w:pPr>
        <w:jc w:val="center"/>
        <w:rPr>
          <w:rFonts w:ascii="宋体" w:hAnsi="宋体" w:cs="宋体"/>
          <w:b/>
          <w:sz w:val="48"/>
          <w:szCs w:val="48"/>
        </w:rPr>
      </w:pPr>
      <w:r>
        <w:rPr>
          <w:rFonts w:hint="eastAsia" w:ascii="宋体" w:hAnsi="宋体" w:cs="宋体"/>
          <w:b/>
          <w:sz w:val="48"/>
          <w:szCs w:val="48"/>
        </w:rPr>
        <w:t>性</w:t>
      </w:r>
    </w:p>
    <w:p w14:paraId="41F972AB">
      <w:pPr>
        <w:jc w:val="center"/>
        <w:rPr>
          <w:rFonts w:ascii="宋体" w:hAnsi="宋体" w:cs="宋体"/>
          <w:b/>
          <w:sz w:val="48"/>
          <w:szCs w:val="48"/>
        </w:rPr>
      </w:pPr>
    </w:p>
    <w:p w14:paraId="1E4014E2">
      <w:pPr>
        <w:jc w:val="center"/>
        <w:rPr>
          <w:rFonts w:ascii="宋体" w:hAnsi="宋体" w:cs="宋体"/>
          <w:b/>
          <w:sz w:val="48"/>
          <w:szCs w:val="48"/>
        </w:rPr>
      </w:pPr>
      <w:r>
        <w:rPr>
          <w:rFonts w:hint="eastAsia" w:ascii="宋体" w:hAnsi="宋体" w:cs="宋体"/>
          <w:b/>
          <w:sz w:val="48"/>
          <w:szCs w:val="48"/>
        </w:rPr>
        <w:t>比</w:t>
      </w:r>
    </w:p>
    <w:p w14:paraId="3095C6E2">
      <w:pPr>
        <w:jc w:val="center"/>
        <w:rPr>
          <w:rFonts w:ascii="宋体" w:hAnsi="宋体" w:cs="宋体"/>
          <w:b/>
          <w:sz w:val="48"/>
          <w:szCs w:val="48"/>
        </w:rPr>
      </w:pPr>
    </w:p>
    <w:p w14:paraId="42DC6253">
      <w:pPr>
        <w:jc w:val="center"/>
        <w:rPr>
          <w:rFonts w:ascii="宋体" w:hAnsi="宋体" w:cs="宋体"/>
          <w:b/>
          <w:sz w:val="48"/>
          <w:szCs w:val="48"/>
        </w:rPr>
      </w:pPr>
      <w:r>
        <w:rPr>
          <w:rFonts w:hint="eastAsia" w:ascii="宋体" w:hAnsi="宋体" w:cs="宋体"/>
          <w:b/>
          <w:sz w:val="48"/>
          <w:szCs w:val="48"/>
        </w:rPr>
        <w:t>选</w:t>
      </w:r>
    </w:p>
    <w:p w14:paraId="7C940EAE">
      <w:pPr>
        <w:jc w:val="center"/>
        <w:rPr>
          <w:rFonts w:ascii="宋体" w:hAnsi="宋体" w:cs="宋体"/>
          <w:b/>
          <w:sz w:val="48"/>
          <w:szCs w:val="48"/>
        </w:rPr>
      </w:pPr>
    </w:p>
    <w:p w14:paraId="092096E9">
      <w:pPr>
        <w:jc w:val="center"/>
        <w:rPr>
          <w:rFonts w:hint="eastAsia" w:ascii="宋体" w:hAnsi="宋体" w:eastAsia="宋体" w:cs="宋体"/>
          <w:b/>
          <w:sz w:val="96"/>
          <w:szCs w:val="72"/>
          <w:lang w:eastAsia="zh-CN"/>
        </w:rPr>
      </w:pPr>
      <w:r>
        <w:rPr>
          <w:rFonts w:hint="eastAsia" w:ascii="宋体" w:hAnsi="宋体" w:cs="宋体"/>
          <w:b/>
          <w:sz w:val="48"/>
          <w:szCs w:val="48"/>
          <w:lang w:val="en-US" w:eastAsia="zh-CN"/>
        </w:rPr>
        <w:t>函</w:t>
      </w:r>
    </w:p>
    <w:p w14:paraId="1DD7F21A">
      <w:pPr>
        <w:spacing w:line="400" w:lineRule="exact"/>
        <w:rPr>
          <w:rFonts w:ascii="宋体" w:hAnsi="宋体" w:cs="宋体"/>
        </w:rPr>
      </w:pPr>
    </w:p>
    <w:p w14:paraId="720BB769">
      <w:pPr>
        <w:spacing w:line="400" w:lineRule="exact"/>
        <w:rPr>
          <w:rFonts w:ascii="宋体" w:hAnsi="宋体" w:cs="宋体"/>
        </w:rPr>
      </w:pPr>
    </w:p>
    <w:p w14:paraId="2B138E63">
      <w:pPr>
        <w:spacing w:line="400" w:lineRule="exact"/>
        <w:rPr>
          <w:rFonts w:ascii="宋体" w:hAnsi="宋体" w:cs="宋体"/>
        </w:rPr>
      </w:pPr>
    </w:p>
    <w:p w14:paraId="2B7463D0"/>
    <w:p w14:paraId="68693323"/>
    <w:p w14:paraId="7C070090">
      <w:pPr>
        <w:jc w:val="center"/>
        <w:rPr>
          <w:rFonts w:ascii="宋体" w:hAnsi="宋体" w:cs="宋体"/>
          <w:b/>
          <w:sz w:val="28"/>
          <w:szCs w:val="28"/>
        </w:rPr>
      </w:pPr>
      <w:r>
        <w:rPr>
          <w:rFonts w:hint="eastAsia" w:ascii="宋体" w:hAnsi="宋体" w:cs="宋体"/>
          <w:b/>
          <w:sz w:val="28"/>
          <w:szCs w:val="28"/>
        </w:rPr>
        <w:t>采购人：重庆首讯科技股份有限公司</w:t>
      </w:r>
    </w:p>
    <w:p w14:paraId="360D9B61">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4</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8</w:t>
      </w:r>
      <w:r>
        <w:rPr>
          <w:rFonts w:hint="eastAsia" w:ascii="宋体" w:hAnsi="宋体" w:cs="宋体"/>
          <w:b/>
          <w:sz w:val="28"/>
          <w:szCs w:val="28"/>
          <w:u w:val="single"/>
        </w:rPr>
        <w:t xml:space="preserve"> </w:t>
      </w:r>
      <w:r>
        <w:rPr>
          <w:rFonts w:hint="eastAsia" w:ascii="宋体" w:hAnsi="宋体" w:cs="宋体"/>
          <w:b/>
          <w:sz w:val="28"/>
          <w:szCs w:val="28"/>
        </w:rPr>
        <w:t>月</w:t>
      </w:r>
    </w:p>
    <w:p w14:paraId="6748802F">
      <w:pPr>
        <w:pStyle w:val="28"/>
        <w:jc w:val="center"/>
        <w:rPr>
          <w:rFonts w:ascii="宋体" w:hAnsi="宋体" w:cs="宋体"/>
          <w:szCs w:val="21"/>
        </w:rPr>
      </w:pPr>
      <w:r>
        <w:br w:type="page"/>
      </w:r>
      <w:bookmarkStart w:id="0" w:name="_Toc296602400"/>
      <w:bookmarkStart w:id="1" w:name="_Toc247085669"/>
      <w:bookmarkStart w:id="2" w:name="_Toc507319889"/>
      <w:bookmarkStart w:id="3" w:name="_Toc246996898"/>
      <w:bookmarkStart w:id="4" w:name="_Toc507428442"/>
      <w:r>
        <w:rPr>
          <w:rFonts w:hint="eastAsia" w:ascii="宋体" w:hAnsi="宋体" w:cs="宋体"/>
          <w:b w:val="0"/>
          <w:sz w:val="32"/>
        </w:rPr>
        <w:t>目   录</w:t>
      </w:r>
      <w:bookmarkEnd w:id="0"/>
      <w:bookmarkEnd w:id="1"/>
      <w:bookmarkEnd w:id="2"/>
      <w:bookmarkEnd w:id="3"/>
      <w:bookmarkEnd w:id="4"/>
    </w:p>
    <w:p w14:paraId="1C7F7389">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rPr>
          <w:rFonts w:hint="eastAsia" w:ascii="宋体" w:hAnsi="宋体" w:cs="宋体"/>
          <w:bCs w:val="0"/>
          <w:caps w:val="0"/>
        </w:rPr>
        <w:fldChar w:fldCharType="begin"/>
      </w:r>
      <w:r>
        <w:rPr>
          <w:rFonts w:hint="eastAsia" w:ascii="宋体" w:hAnsi="宋体" w:cs="宋体"/>
          <w:bCs w:val="0"/>
          <w:caps w:val="0"/>
        </w:rPr>
        <w:instrText xml:space="preserve"> HYPERLINK \l _Toc7512 </w:instrText>
      </w:r>
      <w:r>
        <w:rPr>
          <w:rFonts w:hint="eastAsia" w:ascii="宋体" w:hAnsi="宋体" w:cs="宋体"/>
          <w:bCs w:val="0"/>
          <w:caps w:val="0"/>
        </w:rPr>
        <w:fldChar w:fldCharType="separate"/>
      </w:r>
      <w:r>
        <w:rPr>
          <w:rFonts w:hint="eastAsia" w:ascii="宋体" w:hAnsi="宋体" w:cs="宋体"/>
        </w:rPr>
        <w:t>第一章 比选公告</w:t>
      </w:r>
      <w:r>
        <w:tab/>
      </w:r>
      <w:r>
        <w:fldChar w:fldCharType="begin"/>
      </w:r>
      <w:r>
        <w:instrText xml:space="preserve"> PAGEREF _Toc7512 \h </w:instrText>
      </w:r>
      <w:r>
        <w:fldChar w:fldCharType="separate"/>
      </w:r>
      <w:r>
        <w:t>1</w:t>
      </w:r>
      <w:r>
        <w:fldChar w:fldCharType="end"/>
      </w:r>
      <w:r>
        <w:rPr>
          <w:rFonts w:hint="eastAsia" w:ascii="宋体" w:hAnsi="宋体" w:cs="宋体"/>
          <w:bCs w:val="0"/>
          <w:caps w:val="0"/>
        </w:rPr>
        <w:fldChar w:fldCharType="end"/>
      </w:r>
    </w:p>
    <w:p w14:paraId="6F76457D">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_Toc3622 </w:instrText>
      </w:r>
      <w:r>
        <w:rPr>
          <w:rFonts w:hint="eastAsia" w:ascii="宋体" w:hAnsi="宋体" w:cs="宋体"/>
          <w:bCs/>
          <w:caps/>
        </w:rPr>
        <w:fldChar w:fldCharType="separate"/>
      </w:r>
      <w:r>
        <w:rPr>
          <w:rFonts w:hint="eastAsia" w:ascii="宋体" w:hAnsi="宋体" w:cs="宋体"/>
        </w:rPr>
        <w:t>第二章 报价人须知</w:t>
      </w:r>
      <w:r>
        <w:tab/>
      </w:r>
      <w:r>
        <w:fldChar w:fldCharType="begin"/>
      </w:r>
      <w:r>
        <w:instrText xml:space="preserve"> PAGEREF _Toc3622 \h </w:instrText>
      </w:r>
      <w:r>
        <w:fldChar w:fldCharType="separate"/>
      </w:r>
      <w:r>
        <w:t>3</w:t>
      </w:r>
      <w:r>
        <w:fldChar w:fldCharType="end"/>
      </w:r>
      <w:r>
        <w:rPr>
          <w:rFonts w:hint="eastAsia" w:ascii="宋体" w:hAnsi="宋体" w:cs="宋体"/>
          <w:bCs/>
          <w:caps/>
        </w:rPr>
        <w:fldChar w:fldCharType="end"/>
      </w:r>
    </w:p>
    <w:p w14:paraId="6E3A8556">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_Toc15752 </w:instrText>
      </w:r>
      <w:r>
        <w:rPr>
          <w:rFonts w:hint="eastAsia" w:ascii="宋体" w:hAnsi="宋体" w:cs="宋体"/>
          <w:bCs/>
          <w:caps/>
        </w:rPr>
        <w:fldChar w:fldCharType="separate"/>
      </w:r>
      <w:r>
        <w:rPr>
          <w:rFonts w:hint="eastAsia"/>
        </w:rPr>
        <w:t xml:space="preserve">第三章 </w:t>
      </w:r>
      <w:r>
        <w:rPr>
          <w:rFonts w:hint="eastAsia" w:ascii="宋体" w:hAnsi="宋体" w:cs="宋体"/>
        </w:rPr>
        <w:t>评标办法（</w:t>
      </w:r>
      <w:r>
        <w:rPr>
          <w:rFonts w:hint="eastAsia" w:ascii="宋体" w:hAnsi="宋体" w:cs="宋体"/>
          <w:lang w:val="en-US" w:eastAsia="zh-CN"/>
        </w:rPr>
        <w:t>综合评估法</w:t>
      </w:r>
      <w:r>
        <w:rPr>
          <w:rFonts w:hint="eastAsia" w:ascii="宋体" w:hAnsi="宋体" w:cs="宋体"/>
        </w:rPr>
        <w:t>）</w:t>
      </w:r>
      <w:r>
        <w:tab/>
      </w:r>
      <w:r>
        <w:fldChar w:fldCharType="begin"/>
      </w:r>
      <w:r>
        <w:instrText xml:space="preserve"> PAGEREF _Toc15752 \h </w:instrText>
      </w:r>
      <w:r>
        <w:fldChar w:fldCharType="separate"/>
      </w:r>
      <w:r>
        <w:t>9</w:t>
      </w:r>
      <w:r>
        <w:fldChar w:fldCharType="end"/>
      </w:r>
      <w:r>
        <w:rPr>
          <w:rFonts w:hint="eastAsia" w:ascii="宋体" w:hAnsi="宋体" w:cs="宋体"/>
          <w:bCs/>
          <w:caps/>
        </w:rPr>
        <w:fldChar w:fldCharType="end"/>
      </w:r>
    </w:p>
    <w:p w14:paraId="1C0EDEBF">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_Toc28183 </w:instrText>
      </w:r>
      <w:r>
        <w:rPr>
          <w:rFonts w:hint="eastAsia" w:ascii="宋体" w:hAnsi="宋体" w:cs="宋体"/>
          <w:bCs/>
          <w:caps/>
        </w:rPr>
        <w:fldChar w:fldCharType="separate"/>
      </w:r>
      <w:r>
        <w:rPr>
          <w:rFonts w:hint="eastAsia" w:ascii="宋体" w:hAnsi="宋体" w:cs="宋体"/>
        </w:rPr>
        <w:t>第五章  工程量清单</w:t>
      </w:r>
      <w:r>
        <w:tab/>
      </w:r>
      <w:r>
        <w:fldChar w:fldCharType="begin"/>
      </w:r>
      <w:r>
        <w:instrText xml:space="preserve"> PAGEREF _Toc28183 \h </w:instrText>
      </w:r>
      <w:r>
        <w:fldChar w:fldCharType="separate"/>
      </w:r>
      <w:r>
        <w:t>15</w:t>
      </w:r>
      <w:r>
        <w:fldChar w:fldCharType="end"/>
      </w:r>
      <w:r>
        <w:rPr>
          <w:rFonts w:hint="eastAsia" w:ascii="宋体" w:hAnsi="宋体" w:cs="宋体"/>
          <w:bCs/>
          <w:caps/>
        </w:rPr>
        <w:fldChar w:fldCharType="end"/>
      </w:r>
    </w:p>
    <w:p w14:paraId="0B9E5E22">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_Toc28297 </w:instrText>
      </w:r>
      <w:r>
        <w:rPr>
          <w:rFonts w:hint="eastAsia" w:ascii="宋体" w:hAnsi="宋体" w:cs="宋体"/>
          <w:bCs/>
          <w:caps/>
        </w:rPr>
        <w:fldChar w:fldCharType="separate"/>
      </w:r>
      <w:r>
        <w:rPr>
          <w:rFonts w:hint="eastAsia" w:ascii="宋体" w:hAnsi="宋体" w:cs="宋体"/>
        </w:rPr>
        <w:t>第六章  图  纸</w:t>
      </w:r>
      <w:r>
        <w:tab/>
      </w:r>
      <w:r>
        <w:fldChar w:fldCharType="begin"/>
      </w:r>
      <w:r>
        <w:instrText xml:space="preserve"> PAGEREF _Toc28297 \h </w:instrText>
      </w:r>
      <w:r>
        <w:fldChar w:fldCharType="separate"/>
      </w:r>
      <w:r>
        <w:t>16</w:t>
      </w:r>
      <w:r>
        <w:fldChar w:fldCharType="end"/>
      </w:r>
      <w:r>
        <w:rPr>
          <w:rFonts w:hint="eastAsia" w:ascii="宋体" w:hAnsi="宋体" w:cs="宋体"/>
          <w:bCs/>
          <w:caps/>
        </w:rPr>
        <w:fldChar w:fldCharType="end"/>
      </w:r>
    </w:p>
    <w:p w14:paraId="15FE7C3D">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_Toc10679 </w:instrText>
      </w:r>
      <w:r>
        <w:rPr>
          <w:rFonts w:hint="eastAsia" w:ascii="宋体" w:hAnsi="宋体" w:cs="宋体"/>
          <w:bCs/>
          <w:caps/>
        </w:rPr>
        <w:fldChar w:fldCharType="separate"/>
      </w:r>
      <w:r>
        <w:rPr>
          <w:rFonts w:hint="eastAsia" w:ascii="宋体" w:hAnsi="宋体" w:cs="宋体"/>
        </w:rPr>
        <w:t>第七章  技术标准和工作要求</w:t>
      </w:r>
      <w:r>
        <w:tab/>
      </w:r>
      <w:r>
        <w:fldChar w:fldCharType="begin"/>
      </w:r>
      <w:r>
        <w:instrText xml:space="preserve"> PAGEREF _Toc10679 \h </w:instrText>
      </w:r>
      <w:r>
        <w:fldChar w:fldCharType="separate"/>
      </w:r>
      <w:r>
        <w:t>17</w:t>
      </w:r>
      <w:r>
        <w:fldChar w:fldCharType="end"/>
      </w:r>
      <w:r>
        <w:rPr>
          <w:rFonts w:hint="eastAsia" w:ascii="宋体" w:hAnsi="宋体" w:cs="宋体"/>
          <w:bCs/>
          <w:caps/>
        </w:rPr>
        <w:fldChar w:fldCharType="end"/>
      </w:r>
    </w:p>
    <w:p w14:paraId="31F47751">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_Toc27155 </w:instrText>
      </w:r>
      <w:r>
        <w:rPr>
          <w:rFonts w:hint="eastAsia" w:ascii="宋体" w:hAnsi="宋体" w:cs="宋体"/>
          <w:bCs/>
          <w:caps/>
        </w:rPr>
        <w:fldChar w:fldCharType="separate"/>
      </w:r>
      <w:r>
        <w:rPr>
          <w:rFonts w:hint="eastAsia" w:ascii="宋体" w:hAnsi="宋体" w:cs="宋体"/>
          <w:bCs/>
          <w:kern w:val="44"/>
          <w:szCs w:val="44"/>
          <w:lang w:val="en-US" w:eastAsia="zh-CN" w:bidi="ar-SA"/>
        </w:rPr>
        <w:t>第八章 合同范本</w:t>
      </w:r>
      <w:r>
        <w:tab/>
      </w:r>
      <w:r>
        <w:fldChar w:fldCharType="begin"/>
      </w:r>
      <w:r>
        <w:instrText xml:space="preserve"> PAGEREF _Toc27155 \h </w:instrText>
      </w:r>
      <w:r>
        <w:fldChar w:fldCharType="separate"/>
      </w:r>
      <w:r>
        <w:t>18</w:t>
      </w:r>
      <w:r>
        <w:fldChar w:fldCharType="end"/>
      </w:r>
      <w:r>
        <w:rPr>
          <w:rFonts w:hint="eastAsia" w:ascii="宋体" w:hAnsi="宋体" w:cs="宋体"/>
          <w:bCs/>
          <w:caps/>
        </w:rPr>
        <w:fldChar w:fldCharType="end"/>
      </w:r>
    </w:p>
    <w:p w14:paraId="0EEA8E2F">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_Toc2882 </w:instrText>
      </w:r>
      <w:r>
        <w:rPr>
          <w:rFonts w:hint="eastAsia" w:ascii="宋体" w:hAnsi="宋体" w:cs="宋体"/>
          <w:bCs/>
          <w:caps/>
        </w:rPr>
        <w:fldChar w:fldCharType="separate"/>
      </w:r>
      <w:r>
        <w:rPr>
          <w:rFonts w:hint="eastAsia" w:ascii="宋体" w:hAnsi="宋体" w:cs="宋体"/>
        </w:rPr>
        <w:t>第</w:t>
      </w:r>
      <w:r>
        <w:rPr>
          <w:rFonts w:hint="eastAsia" w:ascii="宋体" w:hAnsi="宋体" w:cs="宋体"/>
          <w:lang w:val="en-US" w:eastAsia="zh-CN"/>
        </w:rPr>
        <w:t>九</w:t>
      </w:r>
      <w:r>
        <w:rPr>
          <w:rFonts w:hint="eastAsia" w:ascii="宋体" w:hAnsi="宋体" w:cs="宋体"/>
        </w:rPr>
        <w:t>章  竞争性比选响应文件格式</w:t>
      </w:r>
      <w:r>
        <w:tab/>
      </w:r>
      <w:r>
        <w:fldChar w:fldCharType="begin"/>
      </w:r>
      <w:r>
        <w:instrText xml:space="preserve"> PAGEREF _Toc2882 \h </w:instrText>
      </w:r>
      <w:r>
        <w:fldChar w:fldCharType="separate"/>
      </w:r>
      <w:r>
        <w:t>19</w:t>
      </w:r>
      <w:r>
        <w:fldChar w:fldCharType="end"/>
      </w:r>
      <w:r>
        <w:rPr>
          <w:rFonts w:hint="eastAsia" w:ascii="宋体" w:hAnsi="宋体" w:cs="宋体"/>
          <w:bCs/>
          <w:caps/>
        </w:rPr>
        <w:fldChar w:fldCharType="end"/>
      </w:r>
    </w:p>
    <w:p w14:paraId="291DE89E">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14:paraId="26460321">
      <w:pPr>
        <w:pStyle w:val="3"/>
        <w:spacing w:before="0" w:after="0" w:line="360" w:lineRule="auto"/>
        <w:jc w:val="center"/>
        <w:rPr>
          <w:rFonts w:ascii="宋体" w:hAnsi="宋体" w:cs="宋体"/>
        </w:rPr>
      </w:pPr>
      <w:bookmarkStart w:id="5" w:name="_Toc2000404"/>
      <w:bookmarkStart w:id="6" w:name="_Toc246996157"/>
      <w:bookmarkStart w:id="7" w:name="_Toc144974479"/>
      <w:bookmarkStart w:id="8" w:name="_Toc247096243"/>
      <w:bookmarkStart w:id="9" w:name="_Toc152042287"/>
      <w:bookmarkStart w:id="10" w:name="_Toc246996900"/>
      <w:bookmarkStart w:id="11" w:name="_Toc152045511"/>
      <w:bookmarkStart w:id="12" w:name="_Toc507319890"/>
      <w:bookmarkStart w:id="13" w:name="_Toc179632527"/>
      <w:bookmarkStart w:id="14" w:name="_Toc247085671"/>
      <w:bookmarkStart w:id="15" w:name="_Toc7512"/>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14:paraId="4157E3B0">
      <w:pPr>
        <w:spacing w:line="440" w:lineRule="exact"/>
        <w:jc w:val="center"/>
        <w:rPr>
          <w:rFonts w:ascii="宋体" w:hAnsi="宋体" w:cs="宋体"/>
          <w:b/>
          <w:sz w:val="28"/>
          <w:szCs w:val="28"/>
        </w:rPr>
      </w:pPr>
      <w:bookmarkStart w:id="16" w:name="OLE_LINK3"/>
      <w:bookmarkStart w:id="17" w:name="OLE_LINK2"/>
    </w:p>
    <w:p w14:paraId="3BC92431">
      <w:pPr>
        <w:pStyle w:val="4"/>
        <w:spacing w:before="0" w:after="0" w:line="360" w:lineRule="auto"/>
        <w:rPr>
          <w:rFonts w:ascii="宋体" w:hAnsi="宋体" w:eastAsia="宋体" w:cs="宋体"/>
        </w:rPr>
      </w:pPr>
      <w:bookmarkStart w:id="18" w:name="_Toc29098"/>
      <w:bookmarkStart w:id="19" w:name="_Toc179632528"/>
      <w:bookmarkStart w:id="20" w:name="_Toc10153"/>
      <w:bookmarkStart w:id="21" w:name="_Toc24874"/>
      <w:bookmarkStart w:id="22" w:name="_Toc152042288"/>
      <w:bookmarkStart w:id="23" w:name="_Toc246996901"/>
      <w:bookmarkStart w:id="24" w:name="_Toc144974480"/>
      <w:bookmarkStart w:id="25" w:name="_Toc152045512"/>
      <w:bookmarkStart w:id="26" w:name="_Toc246996158"/>
      <w:bookmarkStart w:id="27" w:name="_Toc247085672"/>
      <w:bookmarkStart w:id="28" w:name="_Toc507319891"/>
      <w:bookmarkStart w:id="29" w:name="_Toc6549"/>
      <w:bookmarkStart w:id="30" w:name="_Toc10076"/>
      <w:bookmarkStart w:id="31" w:name="_Toc11329213"/>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A8C99AA">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巫溪至开州高速公路项目机电工程（开州段）高压外电接入施工专项分包</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14:paraId="020B9A41">
      <w:pPr>
        <w:pStyle w:val="4"/>
        <w:spacing w:before="120" w:after="0" w:line="360" w:lineRule="auto"/>
        <w:rPr>
          <w:rFonts w:ascii="宋体" w:hAnsi="宋体" w:eastAsia="宋体" w:cs="宋体"/>
        </w:rPr>
      </w:pPr>
      <w:bookmarkStart w:id="32" w:name="_Toc247085673"/>
      <w:bookmarkStart w:id="33" w:name="_Toc21343"/>
      <w:bookmarkStart w:id="34" w:name="_Toc246996159"/>
      <w:bookmarkStart w:id="35" w:name="_Toc144974481"/>
      <w:bookmarkStart w:id="36" w:name="_Toc9390"/>
      <w:bookmarkStart w:id="37" w:name="_Toc11329214"/>
      <w:bookmarkStart w:id="38" w:name="_Toc10952"/>
      <w:bookmarkStart w:id="39" w:name="_Toc507319892"/>
      <w:bookmarkStart w:id="40" w:name="_Toc152045513"/>
      <w:bookmarkStart w:id="41" w:name="_Toc4541"/>
      <w:bookmarkStart w:id="42" w:name="_Toc18109"/>
      <w:bookmarkStart w:id="43" w:name="_Toc152042289"/>
      <w:bookmarkStart w:id="44" w:name="_Toc179632529"/>
      <w:bookmarkStart w:id="45" w:name="_Toc246996902"/>
      <w:r>
        <w:rPr>
          <w:rFonts w:hint="eastAsia" w:ascii="宋体" w:hAnsi="宋体" w:eastAsia="宋体" w:cs="宋体"/>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3A20DAE">
      <w:pPr>
        <w:spacing w:line="360" w:lineRule="auto"/>
        <w:ind w:firstLine="420" w:firstLineChars="200"/>
        <w:rPr>
          <w:rFonts w:hint="default" w:ascii="宋体" w:hAnsi="宋体" w:eastAsia="宋体" w:cs="宋体"/>
          <w:highlight w:val="none"/>
          <w:lang w:val="en-US" w:eastAsia="zh-CN"/>
        </w:rPr>
      </w:pPr>
      <w:bookmarkStart w:id="46" w:name="_Toc446247226"/>
      <w:r>
        <w:rPr>
          <w:rFonts w:hint="eastAsia" w:ascii="宋体" w:hAnsi="宋体" w:cs="宋体"/>
          <w:highlight w:val="none"/>
        </w:rPr>
        <w:t>2.1 项目地点：</w:t>
      </w:r>
      <w:bookmarkEnd w:id="46"/>
      <w:r>
        <w:rPr>
          <w:rFonts w:hint="eastAsia" w:ascii="宋体" w:hAnsi="宋体" w:cs="宋体"/>
          <w:szCs w:val="21"/>
          <w:highlight w:val="none"/>
          <w:u w:val="single"/>
          <w:lang w:val="en-US" w:eastAsia="zh-CN"/>
        </w:rPr>
        <w:t>重庆市巫溪县、云阳县、开州区境内</w:t>
      </w:r>
      <w:r>
        <w:rPr>
          <w:rFonts w:hint="eastAsia" w:ascii="宋体" w:hAnsi="宋体" w:cs="宋体"/>
          <w:highlight w:val="none"/>
          <w:lang w:eastAsia="zh-CN"/>
        </w:rPr>
        <w:t>。</w:t>
      </w:r>
    </w:p>
    <w:p w14:paraId="1534A7E0">
      <w:pPr>
        <w:pStyle w:val="13"/>
        <w:adjustRightInd w:val="0"/>
        <w:spacing w:line="400" w:lineRule="exact"/>
        <w:rPr>
          <w:rFonts w:hint="default" w:ascii="微软雅黑" w:hAnsi="微软雅黑" w:eastAsia="微软雅黑" w:cs="微软雅黑"/>
          <w:i w:val="0"/>
          <w:iCs w:val="0"/>
          <w:caps w:val="0"/>
          <w:color w:val="000000"/>
          <w:spacing w:val="0"/>
          <w:sz w:val="20"/>
          <w:szCs w:val="20"/>
          <w:shd w:val="clear" w:fill="FCFCFC"/>
        </w:rPr>
      </w:pPr>
      <w:r>
        <w:rPr>
          <w:rFonts w:hint="eastAsia" w:ascii="宋体" w:hAnsi="宋体" w:cs="宋体"/>
          <w:szCs w:val="21"/>
          <w:highlight w:val="none"/>
        </w:rPr>
        <w:t>2.2 项目概况：本项目巫溪至开州高速公路位于渝东北区域中部，是同 G42 沪蓉高速公路相平行的一条地方公路，起点与 G6911 安康至来凤国家高速公路（奉节至巫溪段）相接，由巫溪县南部区域，途径凤凰、菱角、塘坊、文峰、朝阳至云阳界，再经沙市、鱼泉、江口、双龙至开州界，再经金峰至厚坝，即为本项目终点，与 G69 银川至百色国家高速公路（城口至开州段）设置枢纽互通式立交，实现路网功能转换。本项目巫溪至开州高速公路全线长约 118.608km，双向 4 车道，路基宽度 25.5m， 设计速度 80 公里/小时。</w:t>
      </w:r>
      <w:r>
        <w:rPr>
          <w:rFonts w:hint="eastAsia" w:ascii="宋体" w:hAnsi="宋体" w:cs="宋体"/>
          <w:snapToGrid w:val="0"/>
          <w:color w:val="auto"/>
          <w:kern w:val="0"/>
          <w:szCs w:val="21"/>
          <w:highlight w:val="none"/>
          <w:u w:val="none"/>
          <w:lang w:val="en-US" w:eastAsia="zh-CN"/>
        </w:rPr>
        <w:t>预计</w:t>
      </w:r>
      <w:r>
        <w:rPr>
          <w:rFonts w:hint="eastAsia" w:ascii="宋体" w:hAnsi="宋体" w:eastAsia="宋体" w:cs="宋体"/>
          <w:snapToGrid w:val="0"/>
          <w:color w:val="auto"/>
          <w:kern w:val="0"/>
          <w:szCs w:val="21"/>
          <w:highlight w:val="none"/>
          <w:u w:val="none"/>
        </w:rPr>
        <w:t>完工日期：202</w:t>
      </w:r>
      <w:r>
        <w:rPr>
          <w:rFonts w:hint="eastAsia" w:ascii="宋体" w:hAnsi="宋体" w:cs="宋体"/>
          <w:snapToGrid w:val="0"/>
          <w:color w:val="auto"/>
          <w:kern w:val="0"/>
          <w:szCs w:val="21"/>
          <w:highlight w:val="none"/>
          <w:u w:val="none"/>
          <w:lang w:val="en-US" w:eastAsia="zh-CN"/>
        </w:rPr>
        <w:t>4</w:t>
      </w:r>
      <w:r>
        <w:rPr>
          <w:rFonts w:hint="eastAsia" w:ascii="宋体" w:hAnsi="宋体" w:eastAsia="宋体" w:cs="宋体"/>
          <w:snapToGrid w:val="0"/>
          <w:color w:val="auto"/>
          <w:kern w:val="0"/>
          <w:szCs w:val="21"/>
          <w:highlight w:val="none"/>
          <w:u w:val="none"/>
        </w:rPr>
        <w:t>年1</w:t>
      </w:r>
      <w:r>
        <w:rPr>
          <w:rFonts w:hint="eastAsia" w:ascii="宋体" w:hAnsi="宋体" w:eastAsia="宋体" w:cs="宋体"/>
          <w:snapToGrid w:val="0"/>
          <w:color w:val="auto"/>
          <w:kern w:val="0"/>
          <w:szCs w:val="21"/>
          <w:highlight w:val="none"/>
          <w:u w:val="none"/>
          <w:lang w:val="en-US" w:eastAsia="zh-CN"/>
        </w:rPr>
        <w:t>2</w:t>
      </w:r>
      <w:r>
        <w:rPr>
          <w:rFonts w:hint="eastAsia" w:ascii="宋体" w:hAnsi="宋体" w:eastAsia="宋体" w:cs="宋体"/>
          <w:snapToGrid w:val="0"/>
          <w:color w:val="auto"/>
          <w:kern w:val="0"/>
          <w:szCs w:val="21"/>
          <w:highlight w:val="none"/>
          <w:u w:val="none"/>
        </w:rPr>
        <w:t>月</w:t>
      </w:r>
      <w:r>
        <w:rPr>
          <w:rFonts w:hint="eastAsia" w:ascii="宋体" w:hAnsi="宋体" w:eastAsia="宋体" w:cs="宋体"/>
          <w:snapToGrid w:val="0"/>
          <w:color w:val="auto"/>
          <w:kern w:val="0"/>
          <w:szCs w:val="21"/>
          <w:highlight w:val="none"/>
          <w:u w:val="none"/>
          <w:lang w:val="en-US" w:eastAsia="zh-CN"/>
        </w:rPr>
        <w:t>。</w:t>
      </w:r>
      <w:r>
        <w:rPr>
          <w:rFonts w:hint="eastAsia" w:ascii="宋体" w:hAnsi="宋体" w:cs="宋体"/>
          <w:snapToGrid w:val="0"/>
          <w:color w:val="auto"/>
          <w:kern w:val="0"/>
          <w:szCs w:val="21"/>
          <w:highlight w:val="none"/>
          <w:u w:val="none"/>
          <w:lang w:val="en-US" w:eastAsia="zh-CN"/>
        </w:rPr>
        <w:t>其中，</w:t>
      </w:r>
      <w:r>
        <w:rPr>
          <w:rFonts w:hint="eastAsia" w:ascii="宋体" w:hAnsi="宋体" w:eastAsia="宋体" w:cs="宋体"/>
          <w:snapToGrid w:val="0"/>
          <w:color w:val="auto"/>
          <w:kern w:val="0"/>
          <w:szCs w:val="21"/>
          <w:highlight w:val="none"/>
          <w:u w:val="none"/>
        </w:rPr>
        <w:t>沙市至开州</w:t>
      </w:r>
      <w:r>
        <w:rPr>
          <w:rFonts w:hint="eastAsia" w:ascii="宋体" w:hAnsi="宋体" w:cs="宋体"/>
          <w:snapToGrid w:val="0"/>
          <w:color w:val="auto"/>
          <w:kern w:val="0"/>
          <w:szCs w:val="21"/>
          <w:highlight w:val="none"/>
          <w:u w:val="none"/>
          <w:lang w:val="en-US" w:eastAsia="zh-CN"/>
        </w:rPr>
        <w:t>段预计完工日期2024年9月。</w:t>
      </w:r>
    </w:p>
    <w:p w14:paraId="13A0D52C">
      <w:pPr>
        <w:pStyle w:val="13"/>
        <w:adjustRightInd w:val="0"/>
        <w:spacing w:line="400" w:lineRule="exact"/>
        <w:rPr>
          <w:rFonts w:ascii="宋体" w:hAnsi="宋体" w:cs="宋体"/>
          <w:szCs w:val="21"/>
        </w:rPr>
      </w:pPr>
      <w:r>
        <w:rPr>
          <w:rFonts w:hint="eastAsia" w:ascii="宋体" w:hAnsi="宋体" w:cs="宋体"/>
        </w:rPr>
        <w:t>2.3 比选范围：</w:t>
      </w:r>
      <w:r>
        <w:rPr>
          <w:rFonts w:hint="eastAsia" w:ascii="宋体" w:hAnsi="宋体" w:cs="宋体"/>
          <w:snapToGrid w:val="0"/>
          <w:color w:val="auto"/>
          <w:kern w:val="0"/>
          <w:szCs w:val="21"/>
          <w:highlight w:val="none"/>
          <w:u w:val="none"/>
          <w:lang w:eastAsia="zh-CN"/>
        </w:rPr>
        <w:t>本次施工主要包括巫溪至开州高速公路项目机电工程</w:t>
      </w:r>
      <w:r>
        <w:rPr>
          <w:rFonts w:hint="eastAsia" w:ascii="宋体" w:hAnsi="宋体" w:cs="宋体"/>
          <w:snapToGrid w:val="0"/>
          <w:color w:val="auto"/>
          <w:kern w:val="0"/>
          <w:szCs w:val="21"/>
          <w:highlight w:val="none"/>
          <w:u w:val="none"/>
          <w:lang w:val="en-US" w:eastAsia="zh-CN"/>
        </w:rPr>
        <w:t>开州</w:t>
      </w:r>
      <w:r>
        <w:rPr>
          <w:rFonts w:hint="eastAsia" w:ascii="宋体" w:hAnsi="宋体" w:cs="宋体"/>
          <w:snapToGrid w:val="0"/>
          <w:color w:val="auto"/>
          <w:kern w:val="0"/>
          <w:szCs w:val="21"/>
          <w:highlight w:val="none"/>
          <w:u w:val="none"/>
        </w:rPr>
        <w:t>段范围内服务区、收费站以及隧道的外线接入施工、勘察设计、配电房内供电的深化设计以及配电房内供配电设备调试、检测、确保通电验收等一切相关工作</w:t>
      </w:r>
      <w:r>
        <w:rPr>
          <w:rFonts w:hint="eastAsia" w:ascii="宋体" w:hAnsi="宋体" w:cs="宋体"/>
          <w:snapToGrid w:val="0"/>
          <w:color w:val="auto"/>
          <w:kern w:val="0"/>
          <w:szCs w:val="21"/>
          <w:highlight w:val="none"/>
          <w:u w:val="none"/>
          <w:lang w:eastAsia="zh-CN"/>
        </w:rPr>
        <w:t>，详见工程量清单。</w:t>
      </w:r>
      <w:r>
        <w:rPr>
          <w:rFonts w:hint="eastAsia" w:ascii="宋体" w:hAnsi="宋体" w:cs="宋体"/>
          <w:szCs w:val="21"/>
        </w:rPr>
        <w:t xml:space="preserve"> </w:t>
      </w:r>
    </w:p>
    <w:p w14:paraId="360D58E4">
      <w:pPr>
        <w:widowControl/>
        <w:spacing w:line="400" w:lineRule="atLeast"/>
        <w:ind w:firstLine="420"/>
        <w:rPr>
          <w:rFonts w:hint="eastAsia" w:ascii="宋体" w:hAnsi="宋体" w:cs="宋体"/>
          <w:lang w:val="en-US" w:eastAsia="zh-CN"/>
        </w:rPr>
      </w:pPr>
      <w:r>
        <w:rPr>
          <w:rFonts w:hint="eastAsia" w:ascii="宋体" w:hAnsi="宋体" w:cs="宋体"/>
        </w:rPr>
        <w:t>2.4 工期要求：</w:t>
      </w:r>
      <w:r>
        <w:rPr>
          <w:rFonts w:hint="eastAsia" w:ascii="宋体" w:hAnsi="宋体" w:cs="宋体"/>
          <w:snapToGrid w:val="0"/>
          <w:color w:val="auto"/>
          <w:kern w:val="0"/>
          <w:szCs w:val="21"/>
          <w:highlight w:val="none"/>
          <w:u w:val="none"/>
          <w:lang w:val="en-US" w:eastAsia="zh-CN"/>
        </w:rPr>
        <w:t>计划2024年</w:t>
      </w:r>
      <w:r>
        <w:rPr>
          <w:rFonts w:hint="eastAsia" w:ascii="宋体" w:hAnsi="宋体" w:cs="宋体"/>
          <w:snapToGrid w:val="0"/>
          <w:color w:val="auto"/>
          <w:kern w:val="0"/>
          <w:szCs w:val="21"/>
          <w:highlight w:val="none"/>
          <w:u w:val="none"/>
          <w:lang w:eastAsia="zh-CN"/>
        </w:rPr>
        <w:t>8</w:t>
      </w:r>
      <w:r>
        <w:rPr>
          <w:rFonts w:hint="eastAsia" w:ascii="宋体" w:hAnsi="宋体" w:cs="宋体"/>
          <w:snapToGrid w:val="0"/>
          <w:color w:val="auto"/>
          <w:kern w:val="0"/>
          <w:szCs w:val="21"/>
          <w:highlight w:val="none"/>
          <w:u w:val="none"/>
        </w:rPr>
        <w:t>月底</w:t>
      </w:r>
      <w:r>
        <w:rPr>
          <w:rFonts w:hint="eastAsia" w:ascii="宋体" w:hAnsi="宋体" w:cs="宋体"/>
          <w:snapToGrid w:val="0"/>
          <w:color w:val="auto"/>
          <w:kern w:val="0"/>
          <w:szCs w:val="21"/>
          <w:highlight w:val="none"/>
          <w:u w:val="none"/>
          <w:lang w:val="en-US" w:eastAsia="zh-CN"/>
        </w:rPr>
        <w:t>完成通电验收</w:t>
      </w:r>
      <w:r>
        <w:rPr>
          <w:rFonts w:hint="eastAsia" w:ascii="宋体" w:hAnsi="宋体" w:cs="宋体"/>
          <w:lang w:val="en-US" w:eastAsia="zh-CN"/>
        </w:rPr>
        <w:t>。</w:t>
      </w:r>
    </w:p>
    <w:p w14:paraId="4553D8CE">
      <w:pPr>
        <w:widowControl/>
        <w:spacing w:line="400" w:lineRule="atLeast"/>
        <w:ind w:firstLine="42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eastAsia="宋体" w:cs="宋体"/>
          <w:b w:val="0"/>
          <w:kern w:val="2"/>
          <w:sz w:val="21"/>
          <w:szCs w:val="21"/>
          <w:highlight w:val="none"/>
          <w:lang w:val="en-US" w:eastAsia="zh-CN" w:bidi="ar"/>
        </w:rPr>
        <w:t xml:space="preserve">2.5 </w:t>
      </w:r>
      <w:r>
        <w:rPr>
          <w:rFonts w:hint="eastAsia" w:ascii="宋体" w:hAnsi="宋体" w:cs="宋体"/>
          <w:color w:val="000000" w:themeColor="text1"/>
          <w:highlight w:val="none"/>
          <w:lang w:val="en-US" w:eastAsia="zh-CN"/>
          <w14:textFill>
            <w14:solidFill>
              <w14:schemeClr w14:val="tx1"/>
            </w14:solidFill>
          </w14:textFill>
        </w:rPr>
        <w:t>预计采购金额：</w:t>
      </w:r>
      <w:r>
        <w:rPr>
          <w:rFonts w:hint="eastAsia" w:ascii="宋体" w:hAnsi="宋体" w:cs="宋体"/>
          <w:color w:val="000000" w:themeColor="text1"/>
          <w:highlight w:val="none"/>
          <w14:textFill>
            <w14:solidFill>
              <w14:schemeClr w14:val="tx1"/>
            </w14:solidFill>
          </w14:textFill>
        </w:rPr>
        <w:t>3029087.21</w:t>
      </w:r>
      <w:r>
        <w:rPr>
          <w:rFonts w:hint="eastAsia" w:ascii="宋体" w:hAnsi="宋体" w:cs="宋体"/>
          <w:color w:val="000000" w:themeColor="text1"/>
          <w:highlight w:val="none"/>
          <w:lang w:val="en-US" w:eastAsia="zh-CN"/>
          <w14:textFill>
            <w14:solidFill>
              <w14:schemeClr w14:val="tx1"/>
            </w14:solidFill>
          </w14:textFill>
        </w:rPr>
        <w:t>元。</w:t>
      </w:r>
    </w:p>
    <w:p w14:paraId="717ED5B0">
      <w:pPr>
        <w:widowControl/>
        <w:spacing w:line="400" w:lineRule="atLeast"/>
        <w:ind w:firstLine="420"/>
        <w:rPr>
          <w:rFonts w:hint="default" w:ascii="宋体" w:hAnsi="宋体" w:cs="宋体"/>
          <w:lang w:val="en-US"/>
        </w:rPr>
      </w:pPr>
      <w:r>
        <w:rPr>
          <w:rFonts w:hint="eastAsia" w:ascii="宋体" w:hAnsi="宋体" w:cs="宋体"/>
          <w:color w:val="000000" w:themeColor="text1"/>
          <w:highlight w:val="none"/>
          <w:lang w:val="en-US" w:eastAsia="zh-CN"/>
          <w14:textFill>
            <w14:solidFill>
              <w14:schemeClr w14:val="tx1"/>
            </w14:solidFill>
          </w14:textFill>
        </w:rPr>
        <w:t>2.6 标段划分：</w:t>
      </w:r>
      <w:r>
        <w:rPr>
          <w:rFonts w:hint="eastAsia" w:ascii="宋体" w:hAnsi="宋体" w:cs="宋体"/>
          <w:b w:val="0"/>
          <w:bCs w:val="0"/>
          <w:kern w:val="2"/>
          <w:sz w:val="21"/>
          <w:szCs w:val="24"/>
          <w:highlight w:val="none"/>
          <w:lang w:val="en-US" w:eastAsia="zh-CN" w:bidi="ar-SA"/>
        </w:rPr>
        <w:t>本项目划分为1个标段。</w:t>
      </w:r>
    </w:p>
    <w:p w14:paraId="7BD06367">
      <w:pPr>
        <w:pStyle w:val="4"/>
        <w:spacing w:before="120" w:after="0" w:line="360" w:lineRule="auto"/>
        <w:rPr>
          <w:rFonts w:ascii="宋体" w:hAnsi="宋体" w:eastAsia="宋体" w:cs="宋体"/>
        </w:rPr>
      </w:pPr>
      <w:bookmarkStart w:id="47" w:name="_Toc19523"/>
      <w:bookmarkStart w:id="48" w:name="_Toc507319893"/>
      <w:bookmarkStart w:id="49" w:name="_Toc246996160"/>
      <w:bookmarkStart w:id="50" w:name="_Toc152042290"/>
      <w:bookmarkStart w:id="51" w:name="_Toc5414"/>
      <w:bookmarkStart w:id="52" w:name="_Toc246996903"/>
      <w:bookmarkStart w:id="53" w:name="_Toc152045514"/>
      <w:bookmarkStart w:id="54" w:name="_Toc7065"/>
      <w:bookmarkStart w:id="55" w:name="_Toc247085674"/>
      <w:bookmarkStart w:id="56" w:name="_Toc11329215"/>
      <w:bookmarkStart w:id="57" w:name="_Toc30356"/>
      <w:bookmarkStart w:id="58" w:name="_Toc179632530"/>
      <w:bookmarkStart w:id="59" w:name="_Toc10171"/>
      <w:bookmarkStart w:id="60" w:name="_Toc144974482"/>
      <w:r>
        <w:rPr>
          <w:rFonts w:hint="eastAsia" w:ascii="宋体" w:hAnsi="宋体" w:eastAsia="宋体" w:cs="宋体"/>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D4FE9A6">
      <w:pPr>
        <w:ind w:firstLine="420" w:firstLineChars="200"/>
        <w:rPr>
          <w:rFonts w:ascii="宋体" w:hAnsi="宋体" w:cs="宋体"/>
          <w:szCs w:val="21"/>
          <w:shd w:val="clear" w:color="auto" w:fill="FFFFFF"/>
        </w:rPr>
      </w:pPr>
      <w:bookmarkStart w:id="61" w:name="_Toc247085675"/>
      <w:bookmarkStart w:id="62" w:name="_Toc152045515"/>
      <w:bookmarkStart w:id="63" w:name="_Toc246996904"/>
      <w:bookmarkStart w:id="64" w:name="_Toc246996161"/>
      <w:bookmarkStart w:id="65" w:name="_Toc179632531"/>
      <w:bookmarkStart w:id="66" w:name="_Toc144974483"/>
      <w:bookmarkStart w:id="67" w:name="_Toc152042291"/>
      <w:r>
        <w:rPr>
          <w:rFonts w:hint="eastAsia" w:ascii="宋体" w:hAnsi="宋体" w:cs="宋体"/>
          <w:szCs w:val="21"/>
          <w:shd w:val="clear" w:color="auto" w:fill="FFFFFF"/>
        </w:rPr>
        <w:t>3.1 资质要求：</w:t>
      </w:r>
    </w:p>
    <w:p w14:paraId="5E1617D6">
      <w:pPr>
        <w:ind w:firstLine="420" w:firstLineChars="200"/>
        <w:rPr>
          <w:rFonts w:hint="eastAsia" w:ascii="宋体" w:hAnsi="宋体" w:cs="宋体"/>
          <w:snapToGrid w:val="0"/>
          <w:color w:val="auto"/>
          <w:kern w:val="0"/>
          <w:szCs w:val="21"/>
          <w:highlight w:val="none"/>
          <w:u w:val="none"/>
          <w:shd w:val="clear"/>
        </w:rPr>
      </w:pPr>
      <w:r>
        <w:rPr>
          <w:rFonts w:hint="eastAsia" w:ascii="宋体" w:hAnsi="宋体" w:cs="宋体"/>
          <w:snapToGrid w:val="0"/>
          <w:color w:val="auto"/>
          <w:kern w:val="0"/>
          <w:szCs w:val="21"/>
          <w:highlight w:val="none"/>
          <w:u w:val="none"/>
          <w:shd w:val="clear"/>
        </w:rPr>
        <w:t>（1）施工资质：具有独立法人资格，具有有效的营业执照；具有有效的四级及以上级别的承装(修、试）电力设施许可证；具有有效的电力工程施工总承包三级或输变电工程专业承包三级及以上资质；具备建设行政主管部门颁发的有效的安全生产许可证。（联合体投标的，联合体承担施工工作的单位须满足）</w:t>
      </w:r>
    </w:p>
    <w:p w14:paraId="758B61BA">
      <w:pPr>
        <w:ind w:firstLine="420" w:firstLineChars="200"/>
        <w:rPr>
          <w:rFonts w:hint="eastAsia" w:ascii="宋体" w:hAnsi="宋体" w:cs="宋体"/>
          <w:snapToGrid w:val="0"/>
          <w:color w:val="auto"/>
          <w:kern w:val="0"/>
          <w:szCs w:val="21"/>
          <w:highlight w:val="none"/>
          <w:u w:val="none"/>
          <w:shd w:val="clear"/>
        </w:rPr>
      </w:pPr>
      <w:r>
        <w:rPr>
          <w:rFonts w:hint="eastAsia" w:ascii="宋体" w:hAnsi="宋体" w:cs="宋体"/>
          <w:snapToGrid w:val="0"/>
          <w:color w:val="auto"/>
          <w:kern w:val="0"/>
          <w:szCs w:val="21"/>
          <w:highlight w:val="none"/>
          <w:u w:val="none"/>
          <w:shd w:val="clear"/>
        </w:rPr>
        <w:t>（2）设计资质：具有独立法人资格，具有有效的营业执照；具有有效的电力行业（变电工程）专业丙级及以上资质，具有有效的电力行业（送电工程）专业丙级及以上资质。（联合体投标的，联合体承担设计工作的单位须满足）</w:t>
      </w:r>
    </w:p>
    <w:p w14:paraId="4D6A7278">
      <w:pPr>
        <w:ind w:firstLine="420" w:firstLineChars="200"/>
        <w:rPr>
          <w:rFonts w:ascii="宋体" w:hAnsi="宋体" w:cs="宋体"/>
          <w:szCs w:val="21"/>
          <w:shd w:val="clear" w:color="auto" w:fill="FFFFFF"/>
        </w:rPr>
      </w:pPr>
      <w:r>
        <w:rPr>
          <w:rFonts w:hint="eastAsia" w:ascii="宋体" w:hAnsi="宋体" w:cs="宋体"/>
          <w:snapToGrid w:val="0"/>
          <w:color w:val="auto"/>
          <w:kern w:val="0"/>
          <w:szCs w:val="21"/>
          <w:highlight w:val="none"/>
          <w:u w:val="none"/>
          <w:shd w:val="clear"/>
        </w:rPr>
        <w:t>3.2业绩要求：</w:t>
      </w:r>
      <w:r>
        <w:rPr>
          <w:rFonts w:hint="eastAsia" w:ascii="宋体" w:hAnsi="宋体" w:cs="宋体"/>
          <w:snapToGrid w:val="0"/>
          <w:color w:val="auto"/>
          <w:kern w:val="0"/>
          <w:szCs w:val="21"/>
          <w:highlight w:val="none"/>
          <w:u w:val="none"/>
        </w:rPr>
        <w:t>投标人2021年1月1日至投标截止日（以合同签订时间为准）至少完成一个合同额</w:t>
      </w:r>
      <w:r>
        <w:rPr>
          <w:rFonts w:hint="eastAsia" w:ascii="宋体" w:hAnsi="宋体" w:cs="宋体"/>
          <w:snapToGrid w:val="0"/>
          <w:color w:val="auto"/>
          <w:kern w:val="0"/>
          <w:szCs w:val="21"/>
          <w:highlight w:val="none"/>
          <w:u w:val="none"/>
          <w:lang w:val="en-US" w:eastAsia="zh-CN"/>
        </w:rPr>
        <w:t>25</w:t>
      </w:r>
      <w:r>
        <w:rPr>
          <w:rFonts w:hint="eastAsia" w:ascii="宋体" w:hAnsi="宋体" w:cs="宋体"/>
          <w:snapToGrid w:val="0"/>
          <w:color w:val="auto"/>
          <w:kern w:val="0"/>
          <w:szCs w:val="21"/>
          <w:highlight w:val="none"/>
          <w:u w:val="none"/>
        </w:rPr>
        <w:t>0万元以上10kv及以上高压外线工程施工业绩。（注：联合体投标的，由联合体牵头人提供）</w:t>
      </w:r>
    </w:p>
    <w:p w14:paraId="682A9CEA">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3</w:t>
      </w:r>
      <w:r>
        <w:rPr>
          <w:rFonts w:hint="eastAsia" w:ascii="宋体" w:hAnsi="宋体" w:cs="宋体"/>
          <w:szCs w:val="21"/>
          <w:shd w:val="clear" w:color="auto" w:fill="FFFFFF"/>
        </w:rPr>
        <w:t xml:space="preserve"> 信誉要求：在国家企业信用信息公示系统（http://www.gsxt.gov.cn/）中未被列入严重违法失信企业名单（黑名单）信息；在“信用中国”网站（http://www.creditchina.gov.cn/）中未被列入失信惩戒执行人名单。</w:t>
      </w:r>
    </w:p>
    <w:p w14:paraId="5B646EBE">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4</w:t>
      </w:r>
      <w:r>
        <w:rPr>
          <w:rFonts w:hint="eastAsia" w:ascii="宋体" w:hAnsi="宋体" w:cs="宋体"/>
          <w:szCs w:val="21"/>
          <w:shd w:val="clear" w:color="auto" w:fill="FFFFFF"/>
        </w:rPr>
        <w:t xml:space="preserve"> 报价人须提供采购人要求的所有资质要求、业绩要求、信誉要求的复印件并加盖单位鲜公章。</w:t>
      </w:r>
    </w:p>
    <w:p w14:paraId="094E0A3E">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5</w:t>
      </w:r>
      <w:r>
        <w:rPr>
          <w:rFonts w:hint="eastAsia" w:ascii="宋体" w:hAnsi="宋体" w:cs="宋体"/>
          <w:szCs w:val="21"/>
          <w:shd w:val="clear" w:color="auto" w:fill="FFFFFF"/>
        </w:rPr>
        <w:t xml:space="preserve"> 本次比选接受联合体报价。</w:t>
      </w:r>
    </w:p>
    <w:p w14:paraId="76442757">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6</w:t>
      </w:r>
      <w:r>
        <w:rPr>
          <w:rFonts w:hint="eastAsia" w:ascii="宋体" w:hAnsi="宋体" w:cs="宋体"/>
          <w:szCs w:val="21"/>
          <w:shd w:val="clear" w:color="auto" w:fill="FFFFFF"/>
        </w:rPr>
        <w:t xml:space="preserve"> 单位负责人为同一人或者存在控股、管理关系的不同单位，不得同时参加本项目报价，否则均按无效报价处理。</w:t>
      </w:r>
    </w:p>
    <w:p w14:paraId="2C217E7B">
      <w:pPr>
        <w:pStyle w:val="4"/>
        <w:spacing w:before="120" w:after="0" w:line="400" w:lineRule="exact"/>
        <w:rPr>
          <w:rFonts w:hint="eastAsia" w:ascii="宋体" w:hAnsi="宋体" w:eastAsia="宋体" w:cs="宋体"/>
          <w:lang w:val="en-US" w:eastAsia="zh-CN"/>
        </w:rPr>
      </w:pPr>
      <w:bookmarkStart w:id="68" w:name="_Toc14361"/>
      <w:bookmarkStart w:id="69" w:name="_Toc507319894"/>
      <w:bookmarkStart w:id="70" w:name="_Toc23585"/>
      <w:bookmarkStart w:id="71" w:name="_Toc6870"/>
      <w:bookmarkStart w:id="72" w:name="_Toc25619"/>
      <w:bookmarkStart w:id="73" w:name="_Toc12460"/>
      <w:bookmarkStart w:id="74" w:name="_Toc11329216"/>
      <w:r>
        <w:rPr>
          <w:rFonts w:hint="eastAsia" w:ascii="宋体" w:hAnsi="宋体" w:eastAsia="宋体" w:cs="宋体"/>
        </w:rPr>
        <w:t xml:space="preserve">4. </w:t>
      </w:r>
      <w:r>
        <w:rPr>
          <w:rFonts w:hint="eastAsia" w:ascii="宋体" w:hAnsi="宋体" w:eastAsia="宋体" w:cs="宋体"/>
          <w:lang w:val="en-US" w:eastAsia="zh-CN"/>
        </w:rPr>
        <w:t>评标办法</w:t>
      </w:r>
    </w:p>
    <w:p w14:paraId="55B0B8B6">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lang w:val="en-US" w:eastAsia="zh-CN"/>
        </w:rPr>
        <w:t>综合评估法</w:t>
      </w:r>
      <w:r>
        <w:rPr>
          <w:rFonts w:hint="eastAsia" w:ascii="宋体" w:hAnsi="宋体" w:cs="宋体"/>
          <w:szCs w:val="21"/>
          <w:shd w:val="clear" w:color="auto" w:fill="FFFFFF"/>
        </w:rPr>
        <w:t>。</w:t>
      </w:r>
    </w:p>
    <w:p w14:paraId="084C9DEC">
      <w:pPr>
        <w:pStyle w:val="4"/>
        <w:spacing w:before="120" w:after="0" w:line="400" w:lineRule="exact"/>
        <w:rPr>
          <w:rFonts w:ascii="宋体" w:hAnsi="宋体" w:eastAsia="宋体" w:cs="宋体"/>
        </w:rPr>
      </w:pPr>
      <w:r>
        <w:rPr>
          <w:rFonts w:hint="eastAsia" w:ascii="宋体" w:hAnsi="宋体" w:eastAsia="宋体" w:cs="宋体"/>
          <w:lang w:val="en-US" w:eastAsia="zh-CN"/>
        </w:rPr>
        <w:t xml:space="preserve">5. </w:t>
      </w:r>
      <w:r>
        <w:rPr>
          <w:rFonts w:hint="eastAsia" w:ascii="宋体" w:hAnsi="宋体" w:eastAsia="宋体" w:cs="宋体"/>
        </w:rPr>
        <w:t>比选文件的获取</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15C240F8">
      <w:pPr>
        <w:spacing w:line="360" w:lineRule="auto"/>
        <w:ind w:firstLine="420" w:firstLineChars="200"/>
        <w:rPr>
          <w:rFonts w:ascii="宋体" w:hAnsi="宋体"/>
          <w:szCs w:val="21"/>
        </w:rPr>
      </w:pPr>
      <w:bookmarkStart w:id="75" w:name="_Toc246996905"/>
      <w:bookmarkStart w:id="76" w:name="_Toc11329217"/>
      <w:bookmarkStart w:id="77" w:name="_Toc152045516"/>
      <w:bookmarkStart w:id="78" w:name="_Toc152042292"/>
      <w:bookmarkStart w:id="79" w:name="_Toc507319895"/>
      <w:bookmarkStart w:id="80" w:name="_Toc247085676"/>
      <w:bookmarkStart w:id="81" w:name="_Toc246996162"/>
      <w:bookmarkStart w:id="82" w:name="_Toc144974484"/>
      <w:bookmarkStart w:id="83" w:name="_Toc179632532"/>
      <w:r>
        <w:rPr>
          <w:rFonts w:hint="eastAsia" w:ascii="宋体" w:hAnsi="宋体"/>
          <w:szCs w:val="21"/>
        </w:rPr>
        <w:t>凡愿意参加的潜在报价人，在开标截止日202</w:t>
      </w:r>
      <w:r>
        <w:rPr>
          <w:rFonts w:hint="eastAsia" w:ascii="宋体" w:hAnsi="宋体"/>
          <w:szCs w:val="21"/>
          <w:lang w:val="en-US" w:eastAsia="zh-CN"/>
        </w:rPr>
        <w:t>4</w:t>
      </w:r>
      <w:r>
        <w:rPr>
          <w:rFonts w:hint="eastAsia" w:ascii="宋体" w:hAnsi="宋体"/>
          <w:szCs w:val="21"/>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9日下</w:t>
      </w:r>
      <w:r>
        <w:rPr>
          <w:rFonts w:hint="eastAsia" w:ascii="宋体" w:hAnsi="宋体"/>
          <w:szCs w:val="21"/>
          <w:highlight w:val="none"/>
        </w:rPr>
        <w:t>午</w:t>
      </w:r>
      <w:r>
        <w:rPr>
          <w:rFonts w:hint="eastAsia" w:ascii="宋体" w:hAnsi="宋体"/>
          <w:szCs w:val="21"/>
          <w:highlight w:val="none"/>
          <w:lang w:val="en-US" w:eastAsia="zh-CN"/>
        </w:rPr>
        <w:t>14：00</w:t>
      </w:r>
      <w:r>
        <w:rPr>
          <w:rFonts w:hint="eastAsia" w:ascii="宋体" w:hAnsi="宋体"/>
          <w:szCs w:val="21"/>
          <w:highlight w:val="none"/>
        </w:rPr>
        <w:t>前，</w:t>
      </w:r>
      <w:r>
        <w:rPr>
          <w:rFonts w:hint="eastAsia" w:ascii="宋体" w:hAnsi="宋体"/>
          <w:szCs w:val="21"/>
        </w:rPr>
        <w:t>在重庆高速集团官网（http://www.cegc.com.cn/gw/newsInfoMenu.html?id=42&amp;key=2）直接下载获取比选文件等开标前的有关资料。各报价人应随时关注网上发布的竞争性比选文件答疑、补遗、澄清等文件内容，不管报价人是否下载，均视为已知晓竞争性比选文件的全部内容和有关事宜。</w:t>
      </w:r>
    </w:p>
    <w:p w14:paraId="3C60B126">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竞争性比选响应文件的递交及相关事宜</w:t>
      </w:r>
    </w:p>
    <w:p w14:paraId="398D2A7C">
      <w:pPr>
        <w:tabs>
          <w:tab w:val="left" w:pos="360"/>
        </w:tabs>
        <w:spacing w:line="40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.1</w:t>
      </w:r>
      <w:r>
        <w:rPr>
          <w:rFonts w:hint="eastAsia" w:ascii="宋体" w:hAnsi="宋体" w:cs="宋体"/>
          <w:szCs w:val="21"/>
          <w:highlight w:val="none"/>
        </w:rPr>
        <w:t>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 xml:space="preserve"> 8 </w:t>
      </w:r>
      <w:r>
        <w:rPr>
          <w:rFonts w:hint="eastAsia" w:ascii="宋体" w:hAnsi="宋体"/>
          <w:szCs w:val="21"/>
          <w:highlight w:val="none"/>
        </w:rPr>
        <w:t>月</w:t>
      </w:r>
      <w:r>
        <w:rPr>
          <w:rFonts w:hint="eastAsia" w:ascii="宋体" w:hAnsi="宋体"/>
          <w:szCs w:val="21"/>
          <w:highlight w:val="none"/>
          <w:u w:val="single"/>
          <w:lang w:val="en-US" w:eastAsia="zh-CN"/>
        </w:rPr>
        <w:t xml:space="preserve"> 9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lang w:val="en-US" w:eastAsia="zh-CN"/>
        </w:rPr>
        <w:t xml:space="preserve"> 14 </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r>
        <w:rPr>
          <w:rFonts w:hint="eastAsia" w:ascii="宋体" w:hAnsi="宋体" w:cs="宋体"/>
          <w:szCs w:val="21"/>
        </w:rPr>
        <w:t>北京时间）。</w:t>
      </w:r>
    </w:p>
    <w:p w14:paraId="3EA30610">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lang w:val="en-US" w:eastAsia="zh-CN"/>
        </w:rPr>
        <w:t>6</w:t>
      </w: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递交地址：报价人将完整的报价资料递交</w:t>
      </w:r>
      <w:r>
        <w:rPr>
          <w:rFonts w:hint="eastAsia" w:ascii="宋体" w:hAnsi="宋体" w:cs="宋体"/>
          <w:szCs w:val="21"/>
          <w:lang w:val="en-US" w:eastAsia="zh-CN"/>
        </w:rPr>
        <w:t>或邮寄</w:t>
      </w:r>
      <w:r>
        <w:rPr>
          <w:rFonts w:hint="eastAsia" w:ascii="宋体" w:hAnsi="宋体" w:cs="宋体"/>
          <w:szCs w:val="21"/>
        </w:rPr>
        <w:t>至重庆市渝北区新南路52号东界龙湖一楼重庆首讯科技股份有限公司东界龙湖办公区</w:t>
      </w:r>
      <w:r>
        <w:rPr>
          <w:rFonts w:hint="eastAsia" w:ascii="宋体" w:hAnsi="宋体"/>
          <w:szCs w:val="21"/>
        </w:rPr>
        <w:t>。</w:t>
      </w:r>
    </w:p>
    <w:p w14:paraId="2664CA55">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lang w:val="en-US" w:eastAsia="zh-CN"/>
        </w:rPr>
        <w:t>6</w:t>
      </w:r>
      <w:r>
        <w:rPr>
          <w:rFonts w:hint="eastAsia" w:ascii="宋体" w:hAnsi="宋体" w:cs="宋体"/>
          <w:szCs w:val="21"/>
        </w:rPr>
        <w:t>.3</w:t>
      </w:r>
      <w:r>
        <w:rPr>
          <w:rFonts w:ascii="宋体" w:hAnsi="宋体" w:cs="宋体"/>
          <w:szCs w:val="21"/>
        </w:rPr>
        <w:t>采购人不组织工程现场踏勘，不召开报价预备会。</w:t>
      </w:r>
      <w:bookmarkEnd w:id="75"/>
      <w:bookmarkEnd w:id="76"/>
      <w:bookmarkEnd w:id="77"/>
      <w:bookmarkEnd w:id="78"/>
      <w:bookmarkEnd w:id="79"/>
      <w:bookmarkEnd w:id="80"/>
      <w:bookmarkEnd w:id="81"/>
      <w:bookmarkEnd w:id="82"/>
      <w:bookmarkEnd w:id="83"/>
    </w:p>
    <w:p w14:paraId="26B24AAE">
      <w:pPr>
        <w:pStyle w:val="4"/>
        <w:spacing w:before="120" w:after="0" w:line="400" w:lineRule="exact"/>
        <w:rPr>
          <w:rFonts w:hint="eastAsia" w:ascii="宋体" w:hAnsi="宋体" w:eastAsia="宋体" w:cs="宋体"/>
          <w:highlight w:val="none"/>
        </w:rPr>
      </w:pPr>
      <w:bookmarkStart w:id="84" w:name="_Toc152045517"/>
      <w:bookmarkStart w:id="85" w:name="_Toc507319897"/>
      <w:bookmarkStart w:id="86" w:name="_Toc247085678"/>
      <w:bookmarkStart w:id="87" w:name="_Toc18402"/>
      <w:bookmarkStart w:id="88" w:name="_Toc18546"/>
      <w:bookmarkStart w:id="89" w:name="_Toc152042293"/>
      <w:bookmarkStart w:id="90" w:name="_Toc246996907"/>
      <w:bookmarkStart w:id="91" w:name="_Toc393"/>
      <w:bookmarkStart w:id="92" w:name="_Toc21615"/>
      <w:bookmarkStart w:id="93" w:name="_Toc144974485"/>
      <w:bookmarkStart w:id="94" w:name="_Toc179632534"/>
      <w:bookmarkStart w:id="95" w:name="_Toc246996164"/>
      <w:bookmarkStart w:id="96" w:name="_Toc11329219"/>
      <w:r>
        <w:rPr>
          <w:rFonts w:hint="eastAsia" w:ascii="宋体" w:hAnsi="宋体" w:eastAsia="宋体" w:cs="宋体"/>
          <w:highlight w:val="none"/>
          <w:lang w:val="en-US" w:eastAsia="zh-CN"/>
        </w:rPr>
        <w:t>7</w:t>
      </w:r>
      <w:r>
        <w:rPr>
          <w:rFonts w:hint="eastAsia" w:ascii="宋体" w:hAnsi="宋体" w:eastAsia="宋体" w:cs="宋体"/>
          <w:highlight w:val="none"/>
        </w:rPr>
        <w:t>.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43"/>
        <w:tblW w:w="9628" w:type="dxa"/>
        <w:tblInd w:w="0" w:type="dxa"/>
        <w:tblLayout w:type="fixed"/>
        <w:tblCellMar>
          <w:top w:w="0" w:type="dxa"/>
          <w:left w:w="108" w:type="dxa"/>
          <w:bottom w:w="0" w:type="dxa"/>
          <w:right w:w="108" w:type="dxa"/>
        </w:tblCellMar>
      </w:tblPr>
      <w:tblGrid>
        <w:gridCol w:w="8213"/>
        <w:gridCol w:w="1415"/>
      </w:tblGrid>
      <w:tr w14:paraId="2045BABC">
        <w:tblPrEx>
          <w:tblCellMar>
            <w:top w:w="0" w:type="dxa"/>
            <w:left w:w="108" w:type="dxa"/>
            <w:bottom w:w="0" w:type="dxa"/>
            <w:right w:w="108" w:type="dxa"/>
          </w:tblCellMar>
        </w:tblPrEx>
        <w:trPr>
          <w:trHeight w:val="470" w:hRule="atLeast"/>
        </w:trPr>
        <w:tc>
          <w:tcPr>
            <w:tcW w:w="8213" w:type="dxa"/>
            <w:vAlign w:val="center"/>
          </w:tcPr>
          <w:p w14:paraId="4BBAD2EE">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14:paraId="1438E886">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p>
        </w:tc>
      </w:tr>
      <w:tr w14:paraId="09ADBF7F">
        <w:tblPrEx>
          <w:tblCellMar>
            <w:top w:w="0" w:type="dxa"/>
            <w:left w:w="108" w:type="dxa"/>
            <w:bottom w:w="0" w:type="dxa"/>
            <w:right w:w="108" w:type="dxa"/>
          </w:tblCellMar>
        </w:tblPrEx>
        <w:trPr>
          <w:trHeight w:val="461" w:hRule="atLeast"/>
        </w:trPr>
        <w:tc>
          <w:tcPr>
            <w:tcW w:w="8213" w:type="dxa"/>
            <w:vAlign w:val="center"/>
          </w:tcPr>
          <w:p w14:paraId="3C50C3A2">
            <w:pPr>
              <w:keepNext w:val="0"/>
              <w:keepLines w:val="0"/>
              <w:suppressLineNumbers w:val="0"/>
              <w:topLinePunct/>
              <w:spacing w:before="0" w:beforeAutospacing="0" w:after="0" w:afterAutospacing="0" w:line="400" w:lineRule="exact"/>
              <w:ind w:left="1050" w:leftChars="200" w:right="0" w:hanging="630" w:hangingChars="300"/>
              <w:rPr>
                <w:rFonts w:hint="eastAsia"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14:paraId="5FE6D5A4">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14:paraId="0D683D27">
        <w:tblPrEx>
          <w:tblCellMar>
            <w:top w:w="0" w:type="dxa"/>
            <w:left w:w="108" w:type="dxa"/>
            <w:bottom w:w="0" w:type="dxa"/>
            <w:right w:w="108" w:type="dxa"/>
          </w:tblCellMar>
        </w:tblPrEx>
        <w:trPr>
          <w:trHeight w:val="80" w:hRule="atLeast"/>
        </w:trPr>
        <w:tc>
          <w:tcPr>
            <w:tcW w:w="8213" w:type="dxa"/>
            <w:vAlign w:val="center"/>
          </w:tcPr>
          <w:p w14:paraId="6665DCEB">
            <w:pPr>
              <w:keepNext w:val="0"/>
              <w:keepLines w:val="0"/>
              <w:suppressLineNumbers w:val="0"/>
              <w:topLinePunct/>
              <w:spacing w:before="0" w:beforeAutospacing="0" w:after="0" w:afterAutospacing="0" w:line="400" w:lineRule="exact"/>
              <w:ind w:left="0" w:right="0" w:firstLine="420" w:firstLineChars="200"/>
              <w:rPr>
                <w:rFonts w:hint="default"/>
                <w:highlight w:val="none"/>
                <w:lang w:val="en-US"/>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赵老师  </w:t>
            </w:r>
            <w:r>
              <w:rPr>
                <w:rFonts w:hint="eastAsia" w:ascii="宋体" w:hAnsi="宋体" w:cs="宋体"/>
                <w:szCs w:val="21"/>
                <w:highlight w:val="none"/>
              </w:rPr>
              <w:t>电 话：17723036173</w:t>
            </w:r>
          </w:p>
        </w:tc>
        <w:tc>
          <w:tcPr>
            <w:tcW w:w="1415" w:type="dxa"/>
            <w:vAlign w:val="center"/>
          </w:tcPr>
          <w:p w14:paraId="14178B89">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14:paraId="26B4E821">
        <w:tblPrEx>
          <w:tblCellMar>
            <w:top w:w="0" w:type="dxa"/>
            <w:left w:w="108" w:type="dxa"/>
            <w:bottom w:w="0" w:type="dxa"/>
            <w:right w:w="108" w:type="dxa"/>
          </w:tblCellMar>
        </w:tblPrEx>
        <w:trPr>
          <w:trHeight w:val="80" w:hRule="atLeast"/>
        </w:trPr>
        <w:tc>
          <w:tcPr>
            <w:tcW w:w="8213" w:type="dxa"/>
            <w:vAlign w:val="center"/>
          </w:tcPr>
          <w:p w14:paraId="0BB6D2DA">
            <w:pPr>
              <w:keepNext w:val="0"/>
              <w:keepLines w:val="0"/>
              <w:suppressLineNumbers w:val="0"/>
              <w:topLinePunct/>
              <w:spacing w:before="0" w:beforeAutospacing="0" w:after="0" w:afterAutospacing="0" w:line="420" w:lineRule="exact"/>
              <w:ind w:left="0" w:right="0" w:firstLine="420" w:firstLineChars="200"/>
              <w:rPr>
                <w:rFonts w:hint="eastAsia" w:ascii="宋体" w:hAnsi="宋体" w:cs="宋体"/>
                <w:szCs w:val="21"/>
                <w:highlight w:val="none"/>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18523055172</w:t>
            </w:r>
          </w:p>
        </w:tc>
        <w:tc>
          <w:tcPr>
            <w:tcW w:w="1415" w:type="dxa"/>
            <w:vAlign w:val="center"/>
          </w:tcPr>
          <w:p w14:paraId="1B7CA264">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bl>
    <w:p w14:paraId="5D16ED39"/>
    <w:p w14:paraId="66304FDE">
      <w:pPr>
        <w:pStyle w:val="28"/>
      </w:pPr>
    </w:p>
    <w:p w14:paraId="2CDCF20C"/>
    <w:p w14:paraId="1BD7C5EE">
      <w:pPr>
        <w:pStyle w:val="28"/>
      </w:pPr>
    </w:p>
    <w:p w14:paraId="2D3AEC3E">
      <w:pPr>
        <w:pStyle w:val="28"/>
      </w:pPr>
    </w:p>
    <w:bookmarkEnd w:id="16"/>
    <w:bookmarkEnd w:id="17"/>
    <w:p w14:paraId="14124ECC">
      <w:pPr>
        <w:pStyle w:val="3"/>
        <w:spacing w:before="0" w:after="0" w:line="360" w:lineRule="auto"/>
        <w:jc w:val="center"/>
        <w:rPr>
          <w:rFonts w:ascii="宋体" w:hAnsi="宋体" w:cs="宋体"/>
        </w:rPr>
      </w:pPr>
      <w:bookmarkStart w:id="97" w:name="_Toc152045527"/>
      <w:bookmarkStart w:id="98" w:name="_Toc152042303"/>
      <w:bookmarkStart w:id="99" w:name="_Toc179632544"/>
      <w:bookmarkStart w:id="100" w:name="_Toc247085687"/>
      <w:bookmarkStart w:id="101" w:name="_Toc2000405"/>
      <w:bookmarkStart w:id="102" w:name="_Toc144974495"/>
      <w:bookmarkStart w:id="103" w:name="_Toc246996173"/>
      <w:bookmarkStart w:id="104" w:name="_Toc507319898"/>
      <w:bookmarkStart w:id="105" w:name="_Toc246996916"/>
      <w:r>
        <w:rPr>
          <w:rFonts w:hint="eastAsia" w:ascii="宋体" w:hAnsi="宋体" w:cs="宋体"/>
        </w:rPr>
        <w:br w:type="page"/>
      </w:r>
      <w:bookmarkStart w:id="106" w:name="_Toc3622"/>
      <w:r>
        <w:rPr>
          <w:rFonts w:hint="eastAsia" w:ascii="宋体" w:hAnsi="宋体" w:cs="宋体"/>
        </w:rPr>
        <w:t>第二章 报价人须知</w:t>
      </w:r>
      <w:bookmarkEnd w:id="97"/>
      <w:bookmarkEnd w:id="98"/>
      <w:bookmarkEnd w:id="99"/>
      <w:bookmarkEnd w:id="100"/>
      <w:bookmarkEnd w:id="101"/>
      <w:bookmarkEnd w:id="102"/>
      <w:bookmarkEnd w:id="103"/>
      <w:bookmarkEnd w:id="104"/>
      <w:bookmarkEnd w:id="105"/>
      <w:bookmarkEnd w:id="106"/>
    </w:p>
    <w:p w14:paraId="03D94140"/>
    <w:tbl>
      <w:tblPr>
        <w:tblStyle w:val="4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091"/>
        <w:gridCol w:w="7066"/>
      </w:tblGrid>
      <w:tr w14:paraId="107B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346" w:type="pct"/>
            <w:vAlign w:val="center"/>
          </w:tcPr>
          <w:p w14:paraId="75B6CCD7">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rPr>
            </w:pPr>
            <w:bookmarkStart w:id="107" w:name="_Toc326760840"/>
            <w:r>
              <w:rPr>
                <w:rFonts w:hint="eastAsia" w:ascii="宋体" w:hAnsi="宋体" w:cs="宋体"/>
                <w:b/>
                <w:kern w:val="0"/>
                <w:szCs w:val="21"/>
              </w:rPr>
              <w:t>序号</w:t>
            </w:r>
          </w:p>
        </w:tc>
        <w:tc>
          <w:tcPr>
            <w:tcW w:w="1062" w:type="pct"/>
            <w:vAlign w:val="center"/>
          </w:tcPr>
          <w:p w14:paraId="51F5BA1C">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rPr>
            </w:pPr>
            <w:r>
              <w:rPr>
                <w:rFonts w:hint="eastAsia" w:ascii="宋体" w:hAnsi="宋体" w:cs="宋体"/>
                <w:b/>
                <w:kern w:val="0"/>
                <w:szCs w:val="21"/>
              </w:rPr>
              <w:t>条款名称</w:t>
            </w:r>
          </w:p>
        </w:tc>
        <w:tc>
          <w:tcPr>
            <w:tcW w:w="3590" w:type="pct"/>
            <w:vAlign w:val="center"/>
          </w:tcPr>
          <w:p w14:paraId="6BD51F9E">
            <w:pPr>
              <w:keepNext w:val="0"/>
              <w:keepLines w:val="0"/>
              <w:suppressLineNumbers w:val="0"/>
              <w:spacing w:before="0" w:beforeAutospacing="0" w:after="0" w:afterAutospacing="0" w:line="400" w:lineRule="exact"/>
              <w:ind w:left="0" w:right="0" w:firstLine="422" w:firstLineChars="200"/>
              <w:jc w:val="center"/>
              <w:rPr>
                <w:rFonts w:hint="default" w:ascii="宋体" w:hAnsi="宋体" w:cs="宋体"/>
                <w:b/>
                <w:kern w:val="0"/>
                <w:szCs w:val="21"/>
              </w:rPr>
            </w:pPr>
            <w:r>
              <w:rPr>
                <w:rFonts w:hint="eastAsia" w:ascii="宋体" w:hAnsi="宋体" w:cs="宋体"/>
                <w:b/>
                <w:kern w:val="0"/>
                <w:szCs w:val="21"/>
              </w:rPr>
              <w:t>编  列  内  容</w:t>
            </w:r>
          </w:p>
        </w:tc>
      </w:tr>
      <w:tr w14:paraId="7ED4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346" w:type="pct"/>
            <w:vAlign w:val="center"/>
          </w:tcPr>
          <w:p w14:paraId="4E73AF0E">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w:t>
            </w:r>
          </w:p>
        </w:tc>
        <w:tc>
          <w:tcPr>
            <w:tcW w:w="1062" w:type="pct"/>
            <w:vAlign w:val="center"/>
          </w:tcPr>
          <w:p w14:paraId="506A47B7">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采购人</w:t>
            </w:r>
          </w:p>
        </w:tc>
        <w:tc>
          <w:tcPr>
            <w:tcW w:w="3590" w:type="pct"/>
            <w:vAlign w:val="center"/>
          </w:tcPr>
          <w:p w14:paraId="75F866C1">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采购人：重庆首讯科技股份有限公司</w:t>
            </w:r>
          </w:p>
          <w:p w14:paraId="66DCB445">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地  址：重庆市渝北区龙溪街道新南路52号</w:t>
            </w:r>
            <w:r>
              <w:rPr>
                <w:rFonts w:hint="eastAsia" w:ascii="宋体" w:hAnsi="宋体" w:cs="宋体"/>
                <w:szCs w:val="21"/>
                <w:highlight w:val="none"/>
              </w:rPr>
              <w:t>东界龙湖三楼</w:t>
            </w:r>
          </w:p>
          <w:p w14:paraId="06E4836C">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联系人：</w:t>
            </w:r>
            <w:r>
              <w:rPr>
                <w:rFonts w:hint="eastAsia" w:ascii="宋体" w:hAnsi="宋体" w:cs="宋体"/>
                <w:szCs w:val="21"/>
                <w:shd w:val="clear" w:color="auto" w:fill="FFFFFF"/>
                <w:lang w:val="en-US" w:eastAsia="zh-CN"/>
              </w:rPr>
              <w:t>蒋</w:t>
            </w:r>
            <w:r>
              <w:rPr>
                <w:rFonts w:hint="eastAsia" w:ascii="宋体" w:hAnsi="宋体" w:cs="宋体"/>
                <w:szCs w:val="21"/>
                <w:shd w:val="clear" w:color="auto" w:fill="FFFFFF"/>
              </w:rPr>
              <w:t>老师</w:t>
            </w:r>
          </w:p>
          <w:p w14:paraId="44240161">
            <w:pPr>
              <w:keepNext w:val="0"/>
              <w:keepLines w:val="0"/>
              <w:suppressLineNumbers w:val="0"/>
              <w:spacing w:before="0" w:beforeAutospacing="0" w:after="0" w:afterAutospacing="0"/>
              <w:ind w:left="420" w:right="0"/>
              <w:rPr>
                <w:rFonts w:hint="default"/>
              </w:rPr>
            </w:pPr>
            <w:r>
              <w:rPr>
                <w:rFonts w:hint="eastAsia" w:ascii="宋体" w:hAnsi="宋体" w:cs="宋体"/>
                <w:szCs w:val="21"/>
                <w:shd w:val="clear" w:color="auto" w:fill="FFFFFF"/>
              </w:rPr>
              <w:t>电  话：</w:t>
            </w:r>
            <w:r>
              <w:rPr>
                <w:rFonts w:hint="eastAsia" w:ascii="宋体" w:hAnsi="宋体" w:cs="宋体"/>
                <w:szCs w:val="21"/>
                <w:highlight w:val="none"/>
                <w:lang w:val="en-US" w:eastAsia="zh-CN"/>
              </w:rPr>
              <w:t>18523055172</w:t>
            </w:r>
          </w:p>
        </w:tc>
      </w:tr>
      <w:tr w14:paraId="615E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46" w:type="pct"/>
            <w:vAlign w:val="center"/>
          </w:tcPr>
          <w:p w14:paraId="7F6615C6">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2</w:t>
            </w:r>
          </w:p>
        </w:tc>
        <w:tc>
          <w:tcPr>
            <w:tcW w:w="1062" w:type="pct"/>
            <w:vAlign w:val="center"/>
          </w:tcPr>
          <w:p w14:paraId="438D031E">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项目名称</w:t>
            </w:r>
          </w:p>
        </w:tc>
        <w:tc>
          <w:tcPr>
            <w:tcW w:w="3590" w:type="pct"/>
            <w:vAlign w:val="center"/>
          </w:tcPr>
          <w:p w14:paraId="6E24E87A">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lang w:eastAsia="zh-CN"/>
              </w:rPr>
            </w:pPr>
            <w:r>
              <w:rPr>
                <w:rFonts w:hint="eastAsia"/>
                <w:lang w:eastAsia="zh-CN"/>
              </w:rPr>
              <w:t>巫溪至开州高速公路项目机电工程（开州段）高压外电接入施工专项分包</w:t>
            </w:r>
          </w:p>
        </w:tc>
      </w:tr>
      <w:tr w14:paraId="16B6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46" w:type="pct"/>
            <w:vAlign w:val="center"/>
          </w:tcPr>
          <w:p w14:paraId="2CD70DD5">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3</w:t>
            </w:r>
          </w:p>
        </w:tc>
        <w:tc>
          <w:tcPr>
            <w:tcW w:w="1062" w:type="pct"/>
            <w:vAlign w:val="center"/>
          </w:tcPr>
          <w:p w14:paraId="5968EEA9">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项目地点</w:t>
            </w:r>
          </w:p>
        </w:tc>
        <w:tc>
          <w:tcPr>
            <w:tcW w:w="3590" w:type="pct"/>
            <w:vAlign w:val="center"/>
          </w:tcPr>
          <w:p w14:paraId="1CB15AB3">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见比选公告</w:t>
            </w:r>
          </w:p>
        </w:tc>
      </w:tr>
      <w:tr w14:paraId="1D18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46" w:type="pct"/>
            <w:vAlign w:val="center"/>
          </w:tcPr>
          <w:p w14:paraId="6AD669DB">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4</w:t>
            </w:r>
          </w:p>
        </w:tc>
        <w:tc>
          <w:tcPr>
            <w:tcW w:w="1062" w:type="pct"/>
            <w:vAlign w:val="center"/>
          </w:tcPr>
          <w:p w14:paraId="34D5DBE1">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比选范围</w:t>
            </w:r>
          </w:p>
        </w:tc>
        <w:tc>
          <w:tcPr>
            <w:tcW w:w="3590" w:type="pct"/>
            <w:vAlign w:val="center"/>
          </w:tcPr>
          <w:p w14:paraId="516E6856">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kern w:val="0"/>
                <w:szCs w:val="21"/>
              </w:rPr>
              <w:t>见比选公告</w:t>
            </w:r>
          </w:p>
        </w:tc>
      </w:tr>
      <w:tr w14:paraId="40CC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Align w:val="center"/>
          </w:tcPr>
          <w:p w14:paraId="1802F79A">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5</w:t>
            </w:r>
          </w:p>
        </w:tc>
        <w:tc>
          <w:tcPr>
            <w:tcW w:w="1062" w:type="pct"/>
            <w:vAlign w:val="center"/>
          </w:tcPr>
          <w:p w14:paraId="4D0F3739">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工期要求</w:t>
            </w:r>
          </w:p>
        </w:tc>
        <w:tc>
          <w:tcPr>
            <w:tcW w:w="3590" w:type="pct"/>
            <w:vAlign w:val="center"/>
          </w:tcPr>
          <w:p w14:paraId="39ABC54C">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default" w:ascii="宋体" w:hAnsi="宋体" w:cs="宋体"/>
                <w:kern w:val="10"/>
                <w:szCs w:val="21"/>
              </w:rPr>
            </w:pPr>
            <w:r>
              <w:rPr>
                <w:rFonts w:hint="eastAsia" w:ascii="宋体" w:hAnsi="宋体" w:cs="宋体"/>
                <w:kern w:val="0"/>
                <w:szCs w:val="21"/>
              </w:rPr>
              <w:t>见比选公告</w:t>
            </w:r>
          </w:p>
        </w:tc>
      </w:tr>
      <w:tr w14:paraId="0192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46" w:type="pct"/>
            <w:vAlign w:val="center"/>
          </w:tcPr>
          <w:p w14:paraId="5FAC208D">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6</w:t>
            </w:r>
          </w:p>
        </w:tc>
        <w:tc>
          <w:tcPr>
            <w:tcW w:w="1062" w:type="pct"/>
            <w:vAlign w:val="center"/>
          </w:tcPr>
          <w:p w14:paraId="4C5C8B90">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质量要求</w:t>
            </w:r>
          </w:p>
        </w:tc>
        <w:tc>
          <w:tcPr>
            <w:tcW w:w="3590" w:type="pct"/>
          </w:tcPr>
          <w:p w14:paraId="167F090A">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r>
              <w:rPr>
                <w:rFonts w:hint="eastAsia" w:ascii="宋体" w:hAnsi="宋体" w:cs="宋体"/>
                <w:szCs w:val="21"/>
                <w:lang w:val="en-US" w:eastAsia="zh-CN"/>
              </w:rPr>
              <w:t>缺陷责任期为</w:t>
            </w:r>
            <w:r>
              <w:rPr>
                <w:rFonts w:hint="eastAsia" w:ascii="宋体" w:hAnsi="宋体" w:cs="宋体"/>
                <w:szCs w:val="21"/>
              </w:rPr>
              <w:t>自交工验收日期起计算2年。</w:t>
            </w:r>
          </w:p>
        </w:tc>
      </w:tr>
      <w:tr w14:paraId="697F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46" w:type="pct"/>
            <w:vAlign w:val="center"/>
          </w:tcPr>
          <w:p w14:paraId="78F3F361">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7</w:t>
            </w:r>
          </w:p>
        </w:tc>
        <w:tc>
          <w:tcPr>
            <w:tcW w:w="1062" w:type="pct"/>
            <w:vAlign w:val="center"/>
          </w:tcPr>
          <w:p w14:paraId="01030500">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安全目标</w:t>
            </w:r>
          </w:p>
        </w:tc>
        <w:tc>
          <w:tcPr>
            <w:tcW w:w="3590" w:type="pct"/>
          </w:tcPr>
          <w:p w14:paraId="7131E431">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无安全生产责任事故。</w:t>
            </w:r>
          </w:p>
        </w:tc>
      </w:tr>
      <w:tr w14:paraId="5B5C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46" w:type="pct"/>
            <w:vAlign w:val="center"/>
          </w:tcPr>
          <w:p w14:paraId="7C2FF5AB">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8</w:t>
            </w:r>
          </w:p>
        </w:tc>
        <w:tc>
          <w:tcPr>
            <w:tcW w:w="1062" w:type="pct"/>
            <w:vAlign w:val="center"/>
          </w:tcPr>
          <w:p w14:paraId="1539097A">
            <w:pPr>
              <w:keepNext w:val="0"/>
              <w:keepLines w:val="0"/>
              <w:suppressLineNumbers w:val="0"/>
              <w:spacing w:before="0" w:beforeAutospacing="0" w:after="0" w:afterAutospacing="0"/>
              <w:ind w:left="0" w:right="0"/>
              <w:jc w:val="center"/>
              <w:rPr>
                <w:rFonts w:hint="default" w:ascii="宋体" w:hAnsi="宋体" w:cs="宋体"/>
                <w:szCs w:val="21"/>
                <w:shd w:val="clear" w:color="auto" w:fill="FFFFFF"/>
              </w:rPr>
            </w:pPr>
            <w:r>
              <w:rPr>
                <w:rFonts w:hint="eastAsia" w:ascii="宋体" w:hAnsi="宋体" w:cs="宋体"/>
                <w:szCs w:val="21"/>
                <w:shd w:val="clear" w:color="auto" w:fill="FFFFFF"/>
              </w:rPr>
              <w:t>报价人资质条件、能力与信誉</w:t>
            </w:r>
          </w:p>
        </w:tc>
        <w:tc>
          <w:tcPr>
            <w:tcW w:w="3590" w:type="pct"/>
            <w:vAlign w:val="center"/>
          </w:tcPr>
          <w:p w14:paraId="5475CB42">
            <w:pPr>
              <w:keepNext w:val="0"/>
              <w:keepLines w:val="0"/>
              <w:numPr>
                <w:ilvl w:val="0"/>
                <w:numId w:val="0"/>
              </w:numPr>
              <w:suppressLineNumbers w:val="0"/>
              <w:spacing w:before="0" w:beforeAutospacing="0" w:after="0" w:afterAutospacing="0" w:line="400" w:lineRule="exact"/>
              <w:ind w:left="0" w:right="0" w:firstLine="420" w:firstLineChars="200"/>
              <w:rPr>
                <w:rFonts w:hint="default"/>
              </w:rPr>
            </w:pPr>
            <w:r>
              <w:rPr>
                <w:rFonts w:hint="default" w:ascii="Times New Roman" w:hAnsi="Times New Roman" w:eastAsia="宋体" w:cs="Times New Roman"/>
                <w:kern w:val="2"/>
                <w:sz w:val="21"/>
                <w:szCs w:val="24"/>
                <w:lang w:val="en-US" w:eastAsia="zh-CN" w:bidi="ar-SA"/>
              </w:rPr>
              <w:t>（1）</w:t>
            </w:r>
            <w:r>
              <w:rPr>
                <w:rFonts w:hint="eastAsia" w:ascii="宋体" w:hAnsi="宋体" w:cs="宋体"/>
                <w:szCs w:val="21"/>
              </w:rPr>
              <w:t>资质条件：见比选公告3.1</w:t>
            </w:r>
          </w:p>
          <w:p w14:paraId="6D871A58">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lang w:eastAsia="zh-CN"/>
              </w:rPr>
            </w:pPr>
            <w:r>
              <w:rPr>
                <w:rFonts w:hint="eastAsia" w:ascii="宋体" w:hAnsi="宋体" w:cs="宋体"/>
                <w:szCs w:val="21"/>
              </w:rPr>
              <w:t>（2）业绩要求：见比选公告3.</w:t>
            </w:r>
            <w:r>
              <w:rPr>
                <w:rFonts w:hint="eastAsia" w:ascii="宋体" w:hAnsi="宋体" w:cs="宋体"/>
                <w:szCs w:val="21"/>
                <w:lang w:val="en-US" w:eastAsia="zh-CN"/>
              </w:rPr>
              <w:t>2</w:t>
            </w:r>
          </w:p>
          <w:p w14:paraId="2B5FCC9B">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）信誉要求：见比选公告3.</w:t>
            </w:r>
            <w:r>
              <w:rPr>
                <w:rFonts w:hint="eastAsia" w:ascii="宋体" w:hAnsi="宋体" w:cs="宋体"/>
                <w:szCs w:val="21"/>
                <w:lang w:val="en-US" w:eastAsia="zh-CN"/>
              </w:rPr>
              <w:t>3</w:t>
            </w:r>
          </w:p>
          <w:p w14:paraId="3D90387A">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（5）</w:t>
            </w:r>
            <w:r>
              <w:rPr>
                <w:rFonts w:hint="eastAsia" w:ascii="宋体" w:hAnsi="宋体" w:cs="宋体"/>
                <w:szCs w:val="21"/>
                <w:lang w:val="en-US" w:eastAsia="zh-CN"/>
              </w:rPr>
              <w:t>单个标段</w:t>
            </w:r>
            <w:r>
              <w:rPr>
                <w:rFonts w:hint="eastAsia" w:ascii="宋体" w:hAnsi="宋体" w:cs="宋体"/>
                <w:szCs w:val="21"/>
              </w:rPr>
              <w:t>项目主要人员要求：见附录1</w:t>
            </w:r>
          </w:p>
          <w:p w14:paraId="407EC544">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（6）</w:t>
            </w:r>
            <w:r>
              <w:rPr>
                <w:rFonts w:hint="eastAsia" w:ascii="宋体" w:hAnsi="宋体" w:cs="宋体"/>
                <w:szCs w:val="21"/>
                <w:lang w:val="en-US" w:eastAsia="zh-CN"/>
              </w:rPr>
              <w:t>单个标段</w:t>
            </w:r>
            <w:r>
              <w:rPr>
                <w:rFonts w:hint="eastAsia" w:ascii="宋体" w:hAnsi="宋体" w:cs="宋体"/>
                <w:szCs w:val="21"/>
              </w:rPr>
              <w:t>其他要求：见附录2、见附录3</w:t>
            </w:r>
          </w:p>
        </w:tc>
      </w:tr>
      <w:tr w14:paraId="136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46" w:type="pct"/>
            <w:vAlign w:val="center"/>
          </w:tcPr>
          <w:p w14:paraId="42276186">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9</w:t>
            </w:r>
          </w:p>
        </w:tc>
        <w:tc>
          <w:tcPr>
            <w:tcW w:w="1062" w:type="pct"/>
            <w:vAlign w:val="center"/>
          </w:tcPr>
          <w:p w14:paraId="587AF2B3">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是否接受</w:t>
            </w:r>
          </w:p>
          <w:p w14:paraId="696C6B32">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联合体报价</w:t>
            </w:r>
          </w:p>
        </w:tc>
        <w:tc>
          <w:tcPr>
            <w:tcW w:w="3590" w:type="pct"/>
            <w:vAlign w:val="center"/>
          </w:tcPr>
          <w:p w14:paraId="643943C2">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kern w:val="0"/>
                <w:szCs w:val="21"/>
              </w:rPr>
              <w:t>接受</w:t>
            </w:r>
          </w:p>
        </w:tc>
      </w:tr>
      <w:tr w14:paraId="0AB2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46" w:type="pct"/>
            <w:vAlign w:val="center"/>
          </w:tcPr>
          <w:p w14:paraId="12F85578">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10</w:t>
            </w:r>
          </w:p>
        </w:tc>
        <w:tc>
          <w:tcPr>
            <w:tcW w:w="1062" w:type="pct"/>
            <w:vAlign w:val="center"/>
          </w:tcPr>
          <w:p w14:paraId="2FFC98AA">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踏勘现场</w:t>
            </w:r>
          </w:p>
        </w:tc>
        <w:tc>
          <w:tcPr>
            <w:tcW w:w="3590" w:type="pct"/>
            <w:vAlign w:val="center"/>
          </w:tcPr>
          <w:p w14:paraId="5187C9B7">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kern w:val="0"/>
                <w:szCs w:val="21"/>
              </w:rPr>
              <w:t>不组织，由各报价人根据需要自行完成现场踏勘</w:t>
            </w:r>
          </w:p>
        </w:tc>
      </w:tr>
      <w:tr w14:paraId="55B0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46" w:type="pct"/>
            <w:vAlign w:val="center"/>
          </w:tcPr>
          <w:p w14:paraId="5A6E1E8C">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11</w:t>
            </w:r>
          </w:p>
        </w:tc>
        <w:tc>
          <w:tcPr>
            <w:tcW w:w="1062" w:type="pct"/>
            <w:vAlign w:val="center"/>
          </w:tcPr>
          <w:p w14:paraId="7FED2FD5">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分包</w:t>
            </w:r>
          </w:p>
        </w:tc>
        <w:tc>
          <w:tcPr>
            <w:tcW w:w="3590" w:type="pct"/>
            <w:vAlign w:val="center"/>
          </w:tcPr>
          <w:p w14:paraId="5E51DC00">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kern w:val="0"/>
                <w:szCs w:val="21"/>
              </w:rPr>
              <w:t>不允许</w:t>
            </w:r>
          </w:p>
        </w:tc>
      </w:tr>
      <w:tr w14:paraId="7335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46" w:type="pct"/>
            <w:vAlign w:val="center"/>
          </w:tcPr>
          <w:p w14:paraId="29063FFA">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12</w:t>
            </w:r>
          </w:p>
        </w:tc>
        <w:tc>
          <w:tcPr>
            <w:tcW w:w="1062" w:type="pct"/>
            <w:vAlign w:val="center"/>
          </w:tcPr>
          <w:p w14:paraId="2D3420CD">
            <w:pPr>
              <w:keepNext w:val="0"/>
              <w:keepLines w:val="0"/>
              <w:suppressLineNumbers w:val="0"/>
              <w:spacing w:before="0" w:beforeAutospacing="0" w:after="0" w:afterAutospacing="0"/>
              <w:ind w:left="420" w:right="0"/>
              <w:rPr>
                <w:rFonts w:hint="default" w:ascii="宋体" w:hAnsi="宋体" w:cs="宋体"/>
                <w:szCs w:val="21"/>
                <w:shd w:val="clear" w:color="auto" w:fill="FFFFFF"/>
              </w:rPr>
            </w:pPr>
            <w:r>
              <w:rPr>
                <w:rFonts w:hint="eastAsia" w:ascii="宋体" w:hAnsi="宋体" w:cs="宋体"/>
                <w:szCs w:val="21"/>
                <w:shd w:val="clear" w:color="auto" w:fill="FFFFFF"/>
              </w:rPr>
              <w:t>偏差</w:t>
            </w:r>
          </w:p>
        </w:tc>
        <w:tc>
          <w:tcPr>
            <w:tcW w:w="3590" w:type="pct"/>
            <w:vAlign w:val="center"/>
          </w:tcPr>
          <w:p w14:paraId="6AA266A2">
            <w:pPr>
              <w:keepNext w:val="0"/>
              <w:keepLines w:val="0"/>
              <w:suppressLineNumbers w:val="0"/>
              <w:spacing w:before="0" w:beforeAutospacing="0" w:after="0" w:afterAutospacing="0" w:line="400" w:lineRule="exact"/>
              <w:ind w:left="0" w:right="0" w:firstLine="422" w:firstLineChars="200"/>
              <w:rPr>
                <w:rFonts w:hint="default" w:ascii="宋体" w:hAnsi="宋体" w:cs="宋体"/>
                <w:kern w:val="0"/>
                <w:szCs w:val="21"/>
              </w:rPr>
            </w:pPr>
            <w:r>
              <w:rPr>
                <w:rFonts w:hint="eastAsia" w:ascii="宋体" w:hAnsi="宋体" w:cs="宋体"/>
                <w:b/>
                <w:kern w:val="0"/>
                <w:szCs w:val="21"/>
              </w:rPr>
              <w:t>不允许负偏差</w:t>
            </w:r>
          </w:p>
        </w:tc>
      </w:tr>
      <w:tr w14:paraId="3B49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46" w:type="pct"/>
            <w:vAlign w:val="center"/>
          </w:tcPr>
          <w:p w14:paraId="368F4ECA">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13</w:t>
            </w:r>
          </w:p>
        </w:tc>
        <w:tc>
          <w:tcPr>
            <w:tcW w:w="1062" w:type="pct"/>
            <w:vAlign w:val="center"/>
          </w:tcPr>
          <w:p w14:paraId="7C15C312">
            <w:pPr>
              <w:keepNext w:val="0"/>
              <w:keepLines w:val="0"/>
              <w:suppressLineNumbers w:val="0"/>
              <w:spacing w:before="0" w:beforeAutospacing="0" w:after="0" w:afterAutospacing="0"/>
              <w:ind w:left="0" w:right="0"/>
              <w:jc w:val="center"/>
              <w:rPr>
                <w:rFonts w:hint="default" w:ascii="宋体" w:hAnsi="宋体" w:cs="宋体"/>
                <w:szCs w:val="21"/>
                <w:shd w:val="clear" w:color="auto" w:fill="FFFFFF"/>
              </w:rPr>
            </w:pPr>
            <w:r>
              <w:rPr>
                <w:rFonts w:hint="eastAsia" w:ascii="宋体" w:hAnsi="宋体" w:cs="宋体"/>
                <w:szCs w:val="21"/>
                <w:shd w:val="clear" w:color="auto" w:fill="FFFFFF"/>
              </w:rPr>
              <w:t>构成比选文件的其他材料</w:t>
            </w:r>
          </w:p>
        </w:tc>
        <w:tc>
          <w:tcPr>
            <w:tcW w:w="3590" w:type="pct"/>
            <w:vAlign w:val="center"/>
          </w:tcPr>
          <w:p w14:paraId="7B2CF3B9">
            <w:pPr>
              <w:keepNext w:val="0"/>
              <w:keepLines w:val="0"/>
              <w:suppressLineNumbers w:val="0"/>
              <w:spacing w:before="0" w:beforeAutospacing="0" w:after="0" w:afterAutospacing="0" w:line="440" w:lineRule="exact"/>
              <w:ind w:left="0" w:right="0" w:firstLine="420" w:firstLineChars="200"/>
              <w:rPr>
                <w:rFonts w:hint="default" w:ascii="宋体" w:hAnsi="宋体" w:cs="宋体"/>
                <w:szCs w:val="21"/>
              </w:rPr>
            </w:pPr>
            <w:r>
              <w:rPr>
                <w:rFonts w:hint="eastAsia" w:ascii="宋体" w:hAnsi="宋体" w:cs="宋体"/>
                <w:szCs w:val="21"/>
              </w:rPr>
              <w:t>采购人发布的图纸、补遗书、答疑、澄清、最高限价通知等附件。</w:t>
            </w:r>
          </w:p>
        </w:tc>
      </w:tr>
      <w:tr w14:paraId="7EBD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46" w:type="pct"/>
            <w:vAlign w:val="center"/>
          </w:tcPr>
          <w:p w14:paraId="43CD2FDA">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bookmarkStart w:id="108" w:name="_Hlt227984024"/>
            <w:bookmarkEnd w:id="108"/>
            <w:r>
              <w:rPr>
                <w:rFonts w:hint="eastAsia" w:ascii="宋体" w:hAnsi="宋体" w:cs="宋体"/>
                <w:kern w:val="0"/>
                <w:szCs w:val="21"/>
              </w:rPr>
              <w:t>14</w:t>
            </w:r>
          </w:p>
        </w:tc>
        <w:tc>
          <w:tcPr>
            <w:tcW w:w="1062" w:type="pct"/>
            <w:vAlign w:val="center"/>
          </w:tcPr>
          <w:p w14:paraId="66A14580">
            <w:pPr>
              <w:keepNext w:val="0"/>
              <w:keepLines w:val="0"/>
              <w:suppressLineNumbers w:val="0"/>
              <w:spacing w:before="0" w:beforeAutospacing="0" w:after="0" w:afterAutospacing="0"/>
              <w:ind w:left="0" w:right="0"/>
              <w:rPr>
                <w:rFonts w:hint="default" w:ascii="宋体" w:hAnsi="宋体" w:cs="宋体"/>
                <w:szCs w:val="21"/>
                <w:shd w:val="clear" w:color="auto" w:fill="FFFFFF"/>
              </w:rPr>
            </w:pPr>
            <w:r>
              <w:rPr>
                <w:rFonts w:hint="eastAsia" w:ascii="宋体" w:hAnsi="宋体" w:cs="宋体"/>
                <w:szCs w:val="21"/>
                <w:shd w:val="clear" w:color="auto" w:fill="FFFFFF"/>
              </w:rPr>
              <w:t>构成竞争性比选响应文件的其他材料</w:t>
            </w:r>
          </w:p>
        </w:tc>
        <w:tc>
          <w:tcPr>
            <w:tcW w:w="3590" w:type="pct"/>
            <w:vAlign w:val="center"/>
          </w:tcPr>
          <w:p w14:paraId="3E7FFF88">
            <w:pPr>
              <w:pStyle w:val="149"/>
              <w:keepNext w:val="0"/>
              <w:keepLines w:val="0"/>
              <w:suppressLineNumbers w:val="0"/>
              <w:spacing w:before="72" w:beforeAutospacing="0" w:after="0" w:afterAutospacing="0" w:line="400" w:lineRule="exact"/>
              <w:ind w:left="0" w:right="0" w:firstLine="420" w:firstLineChars="200"/>
              <w:jc w:val="both"/>
              <w:rPr>
                <w:rFonts w:hint="default" w:hAnsi="宋体"/>
                <w:color w:val="auto"/>
                <w:sz w:val="21"/>
                <w:szCs w:val="21"/>
              </w:rPr>
            </w:pPr>
            <w:r>
              <w:rPr>
                <w:rFonts w:hint="eastAsia" w:hAnsi="宋体"/>
                <w:color w:val="auto"/>
                <w:sz w:val="21"/>
                <w:szCs w:val="21"/>
              </w:rPr>
              <w:t>报价人书面澄清或补正，但不得改变竞争性比选响应文件实质。</w:t>
            </w:r>
          </w:p>
        </w:tc>
      </w:tr>
      <w:tr w14:paraId="2343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46" w:type="pct"/>
            <w:tcBorders>
              <w:bottom w:val="single" w:color="auto" w:sz="4" w:space="0"/>
            </w:tcBorders>
            <w:vAlign w:val="center"/>
          </w:tcPr>
          <w:p w14:paraId="6A50DBBB">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15</w:t>
            </w:r>
          </w:p>
        </w:tc>
        <w:tc>
          <w:tcPr>
            <w:tcW w:w="1062" w:type="pct"/>
            <w:tcBorders>
              <w:bottom w:val="single" w:color="auto" w:sz="4" w:space="0"/>
            </w:tcBorders>
            <w:vAlign w:val="center"/>
          </w:tcPr>
          <w:p w14:paraId="3F52C435">
            <w:pPr>
              <w:keepNext w:val="0"/>
              <w:keepLines w:val="0"/>
              <w:suppressLineNumbers w:val="0"/>
              <w:spacing w:before="0" w:beforeAutospacing="0" w:after="0" w:afterAutospacing="0"/>
              <w:ind w:left="0" w:right="0"/>
              <w:jc w:val="center"/>
              <w:rPr>
                <w:rFonts w:hint="default" w:ascii="宋体" w:hAnsi="宋体" w:cs="宋体"/>
                <w:szCs w:val="21"/>
                <w:shd w:val="clear" w:color="auto" w:fill="FFFFFF"/>
              </w:rPr>
            </w:pPr>
            <w:r>
              <w:rPr>
                <w:rFonts w:hint="eastAsia" w:ascii="宋体" w:hAnsi="宋体" w:cs="宋体"/>
                <w:szCs w:val="21"/>
                <w:shd w:val="clear" w:color="auto" w:fill="FFFFFF"/>
              </w:rPr>
              <w:t>工程量清单的填写方式</w:t>
            </w:r>
          </w:p>
        </w:tc>
        <w:tc>
          <w:tcPr>
            <w:tcW w:w="3590" w:type="pct"/>
            <w:tcBorders>
              <w:bottom w:val="single" w:color="auto" w:sz="4" w:space="0"/>
            </w:tcBorders>
          </w:tcPr>
          <w:p w14:paraId="11DEFB75">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szCs w:val="21"/>
              </w:rPr>
            </w:pPr>
            <w:r>
              <w:rPr>
                <w:rFonts w:hint="eastAsia" w:ascii="宋体" w:hAnsi="宋体" w:cs="宋体"/>
              </w:rPr>
              <w:t>报价人按照采购人提供的工程量清单填写工程量清单</w:t>
            </w:r>
          </w:p>
          <w:p w14:paraId="4E797277">
            <w:pPr>
              <w:keepNext w:val="0"/>
              <w:keepLines w:val="0"/>
              <w:suppressLineNumbers w:val="0"/>
              <w:spacing w:before="0" w:beforeAutospacing="0" w:after="0" w:afterAutospacing="0" w:line="400" w:lineRule="exact"/>
              <w:ind w:left="0" w:right="0" w:firstLine="422" w:firstLineChars="200"/>
              <w:rPr>
                <w:rFonts w:hint="default" w:ascii="宋体" w:hAnsi="宋体" w:cs="宋体"/>
                <w:b/>
                <w:szCs w:val="21"/>
              </w:rPr>
            </w:pPr>
            <w:r>
              <w:rPr>
                <w:rFonts w:hint="eastAsia" w:ascii="宋体" w:hAnsi="宋体" w:cs="宋体"/>
                <w:b/>
                <w:szCs w:val="21"/>
              </w:rPr>
              <w:t>综合单价取小数点后两位，小数点后第三位四舍五入。</w:t>
            </w:r>
          </w:p>
          <w:p w14:paraId="5CC2D33D">
            <w:pPr>
              <w:keepNext w:val="0"/>
              <w:keepLines w:val="0"/>
              <w:suppressLineNumbers w:val="0"/>
              <w:spacing w:before="0" w:beforeAutospacing="0" w:after="0" w:afterAutospacing="0" w:line="400" w:lineRule="exact"/>
              <w:ind w:left="0" w:right="0" w:firstLine="422" w:firstLineChars="200"/>
              <w:rPr>
                <w:rFonts w:hint="default" w:ascii="宋体" w:hAnsi="宋体" w:cs="宋体"/>
                <w:szCs w:val="21"/>
              </w:rPr>
            </w:pPr>
            <w:r>
              <w:rPr>
                <w:rFonts w:hint="eastAsia" w:ascii="宋体" w:hAnsi="宋体" w:cs="宋体"/>
                <w:b/>
                <w:bCs/>
                <w:szCs w:val="21"/>
              </w:rPr>
              <w:t>本项目工程量清单及说明随比选文件一并发布，详见附件。</w:t>
            </w:r>
          </w:p>
        </w:tc>
      </w:tr>
      <w:tr w14:paraId="70B3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tcBorders>
              <w:bottom w:val="single" w:color="auto" w:sz="4" w:space="0"/>
            </w:tcBorders>
            <w:vAlign w:val="center"/>
          </w:tcPr>
          <w:p w14:paraId="776DD8F7">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16</w:t>
            </w:r>
          </w:p>
        </w:tc>
        <w:tc>
          <w:tcPr>
            <w:tcW w:w="1062" w:type="pct"/>
            <w:tcBorders>
              <w:bottom w:val="single" w:color="auto" w:sz="4" w:space="0"/>
            </w:tcBorders>
            <w:vAlign w:val="center"/>
          </w:tcPr>
          <w:p w14:paraId="144CB466">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最高投标限价</w:t>
            </w:r>
          </w:p>
        </w:tc>
        <w:tc>
          <w:tcPr>
            <w:tcW w:w="3590" w:type="pct"/>
            <w:tcBorders>
              <w:bottom w:val="single" w:color="auto" w:sz="4" w:space="0"/>
            </w:tcBorders>
          </w:tcPr>
          <w:p w14:paraId="3961CC92">
            <w:pPr>
              <w:keepNext w:val="0"/>
              <w:keepLines w:val="0"/>
              <w:suppressLineNumbers w:val="0"/>
              <w:tabs>
                <w:tab w:val="left" w:pos="2310"/>
              </w:tabs>
              <w:spacing w:before="0" w:beforeAutospacing="0" w:after="0" w:afterAutospacing="0" w:line="400" w:lineRule="exact"/>
              <w:ind w:left="0" w:right="0" w:firstLine="422" w:firstLineChars="200"/>
              <w:rPr>
                <w:rFonts w:hint="default" w:ascii="宋体" w:hAnsi="宋体"/>
                <w:szCs w:val="21"/>
              </w:rPr>
            </w:pPr>
            <w:r>
              <w:rPr>
                <w:rFonts w:hint="eastAsia" w:ascii="宋体" w:hAnsi="宋体"/>
                <w:b/>
                <w:bCs/>
                <w:szCs w:val="21"/>
                <w:lang w:eastAsia="zh-CN"/>
              </w:rPr>
              <w:t>巫溪至开州高速公路项目机电工程（开州段）高压外电接入施工专项分包</w:t>
            </w:r>
            <w:r>
              <w:rPr>
                <w:rFonts w:hint="eastAsia" w:ascii="宋体" w:hAnsi="宋体"/>
                <w:b/>
                <w:bCs/>
                <w:szCs w:val="21"/>
              </w:rPr>
              <w:t>最高</w:t>
            </w:r>
            <w:r>
              <w:rPr>
                <w:rFonts w:hint="eastAsia" w:ascii="宋体" w:hAnsi="宋体"/>
                <w:b/>
                <w:bCs/>
                <w:szCs w:val="21"/>
                <w:lang w:val="en-US" w:eastAsia="zh-CN"/>
              </w:rPr>
              <w:t>总</w:t>
            </w:r>
            <w:r>
              <w:rPr>
                <w:rFonts w:hint="eastAsia" w:ascii="宋体" w:hAnsi="宋体"/>
                <w:b/>
                <w:bCs/>
                <w:szCs w:val="21"/>
              </w:rPr>
              <w:t>限价</w:t>
            </w:r>
            <w:r>
              <w:rPr>
                <w:rFonts w:hint="eastAsia" w:ascii="宋体" w:hAnsi="宋体"/>
                <w:b/>
                <w:bCs/>
                <w:szCs w:val="21"/>
                <w:lang w:val="en-US" w:eastAsia="zh-CN"/>
              </w:rPr>
              <w:t>为</w:t>
            </w:r>
            <w:r>
              <w:rPr>
                <w:rFonts w:hint="eastAsia" w:ascii="宋体" w:hAnsi="宋体"/>
                <w:b/>
                <w:bCs/>
                <w:szCs w:val="21"/>
                <w:highlight w:val="none"/>
                <w:u w:val="single"/>
              </w:rPr>
              <w:t>3029087.21</w:t>
            </w:r>
            <w:r>
              <w:rPr>
                <w:rFonts w:hint="eastAsia" w:ascii="宋体" w:hAnsi="宋体"/>
                <w:b/>
                <w:bCs/>
                <w:szCs w:val="21"/>
                <w:highlight w:val="none"/>
              </w:rPr>
              <w:t>元</w:t>
            </w:r>
            <w:r>
              <w:rPr>
                <w:rFonts w:hint="eastAsia" w:ascii="宋体" w:hAnsi="宋体"/>
                <w:b/>
                <w:bCs/>
                <w:szCs w:val="21"/>
                <w:highlight w:val="none"/>
                <w:lang w:eastAsia="zh-CN"/>
              </w:rPr>
              <w:t>，</w:t>
            </w:r>
            <w:r>
              <w:rPr>
                <w:rFonts w:hint="eastAsia" w:ascii="宋体" w:hAnsi="宋体"/>
                <w:b/>
                <w:bCs/>
                <w:szCs w:val="21"/>
                <w:highlight w:val="none"/>
              </w:rPr>
              <w:t>其中安全</w:t>
            </w:r>
            <w:r>
              <w:rPr>
                <w:rFonts w:hint="eastAsia" w:ascii="宋体" w:hAnsi="宋体"/>
                <w:b/>
                <w:bCs/>
                <w:szCs w:val="21"/>
                <w:highlight w:val="none"/>
                <w:lang w:val="en-US" w:eastAsia="zh-CN"/>
              </w:rPr>
              <w:t>生产</w:t>
            </w:r>
            <w:r>
              <w:rPr>
                <w:rFonts w:hint="eastAsia" w:ascii="宋体" w:hAnsi="宋体"/>
                <w:b/>
                <w:bCs/>
                <w:szCs w:val="21"/>
                <w:highlight w:val="none"/>
              </w:rPr>
              <w:t>费</w:t>
            </w:r>
            <w:r>
              <w:rPr>
                <w:rFonts w:hint="eastAsia" w:ascii="宋体" w:hAnsi="宋体"/>
                <w:b/>
                <w:bCs/>
                <w:szCs w:val="21"/>
                <w:highlight w:val="none"/>
                <w:u w:val="single"/>
              </w:rPr>
              <w:t>62225.99</w:t>
            </w:r>
            <w:r>
              <w:rPr>
                <w:rFonts w:hint="eastAsia" w:ascii="宋体" w:hAnsi="宋体"/>
                <w:b/>
                <w:bCs/>
                <w:szCs w:val="21"/>
                <w:highlight w:val="none"/>
                <w:u w:val="none"/>
                <w:lang w:val="en-US" w:eastAsia="zh-CN"/>
              </w:rPr>
              <w:t>元，</w:t>
            </w:r>
            <w:r>
              <w:rPr>
                <w:rFonts w:hint="eastAsia" w:ascii="宋体" w:hAnsi="宋体"/>
                <w:b/>
                <w:bCs/>
                <w:szCs w:val="21"/>
                <w:highlight w:val="none"/>
              </w:rPr>
              <w:t>安全生产费为不可竞争费用，此处为暂估价，最终结算时根据合同金额按比例单独结算。。</w:t>
            </w:r>
          </w:p>
          <w:p w14:paraId="4AF98B27">
            <w:pPr>
              <w:keepNext w:val="0"/>
              <w:keepLines w:val="0"/>
              <w:suppressLineNumbers w:val="0"/>
              <w:spacing w:before="0" w:beforeAutospacing="0" w:after="0" w:afterAutospacing="0" w:line="400" w:lineRule="exact"/>
              <w:ind w:left="0" w:right="0" w:firstLine="422" w:firstLineChars="200"/>
              <w:rPr>
                <w:rFonts w:hint="eastAsia" w:ascii="宋体" w:hAnsi="宋体"/>
                <w:b/>
                <w:bCs/>
                <w:szCs w:val="21"/>
                <w:highlight w:val="none"/>
                <w:lang w:val="en-US" w:eastAsia="zh-CN"/>
              </w:rPr>
            </w:pPr>
            <w:r>
              <w:rPr>
                <w:rFonts w:hint="eastAsia" w:ascii="宋体" w:hAnsi="宋体"/>
                <w:b/>
                <w:bCs/>
                <w:szCs w:val="21"/>
                <w:highlight w:val="none"/>
              </w:rPr>
              <w:t>增值税税率：按</w:t>
            </w:r>
            <w:r>
              <w:rPr>
                <w:rFonts w:hint="eastAsia" w:ascii="宋体" w:hAnsi="宋体"/>
                <w:b/>
                <w:bCs/>
                <w:szCs w:val="21"/>
                <w:highlight w:val="none"/>
                <w:lang w:val="en-US" w:eastAsia="zh-CN"/>
              </w:rPr>
              <w:t>9</w:t>
            </w:r>
            <w:r>
              <w:rPr>
                <w:rFonts w:hint="eastAsia" w:ascii="宋体" w:hAnsi="宋体"/>
                <w:b/>
                <w:bCs/>
                <w:szCs w:val="21"/>
                <w:highlight w:val="none"/>
              </w:rPr>
              <w:t>%计取。</w:t>
            </w:r>
          </w:p>
          <w:p w14:paraId="65B61368">
            <w:pPr>
              <w:keepNext w:val="0"/>
              <w:keepLines w:val="0"/>
              <w:suppressLineNumbers w:val="0"/>
              <w:spacing w:before="0" w:beforeAutospacing="0" w:after="0" w:afterAutospacing="0" w:line="400" w:lineRule="exact"/>
              <w:ind w:left="0" w:right="0" w:firstLine="422" w:firstLineChars="200"/>
              <w:rPr>
                <w:rFonts w:hint="default" w:ascii="宋体" w:hAnsi="宋体" w:cs="宋体"/>
                <w:b/>
                <w:bCs/>
                <w:kern w:val="0"/>
                <w:szCs w:val="21"/>
              </w:rPr>
            </w:pPr>
            <w:r>
              <w:rPr>
                <w:rFonts w:hint="eastAsia" w:ascii="宋体" w:hAnsi="宋体"/>
                <w:b/>
                <w:bCs/>
                <w:szCs w:val="21"/>
                <w:highlight w:val="none"/>
                <w:lang w:val="en-US" w:eastAsia="zh-CN"/>
              </w:rPr>
              <w:t>本项目采用单价限价方式，报价人所报单价不得超过采购人发布的单价限价，若有报价高于采购人发布的单价限价，</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14:paraId="26ED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46" w:type="pct"/>
            <w:tcBorders>
              <w:bottom w:val="single" w:color="auto" w:sz="4" w:space="0"/>
            </w:tcBorders>
            <w:vAlign w:val="center"/>
          </w:tcPr>
          <w:p w14:paraId="47D2654D">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17</w:t>
            </w:r>
          </w:p>
        </w:tc>
        <w:tc>
          <w:tcPr>
            <w:tcW w:w="1062" w:type="pct"/>
            <w:tcBorders>
              <w:bottom w:val="single" w:color="auto" w:sz="4" w:space="0"/>
            </w:tcBorders>
            <w:vAlign w:val="center"/>
          </w:tcPr>
          <w:p w14:paraId="5C11F192">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合同支付办法</w:t>
            </w:r>
          </w:p>
        </w:tc>
        <w:tc>
          <w:tcPr>
            <w:tcW w:w="3590" w:type="pct"/>
            <w:tcBorders>
              <w:bottom w:val="single" w:color="auto" w:sz="4" w:space="0"/>
            </w:tcBorders>
          </w:tcPr>
          <w:p w14:paraId="1DC74DE8">
            <w:pPr>
              <w:keepNext w:val="0"/>
              <w:keepLines w:val="0"/>
              <w:widowControl/>
              <w:suppressLineNumbers w:val="0"/>
              <w:spacing w:before="0" w:beforeAutospacing="0" w:after="0" w:afterAutospacing="0" w:line="400" w:lineRule="atLeast"/>
              <w:ind w:left="0" w:right="0" w:firstLine="420"/>
              <w:rPr>
                <w:rFonts w:hint="eastAsia" w:ascii="宋体" w:hAnsi="宋体" w:cs="宋体"/>
                <w:color w:val="000000"/>
                <w:kern w:val="0"/>
                <w:szCs w:val="21"/>
                <w:lang w:bidi="ar"/>
              </w:rPr>
            </w:pPr>
            <w:r>
              <w:rPr>
                <w:rFonts w:hint="eastAsia" w:ascii="宋体" w:hAnsi="宋体" w:cs="宋体"/>
                <w:color w:val="000000"/>
                <w:kern w:val="0"/>
                <w:szCs w:val="21"/>
                <w:lang w:bidi="ar"/>
              </w:rPr>
              <w:t>1.工程费用：（1）按月支付，每月支付上月完成合格工程量的80%，项目通电并结算后支付至结算金额的97%，剩余3%稳定运行1年后，施工方提出支付申请后1个月内支付。</w:t>
            </w:r>
          </w:p>
          <w:p w14:paraId="103DBBA6">
            <w:pPr>
              <w:keepNext w:val="0"/>
              <w:keepLines w:val="0"/>
              <w:widowControl/>
              <w:suppressLineNumbers w:val="0"/>
              <w:spacing w:before="0" w:beforeAutospacing="0" w:after="0" w:afterAutospacing="0" w:line="400" w:lineRule="atLeast"/>
              <w:ind w:left="0" w:right="0" w:firstLine="420"/>
              <w:rPr>
                <w:rFonts w:hint="eastAsia" w:ascii="宋体" w:hAnsi="宋体" w:cs="宋体"/>
                <w:color w:val="000000"/>
                <w:kern w:val="0"/>
                <w:szCs w:val="21"/>
                <w:lang w:bidi="ar"/>
              </w:rPr>
            </w:pPr>
            <w:r>
              <w:rPr>
                <w:rFonts w:hint="eastAsia" w:ascii="宋体" w:hAnsi="宋体" w:cs="宋体"/>
                <w:color w:val="000000"/>
                <w:kern w:val="0"/>
                <w:szCs w:val="21"/>
                <w:lang w:bidi="ar"/>
              </w:rPr>
              <w:t>（2）安全生产费：甲方收到业主的预付款后，工程开工一个月内向乙方支付50%的安全生产费用。安全生产费按实结算，工程竣工结算后结余的安全生产费用，应当退回甲方。</w:t>
            </w:r>
          </w:p>
          <w:p w14:paraId="573E927F">
            <w:pPr>
              <w:keepNext w:val="0"/>
              <w:keepLines w:val="0"/>
              <w:widowControl/>
              <w:suppressLineNumbers w:val="0"/>
              <w:spacing w:before="0" w:beforeAutospacing="0" w:after="0" w:afterAutospacing="0" w:line="400" w:lineRule="atLeast"/>
              <w:ind w:left="0" w:right="0" w:firstLine="420"/>
              <w:rPr>
                <w:rFonts w:hint="default"/>
              </w:rPr>
            </w:pPr>
            <w:r>
              <w:rPr>
                <w:rFonts w:hint="eastAsia" w:ascii="宋体" w:hAnsi="宋体" w:cs="宋体"/>
                <w:color w:val="000000"/>
                <w:kern w:val="0"/>
                <w:szCs w:val="21"/>
                <w:lang w:bidi="ar"/>
              </w:rPr>
              <w:t>2.设计费用：合同签订完成，乙方立刻进行现场勘察设计工作，设计方案优化完成且达到最终出图状态，经甲方审核后支付80%的设计费，正式图纸出具现场实施完成，经供电局验收合格且通电后支付剩余20%。</w:t>
            </w:r>
          </w:p>
        </w:tc>
      </w:tr>
      <w:tr w14:paraId="430E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346" w:type="pct"/>
            <w:tcBorders>
              <w:bottom w:val="single" w:color="auto" w:sz="4" w:space="0"/>
            </w:tcBorders>
            <w:vAlign w:val="center"/>
          </w:tcPr>
          <w:p w14:paraId="1A5EE703">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18</w:t>
            </w:r>
          </w:p>
        </w:tc>
        <w:tc>
          <w:tcPr>
            <w:tcW w:w="1062" w:type="pct"/>
            <w:tcBorders>
              <w:bottom w:val="single" w:color="auto" w:sz="4" w:space="0"/>
            </w:tcBorders>
            <w:vAlign w:val="center"/>
          </w:tcPr>
          <w:p w14:paraId="7DE30A7C">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szCs w:val="21"/>
              </w:rPr>
              <w:t>乙方违约的处理</w:t>
            </w:r>
          </w:p>
        </w:tc>
        <w:tc>
          <w:tcPr>
            <w:tcW w:w="3590" w:type="pct"/>
            <w:tcBorders>
              <w:bottom w:val="single" w:color="auto" w:sz="4" w:space="0"/>
            </w:tcBorders>
          </w:tcPr>
          <w:p w14:paraId="33B338AB">
            <w:pPr>
              <w:keepNext w:val="0"/>
              <w:keepLines w:val="0"/>
              <w:widowControl/>
              <w:suppressLineNumbers w:val="0"/>
              <w:spacing w:before="0" w:beforeAutospacing="0" w:after="0" w:afterAutospacing="0" w:line="400" w:lineRule="atLeast"/>
              <w:ind w:left="0" w:right="0" w:firstLine="420"/>
              <w:rPr>
                <w:rFonts w:hint="default"/>
                <w:szCs w:val="21"/>
              </w:rPr>
            </w:pPr>
            <w:r>
              <w:rPr>
                <w:rFonts w:hint="eastAsia" w:ascii="宋体" w:hAnsi="宋体" w:cs="宋体"/>
                <w:color w:val="000000"/>
                <w:kern w:val="0"/>
                <w:szCs w:val="21"/>
                <w:lang w:bidi="ar"/>
              </w:rPr>
              <w:t>1.乙方在本项目工作开展期间，其项目经理、项目安全负责人必须驻施工现场开展工作，其在岗驻场工作时间按计划工期的工作日天数按实计量，若不在岗将处以</w:t>
            </w:r>
            <w:r>
              <w:rPr>
                <w:rFonts w:hint="default"/>
                <w:color w:val="000000"/>
                <w:kern w:val="0"/>
                <w:szCs w:val="21"/>
                <w:lang w:bidi="ar"/>
              </w:rPr>
              <w:t>1</w:t>
            </w:r>
            <w:r>
              <w:rPr>
                <w:rFonts w:hint="eastAsia" w:ascii="宋体" w:hAnsi="宋体" w:cs="宋体"/>
                <w:color w:val="000000"/>
                <w:kern w:val="0"/>
                <w:szCs w:val="21"/>
                <w:lang w:bidi="ar"/>
              </w:rPr>
              <w:t>千元</w:t>
            </w:r>
            <w:r>
              <w:rPr>
                <w:rFonts w:hint="default"/>
                <w:color w:val="000000"/>
                <w:kern w:val="0"/>
                <w:szCs w:val="21"/>
                <w:lang w:bidi="ar"/>
              </w:rPr>
              <w:t>/</w:t>
            </w:r>
            <w:r>
              <w:rPr>
                <w:rFonts w:hint="eastAsia" w:ascii="宋体" w:hAnsi="宋体" w:cs="宋体"/>
                <w:color w:val="000000"/>
                <w:kern w:val="0"/>
                <w:szCs w:val="21"/>
                <w:lang w:bidi="ar"/>
              </w:rPr>
              <w:t>人·天的违约处理。若离开必须书面向业主请假，未经批准擅自离开，按</w:t>
            </w:r>
            <w:r>
              <w:rPr>
                <w:rFonts w:hint="default"/>
                <w:color w:val="000000"/>
                <w:kern w:val="0"/>
                <w:szCs w:val="21"/>
                <w:lang w:bidi="ar"/>
              </w:rPr>
              <w:t>1</w:t>
            </w:r>
            <w:r>
              <w:rPr>
                <w:rFonts w:hint="eastAsia" w:ascii="宋体" w:hAnsi="宋体" w:cs="宋体"/>
                <w:color w:val="000000"/>
                <w:kern w:val="0"/>
                <w:szCs w:val="21"/>
                <w:lang w:bidi="ar"/>
              </w:rPr>
              <w:t>千元</w:t>
            </w:r>
            <w:r>
              <w:rPr>
                <w:rFonts w:hint="default"/>
                <w:color w:val="000000"/>
                <w:kern w:val="0"/>
                <w:szCs w:val="21"/>
                <w:lang w:bidi="ar"/>
              </w:rPr>
              <w:t>/</w:t>
            </w:r>
            <w:r>
              <w:rPr>
                <w:rFonts w:hint="eastAsia" w:ascii="宋体" w:hAnsi="宋体" w:cs="宋体"/>
                <w:color w:val="000000"/>
                <w:kern w:val="0"/>
                <w:szCs w:val="21"/>
                <w:lang w:bidi="ar"/>
              </w:rPr>
              <w:t>人·天处违约处理。</w:t>
            </w:r>
          </w:p>
          <w:p w14:paraId="1CF9B2FC">
            <w:pPr>
              <w:keepNext w:val="0"/>
              <w:keepLines w:val="0"/>
              <w:widowControl/>
              <w:suppressLineNumbers w:val="0"/>
              <w:spacing w:before="0" w:beforeAutospacing="0" w:after="0" w:afterAutospacing="0" w:line="400" w:lineRule="atLeast"/>
              <w:ind w:left="0" w:right="0" w:firstLine="420"/>
              <w:rPr>
                <w:rFonts w:hint="default"/>
                <w:szCs w:val="21"/>
              </w:rPr>
            </w:pPr>
            <w:r>
              <w:rPr>
                <w:rFonts w:hint="eastAsia" w:ascii="宋体" w:hAnsi="宋体" w:cs="宋体"/>
                <w:color w:val="000000"/>
                <w:kern w:val="0"/>
                <w:szCs w:val="21"/>
                <w:lang w:bidi="ar"/>
              </w:rPr>
              <w:t>2.乙方在本项目工作开展期间，更换项目经理，甲方按5万元</w:t>
            </w:r>
            <w:r>
              <w:rPr>
                <w:rFonts w:hint="default"/>
                <w:color w:val="000000"/>
                <w:kern w:val="0"/>
                <w:szCs w:val="21"/>
                <w:lang w:bidi="ar"/>
              </w:rPr>
              <w:t>/</w:t>
            </w:r>
            <w:r>
              <w:rPr>
                <w:rFonts w:hint="eastAsia" w:ascii="宋体" w:hAnsi="宋体" w:cs="宋体"/>
                <w:color w:val="000000"/>
                <w:kern w:val="0"/>
                <w:szCs w:val="21"/>
                <w:lang w:bidi="ar"/>
              </w:rPr>
              <w:t>人进行违约处理；更换安全负责人，甲方按</w:t>
            </w:r>
            <w:r>
              <w:rPr>
                <w:rFonts w:hint="default"/>
                <w:color w:val="000000"/>
                <w:kern w:val="0"/>
                <w:szCs w:val="21"/>
                <w:lang w:bidi="ar"/>
              </w:rPr>
              <w:t>2</w:t>
            </w:r>
            <w:r>
              <w:rPr>
                <w:rFonts w:hint="eastAsia" w:ascii="宋体" w:hAnsi="宋体" w:cs="宋体"/>
                <w:color w:val="000000"/>
                <w:kern w:val="0"/>
                <w:szCs w:val="21"/>
                <w:lang w:bidi="ar"/>
              </w:rPr>
              <w:t>万元</w:t>
            </w:r>
            <w:r>
              <w:rPr>
                <w:rFonts w:hint="default"/>
                <w:color w:val="000000"/>
                <w:kern w:val="0"/>
                <w:szCs w:val="21"/>
                <w:lang w:bidi="ar"/>
              </w:rPr>
              <w:t>/</w:t>
            </w:r>
            <w:r>
              <w:rPr>
                <w:rFonts w:hint="eastAsia" w:ascii="宋体" w:hAnsi="宋体" w:cs="宋体"/>
                <w:color w:val="000000"/>
                <w:kern w:val="0"/>
                <w:szCs w:val="21"/>
                <w:lang w:bidi="ar"/>
              </w:rPr>
              <w:t>人进行违约处理。新更换的人员不低于比选文件人员资质要求。</w:t>
            </w:r>
          </w:p>
          <w:p w14:paraId="6BB6FD11">
            <w:pPr>
              <w:keepNext w:val="0"/>
              <w:keepLines w:val="0"/>
              <w:widowControl/>
              <w:suppressLineNumbers w:val="0"/>
              <w:spacing w:before="0" w:beforeAutospacing="0" w:after="0" w:afterAutospacing="0" w:line="400" w:lineRule="atLeast"/>
              <w:ind w:left="0" w:right="0" w:firstLine="420"/>
              <w:rPr>
                <w:rFonts w:hint="default"/>
                <w:szCs w:val="21"/>
              </w:rPr>
            </w:pPr>
            <w:r>
              <w:rPr>
                <w:rFonts w:hint="eastAsia" w:ascii="宋体" w:hAnsi="宋体" w:cs="宋体"/>
                <w:color w:val="000000"/>
                <w:kern w:val="0"/>
                <w:szCs w:val="21"/>
                <w:lang w:bidi="ar"/>
              </w:rPr>
              <w:t>3.乙方分包的工程项目，不得再行转包或分包，否则将无条件被认为乙方违约，由此引起的一切责任、事故和损失由乙方负责。此外，乙方还应当向甲方支付 1 万元违约金，甲方有权终止或解除合同。</w:t>
            </w:r>
          </w:p>
          <w:p w14:paraId="26887A1A">
            <w:pPr>
              <w:keepNext w:val="0"/>
              <w:keepLines w:val="0"/>
              <w:widowControl/>
              <w:suppressLineNumbers w:val="0"/>
              <w:spacing w:before="0" w:beforeAutospacing="0" w:after="0" w:afterAutospacing="0" w:line="400" w:lineRule="atLeast"/>
              <w:ind w:left="0" w:right="0" w:firstLine="420"/>
              <w:rPr>
                <w:rFonts w:hint="default"/>
                <w:szCs w:val="21"/>
              </w:rPr>
            </w:pPr>
            <w:r>
              <w:rPr>
                <w:rFonts w:hint="eastAsia" w:ascii="宋体" w:hAnsi="宋体" w:cs="宋体"/>
                <w:color w:val="000000"/>
                <w:kern w:val="0"/>
                <w:szCs w:val="21"/>
                <w:lang w:bidi="ar"/>
              </w:rPr>
              <w:t>4.在施工过程中由乙方分包的工程项目质量经检验达不到验收规范和评定标准，不能保证工程质量，或因乙方分包的工程项目进度不能满足</w:t>
            </w:r>
            <w:r>
              <w:rPr>
                <w:rFonts w:hint="eastAsia" w:ascii="宋体" w:hAnsi="宋体" w:cs="宋体"/>
                <w:color w:val="000000"/>
                <w:kern w:val="0"/>
                <w:szCs w:val="21"/>
                <w:lang w:eastAsia="zh-CN" w:bidi="ar"/>
              </w:rPr>
              <w:t>甲方</w:t>
            </w:r>
            <w:r>
              <w:rPr>
                <w:rFonts w:hint="eastAsia" w:ascii="宋体" w:hAnsi="宋体" w:cs="宋体"/>
                <w:color w:val="000000"/>
                <w:kern w:val="0"/>
                <w:szCs w:val="21"/>
                <w:lang w:bidi="ar"/>
              </w:rPr>
              <w:t>和甲方制定的进度目标要求，则甲方有权终止合同，由此造成的损失由乙方承担。此外，乙方还应当向甲方支付 1</w:t>
            </w:r>
            <w:r>
              <w:rPr>
                <w:rFonts w:hint="default" w:ascii="宋体" w:hAnsi="宋体" w:cs="宋体"/>
                <w:color w:val="000000"/>
                <w:kern w:val="0"/>
                <w:szCs w:val="21"/>
                <w:lang w:bidi="ar"/>
              </w:rPr>
              <w:t xml:space="preserve"> </w:t>
            </w:r>
            <w:r>
              <w:rPr>
                <w:rFonts w:hint="eastAsia" w:ascii="宋体" w:hAnsi="宋体" w:cs="宋体"/>
                <w:color w:val="000000"/>
                <w:kern w:val="0"/>
                <w:szCs w:val="21"/>
                <w:lang w:bidi="ar"/>
              </w:rPr>
              <w:t>万元违约金。</w:t>
            </w:r>
          </w:p>
          <w:p w14:paraId="7AC907B3">
            <w:pPr>
              <w:keepNext w:val="0"/>
              <w:keepLines w:val="0"/>
              <w:widowControl/>
              <w:suppressLineNumbers w:val="0"/>
              <w:spacing w:before="0" w:beforeAutospacing="0" w:after="0" w:afterAutospacing="0" w:line="400" w:lineRule="atLeast"/>
              <w:ind w:left="0" w:right="0" w:firstLine="420"/>
              <w:rPr>
                <w:rFonts w:hint="default"/>
                <w:szCs w:val="21"/>
              </w:rPr>
            </w:pPr>
            <w:r>
              <w:rPr>
                <w:rFonts w:hint="eastAsia" w:ascii="宋体" w:hAnsi="宋体" w:cs="宋体"/>
                <w:color w:val="000000"/>
                <w:kern w:val="0"/>
                <w:szCs w:val="21"/>
                <w:lang w:bidi="ar"/>
              </w:rPr>
              <w:t>5.除上一条款外，合同签订后，不经双方协商同意，任何一方不得随意变更或解除。如乙方未经甲方同意，单方解除合同时（如中途未征得甲方同意无故退场），甲方将按照乙方完成工作量的80%进行结算，同时乙方还需支付甲方  </w:t>
            </w:r>
            <w:r>
              <w:rPr>
                <w:rFonts w:hint="default"/>
                <w:color w:val="000000"/>
                <w:kern w:val="0"/>
                <w:szCs w:val="21"/>
                <w:lang w:bidi="ar"/>
              </w:rPr>
              <w:t xml:space="preserve">1 </w:t>
            </w:r>
            <w:r>
              <w:rPr>
                <w:rFonts w:hint="eastAsia" w:ascii="宋体" w:hAnsi="宋体" w:cs="宋体"/>
                <w:color w:val="000000"/>
                <w:kern w:val="0"/>
                <w:szCs w:val="21"/>
                <w:lang w:bidi="ar"/>
              </w:rPr>
              <w:t>万元违约金，并且由乙方赔偿甲方因影响施工计划造成的经济损失；如甲方中途无故解除合同，按乙方完成工作量的</w:t>
            </w:r>
            <w:r>
              <w:rPr>
                <w:rFonts w:hint="default"/>
                <w:color w:val="000000"/>
                <w:kern w:val="0"/>
                <w:szCs w:val="21"/>
                <w:lang w:bidi="ar"/>
              </w:rPr>
              <w:t>100%</w:t>
            </w:r>
            <w:r>
              <w:rPr>
                <w:rFonts w:hint="eastAsia" w:ascii="宋体" w:hAnsi="宋体" w:cs="宋体"/>
                <w:color w:val="000000"/>
                <w:kern w:val="0"/>
                <w:szCs w:val="21"/>
                <w:lang w:bidi="ar"/>
              </w:rPr>
              <w:t>进行结算，应赔偿乙方因此造成的经济损失。</w:t>
            </w:r>
          </w:p>
          <w:p w14:paraId="33BB72E5">
            <w:pPr>
              <w:keepNext w:val="0"/>
              <w:keepLines w:val="0"/>
              <w:widowControl/>
              <w:suppressLineNumbers w:val="0"/>
              <w:spacing w:before="0" w:beforeAutospacing="0" w:after="0" w:afterAutospacing="0" w:line="400" w:lineRule="atLeast"/>
              <w:ind w:left="0" w:right="0" w:firstLine="420"/>
              <w:rPr>
                <w:rFonts w:hint="default"/>
                <w:szCs w:val="21"/>
              </w:rPr>
            </w:pPr>
            <w:r>
              <w:rPr>
                <w:rFonts w:hint="eastAsia" w:ascii="宋体" w:hAnsi="宋体" w:cs="宋体"/>
                <w:color w:val="000000"/>
                <w:kern w:val="0"/>
                <w:szCs w:val="21"/>
                <w:lang w:bidi="ar"/>
              </w:rPr>
              <w:t>6.因乙方原因，出现下列情况之一的，甲方有权采取认为合理的一切措施进行处理，由此引起的损失由乙方承担。</w:t>
            </w:r>
          </w:p>
          <w:p w14:paraId="300DA290">
            <w:pPr>
              <w:keepNext w:val="0"/>
              <w:keepLines w:val="0"/>
              <w:widowControl/>
              <w:suppressLineNumbers w:val="0"/>
              <w:spacing w:before="0" w:beforeAutospacing="0" w:after="0" w:afterAutospacing="0" w:line="400" w:lineRule="atLeast"/>
              <w:ind w:left="0" w:right="0" w:firstLine="420"/>
              <w:rPr>
                <w:rFonts w:hint="default"/>
                <w:szCs w:val="21"/>
              </w:rPr>
            </w:pPr>
            <w:r>
              <w:rPr>
                <w:rFonts w:hint="eastAsia" w:ascii="宋体" w:hAnsi="宋体" w:cs="宋体"/>
                <w:color w:val="000000"/>
                <w:kern w:val="0"/>
                <w:szCs w:val="21"/>
                <w:lang w:bidi="ar"/>
              </w:rPr>
              <w:t>6.1乙方的主要人员、机械设备及流动资金不能按时到位的，严重制约了工程的施工；</w:t>
            </w:r>
          </w:p>
          <w:p w14:paraId="278862CE">
            <w:pPr>
              <w:keepNext w:val="0"/>
              <w:keepLines w:val="0"/>
              <w:widowControl/>
              <w:suppressLineNumbers w:val="0"/>
              <w:spacing w:before="0" w:beforeAutospacing="0" w:after="0" w:afterAutospacing="0" w:line="400" w:lineRule="atLeast"/>
              <w:ind w:left="0" w:right="0" w:firstLine="420"/>
              <w:rPr>
                <w:rFonts w:hint="default"/>
                <w:szCs w:val="21"/>
              </w:rPr>
            </w:pPr>
            <w:r>
              <w:rPr>
                <w:rFonts w:hint="eastAsia" w:ascii="宋体" w:hAnsi="宋体" w:cs="宋体"/>
                <w:color w:val="000000"/>
                <w:kern w:val="0"/>
                <w:szCs w:val="21"/>
                <w:lang w:bidi="ar"/>
              </w:rPr>
              <w:t>6.2进度滞后该工程总体进度计划的</w:t>
            </w:r>
            <w:r>
              <w:rPr>
                <w:rFonts w:hint="default"/>
                <w:color w:val="000000"/>
                <w:kern w:val="0"/>
                <w:szCs w:val="21"/>
                <w:lang w:bidi="ar"/>
              </w:rPr>
              <w:t>10</w:t>
            </w:r>
            <w:r>
              <w:rPr>
                <w:rFonts w:hint="eastAsia" w:ascii="宋体" w:hAnsi="宋体" w:cs="宋体"/>
                <w:color w:val="000000"/>
                <w:kern w:val="0"/>
                <w:szCs w:val="21"/>
                <w:lang w:bidi="ar"/>
              </w:rPr>
              <w:t>％或落到工程管理曲线下线以下的；</w:t>
            </w:r>
          </w:p>
          <w:p w14:paraId="37C388E2">
            <w:pPr>
              <w:keepNext w:val="0"/>
              <w:keepLines w:val="0"/>
              <w:widowControl/>
              <w:suppressLineNumbers w:val="0"/>
              <w:spacing w:before="0" w:beforeAutospacing="0" w:after="0" w:afterAutospacing="0" w:line="400" w:lineRule="atLeast"/>
              <w:ind w:left="0" w:right="0" w:firstLine="420"/>
              <w:rPr>
                <w:rFonts w:hint="default"/>
                <w:szCs w:val="21"/>
              </w:rPr>
            </w:pPr>
            <w:r>
              <w:rPr>
                <w:rFonts w:hint="eastAsia" w:ascii="宋体" w:hAnsi="宋体" w:cs="宋体"/>
                <w:color w:val="000000"/>
                <w:kern w:val="0"/>
                <w:szCs w:val="21"/>
                <w:lang w:bidi="ar"/>
              </w:rPr>
              <w:t>6.3不按施工技术规范和标准要求施工，造成工程质量低劣的达不到验收标准的；</w:t>
            </w:r>
          </w:p>
          <w:p w14:paraId="7B30052A">
            <w:pPr>
              <w:keepNext w:val="0"/>
              <w:keepLines w:val="0"/>
              <w:widowControl/>
              <w:suppressLineNumbers w:val="0"/>
              <w:spacing w:before="0" w:beforeAutospacing="0" w:after="0" w:afterAutospacing="0" w:line="400" w:lineRule="atLeast"/>
              <w:ind w:left="0" w:right="0" w:firstLine="420"/>
              <w:rPr>
                <w:rFonts w:hint="default"/>
                <w:szCs w:val="21"/>
              </w:rPr>
            </w:pPr>
            <w:r>
              <w:rPr>
                <w:rFonts w:hint="eastAsia" w:ascii="宋体" w:hAnsi="宋体" w:cs="宋体"/>
                <w:color w:val="000000"/>
                <w:kern w:val="0"/>
                <w:szCs w:val="21"/>
                <w:lang w:bidi="ar"/>
              </w:rPr>
              <w:t>6. 4不遵守甲方的管理，不能服从</w:t>
            </w:r>
            <w:r>
              <w:rPr>
                <w:rFonts w:hint="eastAsia" w:ascii="宋体" w:hAnsi="宋体" w:cs="宋体"/>
                <w:color w:val="000000"/>
                <w:kern w:val="0"/>
                <w:szCs w:val="21"/>
                <w:lang w:eastAsia="zh-CN" w:bidi="ar"/>
              </w:rPr>
              <w:t>甲方</w:t>
            </w:r>
            <w:r>
              <w:rPr>
                <w:rFonts w:hint="eastAsia" w:ascii="宋体" w:hAnsi="宋体" w:cs="宋体"/>
                <w:color w:val="000000"/>
                <w:kern w:val="0"/>
                <w:szCs w:val="21"/>
                <w:lang w:bidi="ar"/>
              </w:rPr>
              <w:t>和监理人的指令，造成工程不能管理无法推进。</w:t>
            </w:r>
          </w:p>
          <w:p w14:paraId="1ED112DB">
            <w:pPr>
              <w:keepNext w:val="0"/>
              <w:keepLines w:val="0"/>
              <w:widowControl/>
              <w:suppressLineNumbers w:val="0"/>
              <w:spacing w:before="0" w:beforeAutospacing="0" w:after="0" w:afterAutospacing="0"/>
              <w:ind w:left="0" w:right="0" w:firstLine="420" w:firstLineChars="200"/>
              <w:rPr>
                <w:rFonts w:hint="default"/>
              </w:rPr>
            </w:pPr>
            <w:r>
              <w:rPr>
                <w:rFonts w:hint="eastAsia" w:ascii="宋体" w:hAnsi="宋体" w:cs="宋体"/>
                <w:color w:val="000000"/>
                <w:kern w:val="0"/>
                <w:szCs w:val="21"/>
                <w:lang w:bidi="ar"/>
              </w:rPr>
              <w:t>7.乙方应按本合同规定的工期及质量要求完成，否则应偿付给甲方</w:t>
            </w:r>
            <w:r>
              <w:rPr>
                <w:rFonts w:hint="default"/>
                <w:color w:val="000000"/>
                <w:kern w:val="0"/>
                <w:szCs w:val="21"/>
                <w:lang w:bidi="ar"/>
              </w:rPr>
              <w:t>10000</w:t>
            </w:r>
            <w:r>
              <w:rPr>
                <w:rFonts w:hint="eastAsia" w:ascii="宋体" w:hAnsi="宋体" w:cs="宋体"/>
                <w:color w:val="000000"/>
                <w:kern w:val="0"/>
                <w:szCs w:val="21"/>
                <w:lang w:bidi="ar"/>
              </w:rPr>
              <w:t>元</w:t>
            </w:r>
            <w:r>
              <w:rPr>
                <w:rFonts w:hint="default"/>
                <w:color w:val="000000"/>
                <w:kern w:val="0"/>
                <w:szCs w:val="21"/>
                <w:lang w:bidi="ar"/>
              </w:rPr>
              <w:t>/</w:t>
            </w:r>
            <w:r>
              <w:rPr>
                <w:rFonts w:hint="eastAsia" w:ascii="宋体" w:hAnsi="宋体" w:cs="宋体"/>
                <w:color w:val="000000"/>
                <w:kern w:val="0"/>
                <w:szCs w:val="21"/>
                <w:lang w:bidi="ar"/>
              </w:rPr>
              <w:t xml:space="preserve">天的逾期违约金，并承担甲方项目部延期完成任务以后后续发生的管理费用，限额为 </w:t>
            </w:r>
            <w:r>
              <w:rPr>
                <w:rFonts w:hint="default"/>
                <w:color w:val="000000"/>
                <w:kern w:val="0"/>
                <w:szCs w:val="21"/>
                <w:lang w:bidi="ar"/>
              </w:rPr>
              <w:t>5</w:t>
            </w:r>
            <w:r>
              <w:rPr>
                <w:rFonts w:hint="eastAsia" w:ascii="宋体" w:hAnsi="宋体" w:cs="宋体"/>
                <w:color w:val="000000"/>
                <w:kern w:val="0"/>
                <w:szCs w:val="21"/>
                <w:lang w:bidi="ar"/>
              </w:rPr>
              <w:t>％本合同的签约合同价。</w:t>
            </w:r>
          </w:p>
        </w:tc>
      </w:tr>
      <w:tr w14:paraId="4F70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46" w:type="pct"/>
            <w:vAlign w:val="center"/>
          </w:tcPr>
          <w:p w14:paraId="15056EC8">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19</w:t>
            </w:r>
          </w:p>
        </w:tc>
        <w:tc>
          <w:tcPr>
            <w:tcW w:w="1062" w:type="pct"/>
          </w:tcPr>
          <w:p w14:paraId="2ED8AC12">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中标候选人的人数</w:t>
            </w:r>
          </w:p>
        </w:tc>
        <w:tc>
          <w:tcPr>
            <w:tcW w:w="3590" w:type="pct"/>
            <w:vAlign w:val="center"/>
          </w:tcPr>
          <w:p w14:paraId="5AF23A75">
            <w:pPr>
              <w:keepNext w:val="0"/>
              <w:keepLines w:val="0"/>
              <w:suppressLineNumbers w:val="0"/>
              <w:spacing w:before="0" w:beforeAutospacing="0" w:after="0" w:afterAutospacing="0" w:line="400" w:lineRule="exact"/>
              <w:ind w:left="0" w:right="0" w:firstLine="420" w:firstLineChars="200"/>
              <w:rPr>
                <w:rFonts w:hint="default" w:ascii="宋体" w:hAnsi="宋体" w:cs="宋体"/>
              </w:rPr>
            </w:pPr>
            <w:r>
              <w:rPr>
                <w:rFonts w:hint="eastAsia" w:ascii="宋体" w:hAnsi="宋体" w:cs="宋体"/>
              </w:rPr>
              <w:t>推荐的中标候选人数：2名。</w:t>
            </w:r>
          </w:p>
        </w:tc>
      </w:tr>
      <w:tr w14:paraId="4C45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6" w:type="pct"/>
            <w:vAlign w:val="center"/>
          </w:tcPr>
          <w:p w14:paraId="126E82E3">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20</w:t>
            </w:r>
          </w:p>
        </w:tc>
        <w:tc>
          <w:tcPr>
            <w:tcW w:w="1062" w:type="pct"/>
            <w:vAlign w:val="center"/>
          </w:tcPr>
          <w:p w14:paraId="6E2188D4">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保证金</w:t>
            </w:r>
          </w:p>
        </w:tc>
        <w:tc>
          <w:tcPr>
            <w:tcW w:w="3590" w:type="pct"/>
            <w:vAlign w:val="center"/>
          </w:tcPr>
          <w:p w14:paraId="1696FD76">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一、投标保证金</w:t>
            </w:r>
          </w:p>
          <w:p w14:paraId="5034A0C4">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报价人是否提供</w:t>
            </w:r>
            <w:r>
              <w:rPr>
                <w:rFonts w:hint="eastAsia" w:ascii="宋体" w:hAnsi="宋体" w:cs="宋体"/>
                <w:color w:val="000000"/>
                <w:kern w:val="0"/>
                <w:szCs w:val="21"/>
                <w:lang w:bidi="ar"/>
              </w:rPr>
              <w:t>投标保证金</w:t>
            </w:r>
            <w:r>
              <w:rPr>
                <w:rFonts w:hint="eastAsia" w:ascii="宋体" w:hAnsi="宋体" w:cs="宋体"/>
                <w:color w:val="000000"/>
                <w:kern w:val="0"/>
                <w:szCs w:val="21"/>
                <w:lang w:eastAsia="zh-CN" w:bidi="ar"/>
              </w:rPr>
              <w:t>：</w:t>
            </w:r>
            <w:r>
              <w:rPr>
                <w:rFonts w:hint="eastAsia" w:ascii="宋体" w:hAnsi="宋体" w:cs="宋体"/>
                <w:b/>
                <w:bCs/>
                <w:color w:val="000000"/>
                <w:kern w:val="0"/>
                <w:szCs w:val="21"/>
                <w:u w:val="single"/>
                <w:lang w:val="en-US" w:eastAsia="zh-CN" w:bidi="ar"/>
              </w:rPr>
              <w:t>是</w:t>
            </w:r>
          </w:p>
          <w:p w14:paraId="1122C877">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1、报价人须缴纳投标保证金</w:t>
            </w:r>
            <w:r>
              <w:rPr>
                <w:rFonts w:hint="eastAsia" w:ascii="宋体" w:hAnsi="宋体" w:cs="宋体"/>
                <w:color w:val="000000"/>
                <w:kern w:val="0"/>
                <w:szCs w:val="21"/>
                <w:u w:val="single"/>
                <w:lang w:eastAsia="zh-CN" w:bidi="ar"/>
              </w:rPr>
              <w:t xml:space="preserve"> </w:t>
            </w:r>
            <w:r>
              <w:rPr>
                <w:rFonts w:hint="eastAsia" w:ascii="宋体" w:hAnsi="宋体" w:cs="宋体"/>
                <w:color w:val="000000"/>
                <w:kern w:val="0"/>
                <w:szCs w:val="21"/>
                <w:u w:val="single"/>
                <w:lang w:val="en-US" w:eastAsia="zh-CN" w:bidi="ar"/>
              </w:rPr>
              <w:t xml:space="preserve"> 50000.00  </w:t>
            </w:r>
            <w:r>
              <w:rPr>
                <w:rFonts w:hint="eastAsia" w:ascii="宋体" w:hAnsi="宋体" w:cs="宋体"/>
                <w:color w:val="000000"/>
                <w:kern w:val="0"/>
                <w:szCs w:val="21"/>
                <w:lang w:bidi="ar"/>
              </w:rPr>
              <w:t>元，由报价人从公司基本账户将投标保证金汇至以下指定账户：</w:t>
            </w:r>
          </w:p>
          <w:p w14:paraId="6E40F9FB">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保证金到账截止时间：2024年</w:t>
            </w: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日</w:t>
            </w:r>
            <w:r>
              <w:rPr>
                <w:rFonts w:hint="eastAsia" w:ascii="宋体" w:hAnsi="宋体" w:cs="宋体"/>
                <w:color w:val="000000"/>
                <w:kern w:val="0"/>
                <w:szCs w:val="21"/>
                <w:lang w:val="en-US" w:eastAsia="zh-CN" w:bidi="ar"/>
              </w:rPr>
              <w:t>下午</w:t>
            </w: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时</w:t>
            </w:r>
            <w:r>
              <w:rPr>
                <w:rFonts w:hint="eastAsia" w:ascii="宋体" w:hAnsi="宋体" w:cs="宋体"/>
                <w:color w:val="000000"/>
                <w:kern w:val="0"/>
                <w:szCs w:val="21"/>
                <w:lang w:eastAsia="zh-CN" w:bidi="ar"/>
              </w:rPr>
              <w:t>0</w:t>
            </w:r>
            <w:r>
              <w:rPr>
                <w:rFonts w:hint="eastAsia" w:ascii="宋体" w:hAnsi="宋体" w:cs="宋体"/>
                <w:color w:val="000000"/>
                <w:kern w:val="0"/>
                <w:szCs w:val="21"/>
                <w:lang w:bidi="ar"/>
              </w:rPr>
              <w:t>0分前；</w:t>
            </w:r>
          </w:p>
          <w:p w14:paraId="1DF4F304">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若竞争性比选响应文件内无投标保证金缴纳凭证，采购人有权作废标处理，若投标保证金存在虚假不实情况，采购人有权作废标处理。</w:t>
            </w:r>
          </w:p>
          <w:p w14:paraId="28AC8AC4">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kern w:val="0"/>
                <w:szCs w:val="21"/>
                <w:lang w:bidi="ar"/>
              </w:rPr>
            </w:pP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000000"/>
                <w:spacing w:val="0"/>
                <w:sz w:val="21"/>
                <w:szCs w:val="21"/>
                <w:lang w:val="en-US" w:eastAsia="zh-CN"/>
              </w:rPr>
              <w:t>则需</w:t>
            </w:r>
            <w:r>
              <w:rPr>
                <w:rFonts w:hint="eastAsia" w:ascii="宋体" w:hAnsi="宋体" w:eastAsia="宋体" w:cs="宋体"/>
                <w:i w:val="0"/>
                <w:caps w:val="0"/>
                <w:color w:val="auto"/>
                <w:spacing w:val="0"/>
                <w:sz w:val="21"/>
                <w:szCs w:val="21"/>
              </w:rPr>
              <w:t>备注</w:t>
            </w:r>
            <w:r>
              <w:rPr>
                <w:rFonts w:hint="eastAsia" w:ascii="宋体" w:hAnsi="宋体" w:eastAsia="宋体" w:cs="宋体"/>
                <w:i w:val="0"/>
                <w:caps w:val="0"/>
                <w:color w:val="auto"/>
                <w:spacing w:val="0"/>
                <w:sz w:val="21"/>
                <w:szCs w:val="21"/>
                <w:lang w:eastAsia="zh-CN"/>
              </w:rPr>
              <w:t>，</w:t>
            </w:r>
            <w:r>
              <w:rPr>
                <w:rFonts w:hint="eastAsia" w:ascii="宋体" w:hAnsi="宋体" w:eastAsia="宋体" w:cs="宋体"/>
                <w:i w:val="0"/>
                <w:caps w:val="0"/>
                <w:color w:val="auto"/>
                <w:spacing w:val="0"/>
                <w:sz w:val="21"/>
                <w:szCs w:val="21"/>
              </w:rPr>
              <w:t>转款备注：</w:t>
            </w:r>
            <w:r>
              <w:rPr>
                <w:rFonts w:hint="eastAsia" w:ascii="宋体" w:hAnsi="宋体" w:eastAsia="宋体" w:cs="宋体"/>
                <w:color w:val="auto"/>
                <w:szCs w:val="21"/>
                <w:highlight w:val="none"/>
                <w:lang w:eastAsia="zh-CN"/>
              </w:rPr>
              <w:t>“项目名称”（可简写）</w:t>
            </w:r>
            <w:r>
              <w:rPr>
                <w:rFonts w:hint="eastAsia" w:ascii="宋体" w:hAnsi="宋体" w:cs="宋体"/>
                <w:i w:val="0"/>
                <w:caps w:val="0"/>
                <w:color w:val="auto"/>
                <w:spacing w:val="0"/>
                <w:sz w:val="21"/>
                <w:szCs w:val="21"/>
                <w:lang w:val="en-US" w:eastAsia="zh-CN"/>
              </w:rPr>
              <w:t>投标</w:t>
            </w:r>
            <w:r>
              <w:rPr>
                <w:rFonts w:hint="eastAsia" w:ascii="宋体" w:hAnsi="宋体" w:eastAsia="宋体" w:cs="宋体"/>
                <w:i w:val="0"/>
                <w:caps w:val="0"/>
                <w:color w:val="auto"/>
                <w:spacing w:val="0"/>
                <w:sz w:val="21"/>
                <w:szCs w:val="21"/>
              </w:rPr>
              <w:t>保证金</w:t>
            </w:r>
          </w:p>
          <w:p w14:paraId="4151F00B">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2、投标保证金退还方式</w:t>
            </w:r>
          </w:p>
          <w:p w14:paraId="747653FF">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为便于及时退还，报价人在递交响应文件的同时，递交本项目保证金银行回单和公司的开户许可证复印件。</w:t>
            </w:r>
          </w:p>
          <w:p w14:paraId="0A2674BF">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未中标报价人的投标保证金，于该项目结果公示期结束后15个工作日内无息退还至报价人基本账户。</w:t>
            </w:r>
          </w:p>
          <w:p w14:paraId="2C2BDBA6">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中标人的投标保证金，自合同签订后15个工作日内无息退还至中标人基本账户。</w:t>
            </w:r>
          </w:p>
          <w:p w14:paraId="1F888DA0">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有下列情形之一的，投标保证金将不予退还：</w:t>
            </w:r>
          </w:p>
          <w:p w14:paraId="13AD80C4">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报价人</w:t>
            </w:r>
            <w:r>
              <w:rPr>
                <w:rFonts w:hint="eastAsia" w:ascii="宋体" w:hAnsi="宋体" w:cs="宋体"/>
                <w:color w:val="000000"/>
                <w:kern w:val="0"/>
                <w:szCs w:val="21"/>
                <w:lang w:bidi="ar"/>
              </w:rPr>
              <w:t>在投标有效期内撤销投标文件；</w:t>
            </w:r>
          </w:p>
          <w:p w14:paraId="4D8E33FD">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（2）中标人在收到中标通知书后，无正当理由不与</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订立合同，在签订合同时向</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提出附加条件，或者不按照招标文件要求提交履约保证金；</w:t>
            </w:r>
          </w:p>
          <w:p w14:paraId="5D185A88">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（3）中标人（或拟中标人）拒不提供或者不按时提供低价风险担保（适用于经评审的最低投标价法）；</w:t>
            </w:r>
          </w:p>
          <w:p w14:paraId="7DC72DE0">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报价人</w:t>
            </w:r>
            <w:r>
              <w:rPr>
                <w:rFonts w:hint="eastAsia" w:ascii="宋体" w:hAnsi="宋体" w:cs="宋体"/>
                <w:color w:val="000000"/>
                <w:kern w:val="0"/>
                <w:szCs w:val="21"/>
                <w:lang w:bidi="ar"/>
              </w:rPr>
              <w:t>被发现本次投标存在串通投标、弄虚造假、行贿等违法行为的；</w:t>
            </w:r>
          </w:p>
          <w:p w14:paraId="7FC8DA1B">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（5）发生</w:t>
            </w:r>
            <w:r>
              <w:rPr>
                <w:rFonts w:hint="eastAsia" w:ascii="宋体" w:hAnsi="宋体" w:cs="宋体"/>
                <w:color w:val="000000"/>
                <w:kern w:val="0"/>
                <w:szCs w:val="21"/>
                <w:lang w:eastAsia="zh-CN" w:bidi="ar"/>
              </w:rPr>
              <w:t>报价人</w:t>
            </w:r>
            <w:r>
              <w:rPr>
                <w:rFonts w:hint="eastAsia" w:ascii="宋体" w:hAnsi="宋体" w:cs="宋体"/>
                <w:color w:val="000000"/>
                <w:kern w:val="0"/>
                <w:szCs w:val="21"/>
                <w:lang w:bidi="ar"/>
              </w:rPr>
              <w:t>须知前附表规定的其他可以不予退还投标保证金的情形。</w:t>
            </w:r>
          </w:p>
          <w:p w14:paraId="73A0DD02">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二、履约保证金</w:t>
            </w:r>
          </w:p>
          <w:p w14:paraId="65AB2A25">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报价人是否提供履约</w:t>
            </w:r>
            <w:r>
              <w:rPr>
                <w:rFonts w:hint="eastAsia" w:ascii="宋体" w:hAnsi="宋体" w:cs="宋体"/>
                <w:color w:val="000000"/>
                <w:kern w:val="0"/>
                <w:szCs w:val="21"/>
                <w:lang w:bidi="ar"/>
              </w:rPr>
              <w:t>保证金</w:t>
            </w:r>
            <w:r>
              <w:rPr>
                <w:rFonts w:hint="eastAsia" w:ascii="宋体" w:hAnsi="宋体" w:cs="宋体"/>
                <w:color w:val="000000"/>
                <w:kern w:val="0"/>
                <w:szCs w:val="21"/>
                <w:lang w:eastAsia="zh-CN" w:bidi="ar"/>
              </w:rPr>
              <w:t>：</w:t>
            </w:r>
            <w:r>
              <w:rPr>
                <w:rFonts w:hint="eastAsia" w:ascii="宋体" w:hAnsi="宋体" w:cs="宋体"/>
                <w:b/>
                <w:bCs/>
                <w:color w:val="000000"/>
                <w:kern w:val="0"/>
                <w:szCs w:val="21"/>
                <w:u w:val="single"/>
                <w:lang w:val="en-US" w:eastAsia="zh-CN" w:bidi="ar"/>
              </w:rPr>
              <w:t>是</w:t>
            </w:r>
          </w:p>
          <w:p w14:paraId="5B6A9FFB">
            <w:pPr>
              <w:pStyle w:val="149"/>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履约担保作为本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3B176614">
            <w:pPr>
              <w:pStyle w:val="149"/>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2、履约保证金的金额：合同金额的10%。</w:t>
            </w:r>
          </w:p>
          <w:p w14:paraId="40F34B8E">
            <w:pPr>
              <w:pStyle w:val="149"/>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3、履约保证金有效期：自双方签订的合同文件生效之日起，至合同约定的工程验收完成止。</w:t>
            </w:r>
          </w:p>
          <w:p w14:paraId="6E2C6D90">
            <w:pPr>
              <w:pStyle w:val="149"/>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311086A2">
            <w:pPr>
              <w:pStyle w:val="37"/>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000000"/>
                <w:spacing w:val="0"/>
                <w:sz w:val="21"/>
                <w:szCs w:val="21"/>
                <w:lang w:val="en-US" w:eastAsia="zh-CN"/>
              </w:rPr>
              <w:t>则需</w:t>
            </w:r>
            <w:r>
              <w:rPr>
                <w:rFonts w:hint="eastAsia" w:ascii="宋体" w:hAnsi="宋体" w:eastAsia="宋体" w:cs="宋体"/>
                <w:i w:val="0"/>
                <w:caps w:val="0"/>
                <w:color w:val="auto"/>
                <w:spacing w:val="0"/>
                <w:sz w:val="21"/>
                <w:szCs w:val="21"/>
              </w:rPr>
              <w:t>备注</w:t>
            </w:r>
            <w:r>
              <w:rPr>
                <w:rFonts w:hint="eastAsia" w:ascii="宋体" w:hAnsi="宋体" w:eastAsia="宋体" w:cs="宋体"/>
                <w:i w:val="0"/>
                <w:caps w:val="0"/>
                <w:color w:val="auto"/>
                <w:spacing w:val="0"/>
                <w:sz w:val="21"/>
                <w:szCs w:val="21"/>
                <w:lang w:eastAsia="zh-CN"/>
              </w:rPr>
              <w:t>，</w:t>
            </w:r>
            <w:r>
              <w:rPr>
                <w:rFonts w:hint="eastAsia" w:ascii="宋体" w:hAnsi="宋体" w:eastAsia="宋体" w:cs="宋体"/>
                <w:i w:val="0"/>
                <w:caps w:val="0"/>
                <w:color w:val="auto"/>
                <w:spacing w:val="0"/>
                <w:sz w:val="21"/>
                <w:szCs w:val="21"/>
              </w:rPr>
              <w:t>转款备注：</w:t>
            </w:r>
            <w:r>
              <w:rPr>
                <w:rFonts w:hint="eastAsia"/>
                <w:color w:val="auto"/>
                <w:sz w:val="21"/>
                <w:szCs w:val="21"/>
              </w:rPr>
              <w:t>“项目名称”（可简写）</w:t>
            </w:r>
            <w:r>
              <w:rPr>
                <w:rFonts w:hint="eastAsia" w:ascii="宋体" w:hAnsi="宋体" w:eastAsia="宋体" w:cs="宋体"/>
                <w:i w:val="0"/>
                <w:caps w:val="0"/>
                <w:color w:val="auto"/>
                <w:spacing w:val="0"/>
                <w:sz w:val="21"/>
                <w:szCs w:val="21"/>
                <w:lang w:val="en-US" w:eastAsia="zh-CN"/>
              </w:rPr>
              <w:t>履约</w:t>
            </w:r>
            <w:r>
              <w:rPr>
                <w:rFonts w:hint="eastAsia" w:ascii="宋体" w:hAnsi="宋体" w:eastAsia="宋体" w:cs="宋体"/>
                <w:i w:val="0"/>
                <w:caps w:val="0"/>
                <w:color w:val="auto"/>
                <w:spacing w:val="0"/>
                <w:sz w:val="21"/>
                <w:szCs w:val="21"/>
              </w:rPr>
              <w:t>保证金</w:t>
            </w:r>
          </w:p>
          <w:p w14:paraId="22B76374">
            <w:pPr>
              <w:keepNext w:val="0"/>
              <w:keepLines w:val="0"/>
              <w:suppressLineNumbers w:val="0"/>
              <w:spacing w:before="0" w:beforeAutospacing="0" w:after="0" w:afterAutospacing="0" w:line="360" w:lineRule="auto"/>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kern w:val="0"/>
                <w:szCs w:val="21"/>
                <w:highlight w:val="none"/>
                <w:lang w:val="en-US" w:eastAsia="zh-CN"/>
              </w:rPr>
              <w:t>纸质</w:t>
            </w:r>
            <w:r>
              <w:rPr>
                <w:rFonts w:hint="eastAsia" w:ascii="宋体" w:hAnsi="宋体" w:eastAsia="宋体" w:cs="宋体"/>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纸质</w:t>
            </w:r>
            <w:r>
              <w:rPr>
                <w:rFonts w:hint="eastAsia" w:ascii="宋体" w:hAnsi="宋体" w:eastAsia="宋体" w:cs="宋体"/>
                <w:kern w:val="0"/>
                <w:szCs w:val="21"/>
                <w:highlight w:val="none"/>
                <w:lang w:eastAsia="zh-CN"/>
              </w:rPr>
              <w:t>保函应合法合规，符合招投标行政监督部门、行业主管部门和金融监管部门的相关规定，满足招标文件约定要求。</w:t>
            </w:r>
            <w:r>
              <w:rPr>
                <w:rFonts w:hint="eastAsia" w:ascii="宋体" w:hAnsi="宋体" w:eastAsia="宋体" w:cs="宋体"/>
                <w:kern w:val="0"/>
                <w:szCs w:val="21"/>
                <w:highlight w:val="none"/>
                <w:lang w:val="en-US" w:eastAsia="zh-CN"/>
              </w:rPr>
              <w:t>报价人对所提交的纸质投标保函的真实性、合法性、有效性负责。</w:t>
            </w:r>
          </w:p>
          <w:p w14:paraId="683189FF">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kern w:val="0"/>
                <w:szCs w:val="21"/>
                <w:lang w:bidi="ar"/>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0D27EEDE">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三、低价保证金</w:t>
            </w:r>
          </w:p>
          <w:p w14:paraId="501AB208">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1．低价风险担保：中标价低于最高限价的85%时提供，如不按时足额提供，视为中标人放弃中标，</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有权不退还其投标保证金。</w:t>
            </w:r>
          </w:p>
          <w:p w14:paraId="7271F6BE">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2．中标人提供低价风险担保的形式、金额及期限：</w:t>
            </w:r>
          </w:p>
          <w:p w14:paraId="58DD9F93">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14:paraId="70FCEC0F">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（2）低价风险担保的金额：（最高限价×85%-中标价）×3，且最高不超过最高限价的85%。</w:t>
            </w:r>
          </w:p>
          <w:p w14:paraId="71B7B663">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（3）低价风险担保送达</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的时间：从</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 xml:space="preserve">中标通知书送达拟中标人之日起 20 </w:t>
            </w:r>
            <w:r>
              <w:rPr>
                <w:rFonts w:hint="eastAsia" w:ascii="宋体" w:hAnsi="宋体" w:cs="宋体"/>
                <w:color w:val="000000"/>
                <w:kern w:val="0"/>
                <w:szCs w:val="21"/>
                <w:lang w:val="en-US" w:eastAsia="zh-CN" w:bidi="ar"/>
              </w:rPr>
              <w:t>个</w:t>
            </w:r>
            <w:r>
              <w:rPr>
                <w:rFonts w:hint="eastAsia" w:ascii="宋体" w:hAnsi="宋体" w:cs="宋体"/>
                <w:color w:val="000000"/>
                <w:kern w:val="0"/>
                <w:szCs w:val="21"/>
                <w:lang w:bidi="ar"/>
              </w:rPr>
              <w:t>工作日内。</w:t>
            </w:r>
          </w:p>
          <w:p w14:paraId="726B7EE2">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（4）中标人因自身原因未按中标通知书规定的时限与</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签订合同的，其以现金形式提交低价风险担保的，</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有权扣除其低价风险担保金并取消其中标资格；以保函形式提交低价风险担保的，</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签订合同，且未提交低价风险担保金或低价风险保函的，</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有权要求中标人承担低价风险担保金等额的损失并取消中标人资格。</w:t>
            </w:r>
          </w:p>
          <w:p w14:paraId="2E49821A">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（5）低价风险担保的期限：自低价风险担保生效之日起至合同设备验收证书或验收款支付函签署之日止。</w:t>
            </w:r>
          </w:p>
          <w:p w14:paraId="01461016">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3.低价风险担保的退还时间：采用现金担保的，在现场工程师确认供货完成后28天内全额退还，合同履行期间允许</w:t>
            </w:r>
            <w:r>
              <w:rPr>
                <w:rFonts w:hint="eastAsia" w:ascii="宋体" w:hAnsi="宋体" w:cs="宋体"/>
                <w:color w:val="000000"/>
                <w:kern w:val="0"/>
                <w:szCs w:val="21"/>
                <w:lang w:eastAsia="zh-CN" w:bidi="ar"/>
              </w:rPr>
              <w:t>乙方</w:t>
            </w:r>
            <w:r>
              <w:rPr>
                <w:rFonts w:hint="eastAsia" w:ascii="宋体" w:hAnsi="宋体" w:cs="宋体"/>
                <w:color w:val="000000"/>
                <w:kern w:val="0"/>
                <w:szCs w:val="21"/>
                <w:lang w:bidi="ar"/>
              </w:rPr>
              <w:t>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14:paraId="097411FE">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（5）低价风险担保的扣减：</w:t>
            </w:r>
          </w:p>
          <w:p w14:paraId="3B8BEA15">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①</w:t>
            </w:r>
            <w:r>
              <w:rPr>
                <w:rFonts w:hint="eastAsia" w:ascii="宋体" w:hAnsi="宋体" w:cs="宋体"/>
                <w:color w:val="000000"/>
                <w:kern w:val="0"/>
                <w:szCs w:val="21"/>
                <w:lang w:eastAsia="zh-CN" w:bidi="ar"/>
              </w:rPr>
              <w:t>乙方</w:t>
            </w:r>
            <w:r>
              <w:rPr>
                <w:rFonts w:hint="eastAsia" w:ascii="宋体" w:hAnsi="宋体" w:cs="宋体"/>
                <w:color w:val="000000"/>
                <w:kern w:val="0"/>
                <w:szCs w:val="21"/>
                <w:lang w:bidi="ar"/>
              </w:rPr>
              <w:t>在合同履行期间，以其投标时填报的价格过低为由拒绝</w:t>
            </w:r>
            <w:r>
              <w:rPr>
                <w:rFonts w:hint="eastAsia" w:ascii="宋体" w:hAnsi="宋体" w:cs="宋体"/>
                <w:color w:val="000000"/>
                <w:kern w:val="0"/>
                <w:szCs w:val="21"/>
                <w:lang w:val="en-US" w:eastAsia="zh-CN" w:bidi="ar"/>
              </w:rPr>
              <w:t>履行合同义务</w:t>
            </w:r>
            <w:r>
              <w:rPr>
                <w:rFonts w:hint="eastAsia" w:ascii="宋体" w:hAnsi="宋体" w:cs="宋体"/>
                <w:color w:val="000000"/>
                <w:kern w:val="0"/>
                <w:szCs w:val="21"/>
                <w:lang w:bidi="ar"/>
              </w:rPr>
              <w:t>；或因其自身其他原因导致项目暂停等，给</w:t>
            </w:r>
            <w:r>
              <w:rPr>
                <w:rFonts w:hint="eastAsia" w:ascii="宋体" w:hAnsi="宋体" w:cs="宋体"/>
                <w:color w:val="000000"/>
                <w:kern w:val="0"/>
                <w:szCs w:val="21"/>
                <w:lang w:eastAsia="zh-CN" w:bidi="ar"/>
              </w:rPr>
              <w:t>甲方</w:t>
            </w:r>
            <w:r>
              <w:rPr>
                <w:rFonts w:hint="eastAsia" w:ascii="宋体" w:hAnsi="宋体" w:cs="宋体"/>
                <w:color w:val="000000"/>
                <w:kern w:val="0"/>
                <w:szCs w:val="21"/>
                <w:lang w:bidi="ar"/>
              </w:rPr>
              <w:t>造成直接经济损失且拒绝承担的，按低价风险担保金额的50～100%扣减，直至解除合同；</w:t>
            </w:r>
          </w:p>
          <w:p w14:paraId="0EB97339">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②因</w:t>
            </w:r>
            <w:r>
              <w:rPr>
                <w:rFonts w:hint="eastAsia" w:ascii="宋体" w:hAnsi="宋体" w:cs="宋体"/>
                <w:color w:val="000000"/>
                <w:kern w:val="0"/>
                <w:szCs w:val="21"/>
                <w:lang w:eastAsia="zh-CN" w:bidi="ar"/>
              </w:rPr>
              <w:t>乙方</w:t>
            </w:r>
            <w:r>
              <w:rPr>
                <w:rFonts w:hint="eastAsia" w:ascii="宋体" w:hAnsi="宋体" w:cs="宋体"/>
                <w:color w:val="000000"/>
                <w:kern w:val="0"/>
                <w:szCs w:val="21"/>
                <w:lang w:bidi="ar"/>
              </w:rPr>
              <w:t>违约被解除合同的，低价风险担保将全额扣除；</w:t>
            </w:r>
          </w:p>
          <w:p w14:paraId="79DC86A5">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③因</w:t>
            </w:r>
            <w:r>
              <w:rPr>
                <w:rFonts w:hint="eastAsia" w:ascii="宋体" w:hAnsi="宋体" w:cs="宋体"/>
                <w:color w:val="000000"/>
                <w:kern w:val="0"/>
                <w:szCs w:val="21"/>
                <w:lang w:eastAsia="zh-CN" w:bidi="ar"/>
              </w:rPr>
              <w:t>乙方</w:t>
            </w:r>
            <w:r>
              <w:rPr>
                <w:rFonts w:hint="eastAsia" w:ascii="宋体" w:hAnsi="宋体" w:cs="宋体"/>
                <w:color w:val="000000"/>
                <w:kern w:val="0"/>
                <w:szCs w:val="21"/>
                <w:lang w:bidi="ar"/>
              </w:rPr>
              <w:t>原因导致的其他情形。</w:t>
            </w:r>
          </w:p>
          <w:p w14:paraId="28B7FF84">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4．采用经评审最低投标价法的项目，拟中标人或者中标人放弃中标项目，无正当理由不与</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签订合同，在签订合同时向</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造成的损失超过投标保证金数额的，拟中标人或中标人应对超过部分予以赔偿。</w:t>
            </w:r>
          </w:p>
          <w:p w14:paraId="095B5F52">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备注：当中标人或拟中标人未按时提交低价风险担保，且属于可以延长低价风险担保提交期限的特殊情形时，经</w:t>
            </w:r>
            <w:r>
              <w:rPr>
                <w:rFonts w:hint="eastAsia" w:ascii="宋体" w:hAnsi="宋体" w:cs="宋体"/>
                <w:color w:val="000000"/>
                <w:kern w:val="0"/>
                <w:szCs w:val="21"/>
                <w:lang w:eastAsia="zh-CN" w:bidi="ar"/>
              </w:rPr>
              <w:t>采购人</w:t>
            </w:r>
            <w:r>
              <w:rPr>
                <w:rFonts w:hint="eastAsia" w:ascii="宋体" w:hAnsi="宋体" w:cs="宋体"/>
                <w:color w:val="000000"/>
                <w:kern w:val="0"/>
                <w:szCs w:val="21"/>
                <w:lang w:bidi="ar"/>
              </w:rPr>
              <w:t>同意，可适当延长低价风险担保的提交期限。</w:t>
            </w:r>
          </w:p>
          <w:p w14:paraId="0F0591B2">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投标总报价低于最高限价85%的，</w:t>
            </w:r>
            <w:r>
              <w:rPr>
                <w:rFonts w:hint="eastAsia" w:ascii="宋体" w:hAnsi="宋体" w:cs="宋体"/>
                <w:color w:val="000000"/>
                <w:kern w:val="0"/>
                <w:szCs w:val="21"/>
                <w:lang w:eastAsia="zh-CN" w:bidi="ar"/>
              </w:rPr>
              <w:t>报价人</w:t>
            </w:r>
            <w:r>
              <w:rPr>
                <w:rFonts w:hint="eastAsia" w:ascii="宋体" w:hAnsi="宋体" w:cs="宋体"/>
                <w:color w:val="000000"/>
                <w:kern w:val="0"/>
                <w:szCs w:val="21"/>
                <w:lang w:bidi="ar"/>
              </w:rPr>
              <w:t>应在编制投标文件时，在投标函部分中递交低价风险担保提交承诺书。</w:t>
            </w:r>
            <w:r>
              <w:rPr>
                <w:rFonts w:hint="eastAsia" w:ascii="宋体" w:hAnsi="宋体" w:cs="宋体"/>
                <w:color w:val="000000"/>
                <w:kern w:val="0"/>
                <w:szCs w:val="21"/>
                <w:lang w:val="en-US" w:eastAsia="zh-CN" w:bidi="ar"/>
              </w:rPr>
              <w:t>格式自拟。</w:t>
            </w:r>
          </w:p>
          <w:p w14:paraId="31212824">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64AC74D9">
            <w:pPr>
              <w:keepNext w:val="0"/>
              <w:keepLines w:val="0"/>
              <w:suppressLineNumbers w:val="0"/>
              <w:spacing w:before="0" w:beforeAutospacing="0" w:after="0" w:afterAutospacing="0" w:line="360" w:lineRule="auto"/>
              <w:ind w:left="0" w:right="0" w:firstLine="420" w:firstLineChars="200"/>
              <w:rPr>
                <w:rFonts w:hint="default" w:hAnsi="宋体"/>
                <w:color w:val="auto"/>
                <w:kern w:val="2"/>
                <w:sz w:val="21"/>
                <w:szCs w:val="21"/>
              </w:rPr>
            </w:pPr>
            <w:r>
              <w:rPr>
                <w:rFonts w:hint="eastAsia" w:hAnsi="宋体"/>
                <w:color w:val="auto"/>
                <w:kern w:val="2"/>
                <w:sz w:val="21"/>
                <w:szCs w:val="21"/>
                <w:lang w:val="en-US" w:eastAsia="zh-CN"/>
              </w:rPr>
              <w:t>四</w:t>
            </w:r>
            <w:r>
              <w:rPr>
                <w:rFonts w:hint="eastAsia" w:hAnsi="宋体"/>
                <w:color w:val="auto"/>
                <w:kern w:val="2"/>
                <w:sz w:val="21"/>
                <w:szCs w:val="21"/>
              </w:rPr>
              <w:t>、采购人指定的开户银行及账号如下：</w:t>
            </w:r>
          </w:p>
          <w:p w14:paraId="7687B670">
            <w:pPr>
              <w:pStyle w:val="149"/>
              <w:keepNext w:val="0"/>
              <w:keepLines w:val="0"/>
              <w:suppressLineNumbers w:val="0"/>
              <w:spacing w:before="0" w:beforeAutospacing="0" w:after="0" w:afterAutospacing="0" w:line="360" w:lineRule="auto"/>
              <w:ind w:left="0" w:right="0" w:firstLine="420" w:firstLineChars="200"/>
              <w:rPr>
                <w:rFonts w:hint="default" w:hAnsi="宋体"/>
                <w:color w:val="auto"/>
                <w:kern w:val="2"/>
                <w:sz w:val="21"/>
                <w:szCs w:val="21"/>
              </w:rPr>
            </w:pPr>
            <w:r>
              <w:rPr>
                <w:rFonts w:hint="eastAsia" w:hAnsi="宋体"/>
                <w:color w:val="auto"/>
                <w:kern w:val="2"/>
                <w:sz w:val="21"/>
                <w:szCs w:val="21"/>
              </w:rPr>
              <w:t>账户名称：重庆首讯科技股份有限公司</w:t>
            </w:r>
          </w:p>
          <w:p w14:paraId="726991C5">
            <w:pPr>
              <w:pStyle w:val="149"/>
              <w:keepNext w:val="0"/>
              <w:keepLines w:val="0"/>
              <w:suppressLineNumbers w:val="0"/>
              <w:spacing w:before="0" w:beforeAutospacing="0" w:after="0" w:afterAutospacing="0" w:line="360" w:lineRule="auto"/>
              <w:ind w:left="0" w:right="0" w:firstLine="420" w:firstLineChars="200"/>
              <w:rPr>
                <w:rFonts w:hint="default" w:hAnsi="宋体"/>
                <w:color w:val="auto"/>
                <w:kern w:val="2"/>
                <w:sz w:val="21"/>
                <w:szCs w:val="21"/>
              </w:rPr>
            </w:pPr>
            <w:r>
              <w:rPr>
                <w:rFonts w:hint="eastAsia" w:hAnsi="宋体"/>
                <w:color w:val="auto"/>
                <w:kern w:val="2"/>
                <w:sz w:val="21"/>
                <w:szCs w:val="21"/>
              </w:rPr>
              <w:t>开户银行：兴业银行重庆分行营业部</w:t>
            </w:r>
          </w:p>
          <w:p w14:paraId="321DF104">
            <w:pPr>
              <w:pStyle w:val="149"/>
              <w:keepNext w:val="0"/>
              <w:keepLines w:val="0"/>
              <w:suppressLineNumbers w:val="0"/>
              <w:spacing w:before="0" w:beforeAutospacing="0" w:after="0" w:afterAutospacing="0" w:line="360" w:lineRule="auto"/>
              <w:ind w:left="0" w:right="0" w:firstLine="420" w:firstLineChars="200"/>
              <w:rPr>
                <w:rFonts w:hint="eastAsia" w:hAnsi="宋体"/>
                <w:color w:val="auto"/>
                <w:kern w:val="2"/>
                <w:sz w:val="21"/>
                <w:szCs w:val="21"/>
              </w:rPr>
            </w:pPr>
            <w:r>
              <w:rPr>
                <w:rFonts w:hint="eastAsia" w:hAnsi="宋体"/>
                <w:color w:val="auto"/>
                <w:kern w:val="2"/>
                <w:sz w:val="21"/>
                <w:szCs w:val="21"/>
              </w:rPr>
              <w:t>帐    号：3460 1010 0100 4791 14</w:t>
            </w:r>
          </w:p>
          <w:p w14:paraId="07585F64">
            <w:pPr>
              <w:pStyle w:val="149"/>
              <w:keepNext w:val="0"/>
              <w:keepLines w:val="0"/>
              <w:suppressLineNumbers w:val="0"/>
              <w:spacing w:before="0" w:beforeAutospacing="0" w:after="0" w:afterAutospacing="0" w:line="360" w:lineRule="auto"/>
              <w:ind w:left="0" w:right="0" w:firstLine="422" w:firstLineChars="200"/>
              <w:rPr>
                <w:rFonts w:hint="default" w:hAnsi="宋体"/>
                <w:color w:val="auto"/>
                <w:kern w:val="2"/>
                <w:sz w:val="21"/>
                <w:szCs w:val="21"/>
              </w:rPr>
            </w:pPr>
            <w:r>
              <w:rPr>
                <w:rFonts w:hint="eastAsia" w:ascii="宋体" w:hAnsi="宋体" w:eastAsia="宋体" w:cs="宋体"/>
                <w:b/>
                <w:bCs/>
                <w:color w:val="auto"/>
                <w:sz w:val="21"/>
                <w:szCs w:val="18"/>
                <w:highlight w:val="none"/>
                <w:lang w:eastAsia="zh-CN"/>
              </w:rPr>
              <w:t>注：</w:t>
            </w:r>
            <w:r>
              <w:rPr>
                <w:rFonts w:hint="eastAsia" w:ascii="宋体" w:hAnsi="宋体" w:eastAsia="宋体" w:cs="宋体"/>
                <w:b/>
                <w:bCs/>
                <w:color w:val="auto"/>
                <w:sz w:val="21"/>
                <w:szCs w:val="18"/>
                <w:highlight w:val="none"/>
              </w:rPr>
              <w:t>根据</w:t>
            </w:r>
            <w:r>
              <w:rPr>
                <w:rFonts w:hint="eastAsia" w:ascii="宋体" w:hAnsi="宋体" w:eastAsia="宋体" w:cs="宋体"/>
                <w:b/>
                <w:bCs/>
                <w:color w:val="auto"/>
                <w:sz w:val="21"/>
                <w:szCs w:val="18"/>
                <w:highlight w:val="none"/>
                <w:lang w:eastAsia="zh-CN"/>
              </w:rPr>
              <w:t>采购人</w:t>
            </w:r>
            <w:r>
              <w:rPr>
                <w:rFonts w:hint="eastAsia" w:ascii="宋体" w:hAnsi="宋体" w:eastAsia="宋体" w:cs="宋体"/>
                <w:b/>
                <w:bCs/>
                <w:color w:val="auto"/>
                <w:sz w:val="21"/>
                <w:szCs w:val="18"/>
                <w:highlight w:val="none"/>
              </w:rPr>
              <w:t>《合格供方库管理办法》，符合免交投标</w:t>
            </w:r>
            <w:r>
              <w:rPr>
                <w:rFonts w:hint="eastAsia" w:ascii="宋体" w:hAnsi="宋体" w:eastAsia="宋体" w:cs="宋体"/>
                <w:b/>
                <w:bCs/>
                <w:color w:val="auto"/>
                <w:sz w:val="21"/>
                <w:szCs w:val="18"/>
                <w:highlight w:val="none"/>
                <w:lang w:eastAsia="zh-CN"/>
              </w:rPr>
              <w:t>保证金</w:t>
            </w:r>
            <w:r>
              <w:rPr>
                <w:rFonts w:hint="eastAsia" w:ascii="宋体" w:hAnsi="宋体" w:eastAsia="宋体" w:cs="宋体"/>
                <w:b/>
                <w:bCs/>
                <w:color w:val="auto"/>
                <w:sz w:val="21"/>
                <w:szCs w:val="18"/>
                <w:highlight w:val="none"/>
              </w:rPr>
              <w:t>及履约</w:t>
            </w:r>
            <w:r>
              <w:rPr>
                <w:rFonts w:hint="eastAsia" w:ascii="宋体" w:hAnsi="宋体" w:eastAsia="宋体" w:cs="宋体"/>
                <w:b/>
                <w:bCs/>
                <w:color w:val="auto"/>
                <w:sz w:val="21"/>
                <w:szCs w:val="18"/>
                <w:highlight w:val="none"/>
                <w:lang w:eastAsia="zh-CN"/>
              </w:rPr>
              <w:t>保证金</w:t>
            </w:r>
            <w:r>
              <w:rPr>
                <w:rFonts w:hint="eastAsia" w:ascii="宋体" w:hAnsi="宋体" w:eastAsia="宋体" w:cs="宋体"/>
                <w:b/>
                <w:bCs/>
                <w:color w:val="auto"/>
                <w:sz w:val="21"/>
                <w:szCs w:val="18"/>
                <w:highlight w:val="none"/>
              </w:rPr>
              <w:t>资格的</w:t>
            </w:r>
            <w:r>
              <w:rPr>
                <w:rFonts w:hint="eastAsia" w:ascii="宋体" w:hAnsi="宋体" w:eastAsia="宋体" w:cs="宋体"/>
                <w:b/>
                <w:bCs/>
                <w:color w:val="auto"/>
                <w:sz w:val="21"/>
                <w:szCs w:val="18"/>
                <w:highlight w:val="none"/>
                <w:lang w:eastAsia="zh-CN"/>
              </w:rPr>
              <w:t>报价人</w:t>
            </w:r>
            <w:r>
              <w:rPr>
                <w:rFonts w:hint="eastAsia" w:ascii="宋体" w:hAnsi="宋体" w:eastAsia="宋体" w:cs="宋体"/>
                <w:b/>
                <w:bCs/>
                <w:color w:val="auto"/>
                <w:sz w:val="21"/>
                <w:szCs w:val="18"/>
                <w:highlight w:val="none"/>
              </w:rPr>
              <w:t>，可提交经</w:t>
            </w:r>
            <w:r>
              <w:rPr>
                <w:rFonts w:hint="eastAsia" w:ascii="宋体" w:hAnsi="宋体" w:eastAsia="宋体" w:cs="宋体"/>
                <w:b/>
                <w:bCs/>
                <w:color w:val="auto"/>
                <w:sz w:val="21"/>
                <w:szCs w:val="18"/>
                <w:highlight w:val="none"/>
                <w:lang w:eastAsia="zh-CN"/>
              </w:rPr>
              <w:t>采购人</w:t>
            </w:r>
            <w:r>
              <w:rPr>
                <w:rFonts w:hint="eastAsia" w:ascii="宋体" w:hAnsi="宋体" w:eastAsia="宋体" w:cs="宋体"/>
                <w:b/>
                <w:bCs/>
                <w:color w:val="auto"/>
                <w:sz w:val="21"/>
                <w:szCs w:val="18"/>
                <w:highlight w:val="none"/>
              </w:rPr>
              <w:t>审批通过并加盖</w:t>
            </w:r>
            <w:r>
              <w:rPr>
                <w:rFonts w:hint="eastAsia" w:ascii="宋体" w:hAnsi="宋体" w:eastAsia="宋体" w:cs="宋体"/>
                <w:b/>
                <w:bCs/>
                <w:color w:val="auto"/>
                <w:sz w:val="21"/>
                <w:szCs w:val="18"/>
                <w:highlight w:val="none"/>
                <w:lang w:eastAsia="zh-CN"/>
              </w:rPr>
              <w:t>采购人</w:t>
            </w:r>
            <w:r>
              <w:rPr>
                <w:rFonts w:hint="eastAsia" w:ascii="宋体" w:hAnsi="宋体" w:eastAsia="宋体" w:cs="宋体"/>
                <w:b/>
                <w:bCs/>
                <w:color w:val="auto"/>
                <w:sz w:val="21"/>
                <w:szCs w:val="18"/>
                <w:highlight w:val="none"/>
              </w:rPr>
              <w:t>单位公章的《免交投标担保及履约担保审批表》代替相关</w:t>
            </w:r>
            <w:r>
              <w:rPr>
                <w:rFonts w:hint="eastAsia" w:ascii="宋体" w:hAnsi="宋体" w:eastAsia="宋体" w:cs="宋体"/>
                <w:b/>
                <w:bCs/>
                <w:color w:val="auto"/>
                <w:sz w:val="21"/>
                <w:szCs w:val="18"/>
                <w:highlight w:val="none"/>
                <w:lang w:eastAsia="zh-CN"/>
              </w:rPr>
              <w:t>投标（或履约）</w:t>
            </w:r>
            <w:r>
              <w:rPr>
                <w:rFonts w:hint="eastAsia" w:ascii="宋体" w:hAnsi="宋体" w:eastAsia="宋体" w:cs="宋体"/>
                <w:b/>
                <w:bCs/>
                <w:color w:val="auto"/>
                <w:sz w:val="21"/>
                <w:szCs w:val="18"/>
                <w:highlight w:val="none"/>
              </w:rPr>
              <w:t>保证金凭证。《免交投标担保及履约担保审批表》须在有效期内</w:t>
            </w:r>
            <w:r>
              <w:rPr>
                <w:rFonts w:hint="eastAsia" w:ascii="宋体" w:hAnsi="宋体" w:eastAsia="宋体" w:cs="宋体"/>
                <w:b/>
                <w:bCs/>
                <w:color w:val="auto"/>
                <w:sz w:val="21"/>
                <w:szCs w:val="18"/>
                <w:highlight w:val="none"/>
                <w:lang w:eastAsia="zh-CN"/>
              </w:rPr>
              <w:t>，资料复印件</w:t>
            </w:r>
            <w:r>
              <w:rPr>
                <w:rFonts w:hint="eastAsia" w:ascii="宋体" w:hAnsi="宋体" w:eastAsia="宋体" w:cs="宋体"/>
                <w:b/>
                <w:bCs/>
                <w:color w:val="auto"/>
                <w:sz w:val="21"/>
                <w:szCs w:val="18"/>
                <w:highlight w:val="none"/>
              </w:rPr>
              <w:t>加盖投标单位法人章并装入投标文件</w:t>
            </w:r>
            <w:r>
              <w:rPr>
                <w:rFonts w:hint="eastAsia" w:ascii="宋体" w:hAnsi="宋体" w:eastAsia="宋体" w:cs="宋体"/>
                <w:b/>
                <w:bCs/>
                <w:color w:val="auto"/>
                <w:sz w:val="21"/>
                <w:szCs w:val="18"/>
                <w:highlight w:val="none"/>
                <w:lang w:eastAsia="zh-CN"/>
              </w:rPr>
              <w:t>中。</w:t>
            </w:r>
          </w:p>
        </w:tc>
      </w:tr>
      <w:tr w14:paraId="7951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46" w:type="pct"/>
            <w:vAlign w:val="center"/>
          </w:tcPr>
          <w:p w14:paraId="75BD397E">
            <w:pPr>
              <w:pStyle w:val="149"/>
              <w:keepNext w:val="0"/>
              <w:keepLines w:val="0"/>
              <w:suppressLineNumbers w:val="0"/>
              <w:spacing w:before="0" w:beforeAutospacing="0" w:after="0" w:afterAutospacing="0" w:line="400" w:lineRule="exact"/>
              <w:ind w:left="0" w:right="0"/>
              <w:jc w:val="center"/>
              <w:rPr>
                <w:rFonts w:hint="default" w:hAnsi="宋体"/>
                <w:color w:val="auto"/>
                <w:sz w:val="21"/>
                <w:szCs w:val="21"/>
              </w:rPr>
            </w:pPr>
            <w:r>
              <w:rPr>
                <w:rFonts w:hint="eastAsia" w:hAnsi="宋体"/>
                <w:color w:val="auto"/>
                <w:sz w:val="21"/>
                <w:szCs w:val="21"/>
              </w:rPr>
              <w:t>21</w:t>
            </w:r>
          </w:p>
        </w:tc>
        <w:tc>
          <w:tcPr>
            <w:tcW w:w="2091" w:type="dxa"/>
            <w:vAlign w:val="center"/>
          </w:tcPr>
          <w:p w14:paraId="72BEAA18">
            <w:pPr>
              <w:pStyle w:val="149"/>
              <w:keepNext w:val="0"/>
              <w:keepLines w:val="0"/>
              <w:suppressLineNumbers w:val="0"/>
              <w:spacing w:before="0" w:beforeAutospacing="0" w:after="0" w:afterAutospacing="0" w:line="400" w:lineRule="exact"/>
              <w:ind w:left="0" w:leftChars="0" w:right="0" w:rightChars="0"/>
              <w:jc w:val="center"/>
              <w:rPr>
                <w:rFonts w:hint="default" w:hAnsi="宋体"/>
                <w:color w:val="auto"/>
                <w:sz w:val="21"/>
                <w:szCs w:val="21"/>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067" w:type="dxa"/>
            <w:vAlign w:val="center"/>
          </w:tcPr>
          <w:p w14:paraId="53DBE9E1">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以及excel格式报价清单（U盘1份，电子文件内容须包括竞争性比选响应文件全部内容）。当电子文件与纸质版竞争性比选响应文件不一致时，以纸质版竞争性比选响应文件为准，当正本与副本不一致时，以正本为准。</w:t>
            </w:r>
          </w:p>
          <w:p w14:paraId="067DBF94">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14:paraId="6494E74B">
            <w:pPr>
              <w:pStyle w:val="149"/>
              <w:keepNext w:val="0"/>
              <w:keepLines w:val="0"/>
              <w:suppressLineNumbers w:val="0"/>
              <w:spacing w:before="0" w:beforeAutospacing="0" w:after="0" w:afterAutospacing="0" w:line="400" w:lineRule="exact"/>
              <w:ind w:left="0" w:right="0"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14:paraId="1F9AE873">
            <w:pPr>
              <w:pStyle w:val="149"/>
              <w:keepNext w:val="0"/>
              <w:keepLines w:val="0"/>
              <w:suppressLineNumbers w:val="0"/>
              <w:spacing w:before="0" w:beforeAutospacing="0" w:after="0" w:afterAutospacing="0" w:line="400" w:lineRule="exact"/>
              <w:ind w:left="0" w:right="0" w:firstLine="420" w:firstLineChars="200"/>
              <w:rPr>
                <w:rFonts w:hint="default" w:hAnsi="宋体"/>
                <w:color w:val="auto"/>
                <w:sz w:val="21"/>
                <w:szCs w:val="21"/>
              </w:rPr>
            </w:pPr>
            <w:r>
              <w:rPr>
                <w:rFonts w:hint="eastAsia" w:hAnsi="宋体"/>
                <w:color w:val="auto"/>
                <w:kern w:val="2"/>
                <w:sz w:val="21"/>
                <w:szCs w:val="21"/>
                <w:highlight w:val="none"/>
                <w:lang w:val="en-US" w:eastAsia="zh-CN"/>
              </w:rPr>
              <w:t>竞争性比选响应文件密封到一个封袋中，在封套上写明：巫溪至开州高速公路项目机电工程（开州段）高压外电接入施工专项分包竞争性比选响应文件（加盖报价人的公章）。</w:t>
            </w:r>
          </w:p>
        </w:tc>
      </w:tr>
      <w:tr w14:paraId="043E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46" w:type="pct"/>
            <w:vAlign w:val="center"/>
          </w:tcPr>
          <w:p w14:paraId="7031A0A9">
            <w:pPr>
              <w:pStyle w:val="149"/>
              <w:keepNext w:val="0"/>
              <w:keepLines w:val="0"/>
              <w:suppressLineNumbers w:val="0"/>
              <w:spacing w:before="0" w:beforeAutospacing="0" w:after="0" w:afterAutospacing="0" w:line="400" w:lineRule="exact"/>
              <w:ind w:left="0" w:right="0" w:firstLine="0" w:firstLineChars="0"/>
              <w:jc w:val="center"/>
              <w:rPr>
                <w:rFonts w:hint="eastAsia" w:hAnsi="宋体" w:eastAsia="宋体"/>
                <w:color w:val="auto"/>
                <w:kern w:val="2"/>
                <w:sz w:val="21"/>
                <w:szCs w:val="21"/>
                <w:lang w:eastAsia="zh-CN"/>
              </w:rPr>
            </w:pPr>
            <w:r>
              <w:rPr>
                <w:rFonts w:hint="eastAsia" w:hAnsi="宋体"/>
                <w:color w:val="auto"/>
                <w:kern w:val="2"/>
                <w:sz w:val="21"/>
                <w:szCs w:val="21"/>
              </w:rPr>
              <w:t>2</w:t>
            </w:r>
            <w:r>
              <w:rPr>
                <w:rFonts w:hint="eastAsia" w:hAnsi="宋体"/>
                <w:color w:val="auto"/>
                <w:kern w:val="2"/>
                <w:sz w:val="21"/>
                <w:szCs w:val="21"/>
                <w:lang w:val="en-US" w:eastAsia="zh-CN"/>
              </w:rPr>
              <w:t>2</w:t>
            </w:r>
          </w:p>
        </w:tc>
        <w:tc>
          <w:tcPr>
            <w:tcW w:w="1062" w:type="pct"/>
            <w:vAlign w:val="center"/>
          </w:tcPr>
          <w:p w14:paraId="109C139B">
            <w:pPr>
              <w:pStyle w:val="149"/>
              <w:keepNext w:val="0"/>
              <w:keepLines w:val="0"/>
              <w:suppressLineNumbers w:val="0"/>
              <w:spacing w:before="0" w:beforeAutospacing="0" w:after="0" w:afterAutospacing="0" w:line="400" w:lineRule="exact"/>
              <w:ind w:left="0" w:right="0" w:firstLine="0" w:firstLineChars="0"/>
              <w:jc w:val="both"/>
              <w:rPr>
                <w:rFonts w:hint="default" w:hAnsi="宋体"/>
                <w:color w:val="auto"/>
                <w:kern w:val="2"/>
                <w:sz w:val="21"/>
                <w:szCs w:val="21"/>
              </w:rPr>
            </w:pPr>
            <w:r>
              <w:rPr>
                <w:rFonts w:hint="default" w:hAnsi="宋体"/>
                <w:b/>
                <w:bCs/>
                <w:szCs w:val="21"/>
              </w:rPr>
              <w:t>需要补充的其他内容</w:t>
            </w:r>
          </w:p>
        </w:tc>
        <w:tc>
          <w:tcPr>
            <w:tcW w:w="3590" w:type="pct"/>
            <w:vAlign w:val="center"/>
          </w:tcPr>
          <w:p w14:paraId="025A80FB">
            <w:pPr>
              <w:pStyle w:val="149"/>
              <w:keepNext w:val="0"/>
              <w:keepLines w:val="0"/>
              <w:suppressLineNumbers w:val="0"/>
              <w:spacing w:before="0" w:beforeAutospacing="0" w:after="0" w:afterAutospacing="0" w:line="400" w:lineRule="exact"/>
              <w:ind w:left="0" w:right="0" w:firstLine="482" w:firstLineChars="200"/>
              <w:jc w:val="center"/>
              <w:rPr>
                <w:rFonts w:hint="default" w:hAnsi="宋体"/>
                <w:b/>
                <w:bCs/>
                <w:szCs w:val="21"/>
              </w:rPr>
            </w:pPr>
          </w:p>
        </w:tc>
      </w:tr>
      <w:tr w14:paraId="424A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3" w:type="dxa"/>
            <w:vAlign w:val="center"/>
          </w:tcPr>
          <w:p w14:paraId="576FB854">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rPr>
            </w:pPr>
            <w:r>
              <w:rPr>
                <w:rFonts w:hint="eastAsia" w:hAnsi="宋体" w:cs="宋体"/>
                <w:color w:val="auto"/>
                <w:sz w:val="21"/>
                <w:szCs w:val="21"/>
                <w:highlight w:val="none"/>
                <w:lang w:val="en-US" w:eastAsia="zh-CN" w:bidi="ar-SA"/>
              </w:rPr>
              <w:t>22</w:t>
            </w:r>
          </w:p>
        </w:tc>
        <w:tc>
          <w:tcPr>
            <w:tcW w:w="2091" w:type="dxa"/>
            <w:vAlign w:val="center"/>
          </w:tcPr>
          <w:p w14:paraId="6C6B71E7">
            <w:pPr>
              <w:keepNext w:val="0"/>
              <w:keepLines w:val="0"/>
              <w:suppressLineNumbers w:val="0"/>
              <w:spacing w:before="0" w:beforeAutospacing="0" w:after="0" w:afterAutospacing="0" w:line="400" w:lineRule="exact"/>
              <w:ind w:left="0" w:leftChars="0" w:right="0" w:rightChars="0"/>
              <w:jc w:val="center"/>
              <w:rPr>
                <w:rFonts w:hint="default" w:hAnsi="宋体"/>
                <w:b/>
                <w:bCs/>
                <w:szCs w:val="21"/>
              </w:rPr>
            </w:pPr>
            <w:r>
              <w:rPr>
                <w:rFonts w:hint="eastAsia"/>
              </w:rPr>
              <w:t>中标候选人公示</w:t>
            </w:r>
          </w:p>
        </w:tc>
        <w:tc>
          <w:tcPr>
            <w:tcW w:w="7067" w:type="dxa"/>
            <w:vAlign w:val="center"/>
          </w:tcPr>
          <w:p w14:paraId="60915DAA">
            <w:pPr>
              <w:keepNext w:val="0"/>
              <w:keepLines w:val="0"/>
              <w:suppressLineNumbers w:val="0"/>
              <w:spacing w:before="0" w:beforeAutospacing="0" w:after="0" w:afterAutospacing="0" w:line="400" w:lineRule="exact"/>
              <w:ind w:left="0" w:right="0" w:firstLine="420" w:firstLineChars="200"/>
              <w:rPr>
                <w:rFonts w:hint="default" w:hAnsi="宋体"/>
                <w:b/>
                <w:bCs/>
                <w:szCs w:val="21"/>
              </w:rPr>
            </w:pPr>
            <w:r>
              <w:rPr>
                <w:rFonts w:hint="eastAsia"/>
              </w:rPr>
              <w:t>评标结果将在重庆高速集团官网（http://www.cegc.com.cn）上进行公示，公示期为3日。公示内容包括中标候选人名称、排序、投标报价；提出异议、投诉的渠道和方式。</w:t>
            </w:r>
          </w:p>
        </w:tc>
      </w:tr>
      <w:tr w14:paraId="55D7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3" w:type="dxa"/>
            <w:vAlign w:val="center"/>
          </w:tcPr>
          <w:p w14:paraId="1EDC3ACB">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rPr>
            </w:pPr>
            <w:r>
              <w:rPr>
                <w:rFonts w:hint="eastAsia" w:hAnsi="宋体" w:cs="宋体"/>
                <w:color w:val="auto"/>
                <w:sz w:val="21"/>
                <w:szCs w:val="21"/>
                <w:highlight w:val="none"/>
                <w:lang w:val="en-US" w:eastAsia="zh-CN" w:bidi="ar-SA"/>
              </w:rPr>
              <w:t>23</w:t>
            </w:r>
          </w:p>
        </w:tc>
        <w:tc>
          <w:tcPr>
            <w:tcW w:w="2091" w:type="dxa"/>
            <w:vAlign w:val="center"/>
          </w:tcPr>
          <w:p w14:paraId="68D81AAE">
            <w:pPr>
              <w:pStyle w:val="149"/>
              <w:keepNext w:val="0"/>
              <w:keepLines w:val="0"/>
              <w:suppressLineNumbers w:val="0"/>
              <w:spacing w:before="0" w:beforeAutospacing="0" w:after="0" w:afterAutospacing="0" w:line="400" w:lineRule="exact"/>
              <w:ind w:left="0" w:right="0"/>
              <w:jc w:val="center"/>
              <w:rPr>
                <w:rFonts w:hint="default" w:hAnsi="宋体"/>
                <w:b/>
                <w:bCs/>
                <w:szCs w:val="21"/>
              </w:rPr>
            </w:pPr>
            <w:r>
              <w:rPr>
                <w:rFonts w:hint="eastAsia" w:hAnsi="宋体"/>
                <w:color w:val="auto"/>
                <w:kern w:val="2"/>
                <w:sz w:val="21"/>
                <w:szCs w:val="21"/>
                <w:highlight w:val="none"/>
              </w:rPr>
              <w:t>监督部门</w:t>
            </w:r>
          </w:p>
        </w:tc>
        <w:tc>
          <w:tcPr>
            <w:tcW w:w="7067" w:type="dxa"/>
            <w:vAlign w:val="center"/>
          </w:tcPr>
          <w:p w14:paraId="0665807E">
            <w:pPr>
              <w:pStyle w:val="149"/>
              <w:keepNext w:val="0"/>
              <w:keepLines w:val="0"/>
              <w:suppressLineNumbers w:val="0"/>
              <w:spacing w:before="0" w:beforeAutospacing="0" w:after="0" w:afterAutospacing="0" w:line="400" w:lineRule="exact"/>
              <w:ind w:left="0" w:right="0"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14:paraId="4F7A6B4C">
            <w:pPr>
              <w:pStyle w:val="149"/>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highlight w:val="none"/>
                <w:lang w:val="en-US"/>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重庆市南岸区新南路52号重庆首讯科技有限公司</w:t>
            </w:r>
          </w:p>
          <w:p w14:paraId="400D7EE1">
            <w:pPr>
              <w:pStyle w:val="149"/>
              <w:keepNext w:val="0"/>
              <w:keepLines w:val="0"/>
              <w:suppressLineNumbers w:val="0"/>
              <w:spacing w:before="0" w:beforeAutospacing="0" w:after="0" w:afterAutospacing="0" w:line="400" w:lineRule="exact"/>
              <w:ind w:left="0" w:right="0" w:firstLine="420" w:firstLineChars="200"/>
              <w:rPr>
                <w:rFonts w:hint="default" w:hAnsi="宋体"/>
                <w:b/>
                <w:bCs/>
                <w:szCs w:val="21"/>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14:paraId="6E66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46" w:type="pct"/>
            <w:vAlign w:val="center"/>
          </w:tcPr>
          <w:p w14:paraId="79373588">
            <w:pPr>
              <w:pStyle w:val="149"/>
              <w:keepNext w:val="0"/>
              <w:keepLines w:val="0"/>
              <w:suppressLineNumbers w:val="0"/>
              <w:spacing w:before="0" w:beforeAutospacing="0" w:after="0" w:afterAutospacing="0" w:line="400" w:lineRule="exact"/>
              <w:ind w:left="0" w:leftChars="0" w:right="0" w:rightChars="0"/>
              <w:jc w:val="center"/>
              <w:rPr>
                <w:rFonts w:hint="default"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4</w:t>
            </w:r>
          </w:p>
        </w:tc>
        <w:tc>
          <w:tcPr>
            <w:tcW w:w="4653" w:type="pct"/>
            <w:gridSpan w:val="2"/>
            <w:vAlign w:val="center"/>
          </w:tcPr>
          <w:p w14:paraId="3403203E">
            <w:pPr>
              <w:pStyle w:val="149"/>
              <w:keepNext w:val="0"/>
              <w:keepLines w:val="0"/>
              <w:suppressLineNumbers w:val="0"/>
              <w:spacing w:before="0" w:beforeAutospacing="0" w:after="0" w:afterAutospacing="0" w:line="400" w:lineRule="exact"/>
              <w:ind w:left="0" w:leftChars="0" w:right="0" w:rightChars="0" w:firstLine="482" w:firstLineChars="200"/>
              <w:jc w:val="center"/>
              <w:rPr>
                <w:rFonts w:hint="default" w:hAnsi="宋体"/>
                <w:b/>
                <w:bCs/>
                <w:szCs w:val="21"/>
              </w:rPr>
            </w:pPr>
            <w:r>
              <w:rPr>
                <w:rFonts w:hint="default" w:hAnsi="宋体"/>
                <w:b/>
                <w:bCs/>
                <w:szCs w:val="21"/>
              </w:rPr>
              <w:t>需要补充的其他内容</w:t>
            </w:r>
          </w:p>
        </w:tc>
      </w:tr>
      <w:tr w14:paraId="20EB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46" w:type="pct"/>
            <w:vAlign w:val="center"/>
          </w:tcPr>
          <w:p w14:paraId="7A7A9DA4">
            <w:pPr>
              <w:pStyle w:val="149"/>
              <w:keepNext w:val="0"/>
              <w:keepLines w:val="0"/>
              <w:suppressLineNumbers w:val="0"/>
              <w:spacing w:before="0" w:beforeAutospacing="0" w:after="0" w:afterAutospacing="0" w:line="400" w:lineRule="exact"/>
              <w:ind w:left="0" w:leftChars="0" w:right="0" w:rightChars="0"/>
              <w:jc w:val="center"/>
              <w:rPr>
                <w:rFonts w:hint="default" w:hAnsi="宋体" w:eastAsia="宋体"/>
                <w:color w:val="auto"/>
                <w:kern w:val="2"/>
                <w:sz w:val="21"/>
                <w:szCs w:val="21"/>
                <w:lang w:val="en-US" w:eastAsia="zh-CN"/>
              </w:rPr>
            </w:pPr>
            <w:r>
              <w:rPr>
                <w:rFonts w:hint="eastAsia" w:hAnsi="宋体"/>
                <w:color w:val="auto"/>
                <w:kern w:val="2"/>
                <w:sz w:val="21"/>
                <w:szCs w:val="21"/>
              </w:rPr>
              <w:t>2</w:t>
            </w:r>
            <w:r>
              <w:rPr>
                <w:rFonts w:hint="eastAsia" w:hAnsi="宋体"/>
                <w:color w:val="auto"/>
                <w:kern w:val="2"/>
                <w:sz w:val="21"/>
                <w:szCs w:val="21"/>
                <w:lang w:val="en-US" w:eastAsia="zh-CN"/>
              </w:rPr>
              <w:t>4</w:t>
            </w:r>
            <w:r>
              <w:rPr>
                <w:rFonts w:hint="eastAsia" w:hAnsi="宋体"/>
                <w:color w:val="auto"/>
                <w:kern w:val="2"/>
                <w:sz w:val="21"/>
                <w:szCs w:val="21"/>
              </w:rPr>
              <w:t>.1</w:t>
            </w:r>
          </w:p>
        </w:tc>
        <w:tc>
          <w:tcPr>
            <w:tcW w:w="4653" w:type="pct"/>
            <w:gridSpan w:val="2"/>
            <w:vAlign w:val="center"/>
          </w:tcPr>
          <w:p w14:paraId="5B027740">
            <w:pPr>
              <w:pStyle w:val="149"/>
              <w:keepNext w:val="0"/>
              <w:keepLines w:val="0"/>
              <w:suppressLineNumbers w:val="0"/>
              <w:spacing w:before="0" w:beforeAutospacing="0" w:after="0" w:afterAutospacing="0" w:line="400" w:lineRule="exact"/>
              <w:ind w:left="0" w:leftChars="0" w:right="0" w:rightChars="0" w:firstLine="420" w:firstLineChars="200"/>
              <w:rPr>
                <w:rFonts w:hint="eastAsia" w:hAnsi="宋体"/>
                <w:sz w:val="21"/>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w:t>
            </w:r>
            <w:r>
              <w:rPr>
                <w:rFonts w:hint="default" w:hAnsi="宋体"/>
                <w:sz w:val="21"/>
                <w:szCs w:val="21"/>
              </w:rPr>
              <w:t>候选</w:t>
            </w:r>
            <w:r>
              <w:rPr>
                <w:rFonts w:hint="eastAsia" w:hAnsi="宋体"/>
                <w:sz w:val="21"/>
                <w:szCs w:val="21"/>
              </w:rPr>
              <w:t>人。</w:t>
            </w:r>
          </w:p>
        </w:tc>
      </w:tr>
      <w:tr w14:paraId="182C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46" w:type="pct"/>
            <w:vAlign w:val="center"/>
          </w:tcPr>
          <w:p w14:paraId="771BB393">
            <w:pPr>
              <w:pStyle w:val="149"/>
              <w:keepNext w:val="0"/>
              <w:keepLines w:val="0"/>
              <w:suppressLineNumbers w:val="0"/>
              <w:spacing w:before="0" w:beforeAutospacing="0" w:after="0" w:afterAutospacing="0" w:line="400" w:lineRule="exact"/>
              <w:ind w:left="0" w:leftChars="0" w:right="0" w:rightChars="0"/>
              <w:jc w:val="center"/>
              <w:rPr>
                <w:rFonts w:hint="default" w:hAnsi="宋体"/>
                <w:color w:val="auto"/>
                <w:kern w:val="2"/>
                <w:sz w:val="21"/>
                <w:szCs w:val="21"/>
                <w:lang w:val="en-US" w:eastAsia="zh-CN"/>
              </w:rPr>
            </w:pPr>
            <w:r>
              <w:rPr>
                <w:rFonts w:hint="eastAsia" w:hAnsi="宋体"/>
                <w:color w:val="auto"/>
                <w:kern w:val="2"/>
                <w:sz w:val="21"/>
                <w:szCs w:val="21"/>
                <w:lang w:val="en-US" w:eastAsia="zh-CN"/>
              </w:rPr>
              <w:t>24.2</w:t>
            </w:r>
          </w:p>
        </w:tc>
        <w:tc>
          <w:tcPr>
            <w:tcW w:w="4653" w:type="pct"/>
            <w:gridSpan w:val="2"/>
            <w:vAlign w:val="center"/>
          </w:tcPr>
          <w:p w14:paraId="23FBBF8F">
            <w:pPr>
              <w:pStyle w:val="149"/>
              <w:keepNext w:val="0"/>
              <w:keepLines w:val="0"/>
              <w:suppressLineNumbers w:val="0"/>
              <w:spacing w:before="0" w:beforeAutospacing="0" w:after="0" w:afterAutospacing="0" w:line="400" w:lineRule="exact"/>
              <w:ind w:left="0" w:leftChars="0" w:right="0" w:rightChars="0" w:firstLine="420" w:firstLineChars="200"/>
              <w:rPr>
                <w:rFonts w:hint="eastAsia" w:hAnsi="宋体"/>
                <w:sz w:val="21"/>
                <w:szCs w:val="21"/>
                <w:lang w:eastAsia="zh-CN"/>
              </w:rPr>
            </w:pPr>
            <w:r>
              <w:rPr>
                <w:rFonts w:hint="eastAsia" w:hAnsi="宋体"/>
                <w:sz w:val="21"/>
                <w:szCs w:val="21"/>
                <w:lang w:eastAsia="zh-CN"/>
              </w:rPr>
              <w:t>报价人</w:t>
            </w:r>
            <w:r>
              <w:rPr>
                <w:rFonts w:hint="eastAsia" w:hAnsi="宋体"/>
                <w:sz w:val="21"/>
                <w:szCs w:val="21"/>
              </w:rPr>
              <w:t>的各项报价不得为负数。</w:t>
            </w:r>
            <w:r>
              <w:rPr>
                <w:rFonts w:hint="eastAsia" w:hAnsi="宋体"/>
                <w:sz w:val="21"/>
                <w:szCs w:val="21"/>
                <w:lang w:eastAsia="zh-CN"/>
              </w:rPr>
              <w:t>采购人</w:t>
            </w:r>
            <w:r>
              <w:rPr>
                <w:rFonts w:hint="eastAsia" w:hAnsi="宋体"/>
                <w:sz w:val="21"/>
                <w:szCs w:val="21"/>
              </w:rPr>
              <w:t>在发出中标通知书前将对中标人的各项报价进行复核，若发现中标人各项报价中存在负数报价的情形，</w:t>
            </w:r>
            <w:r>
              <w:rPr>
                <w:rFonts w:hint="eastAsia" w:hAnsi="宋体"/>
                <w:sz w:val="21"/>
                <w:szCs w:val="21"/>
                <w:lang w:eastAsia="zh-CN"/>
              </w:rPr>
              <w:t>采购人</w:t>
            </w:r>
            <w:r>
              <w:rPr>
                <w:rFonts w:hint="eastAsia" w:hAnsi="宋体"/>
                <w:sz w:val="21"/>
                <w:szCs w:val="21"/>
              </w:rPr>
              <w:t>按相关规定取消其中标资格，其投标保证金不予退还，中标人承担因此造成的相关责任并赔偿相应损失。</w:t>
            </w:r>
          </w:p>
        </w:tc>
      </w:tr>
      <w:tr w14:paraId="042D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46" w:type="pct"/>
            <w:vAlign w:val="center"/>
          </w:tcPr>
          <w:p w14:paraId="58E0DE9E">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lang w:val="en-US" w:eastAsia="zh-CN"/>
              </w:rPr>
            </w:pPr>
          </w:p>
        </w:tc>
        <w:tc>
          <w:tcPr>
            <w:tcW w:w="4653" w:type="pct"/>
            <w:gridSpan w:val="2"/>
            <w:vAlign w:val="center"/>
          </w:tcPr>
          <w:p w14:paraId="600AEDFC">
            <w:pPr>
              <w:pStyle w:val="149"/>
              <w:keepNext w:val="0"/>
              <w:keepLines w:val="0"/>
              <w:suppressLineNumbers w:val="0"/>
              <w:spacing w:before="0" w:beforeAutospacing="0" w:after="0" w:afterAutospacing="0" w:line="400" w:lineRule="exact"/>
              <w:ind w:left="0" w:right="0" w:firstLine="420" w:firstLineChars="200"/>
              <w:rPr>
                <w:rFonts w:hint="eastAsia" w:hAnsi="宋体"/>
                <w:sz w:val="21"/>
                <w:szCs w:val="21"/>
                <w:lang w:eastAsia="zh-CN"/>
              </w:rPr>
            </w:pPr>
          </w:p>
        </w:tc>
      </w:tr>
      <w:bookmarkEnd w:id="107"/>
    </w:tbl>
    <w:p w14:paraId="25E031BB">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14:paraId="0A94B659">
      <w:pPr>
        <w:pStyle w:val="4"/>
        <w:jc w:val="center"/>
        <w:rPr>
          <w:rFonts w:ascii="宋体" w:hAnsi="宋体" w:eastAsia="宋体" w:cs="宋体"/>
          <w:bCs w:val="0"/>
          <w:sz w:val="28"/>
          <w:szCs w:val="28"/>
        </w:rPr>
      </w:pPr>
      <w:bookmarkStart w:id="109" w:name="_Toc11329222"/>
      <w:bookmarkStart w:id="110" w:name="_Toc30198"/>
      <w:bookmarkStart w:id="111" w:name="_Toc11284"/>
      <w:bookmarkStart w:id="112" w:name="_Toc17532"/>
      <w:bookmarkStart w:id="113" w:name="_Toc28820"/>
      <w:bookmarkStart w:id="114" w:name="_Toc32070"/>
      <w:r>
        <w:rPr>
          <w:rFonts w:hint="eastAsia" w:ascii="宋体" w:hAnsi="宋体" w:eastAsia="宋体" w:cs="宋体"/>
          <w:sz w:val="28"/>
          <w:szCs w:val="28"/>
        </w:rPr>
        <w:t xml:space="preserve">附录1  </w:t>
      </w:r>
      <w:bookmarkEnd w:id="109"/>
      <w:bookmarkEnd w:id="110"/>
      <w:bookmarkEnd w:id="111"/>
      <w:bookmarkEnd w:id="112"/>
      <w:bookmarkStart w:id="115" w:name="_Toc27096"/>
      <w:bookmarkStart w:id="116" w:name="_Toc11329226"/>
      <w:bookmarkStart w:id="117" w:name="_Toc12773"/>
      <w:bookmarkStart w:id="118" w:name="_Toc25591"/>
      <w:r>
        <w:rPr>
          <w:rFonts w:hint="eastAsia" w:ascii="宋体" w:hAnsi="宋体" w:eastAsia="宋体" w:cs="宋体"/>
          <w:bCs w:val="0"/>
          <w:sz w:val="28"/>
          <w:szCs w:val="28"/>
        </w:rPr>
        <w:t>资格审查文件（项目主要管理人员最低要求）</w:t>
      </w:r>
      <w:bookmarkEnd w:id="113"/>
      <w:bookmarkEnd w:id="114"/>
      <w:bookmarkEnd w:id="115"/>
      <w:bookmarkEnd w:id="116"/>
      <w:bookmarkEnd w:id="117"/>
      <w:bookmarkEnd w:id="118"/>
    </w:p>
    <w:p w14:paraId="42AFF52D">
      <w:pPr>
        <w:spacing w:line="400" w:lineRule="exact"/>
        <w:jc w:val="center"/>
      </w:pPr>
      <w:r>
        <w:rPr>
          <w:rFonts w:hint="eastAsia" w:ascii="宋体" w:hAnsi="宋体" w:cs="宋体"/>
          <w:b/>
          <w:szCs w:val="21"/>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14:paraId="5635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59B30A4">
            <w:pPr>
              <w:keepNext w:val="0"/>
              <w:keepLines w:val="0"/>
              <w:suppressLineNumbers w:val="0"/>
              <w:spacing w:before="0" w:beforeAutospacing="0" w:after="0" w:afterAutospacing="0" w:line="400" w:lineRule="exact"/>
              <w:ind w:left="0" w:right="0"/>
              <w:jc w:val="center"/>
              <w:rPr>
                <w:rFonts w:hint="default" w:ascii="宋体" w:hAnsi="宋体" w:cs="宋体"/>
                <w:szCs w:val="21"/>
              </w:rPr>
            </w:pPr>
            <w:bookmarkStart w:id="119" w:name="_Toc388534043"/>
            <w:bookmarkStart w:id="120" w:name="_Toc387234996"/>
            <w:r>
              <w:rPr>
                <w:rFonts w:hint="eastAsia" w:ascii="宋体" w:hAnsi="宋体" w:cs="宋体"/>
                <w:szCs w:val="21"/>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14:paraId="4881785E">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14:paraId="05BB9F71">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lang w:bidi="ar"/>
              </w:rPr>
              <w:t>数量</w:t>
            </w:r>
          </w:p>
        </w:tc>
        <w:tc>
          <w:tcPr>
            <w:tcW w:w="6784" w:type="dxa"/>
            <w:tcBorders>
              <w:top w:val="single" w:color="auto" w:sz="4" w:space="0"/>
              <w:left w:val="nil"/>
              <w:bottom w:val="single" w:color="auto" w:sz="4" w:space="0"/>
              <w:right w:val="single" w:color="auto" w:sz="4" w:space="0"/>
            </w:tcBorders>
            <w:shd w:val="clear" w:color="auto" w:fill="auto"/>
            <w:vAlign w:val="center"/>
          </w:tcPr>
          <w:p w14:paraId="45BEE86F">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lang w:bidi="ar"/>
              </w:rPr>
              <w:t>资格要求</w:t>
            </w:r>
          </w:p>
        </w:tc>
      </w:tr>
      <w:tr w14:paraId="07C3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E2F2A28">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14:paraId="4ADA4531">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lang w:bidi="ar"/>
              </w:rPr>
              <w:t>项目经理</w:t>
            </w:r>
          </w:p>
        </w:tc>
        <w:tc>
          <w:tcPr>
            <w:tcW w:w="733" w:type="dxa"/>
            <w:tcBorders>
              <w:top w:val="single" w:color="auto" w:sz="4" w:space="0"/>
              <w:left w:val="nil"/>
              <w:bottom w:val="single" w:color="auto" w:sz="4" w:space="0"/>
              <w:right w:val="single" w:color="auto" w:sz="4" w:space="0"/>
            </w:tcBorders>
            <w:shd w:val="clear" w:color="auto" w:fill="auto"/>
            <w:vAlign w:val="center"/>
          </w:tcPr>
          <w:p w14:paraId="22F0A035">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lang w:bidi="ar"/>
              </w:rPr>
              <w:t>1</w:t>
            </w:r>
          </w:p>
        </w:tc>
        <w:tc>
          <w:tcPr>
            <w:tcW w:w="6784" w:type="dxa"/>
            <w:tcBorders>
              <w:top w:val="single" w:color="auto" w:sz="4" w:space="0"/>
              <w:left w:val="nil"/>
              <w:bottom w:val="single" w:color="auto" w:sz="4" w:space="0"/>
              <w:right w:val="single" w:color="auto" w:sz="4" w:space="0"/>
            </w:tcBorders>
            <w:shd w:val="clear" w:color="auto" w:fill="auto"/>
            <w:vAlign w:val="center"/>
          </w:tcPr>
          <w:p w14:paraId="44B9CF58">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default" w:ascii="宋体" w:hAnsi="宋体" w:cs="宋体"/>
                <w:color w:val="000000"/>
                <w:kern w:val="0"/>
                <w:szCs w:val="21"/>
              </w:rPr>
              <w:t>①具有注册二级建造师（机电工程）；②持有有效的省级交通运输主管部门或建设主管部门颁发的安全生产考核合格证B证；③担任过1个10kv及以上高压外线工程施工项目的项目经理。</w:t>
            </w:r>
          </w:p>
        </w:tc>
      </w:tr>
      <w:tr w14:paraId="51B9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BA03C9C">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default" w:ascii="宋体" w:hAnsi="宋体" w:cs="宋体"/>
                <w:szCs w:val="21"/>
              </w:rPr>
              <w:t>2</w:t>
            </w:r>
          </w:p>
        </w:tc>
        <w:tc>
          <w:tcPr>
            <w:tcW w:w="1465" w:type="dxa"/>
            <w:tcBorders>
              <w:top w:val="single" w:color="auto" w:sz="4" w:space="0"/>
              <w:left w:val="nil"/>
              <w:bottom w:val="single" w:color="auto" w:sz="4" w:space="0"/>
              <w:right w:val="single" w:color="auto" w:sz="4" w:space="0"/>
            </w:tcBorders>
            <w:shd w:val="clear" w:color="auto" w:fill="auto"/>
            <w:vAlign w:val="center"/>
          </w:tcPr>
          <w:p w14:paraId="23DCA443">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default" w:ascii="宋体" w:hAnsi="宋体" w:cs="宋体"/>
                <w:szCs w:val="21"/>
              </w:rPr>
              <w:t>项目总工</w:t>
            </w:r>
          </w:p>
        </w:tc>
        <w:tc>
          <w:tcPr>
            <w:tcW w:w="733" w:type="dxa"/>
            <w:tcBorders>
              <w:top w:val="single" w:color="auto" w:sz="4" w:space="0"/>
              <w:left w:val="nil"/>
              <w:bottom w:val="single" w:color="auto" w:sz="4" w:space="0"/>
              <w:right w:val="single" w:color="auto" w:sz="4" w:space="0"/>
            </w:tcBorders>
            <w:shd w:val="clear" w:color="auto" w:fill="auto"/>
            <w:vAlign w:val="center"/>
          </w:tcPr>
          <w:p w14:paraId="3564271C">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default" w:ascii="宋体" w:hAnsi="宋体" w:cs="宋体"/>
                <w:szCs w:val="21"/>
              </w:rPr>
              <w:t>1</w:t>
            </w:r>
          </w:p>
        </w:tc>
        <w:tc>
          <w:tcPr>
            <w:tcW w:w="6784" w:type="dxa"/>
            <w:tcBorders>
              <w:top w:val="single" w:color="auto" w:sz="4" w:space="0"/>
              <w:left w:val="nil"/>
              <w:bottom w:val="single" w:color="auto" w:sz="4" w:space="0"/>
              <w:right w:val="single" w:color="auto" w:sz="4" w:space="0"/>
            </w:tcBorders>
            <w:shd w:val="clear" w:color="auto" w:fill="auto"/>
            <w:vAlign w:val="center"/>
          </w:tcPr>
          <w:p w14:paraId="6C24B8B2">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lang w:bidi="ar"/>
              </w:rPr>
              <w:t>①中级工程师职称；②担任过1个10kv及以上高压外线工程施工项目的项目总工或项目经理。。</w:t>
            </w:r>
          </w:p>
        </w:tc>
      </w:tr>
      <w:tr w14:paraId="592A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0C896CE">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kern w:val="2"/>
                <w:sz w:val="21"/>
                <w:szCs w:val="21"/>
                <w:lang w:val="en-US" w:eastAsia="zh-CN" w:bidi="ar-SA"/>
              </w:rPr>
            </w:pPr>
            <w:r>
              <w:rPr>
                <w:rFonts w:hint="default" w:ascii="宋体" w:hAnsi="宋体" w:cs="宋体"/>
                <w:szCs w:val="21"/>
              </w:rPr>
              <w:t>2</w:t>
            </w:r>
          </w:p>
        </w:tc>
        <w:tc>
          <w:tcPr>
            <w:tcW w:w="1465" w:type="dxa"/>
            <w:tcBorders>
              <w:top w:val="single" w:color="auto" w:sz="4" w:space="0"/>
              <w:left w:val="nil"/>
              <w:bottom w:val="single" w:color="auto" w:sz="4" w:space="0"/>
              <w:right w:val="single" w:color="auto" w:sz="4" w:space="0"/>
            </w:tcBorders>
            <w:shd w:val="clear" w:color="auto" w:fill="auto"/>
            <w:vAlign w:val="center"/>
          </w:tcPr>
          <w:p w14:paraId="5180E15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kern w:val="2"/>
                <w:sz w:val="21"/>
                <w:szCs w:val="21"/>
                <w:lang w:val="en-US" w:eastAsia="zh-CN" w:bidi="ar-SA"/>
              </w:rPr>
            </w:pPr>
            <w:r>
              <w:rPr>
                <w:rFonts w:hint="default" w:ascii="宋体" w:hAnsi="宋体" w:cs="宋体"/>
                <w:szCs w:val="21"/>
              </w:rPr>
              <w:t>安全</w:t>
            </w:r>
            <w:r>
              <w:rPr>
                <w:rFonts w:hint="eastAsia" w:ascii="宋体" w:hAnsi="宋体" w:cs="宋体"/>
                <w:szCs w:val="21"/>
                <w:lang w:val="en-US" w:eastAsia="zh-CN"/>
              </w:rPr>
              <w:t>员</w:t>
            </w:r>
          </w:p>
        </w:tc>
        <w:tc>
          <w:tcPr>
            <w:tcW w:w="733" w:type="dxa"/>
            <w:tcBorders>
              <w:top w:val="single" w:color="auto" w:sz="4" w:space="0"/>
              <w:left w:val="nil"/>
              <w:bottom w:val="single" w:color="auto" w:sz="4" w:space="0"/>
              <w:right w:val="single" w:color="auto" w:sz="4" w:space="0"/>
            </w:tcBorders>
            <w:shd w:val="clear" w:color="auto" w:fill="auto"/>
            <w:vAlign w:val="center"/>
          </w:tcPr>
          <w:p w14:paraId="0FD62CFF">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kern w:val="2"/>
                <w:sz w:val="21"/>
                <w:szCs w:val="21"/>
                <w:lang w:val="en-US" w:eastAsia="zh-CN" w:bidi="ar-SA"/>
              </w:rPr>
            </w:pPr>
            <w:r>
              <w:rPr>
                <w:rFonts w:hint="default" w:ascii="宋体" w:hAnsi="宋体" w:cs="宋体"/>
                <w:szCs w:val="21"/>
              </w:rPr>
              <w:t>1</w:t>
            </w:r>
          </w:p>
        </w:tc>
        <w:tc>
          <w:tcPr>
            <w:tcW w:w="6784" w:type="dxa"/>
            <w:tcBorders>
              <w:top w:val="single" w:color="auto" w:sz="4" w:space="0"/>
              <w:left w:val="nil"/>
              <w:bottom w:val="single" w:color="auto" w:sz="4" w:space="0"/>
              <w:right w:val="single" w:color="auto" w:sz="4" w:space="0"/>
            </w:tcBorders>
            <w:shd w:val="clear" w:color="auto" w:fill="auto"/>
            <w:vAlign w:val="center"/>
          </w:tcPr>
          <w:p w14:paraId="07EE6EFF">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lang w:bidi="ar"/>
              </w:rPr>
              <w:t>具有省级交通主管部门或建设主管部门安全生产“三类人员”C类证书。</w:t>
            </w:r>
          </w:p>
        </w:tc>
      </w:tr>
    </w:tbl>
    <w:p w14:paraId="08ED05C4">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bidi="ar"/>
        </w:rPr>
        <w:t xml:space="preserve"> 注：以上人员不得在首讯公司其他未完工项目中重复任用。需提供项目主要管理人员名单（表格形式），以上人员相关资质证件、身份证复印件</w:t>
      </w:r>
      <w:r>
        <w:rPr>
          <w:rFonts w:hint="eastAsia" w:ascii="宋体" w:hAnsi="宋体" w:cs="宋体"/>
          <w:szCs w:val="21"/>
          <w:lang w:eastAsia="zh-CN" w:bidi="ar"/>
        </w:rPr>
        <w:t>、</w:t>
      </w:r>
      <w:r>
        <w:rPr>
          <w:rFonts w:hint="eastAsia" w:ascii="宋体" w:hAnsi="宋体" w:cs="宋体"/>
          <w:szCs w:val="21"/>
          <w:lang w:val="en-US" w:eastAsia="zh-CN" w:bidi="ar"/>
        </w:rPr>
        <w:t>人员业绩合同或其他证明材料复印件、</w:t>
      </w:r>
      <w:r>
        <w:rPr>
          <w:rFonts w:hint="eastAsia" w:ascii="宋体" w:hAnsi="宋体" w:cs="宋体"/>
          <w:szCs w:val="21"/>
          <w:lang w:bidi="ar"/>
        </w:rPr>
        <w:t>及由社保局出具的报价人为以上人员缴纳的</w:t>
      </w:r>
      <w:r>
        <w:rPr>
          <w:rFonts w:hint="eastAsia" w:ascii="宋体" w:hAnsi="宋体" w:cs="宋体"/>
          <w:szCs w:val="21"/>
          <w:lang w:val="en-US" w:eastAsia="zh-CN" w:bidi="ar"/>
        </w:rPr>
        <w:t>近三个月的</w:t>
      </w:r>
      <w:r>
        <w:rPr>
          <w:rFonts w:hint="eastAsia" w:ascii="宋体" w:hAnsi="宋体" w:cs="宋体"/>
          <w:szCs w:val="21"/>
          <w:lang w:bidi="ar"/>
        </w:rPr>
        <w:t>养老保险证明（带有社保部门公章或社保部门的有效电子印章），并加盖单位鲜公章。</w:t>
      </w:r>
    </w:p>
    <w:p w14:paraId="0CD20F0A">
      <w:pPr>
        <w:pStyle w:val="28"/>
      </w:pPr>
    </w:p>
    <w:p w14:paraId="0D4A21A5">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14:paraId="3A465773">
      <w:pPr>
        <w:pStyle w:val="4"/>
        <w:jc w:val="center"/>
        <w:rPr>
          <w:rFonts w:ascii="宋体" w:hAnsi="宋体" w:eastAsia="宋体" w:cs="宋体"/>
          <w:bCs w:val="0"/>
          <w:sz w:val="28"/>
          <w:szCs w:val="28"/>
        </w:rPr>
      </w:pPr>
      <w:bookmarkStart w:id="121" w:name="_Toc12685"/>
      <w:bookmarkStart w:id="122" w:name="_Toc8293"/>
      <w:bookmarkStart w:id="123" w:name="_Toc27148"/>
      <w:bookmarkStart w:id="124" w:name="_Toc22513"/>
      <w:bookmarkStart w:id="125" w:name="_Toc11329227"/>
      <w:bookmarkStart w:id="126" w:name="_Toc21487"/>
      <w:r>
        <w:rPr>
          <w:rFonts w:hint="eastAsia" w:ascii="宋体" w:hAnsi="宋体" w:eastAsia="宋体" w:cs="宋体"/>
          <w:bCs w:val="0"/>
          <w:sz w:val="28"/>
          <w:szCs w:val="28"/>
        </w:rPr>
        <w:t>附录2 资格审查文件（项目其他人员最低要求）</w:t>
      </w:r>
      <w:bookmarkEnd w:id="121"/>
      <w:bookmarkEnd w:id="122"/>
      <w:bookmarkEnd w:id="123"/>
      <w:bookmarkEnd w:id="124"/>
      <w:bookmarkEnd w:id="125"/>
      <w:bookmarkEnd w:id="12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78CA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9160" w:type="dxa"/>
            <w:vAlign w:val="center"/>
          </w:tcPr>
          <w:p w14:paraId="38510D89">
            <w:pPr>
              <w:keepNext w:val="0"/>
              <w:keepLines w:val="0"/>
              <w:suppressLineNumbers w:val="0"/>
              <w:spacing w:before="0" w:beforeAutospacing="0" w:after="0" w:afterAutospacing="0" w:line="400" w:lineRule="exact"/>
              <w:ind w:left="0" w:right="0"/>
              <w:jc w:val="center"/>
              <w:rPr>
                <w:rFonts w:hint="default" w:ascii="宋体" w:hAnsi="宋体" w:cs="宋体"/>
                <w:szCs w:val="21"/>
              </w:rPr>
            </w:pPr>
            <w:bookmarkStart w:id="127" w:name="_Toc413241584"/>
            <w:bookmarkStart w:id="128" w:name="_Toc507319900"/>
            <w:bookmarkStart w:id="129" w:name="_Toc23696"/>
            <w:r>
              <w:rPr>
                <w:rFonts w:hint="eastAsia" w:ascii="宋体" w:hAnsi="宋体" w:cs="宋体"/>
                <w:szCs w:val="21"/>
              </w:rPr>
              <w:t>项目施工、安装及调试劳务人员最低要求</w:t>
            </w:r>
          </w:p>
        </w:tc>
      </w:tr>
      <w:tr w14:paraId="7F36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160" w:type="dxa"/>
          </w:tcPr>
          <w:p w14:paraId="1B04EBA5">
            <w:pPr>
              <w:keepNext w:val="0"/>
              <w:keepLines w:val="0"/>
              <w:suppressLineNumbers w:val="0"/>
              <w:spacing w:before="0" w:beforeAutospacing="0" w:after="0" w:afterAutospacing="0"/>
              <w:ind w:left="0" w:right="0" w:firstLine="420" w:firstLineChars="200"/>
              <w:rPr>
                <w:rFonts w:hint="default"/>
              </w:rPr>
            </w:pPr>
            <w:r>
              <w:rPr>
                <w:rFonts w:hint="eastAsia" w:ascii="宋体" w:hAnsi="宋体" w:cs="宋体"/>
                <w:caps/>
                <w:szCs w:val="21"/>
              </w:rPr>
              <w:t>根据界面提交情况及项目部要求追加人员，满足工程进度需要。</w:t>
            </w:r>
          </w:p>
        </w:tc>
      </w:tr>
    </w:tbl>
    <w:p w14:paraId="5DBA8740">
      <w:pPr>
        <w:pStyle w:val="149"/>
        <w:adjustRightInd/>
        <w:spacing w:line="360" w:lineRule="auto"/>
        <w:jc w:val="both"/>
        <w:rPr>
          <w:rFonts w:hAnsi="宋体"/>
          <w:color w:val="FF0000"/>
          <w:sz w:val="21"/>
          <w:szCs w:val="21"/>
        </w:rPr>
      </w:pPr>
      <w:r>
        <w:rPr>
          <w:rFonts w:hint="eastAsia" w:hAnsi="宋体"/>
          <w:color w:val="auto"/>
          <w:sz w:val="21"/>
          <w:szCs w:val="21"/>
        </w:rPr>
        <w:t>注：</w:t>
      </w:r>
      <w:r>
        <w:rPr>
          <w:rFonts w:hint="eastAsia" w:ascii="Times New Roman" w:hAnsi="宋体" w:cs="Times New Roman"/>
          <w:color w:val="auto"/>
          <w:sz w:val="21"/>
          <w:szCs w:val="21"/>
        </w:rPr>
        <w:t>以上人员不得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w:t>
      </w:r>
      <w:r>
        <w:rPr>
          <w:rFonts w:hint="eastAsia" w:ascii="Times New Roman" w:hAnsi="宋体" w:cs="Times New Roman"/>
          <w:color w:val="auto"/>
          <w:sz w:val="21"/>
          <w:szCs w:val="21"/>
          <w:lang w:eastAsia="zh-CN"/>
        </w:rPr>
        <w:t>，</w:t>
      </w:r>
      <w:r>
        <w:rPr>
          <w:rFonts w:hint="eastAsia" w:ascii="Times New Roman" w:hAnsi="宋体" w:cs="Times New Roman"/>
          <w:caps w:val="0"/>
          <w:color w:val="auto"/>
          <w:sz w:val="21"/>
          <w:szCs w:val="21"/>
        </w:rPr>
        <w:t>报价人自行承诺即可，</w:t>
      </w:r>
      <w:r>
        <w:rPr>
          <w:rFonts w:hint="eastAsia" w:ascii="Times New Roman" w:hAnsi="宋体" w:cs="Times New Roman"/>
          <w:caps w:val="0"/>
          <w:color w:val="auto"/>
          <w:sz w:val="21"/>
          <w:szCs w:val="21"/>
          <w:lang w:val="en-US" w:eastAsia="zh-CN"/>
        </w:rPr>
        <w:t>提供承诺资料并加盖单位公章</w:t>
      </w:r>
      <w:r>
        <w:rPr>
          <w:rFonts w:hint="eastAsia" w:hAnsi="宋体"/>
          <w:color w:val="auto"/>
          <w:sz w:val="21"/>
          <w:szCs w:val="21"/>
        </w:rPr>
        <w:t>。</w:t>
      </w:r>
    </w:p>
    <w:bookmarkEnd w:id="127"/>
    <w:bookmarkEnd w:id="128"/>
    <w:bookmarkEnd w:id="129"/>
    <w:p w14:paraId="48A5FAC0">
      <w:pPr>
        <w:pStyle w:val="4"/>
        <w:rPr>
          <w:rStyle w:val="77"/>
          <w:rFonts w:ascii="宋体" w:hAnsi="宋体" w:eastAsia="宋体" w:cs="宋体"/>
          <w:b w:val="0"/>
          <w:bCs w:val="0"/>
          <w:sz w:val="28"/>
          <w:szCs w:val="28"/>
        </w:rPr>
      </w:pPr>
    </w:p>
    <w:p w14:paraId="09641E87">
      <w:pPr>
        <w:pStyle w:val="4"/>
        <w:rPr>
          <w:rFonts w:hAnsi="宋体"/>
          <w:b w:val="0"/>
          <w:sz w:val="28"/>
          <w:szCs w:val="28"/>
        </w:rPr>
      </w:pPr>
      <w:bookmarkStart w:id="130" w:name="_Toc17384"/>
      <w:bookmarkStart w:id="131" w:name="_Toc12175"/>
      <w:bookmarkStart w:id="132" w:name="_Toc4169"/>
      <w:bookmarkStart w:id="133" w:name="_Toc6096"/>
      <w:bookmarkStart w:id="134" w:name="_Toc23610"/>
      <w:r>
        <w:rPr>
          <w:rFonts w:hint="eastAsia" w:ascii="宋体" w:hAnsi="宋体" w:eastAsia="宋体" w:cs="宋体"/>
          <w:bCs w:val="0"/>
          <w:sz w:val="28"/>
          <w:szCs w:val="28"/>
        </w:rPr>
        <w:t>附录3 资格审查文件（主要机械设备和试验检测设备最低要求）</w:t>
      </w:r>
      <w:bookmarkEnd w:id="130"/>
      <w:bookmarkEnd w:id="131"/>
      <w:bookmarkEnd w:id="132"/>
      <w:bookmarkEnd w:id="133"/>
      <w:bookmarkEnd w:id="134"/>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520E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14:paraId="3F410900">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主要机械设备和试验检测设备最低要求</w:t>
            </w:r>
          </w:p>
        </w:tc>
      </w:tr>
      <w:tr w14:paraId="04A4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14:paraId="76B9935D">
            <w:pPr>
              <w:keepNext w:val="0"/>
              <w:keepLines w:val="0"/>
              <w:suppressLineNumbers w:val="0"/>
              <w:spacing w:before="0" w:beforeAutospacing="0" w:after="0" w:afterAutospacing="0"/>
              <w:ind w:left="0" w:right="0" w:firstLine="420" w:firstLineChars="200"/>
              <w:rPr>
                <w:rFonts w:hint="default"/>
              </w:rPr>
            </w:pPr>
            <w:r>
              <w:rPr>
                <w:rFonts w:hint="eastAsia" w:ascii="宋体" w:hAnsi="宋体" w:cs="宋体"/>
                <w:caps/>
                <w:szCs w:val="21"/>
              </w:rPr>
              <w:t>根据界面提交情况及项目部要求追加机械，满足工程进度需要。</w:t>
            </w:r>
          </w:p>
        </w:tc>
      </w:tr>
    </w:tbl>
    <w:p w14:paraId="6F6300BF">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Times New Roman" w:hAnsi="宋体" w:cs="Times New Roman"/>
          <w:caps w:val="0"/>
          <w:color w:val="auto"/>
          <w:sz w:val="21"/>
          <w:szCs w:val="21"/>
        </w:rPr>
        <w:t>，</w:t>
      </w:r>
      <w:r>
        <w:rPr>
          <w:rFonts w:hint="eastAsia" w:ascii="Times New Roman" w:hAnsi="宋体" w:cs="Times New Roman"/>
          <w:caps w:val="0"/>
          <w:color w:val="auto"/>
          <w:sz w:val="21"/>
          <w:szCs w:val="21"/>
          <w:lang w:val="en-US" w:eastAsia="zh-CN"/>
        </w:rPr>
        <w:t>提供承诺资料并加盖单位公章</w:t>
      </w:r>
      <w:r>
        <w:rPr>
          <w:rFonts w:hint="eastAsia" w:ascii="宋体" w:hAnsi="宋体" w:cs="宋体"/>
          <w:kern w:val="0"/>
          <w:szCs w:val="21"/>
        </w:rPr>
        <w:t>。</w:t>
      </w:r>
    </w:p>
    <w:p w14:paraId="1D42B4EE">
      <w:pPr>
        <w:pStyle w:val="149"/>
        <w:adjustRightInd/>
        <w:spacing w:line="400" w:lineRule="exact"/>
        <w:ind w:firstLine="422" w:firstLineChars="200"/>
        <w:jc w:val="both"/>
        <w:rPr>
          <w:rFonts w:hAnsi="宋体"/>
          <w:szCs w:val="21"/>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color w:val="auto"/>
          <w:sz w:val="21"/>
          <w:szCs w:val="21"/>
        </w:rPr>
        <w:t>以上（附录1-附录3中的资格审查）的要求均为强制性条件，其中任何一条不满足要求，则按否决报价处理。</w:t>
      </w:r>
      <w:bookmarkEnd w:id="119"/>
      <w:bookmarkEnd w:id="120"/>
    </w:p>
    <w:p w14:paraId="70152220">
      <w:pPr>
        <w:spacing w:line="440" w:lineRule="exact"/>
        <w:rPr>
          <w:rFonts w:ascii="宋体" w:hAnsi="宋体" w:cs="宋体"/>
        </w:rPr>
      </w:pPr>
    </w:p>
    <w:p w14:paraId="1D6608E4">
      <w:pPr>
        <w:pStyle w:val="3"/>
        <w:numPr>
          <w:ilvl w:val="0"/>
          <w:numId w:val="2"/>
        </w:numPr>
        <w:spacing w:before="0" w:after="0" w:line="360" w:lineRule="auto"/>
        <w:jc w:val="center"/>
      </w:pPr>
      <w:bookmarkStart w:id="135" w:name="_Toc144974554"/>
      <w:bookmarkStart w:id="136" w:name="_Toc2000406"/>
      <w:bookmarkStart w:id="137" w:name="_Toc246996230"/>
      <w:bookmarkStart w:id="138" w:name="_Toc15752"/>
      <w:bookmarkStart w:id="139" w:name="_Toc507319957"/>
      <w:bookmarkStart w:id="140" w:name="_Toc246996973"/>
      <w:bookmarkStart w:id="141" w:name="_Toc152042364"/>
      <w:bookmarkStart w:id="142" w:name="_Toc247085745"/>
      <w:bookmarkStart w:id="143" w:name="_Toc152045587"/>
      <w:bookmarkStart w:id="144" w:name="_Toc179632605"/>
      <w:r>
        <w:rPr>
          <w:rFonts w:hint="eastAsia" w:ascii="宋体" w:hAnsi="宋体" w:cs="宋体"/>
        </w:rPr>
        <w:t>评标办法（</w:t>
      </w:r>
      <w:r>
        <w:rPr>
          <w:rFonts w:hint="eastAsia" w:ascii="宋体" w:hAnsi="宋体" w:cs="宋体"/>
          <w:lang w:val="en-US" w:eastAsia="zh-CN"/>
        </w:rPr>
        <w:t>综合评估</w:t>
      </w:r>
      <w:r>
        <w:rPr>
          <w:rFonts w:hint="eastAsia" w:ascii="宋体" w:hAnsi="宋体" w:cs="宋体"/>
        </w:rPr>
        <w:t>法）</w:t>
      </w:r>
      <w:bookmarkEnd w:id="135"/>
      <w:bookmarkEnd w:id="136"/>
      <w:bookmarkEnd w:id="137"/>
      <w:bookmarkEnd w:id="138"/>
      <w:bookmarkEnd w:id="139"/>
      <w:bookmarkEnd w:id="140"/>
      <w:bookmarkEnd w:id="141"/>
      <w:bookmarkEnd w:id="142"/>
      <w:bookmarkEnd w:id="143"/>
      <w:bookmarkEnd w:id="144"/>
    </w:p>
    <w:p w14:paraId="45748473"/>
    <w:p w14:paraId="44D93C89">
      <w:pPr>
        <w:rPr>
          <w:b/>
          <w:bCs/>
        </w:rPr>
      </w:pPr>
      <w:r>
        <w:rPr>
          <w:rFonts w:hint="eastAsia"/>
          <w:b/>
          <w:bCs/>
        </w:rPr>
        <w:t>评标办法前附表</w:t>
      </w:r>
    </w:p>
    <w:tbl>
      <w:tblPr>
        <w:tblStyle w:val="43"/>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
        <w:gridCol w:w="2"/>
        <w:gridCol w:w="898"/>
        <w:gridCol w:w="2"/>
        <w:gridCol w:w="1124"/>
        <w:gridCol w:w="7"/>
        <w:gridCol w:w="1558"/>
        <w:gridCol w:w="6"/>
        <w:gridCol w:w="5550"/>
        <w:gridCol w:w="6"/>
      </w:tblGrid>
      <w:tr w14:paraId="6C40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gridAfter w:val="1"/>
          <w:wBefore w:w="7" w:type="dxa"/>
          <w:wAfter w:w="6" w:type="dxa"/>
          <w:trHeight w:val="0" w:hRule="atLeast"/>
          <w:tblHeader/>
          <w:jc w:val="center"/>
        </w:trPr>
        <w:tc>
          <w:tcPr>
            <w:tcW w:w="900" w:type="dxa"/>
            <w:gridSpan w:val="2"/>
            <w:vAlign w:val="center"/>
          </w:tcPr>
          <w:p w14:paraId="30E688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b/>
                <w:color w:val="auto"/>
                <w:kern w:val="0"/>
                <w:sz w:val="21"/>
                <w:szCs w:val="21"/>
              </w:rPr>
            </w:pPr>
            <w:bookmarkStart w:id="145" w:name="_Toc6578"/>
            <w:bookmarkStart w:id="146" w:name="_Toc11443"/>
            <w:bookmarkStart w:id="147" w:name="_Toc12821"/>
            <w:bookmarkStart w:id="148" w:name="_Toc57795918"/>
            <w:bookmarkStart w:id="149" w:name="_Toc33106441"/>
            <w:r>
              <w:rPr>
                <w:rFonts w:hint="default" w:ascii="Times New Roman" w:hAnsi="Times New Roman" w:cs="Times New Roman" w:eastAsiaTheme="minorEastAsia"/>
                <w:b/>
                <w:color w:val="auto"/>
                <w:kern w:val="0"/>
                <w:sz w:val="21"/>
                <w:szCs w:val="21"/>
              </w:rPr>
              <w:t>条款号</w:t>
            </w:r>
          </w:p>
        </w:tc>
        <w:tc>
          <w:tcPr>
            <w:tcW w:w="1124" w:type="dxa"/>
            <w:vAlign w:val="center"/>
          </w:tcPr>
          <w:p w14:paraId="377CD3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评审因素</w:t>
            </w:r>
          </w:p>
        </w:tc>
        <w:tc>
          <w:tcPr>
            <w:tcW w:w="7121" w:type="dxa"/>
            <w:gridSpan w:val="4"/>
            <w:vAlign w:val="center"/>
          </w:tcPr>
          <w:p w14:paraId="6D9B23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评审标准</w:t>
            </w:r>
          </w:p>
        </w:tc>
      </w:tr>
      <w:tr w14:paraId="4461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gridAfter w:val="1"/>
          <w:wBefore w:w="7" w:type="dxa"/>
          <w:wAfter w:w="6" w:type="dxa"/>
          <w:trHeight w:val="0" w:hRule="atLeast"/>
          <w:jc w:val="center"/>
        </w:trPr>
        <w:tc>
          <w:tcPr>
            <w:tcW w:w="900" w:type="dxa"/>
            <w:gridSpan w:val="2"/>
            <w:vAlign w:val="center"/>
          </w:tcPr>
          <w:p w14:paraId="4CC72A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p>
        </w:tc>
        <w:tc>
          <w:tcPr>
            <w:tcW w:w="1124" w:type="dxa"/>
            <w:tcBorders>
              <w:right w:val="single" w:color="auto" w:sz="4" w:space="0"/>
            </w:tcBorders>
            <w:vAlign w:val="center"/>
          </w:tcPr>
          <w:p w14:paraId="766BBB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eastAsia="zh-CN"/>
              </w:rPr>
              <w:t>评审</w:t>
            </w:r>
            <w:r>
              <w:rPr>
                <w:rFonts w:hint="default" w:ascii="Times New Roman" w:hAnsi="Times New Roman" w:cs="Times New Roman" w:eastAsiaTheme="minorEastAsia"/>
                <w:color w:val="auto"/>
                <w:kern w:val="0"/>
                <w:sz w:val="21"/>
                <w:szCs w:val="21"/>
              </w:rPr>
              <w:t>方法</w:t>
            </w:r>
          </w:p>
        </w:tc>
        <w:tc>
          <w:tcPr>
            <w:tcW w:w="7121" w:type="dxa"/>
            <w:gridSpan w:val="4"/>
            <w:tcBorders>
              <w:top w:val="single" w:color="auto" w:sz="4" w:space="0"/>
              <w:left w:val="single" w:color="auto" w:sz="4" w:space="0"/>
              <w:bottom w:val="single" w:color="auto" w:sz="4" w:space="0"/>
              <w:right w:val="single" w:color="auto" w:sz="4" w:space="0"/>
            </w:tcBorders>
            <w:vAlign w:val="center"/>
          </w:tcPr>
          <w:p w14:paraId="794E4A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left"/>
              <w:textAlignment w:val="auto"/>
              <w:rPr>
                <w:rFonts w:hint="default"/>
                <w:color w:val="auto"/>
              </w:rPr>
            </w:pPr>
            <w:r>
              <w:rPr>
                <w:rFonts w:hint="default"/>
                <w:color w:val="auto"/>
              </w:rPr>
              <w:t>本次评审采用综合评估法。评审委员会按照本章第2.2款规定的评分标准进行打分，按得分由高到低顺序推荐</w:t>
            </w:r>
            <w:r>
              <w:rPr>
                <w:rFonts w:hint="eastAsia"/>
                <w:color w:val="auto"/>
                <w:u w:val="single"/>
                <w:lang w:val="en-US" w:eastAsia="zh-CN"/>
              </w:rPr>
              <w:t>2名</w:t>
            </w:r>
            <w:r>
              <w:rPr>
                <w:rFonts w:hint="default"/>
                <w:color w:val="auto"/>
              </w:rPr>
              <w:t>中选候选人。若出现综合评分相等时，以技术部分得分高的优先；技术部分得分也相等的，</w:t>
            </w:r>
            <w:r>
              <w:rPr>
                <w:rFonts w:hint="eastAsia"/>
                <w:color w:val="auto"/>
                <w:lang w:val="en-US" w:eastAsia="zh-CN"/>
              </w:rPr>
              <w:t>以商务部分得分高的优先；均相等的以免交</w:t>
            </w:r>
            <w:r>
              <w:rPr>
                <w:rFonts w:hint="eastAsia" w:hAnsi="宋体"/>
                <w:snapToGrid w:val="0"/>
                <w:color w:val="auto"/>
                <w:kern w:val="0"/>
                <w:szCs w:val="21"/>
              </w:rPr>
              <w:t>免交投标担保及履约担保</w:t>
            </w:r>
            <w:r>
              <w:rPr>
                <w:rFonts w:hint="eastAsia" w:hAnsi="宋体"/>
                <w:snapToGrid w:val="0"/>
                <w:color w:val="auto"/>
                <w:kern w:val="0"/>
                <w:szCs w:val="21"/>
                <w:lang w:val="en-US" w:eastAsia="zh-CN"/>
              </w:rPr>
              <w:t>的单位优先，若均为免交单位，则以评标委员会投标确定</w:t>
            </w:r>
            <w:r>
              <w:rPr>
                <w:rFonts w:hint="eastAsia" w:hAnsi="宋体"/>
                <w:snapToGrid w:val="0"/>
                <w:color w:val="auto"/>
                <w:kern w:val="0"/>
                <w:szCs w:val="21"/>
              </w:rPr>
              <w:t>。</w:t>
            </w:r>
          </w:p>
        </w:tc>
      </w:tr>
      <w:tr w14:paraId="4797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restart"/>
            <w:vAlign w:val="center"/>
          </w:tcPr>
          <w:p w14:paraId="202AE8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2.1.1</w:t>
            </w:r>
          </w:p>
        </w:tc>
        <w:tc>
          <w:tcPr>
            <w:tcW w:w="1124" w:type="dxa"/>
            <w:vMerge w:val="restart"/>
            <w:tcBorders>
              <w:right w:val="single" w:color="auto" w:sz="4" w:space="0"/>
            </w:tcBorders>
            <w:vAlign w:val="center"/>
          </w:tcPr>
          <w:p w14:paraId="5B0465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资格评审标准</w:t>
            </w: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0F3103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rPr>
              <w:t>营业执照</w:t>
            </w:r>
          </w:p>
        </w:tc>
        <w:tc>
          <w:tcPr>
            <w:tcW w:w="5562" w:type="dxa"/>
            <w:gridSpan w:val="3"/>
            <w:tcBorders>
              <w:top w:val="single" w:color="auto" w:sz="4" w:space="0"/>
              <w:left w:val="single" w:color="auto" w:sz="4" w:space="0"/>
              <w:bottom w:val="single" w:color="auto" w:sz="4" w:space="0"/>
              <w:right w:val="single" w:color="auto" w:sz="4" w:space="0"/>
            </w:tcBorders>
            <w:vAlign w:val="center"/>
          </w:tcPr>
          <w:p w14:paraId="1DA5BF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eastAsiaTheme="minorEastAsia"/>
                <w:szCs w:val="21"/>
                <w:lang w:val="en-US" w:eastAsia="zh-CN"/>
              </w:rPr>
              <w:t>8</w:t>
            </w:r>
            <w:r>
              <w:rPr>
                <w:rFonts w:hint="default" w:ascii="Times New Roman" w:hAnsi="Times New Roman" w:cs="Times New Roman" w:eastAsiaTheme="minorEastAsia"/>
                <w:color w:val="auto"/>
                <w:kern w:val="0"/>
                <w:sz w:val="21"/>
                <w:szCs w:val="21"/>
              </w:rPr>
              <w:t>项规定</w:t>
            </w:r>
          </w:p>
        </w:tc>
      </w:tr>
      <w:tr w14:paraId="6A0B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continue"/>
            <w:vAlign w:val="center"/>
          </w:tcPr>
          <w:p w14:paraId="45C2AF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124" w:type="dxa"/>
            <w:vMerge w:val="continue"/>
            <w:tcBorders>
              <w:right w:val="single" w:color="auto" w:sz="4" w:space="0"/>
            </w:tcBorders>
            <w:vAlign w:val="center"/>
          </w:tcPr>
          <w:p w14:paraId="47DEA9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07F69B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lang w:val="en-US" w:eastAsia="zh-CN"/>
              </w:rPr>
            </w:pPr>
            <w:r>
              <w:rPr>
                <w:rFonts w:hint="eastAsia" w:ascii="宋体" w:hAnsi="宋体" w:cs="宋体"/>
                <w:szCs w:val="21"/>
                <w:highlight w:val="none"/>
                <w:shd w:val="clear" w:color="auto" w:fill="FFFFFF"/>
                <w:lang w:val="en-US" w:eastAsia="zh-CN"/>
              </w:rPr>
              <w:t>资质要求</w:t>
            </w:r>
          </w:p>
        </w:tc>
        <w:tc>
          <w:tcPr>
            <w:tcW w:w="5562" w:type="dxa"/>
            <w:gridSpan w:val="3"/>
            <w:tcBorders>
              <w:top w:val="single" w:color="auto" w:sz="4" w:space="0"/>
              <w:left w:val="single" w:color="auto" w:sz="4" w:space="0"/>
              <w:bottom w:val="single" w:color="auto" w:sz="4" w:space="0"/>
              <w:right w:val="single" w:color="auto" w:sz="4" w:space="0"/>
            </w:tcBorders>
            <w:vAlign w:val="center"/>
          </w:tcPr>
          <w:p w14:paraId="2822A3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eastAsiaTheme="minorEastAsia"/>
                <w:szCs w:val="21"/>
                <w:lang w:val="en-US" w:eastAsia="zh-CN"/>
              </w:rPr>
              <w:t>8</w:t>
            </w:r>
            <w:r>
              <w:rPr>
                <w:rFonts w:hint="default" w:ascii="Times New Roman" w:hAnsi="Times New Roman" w:cs="Times New Roman" w:eastAsiaTheme="minorEastAsia"/>
                <w:color w:val="auto"/>
                <w:kern w:val="0"/>
                <w:sz w:val="21"/>
                <w:szCs w:val="21"/>
              </w:rPr>
              <w:t>项规定</w:t>
            </w:r>
          </w:p>
        </w:tc>
      </w:tr>
      <w:tr w14:paraId="7719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continue"/>
            <w:vAlign w:val="center"/>
          </w:tcPr>
          <w:p w14:paraId="526534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124" w:type="dxa"/>
            <w:vMerge w:val="continue"/>
            <w:tcBorders>
              <w:right w:val="single" w:color="auto" w:sz="4" w:space="0"/>
            </w:tcBorders>
            <w:vAlign w:val="center"/>
          </w:tcPr>
          <w:p w14:paraId="6AEDE3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7BAF0A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业绩要求</w:t>
            </w:r>
          </w:p>
        </w:tc>
        <w:tc>
          <w:tcPr>
            <w:tcW w:w="5562" w:type="dxa"/>
            <w:gridSpan w:val="3"/>
            <w:tcBorders>
              <w:top w:val="single" w:color="auto" w:sz="4" w:space="0"/>
              <w:left w:val="single" w:color="auto" w:sz="4" w:space="0"/>
              <w:bottom w:val="single" w:color="auto" w:sz="4" w:space="0"/>
              <w:right w:val="single" w:color="auto" w:sz="4" w:space="0"/>
            </w:tcBorders>
            <w:vAlign w:val="center"/>
          </w:tcPr>
          <w:p w14:paraId="080A4C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eastAsiaTheme="minorEastAsia"/>
                <w:szCs w:val="21"/>
                <w:lang w:val="en-US" w:eastAsia="zh-CN"/>
              </w:rPr>
              <w:t>8</w:t>
            </w:r>
            <w:r>
              <w:rPr>
                <w:rFonts w:hint="default" w:ascii="Times New Roman" w:hAnsi="Times New Roman" w:cs="Times New Roman" w:eastAsiaTheme="minorEastAsia"/>
                <w:color w:val="auto"/>
                <w:kern w:val="0"/>
                <w:sz w:val="21"/>
                <w:szCs w:val="21"/>
              </w:rPr>
              <w:t>项规定</w:t>
            </w:r>
          </w:p>
        </w:tc>
      </w:tr>
      <w:tr w14:paraId="53A2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continue"/>
            <w:vAlign w:val="center"/>
          </w:tcPr>
          <w:p w14:paraId="4A4357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124" w:type="dxa"/>
            <w:vMerge w:val="continue"/>
            <w:tcBorders>
              <w:right w:val="single" w:color="auto" w:sz="4" w:space="0"/>
            </w:tcBorders>
            <w:vAlign w:val="center"/>
          </w:tcPr>
          <w:p w14:paraId="5E7085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49645F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信誉要求</w:t>
            </w:r>
          </w:p>
        </w:tc>
        <w:tc>
          <w:tcPr>
            <w:tcW w:w="5562" w:type="dxa"/>
            <w:gridSpan w:val="3"/>
            <w:tcBorders>
              <w:top w:val="single" w:color="auto" w:sz="4" w:space="0"/>
              <w:left w:val="single" w:color="auto" w:sz="4" w:space="0"/>
              <w:bottom w:val="single" w:color="auto" w:sz="4" w:space="0"/>
              <w:right w:val="single" w:color="auto" w:sz="4" w:space="0"/>
            </w:tcBorders>
            <w:vAlign w:val="center"/>
          </w:tcPr>
          <w:p w14:paraId="1FCC04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eastAsiaTheme="minorEastAsia"/>
                <w:szCs w:val="21"/>
                <w:lang w:val="en-US" w:eastAsia="zh-CN"/>
              </w:rPr>
              <w:t>8</w:t>
            </w:r>
            <w:r>
              <w:rPr>
                <w:rFonts w:hint="default" w:ascii="Times New Roman" w:hAnsi="Times New Roman" w:cs="Times New Roman" w:eastAsiaTheme="minorEastAsia"/>
                <w:color w:val="auto"/>
                <w:kern w:val="0"/>
                <w:sz w:val="21"/>
                <w:szCs w:val="21"/>
              </w:rPr>
              <w:t>项规定</w:t>
            </w:r>
          </w:p>
        </w:tc>
      </w:tr>
      <w:tr w14:paraId="7BF0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restart"/>
            <w:vAlign w:val="center"/>
          </w:tcPr>
          <w:p w14:paraId="6C724D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snapToGrid w:val="0"/>
                <w:color w:val="auto"/>
                <w:kern w:val="0"/>
                <w:sz w:val="21"/>
                <w:szCs w:val="21"/>
              </w:rPr>
              <w:t>2.1.2</w:t>
            </w:r>
          </w:p>
        </w:tc>
        <w:tc>
          <w:tcPr>
            <w:tcW w:w="1124" w:type="dxa"/>
            <w:vMerge w:val="restart"/>
            <w:tcBorders>
              <w:right w:val="single" w:color="auto" w:sz="4" w:space="0"/>
            </w:tcBorders>
            <w:vAlign w:val="center"/>
          </w:tcPr>
          <w:p w14:paraId="72E145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snapToGrid w:val="0"/>
                <w:color w:val="auto"/>
                <w:kern w:val="0"/>
                <w:sz w:val="21"/>
                <w:szCs w:val="21"/>
              </w:rPr>
              <w:t>形式评审标准</w:t>
            </w: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4A7465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名称</w:t>
            </w:r>
          </w:p>
        </w:tc>
        <w:tc>
          <w:tcPr>
            <w:tcW w:w="5562" w:type="dxa"/>
            <w:gridSpan w:val="3"/>
            <w:tcBorders>
              <w:top w:val="single" w:color="auto" w:sz="4" w:space="0"/>
              <w:left w:val="single" w:color="auto" w:sz="4" w:space="0"/>
              <w:bottom w:val="single" w:color="auto" w:sz="4" w:space="0"/>
              <w:right w:val="single" w:color="auto" w:sz="4" w:space="0"/>
            </w:tcBorders>
            <w:vAlign w:val="center"/>
          </w:tcPr>
          <w:p w14:paraId="61DF7B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与</w:t>
            </w:r>
            <w:r>
              <w:rPr>
                <w:rFonts w:hint="default" w:ascii="Times New Roman" w:hAnsi="Times New Roman" w:cs="Times New Roman" w:eastAsiaTheme="minorEastAsia"/>
                <w:color w:val="auto"/>
                <w:kern w:val="0"/>
                <w:sz w:val="21"/>
                <w:szCs w:val="21"/>
                <w:lang w:eastAsia="zh-CN"/>
              </w:rPr>
              <w:t>资质证书及</w:t>
            </w:r>
            <w:r>
              <w:rPr>
                <w:rFonts w:hint="default" w:ascii="Times New Roman" w:hAnsi="Times New Roman" w:cs="Times New Roman" w:eastAsiaTheme="minorEastAsia"/>
                <w:color w:val="auto"/>
                <w:kern w:val="0"/>
                <w:sz w:val="21"/>
                <w:szCs w:val="21"/>
              </w:rPr>
              <w:t>营业执照一致，依法变更名称的应提交相应证明材料。</w:t>
            </w:r>
          </w:p>
        </w:tc>
      </w:tr>
      <w:tr w14:paraId="7AC0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continue"/>
            <w:vAlign w:val="center"/>
          </w:tcPr>
          <w:p w14:paraId="7A90B7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124" w:type="dxa"/>
            <w:vMerge w:val="continue"/>
            <w:tcBorders>
              <w:right w:val="single" w:color="auto" w:sz="4" w:space="0"/>
            </w:tcBorders>
            <w:vAlign w:val="center"/>
          </w:tcPr>
          <w:p w14:paraId="716F48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357526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snapToGrid w:val="0"/>
                <w:color w:val="auto"/>
                <w:kern w:val="0"/>
                <w:sz w:val="21"/>
                <w:szCs w:val="21"/>
                <w:lang w:eastAsia="zh-CN"/>
              </w:rPr>
              <w:t>比选函</w:t>
            </w:r>
            <w:r>
              <w:rPr>
                <w:rFonts w:hint="default" w:ascii="Times New Roman" w:hAnsi="Times New Roman" w:cs="Times New Roman" w:eastAsiaTheme="minorEastAsia"/>
                <w:snapToGrid w:val="0"/>
                <w:color w:val="auto"/>
                <w:kern w:val="0"/>
                <w:sz w:val="21"/>
                <w:szCs w:val="21"/>
              </w:rPr>
              <w:t>签名盖章</w:t>
            </w:r>
          </w:p>
        </w:tc>
        <w:tc>
          <w:tcPr>
            <w:tcW w:w="5562" w:type="dxa"/>
            <w:gridSpan w:val="3"/>
            <w:tcBorders>
              <w:top w:val="single" w:color="auto" w:sz="4" w:space="0"/>
              <w:left w:val="single" w:color="auto" w:sz="4" w:space="0"/>
              <w:bottom w:val="single" w:color="auto" w:sz="4" w:space="0"/>
              <w:right w:val="single" w:color="auto" w:sz="4" w:space="0"/>
            </w:tcBorders>
            <w:vAlign w:val="center"/>
          </w:tcPr>
          <w:p w14:paraId="27F00A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比选函</w:t>
            </w:r>
            <w:r>
              <w:rPr>
                <w:rFonts w:hint="default" w:ascii="Times New Roman" w:hAnsi="Times New Roman" w:cs="Times New Roman" w:eastAsiaTheme="minorEastAsia"/>
                <w:color w:val="auto"/>
                <w:kern w:val="0"/>
                <w:sz w:val="21"/>
                <w:szCs w:val="21"/>
              </w:rPr>
              <w:t>格式规定签名、盖章的位置有法定代表人或其委托代理人签名（或盖章）、加盖单位法人章。</w:t>
            </w:r>
          </w:p>
        </w:tc>
      </w:tr>
      <w:tr w14:paraId="0684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continue"/>
            <w:vAlign w:val="center"/>
          </w:tcPr>
          <w:p w14:paraId="0C5D16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124" w:type="dxa"/>
            <w:vMerge w:val="continue"/>
            <w:tcBorders>
              <w:right w:val="single" w:color="auto" w:sz="4" w:space="0"/>
            </w:tcBorders>
            <w:vAlign w:val="center"/>
          </w:tcPr>
          <w:p w14:paraId="25BC88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40CF6A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格式</w:t>
            </w:r>
          </w:p>
        </w:tc>
        <w:tc>
          <w:tcPr>
            <w:tcW w:w="5562" w:type="dxa"/>
            <w:gridSpan w:val="3"/>
            <w:tcBorders>
              <w:top w:val="single" w:color="auto" w:sz="4" w:space="0"/>
              <w:left w:val="single" w:color="auto" w:sz="4" w:space="0"/>
              <w:bottom w:val="single" w:color="auto" w:sz="4" w:space="0"/>
              <w:right w:val="single" w:color="auto" w:sz="4" w:space="0"/>
            </w:tcBorders>
            <w:vAlign w:val="center"/>
          </w:tcPr>
          <w:p w14:paraId="5BD79B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须知”第</w:t>
            </w:r>
            <w:r>
              <w:rPr>
                <w:rFonts w:hint="eastAsia" w:hAnsi="宋体" w:eastAsiaTheme="minorEastAsia"/>
                <w:color w:val="auto"/>
                <w:sz w:val="21"/>
                <w:szCs w:val="21"/>
                <w:lang w:val="en-US" w:eastAsia="zh-CN"/>
              </w:rPr>
              <w:t>21</w:t>
            </w:r>
            <w:r>
              <w:rPr>
                <w:rFonts w:hint="default" w:ascii="Times New Roman" w:hAnsi="Times New Roman" w:cs="Times New Roman" w:eastAsiaTheme="minorEastAsia"/>
                <w:color w:val="auto"/>
                <w:kern w:val="0"/>
                <w:sz w:val="21"/>
                <w:szCs w:val="21"/>
              </w:rPr>
              <w:t>款的要求。</w:t>
            </w:r>
          </w:p>
        </w:tc>
      </w:tr>
      <w:tr w14:paraId="01CA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continue"/>
            <w:vAlign w:val="center"/>
          </w:tcPr>
          <w:p w14:paraId="45CD29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124" w:type="dxa"/>
            <w:vMerge w:val="continue"/>
            <w:tcBorders>
              <w:right w:val="single" w:color="auto" w:sz="4" w:space="0"/>
            </w:tcBorders>
            <w:vAlign w:val="center"/>
          </w:tcPr>
          <w:p w14:paraId="340A20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4A88EA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snapToGrid w:val="0"/>
                <w:color w:val="auto"/>
                <w:kern w:val="0"/>
                <w:sz w:val="21"/>
                <w:szCs w:val="21"/>
              </w:rPr>
            </w:pP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份数</w:t>
            </w:r>
          </w:p>
        </w:tc>
        <w:tc>
          <w:tcPr>
            <w:tcW w:w="5562" w:type="dxa"/>
            <w:gridSpan w:val="3"/>
            <w:tcBorders>
              <w:top w:val="single" w:color="auto" w:sz="4" w:space="0"/>
              <w:left w:val="single" w:color="auto" w:sz="4" w:space="0"/>
              <w:bottom w:val="single" w:color="auto" w:sz="4" w:space="0"/>
              <w:right w:val="single" w:color="auto" w:sz="4" w:space="0"/>
            </w:tcBorders>
            <w:vAlign w:val="center"/>
          </w:tcPr>
          <w:p w14:paraId="4FA6D5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须知”第</w:t>
            </w:r>
            <w:r>
              <w:rPr>
                <w:rFonts w:hint="eastAsia" w:cs="Times New Roman" w:eastAsiaTheme="minorEastAsia"/>
                <w:color w:val="auto"/>
                <w:kern w:val="0"/>
                <w:sz w:val="21"/>
                <w:szCs w:val="21"/>
                <w:lang w:val="en-US" w:eastAsia="zh-CN"/>
              </w:rPr>
              <w:t>21</w:t>
            </w:r>
            <w:r>
              <w:rPr>
                <w:rFonts w:hint="default" w:ascii="Times New Roman" w:hAnsi="Times New Roman" w:cs="Times New Roman" w:eastAsiaTheme="minorEastAsia"/>
                <w:color w:val="auto"/>
                <w:kern w:val="0"/>
                <w:sz w:val="21"/>
                <w:szCs w:val="21"/>
              </w:rPr>
              <w:t>项规定。</w:t>
            </w:r>
          </w:p>
        </w:tc>
      </w:tr>
      <w:tr w14:paraId="4971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continue"/>
            <w:vAlign w:val="center"/>
          </w:tcPr>
          <w:p w14:paraId="6D2BA1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124" w:type="dxa"/>
            <w:vMerge w:val="continue"/>
            <w:tcBorders>
              <w:right w:val="single" w:color="auto" w:sz="4" w:space="0"/>
            </w:tcBorders>
            <w:vAlign w:val="center"/>
          </w:tcPr>
          <w:p w14:paraId="00F8BF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7169C8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snapToGrid w:val="0"/>
                <w:color w:val="auto"/>
                <w:kern w:val="0"/>
                <w:sz w:val="21"/>
                <w:szCs w:val="21"/>
                <w:lang w:eastAsia="zh-CN"/>
              </w:rPr>
              <w:t>比选文件</w:t>
            </w:r>
            <w:r>
              <w:rPr>
                <w:rFonts w:hint="default" w:ascii="Times New Roman" w:hAnsi="Times New Roman" w:cs="Times New Roman" w:eastAsiaTheme="minorEastAsia"/>
                <w:snapToGrid w:val="0"/>
                <w:color w:val="auto"/>
                <w:kern w:val="0"/>
                <w:sz w:val="21"/>
                <w:szCs w:val="21"/>
              </w:rPr>
              <w:t>的签署</w:t>
            </w:r>
          </w:p>
        </w:tc>
        <w:tc>
          <w:tcPr>
            <w:tcW w:w="5562" w:type="dxa"/>
            <w:gridSpan w:val="3"/>
            <w:tcBorders>
              <w:top w:val="single" w:color="auto" w:sz="4" w:space="0"/>
              <w:left w:val="single" w:color="auto" w:sz="4" w:space="0"/>
              <w:bottom w:val="single" w:color="auto" w:sz="4" w:space="0"/>
              <w:right w:val="single" w:color="auto" w:sz="4" w:space="0"/>
            </w:tcBorders>
            <w:vAlign w:val="center"/>
          </w:tcPr>
          <w:p w14:paraId="71D580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八</w:t>
            </w:r>
            <w:r>
              <w:rPr>
                <w:rFonts w:hint="default" w:ascii="Times New Roman" w:hAnsi="Times New Roman" w:cs="Times New Roman" w:eastAsiaTheme="minorEastAsia"/>
                <w:color w:val="auto"/>
                <w:kern w:val="0"/>
                <w:sz w:val="21"/>
                <w:szCs w:val="21"/>
              </w:rPr>
              <w:t xml:space="preserve">章 </w:t>
            </w: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格式要求法定代表人或其委托代理人签名（或盖章）的须齐全。</w:t>
            </w:r>
          </w:p>
        </w:tc>
      </w:tr>
      <w:tr w14:paraId="05AF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continue"/>
            <w:vAlign w:val="center"/>
          </w:tcPr>
          <w:p w14:paraId="33E8D7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124" w:type="dxa"/>
            <w:vMerge w:val="continue"/>
            <w:tcBorders>
              <w:right w:val="single" w:color="auto" w:sz="4" w:space="0"/>
            </w:tcBorders>
            <w:vAlign w:val="center"/>
          </w:tcPr>
          <w:p w14:paraId="5FD447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7F204D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委托代理人</w:t>
            </w:r>
          </w:p>
        </w:tc>
        <w:tc>
          <w:tcPr>
            <w:tcW w:w="5562" w:type="dxa"/>
            <w:gridSpan w:val="3"/>
            <w:tcBorders>
              <w:top w:val="single" w:color="auto" w:sz="4" w:space="0"/>
              <w:left w:val="single" w:color="auto" w:sz="4" w:space="0"/>
              <w:bottom w:val="single" w:color="auto" w:sz="4" w:space="0"/>
              <w:right w:val="single" w:color="auto" w:sz="4" w:space="0"/>
            </w:tcBorders>
            <w:vAlign w:val="center"/>
          </w:tcPr>
          <w:p w14:paraId="22E3AA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法定代表人的委托代理人有法定代表人签署的授权委托书。</w:t>
            </w:r>
          </w:p>
        </w:tc>
      </w:tr>
      <w:tr w14:paraId="7588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restart"/>
            <w:vAlign w:val="center"/>
          </w:tcPr>
          <w:p w14:paraId="18982F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2.1.3</w:t>
            </w:r>
          </w:p>
        </w:tc>
        <w:tc>
          <w:tcPr>
            <w:tcW w:w="1124" w:type="dxa"/>
            <w:vMerge w:val="restart"/>
            <w:vAlign w:val="center"/>
          </w:tcPr>
          <w:p w14:paraId="3ED9B2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响应性评审标准</w:t>
            </w:r>
          </w:p>
        </w:tc>
        <w:tc>
          <w:tcPr>
            <w:tcW w:w="1565" w:type="dxa"/>
            <w:gridSpan w:val="2"/>
            <w:tcBorders>
              <w:top w:val="single" w:color="auto" w:sz="4" w:space="0"/>
            </w:tcBorders>
            <w:vAlign w:val="center"/>
          </w:tcPr>
          <w:p w14:paraId="2009F5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lang w:val="en-US"/>
              </w:rPr>
            </w:pPr>
            <w:r>
              <w:rPr>
                <w:rFonts w:hint="eastAsia" w:cs="Times New Roman" w:eastAsiaTheme="minorEastAsia"/>
                <w:color w:val="auto"/>
                <w:kern w:val="0"/>
                <w:sz w:val="21"/>
                <w:szCs w:val="21"/>
                <w:lang w:val="en-US" w:eastAsia="zh-CN"/>
              </w:rPr>
              <w:t>比选范围</w:t>
            </w:r>
          </w:p>
        </w:tc>
        <w:tc>
          <w:tcPr>
            <w:tcW w:w="5562" w:type="dxa"/>
            <w:gridSpan w:val="3"/>
            <w:tcBorders>
              <w:top w:val="single" w:color="auto" w:sz="4" w:space="0"/>
            </w:tcBorders>
            <w:vAlign w:val="center"/>
          </w:tcPr>
          <w:p w14:paraId="538FD1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4</w:t>
            </w:r>
            <w:r>
              <w:rPr>
                <w:rFonts w:hint="default" w:ascii="Times New Roman" w:hAnsi="Times New Roman" w:cs="Times New Roman" w:eastAsiaTheme="minorEastAsia"/>
                <w:color w:val="auto"/>
                <w:kern w:val="0"/>
                <w:sz w:val="21"/>
                <w:szCs w:val="21"/>
              </w:rPr>
              <w:t>项规定</w:t>
            </w:r>
          </w:p>
        </w:tc>
      </w:tr>
      <w:tr w14:paraId="1CF0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continue"/>
            <w:vAlign w:val="center"/>
          </w:tcPr>
          <w:p w14:paraId="04ACB6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p>
        </w:tc>
        <w:tc>
          <w:tcPr>
            <w:tcW w:w="1124" w:type="dxa"/>
            <w:vMerge w:val="continue"/>
            <w:vAlign w:val="center"/>
          </w:tcPr>
          <w:p w14:paraId="54D137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p>
        </w:tc>
        <w:tc>
          <w:tcPr>
            <w:tcW w:w="1565" w:type="dxa"/>
            <w:gridSpan w:val="2"/>
            <w:vAlign w:val="center"/>
          </w:tcPr>
          <w:p w14:paraId="47BA9A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eastAsia" w:ascii="Times New Roman" w:hAnsi="Times New Roman" w:cs="Times New Roman" w:eastAsiaTheme="minorEastAsia"/>
                <w:color w:val="auto"/>
                <w:kern w:val="0"/>
                <w:sz w:val="21"/>
                <w:szCs w:val="21"/>
                <w:lang w:eastAsia="zh-CN"/>
              </w:rPr>
            </w:pPr>
            <w:r>
              <w:rPr>
                <w:rFonts w:hint="eastAsia" w:ascii="宋体" w:hAnsi="宋体" w:cs="宋体"/>
                <w:b w:val="0"/>
                <w:bCs w:val="0"/>
                <w:kern w:val="2"/>
                <w:sz w:val="21"/>
                <w:szCs w:val="24"/>
                <w:highlight w:val="none"/>
                <w:lang w:val="en-US" w:eastAsia="zh-CN" w:bidi="ar-SA"/>
              </w:rPr>
              <w:t>工期</w:t>
            </w:r>
          </w:p>
        </w:tc>
        <w:tc>
          <w:tcPr>
            <w:tcW w:w="5562" w:type="dxa"/>
            <w:gridSpan w:val="3"/>
            <w:vAlign w:val="center"/>
          </w:tcPr>
          <w:p w14:paraId="60C5B7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rPr>
              <w:t>项规定</w:t>
            </w:r>
          </w:p>
        </w:tc>
      </w:tr>
      <w:tr w14:paraId="3C11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continue"/>
            <w:vAlign w:val="center"/>
          </w:tcPr>
          <w:p w14:paraId="469C63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p>
        </w:tc>
        <w:tc>
          <w:tcPr>
            <w:tcW w:w="1124" w:type="dxa"/>
            <w:vMerge w:val="continue"/>
            <w:vAlign w:val="center"/>
          </w:tcPr>
          <w:p w14:paraId="67355E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p>
        </w:tc>
        <w:tc>
          <w:tcPr>
            <w:tcW w:w="1565" w:type="dxa"/>
            <w:gridSpan w:val="2"/>
            <w:vAlign w:val="center"/>
          </w:tcPr>
          <w:p w14:paraId="44CFC5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权利义务</w:t>
            </w:r>
          </w:p>
        </w:tc>
        <w:tc>
          <w:tcPr>
            <w:tcW w:w="5562" w:type="dxa"/>
            <w:gridSpan w:val="3"/>
            <w:vAlign w:val="center"/>
          </w:tcPr>
          <w:p w14:paraId="18BCB3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62" w:afterLines="2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w:t>
            </w:r>
            <w:r>
              <w:rPr>
                <w:rFonts w:hint="default" w:ascii="Times New Roman" w:hAnsi="Times New Roman" w:cs="Times New Roman" w:eastAsiaTheme="minorEastAsia"/>
                <w:color w:val="auto"/>
                <w:kern w:val="0"/>
                <w:sz w:val="21"/>
                <w:szCs w:val="21"/>
                <w:highlight w:val="none"/>
              </w:rPr>
              <w:t>第四章“合同条款及格式”规定，</w:t>
            </w:r>
            <w:r>
              <w:rPr>
                <w:rFonts w:hint="eastAsia" w:cs="Times New Roman" w:eastAsiaTheme="minorEastAsia"/>
                <w:color w:val="auto"/>
                <w:kern w:val="0"/>
                <w:sz w:val="21"/>
                <w:szCs w:val="21"/>
                <w:highlight w:val="none"/>
                <w:lang w:eastAsia="zh-CN"/>
              </w:rPr>
              <w:t>比选</w:t>
            </w:r>
            <w:r>
              <w:rPr>
                <w:rFonts w:hint="eastAsia" w:cs="Times New Roman" w:eastAsiaTheme="minorEastAsia"/>
                <w:color w:val="auto"/>
                <w:kern w:val="0"/>
                <w:sz w:val="21"/>
                <w:szCs w:val="21"/>
                <w:lang w:eastAsia="zh-CN"/>
              </w:rPr>
              <w:t>文件</w:t>
            </w:r>
            <w:r>
              <w:rPr>
                <w:rFonts w:hint="default" w:ascii="Times New Roman" w:hAnsi="Times New Roman" w:cs="Times New Roman" w:eastAsiaTheme="minorEastAsia"/>
                <w:color w:val="auto"/>
                <w:kern w:val="0"/>
                <w:sz w:val="21"/>
                <w:szCs w:val="21"/>
              </w:rPr>
              <w:t>不应附有比选人不能接受的条件。（由</w:t>
            </w: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承诺，承诺书格式详见第六章</w:t>
            </w: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格式。）</w:t>
            </w:r>
          </w:p>
        </w:tc>
      </w:tr>
      <w:tr w14:paraId="45AF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continue"/>
            <w:vAlign w:val="center"/>
          </w:tcPr>
          <w:p w14:paraId="29C773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p>
        </w:tc>
        <w:tc>
          <w:tcPr>
            <w:tcW w:w="1124" w:type="dxa"/>
            <w:vMerge w:val="continue"/>
            <w:vAlign w:val="center"/>
          </w:tcPr>
          <w:p w14:paraId="5D66B3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p>
        </w:tc>
        <w:tc>
          <w:tcPr>
            <w:tcW w:w="1565" w:type="dxa"/>
            <w:gridSpan w:val="2"/>
            <w:vAlign w:val="center"/>
          </w:tcPr>
          <w:p w14:paraId="52E300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报价</w:t>
            </w:r>
          </w:p>
        </w:tc>
        <w:tc>
          <w:tcPr>
            <w:tcW w:w="5562" w:type="dxa"/>
            <w:gridSpan w:val="3"/>
            <w:vAlign w:val="center"/>
          </w:tcPr>
          <w:p w14:paraId="2D93D0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报价不得超过比选人发布的最高限价和各分项限价，否则</w:t>
            </w:r>
            <w:r>
              <w:rPr>
                <w:rFonts w:hint="eastAsia" w:ascii="Times New Roman" w:hAnsi="Times New Roman" w:cs="Times New Roman" w:eastAsiaTheme="minorEastAsia"/>
                <w:color w:val="auto"/>
                <w:kern w:val="0"/>
                <w:sz w:val="21"/>
                <w:szCs w:val="21"/>
                <w:lang w:eastAsia="zh-CN"/>
              </w:rPr>
              <w:t>评审</w:t>
            </w:r>
            <w:r>
              <w:rPr>
                <w:rFonts w:hint="default" w:ascii="Times New Roman" w:hAnsi="Times New Roman" w:cs="Times New Roman" w:eastAsiaTheme="minorEastAsia"/>
                <w:color w:val="auto"/>
                <w:kern w:val="0"/>
                <w:sz w:val="21"/>
                <w:szCs w:val="21"/>
              </w:rPr>
              <w:t>委员会将按否决</w:t>
            </w: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处理。</w:t>
            </w:r>
          </w:p>
        </w:tc>
      </w:tr>
      <w:tr w14:paraId="413F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continue"/>
            <w:vAlign w:val="center"/>
          </w:tcPr>
          <w:p w14:paraId="5023F7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p>
        </w:tc>
        <w:tc>
          <w:tcPr>
            <w:tcW w:w="1124" w:type="dxa"/>
            <w:vMerge w:val="continue"/>
            <w:vAlign w:val="center"/>
          </w:tcPr>
          <w:p w14:paraId="2E009D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p>
        </w:tc>
        <w:tc>
          <w:tcPr>
            <w:tcW w:w="1565" w:type="dxa"/>
            <w:gridSpan w:val="2"/>
            <w:vAlign w:val="center"/>
          </w:tcPr>
          <w:p w14:paraId="130C8F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snapToGrid w:val="0"/>
                <w:color w:val="auto"/>
                <w:kern w:val="0"/>
                <w:sz w:val="21"/>
                <w:szCs w:val="21"/>
              </w:rPr>
            </w:pPr>
            <w:r>
              <w:rPr>
                <w:rFonts w:hint="default" w:ascii="Times New Roman" w:hAnsi="Times New Roman" w:cs="Times New Roman" w:eastAsiaTheme="minorEastAsia"/>
                <w:snapToGrid w:val="0"/>
                <w:color w:val="auto"/>
                <w:kern w:val="0"/>
                <w:sz w:val="21"/>
                <w:szCs w:val="21"/>
              </w:rPr>
              <w:t>报价唯一</w:t>
            </w:r>
          </w:p>
        </w:tc>
        <w:tc>
          <w:tcPr>
            <w:tcW w:w="5562" w:type="dxa"/>
            <w:gridSpan w:val="3"/>
            <w:vAlign w:val="center"/>
          </w:tcPr>
          <w:p w14:paraId="693B21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只能有一个有效报价，在比选文件没有规定的情况下，不得提交选择性报价。</w:t>
            </w:r>
          </w:p>
        </w:tc>
      </w:tr>
      <w:tr w14:paraId="5733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2"/>
          <w:wBefore w:w="7" w:type="dxa"/>
          <w:trHeight w:val="0" w:hRule="atLeast"/>
          <w:jc w:val="center"/>
        </w:trPr>
        <w:tc>
          <w:tcPr>
            <w:tcW w:w="900" w:type="dxa"/>
            <w:gridSpan w:val="2"/>
            <w:vMerge w:val="continue"/>
            <w:vAlign w:val="center"/>
          </w:tcPr>
          <w:p w14:paraId="30EF2E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p>
        </w:tc>
        <w:tc>
          <w:tcPr>
            <w:tcW w:w="1124" w:type="dxa"/>
            <w:vMerge w:val="continue"/>
            <w:vAlign w:val="center"/>
          </w:tcPr>
          <w:p w14:paraId="24F675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p>
        </w:tc>
        <w:tc>
          <w:tcPr>
            <w:tcW w:w="1565" w:type="dxa"/>
            <w:gridSpan w:val="2"/>
            <w:vAlign w:val="center"/>
          </w:tcPr>
          <w:p w14:paraId="7C5284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质量要求</w:t>
            </w:r>
          </w:p>
        </w:tc>
        <w:tc>
          <w:tcPr>
            <w:tcW w:w="5562" w:type="dxa"/>
            <w:gridSpan w:val="3"/>
            <w:vAlign w:val="center"/>
          </w:tcPr>
          <w:p w14:paraId="04B10E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6</w:t>
            </w:r>
            <w:r>
              <w:rPr>
                <w:rFonts w:hint="default" w:ascii="Times New Roman" w:hAnsi="Times New Roman" w:cs="Times New Roman" w:eastAsiaTheme="minorEastAsia"/>
                <w:color w:val="auto"/>
                <w:kern w:val="0"/>
                <w:sz w:val="21"/>
                <w:szCs w:val="21"/>
              </w:rPr>
              <w:t>项规定。</w:t>
            </w:r>
          </w:p>
        </w:tc>
      </w:tr>
      <w:tr w14:paraId="1D48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5" w:type="dxa"/>
          <w:trHeight w:val="0" w:hRule="atLeast"/>
          <w:jc w:val="center"/>
        </w:trPr>
        <w:tc>
          <w:tcPr>
            <w:tcW w:w="900" w:type="dxa"/>
            <w:gridSpan w:val="2"/>
            <w:tcBorders>
              <w:bottom w:val="single" w:color="auto" w:sz="4" w:space="0"/>
            </w:tcBorders>
            <w:vAlign w:val="center"/>
          </w:tcPr>
          <w:p w14:paraId="1EBA2A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2.2.1</w:t>
            </w:r>
          </w:p>
        </w:tc>
        <w:tc>
          <w:tcPr>
            <w:tcW w:w="2691" w:type="dxa"/>
            <w:gridSpan w:val="4"/>
            <w:tcBorders>
              <w:bottom w:val="single" w:color="auto" w:sz="4" w:space="0"/>
            </w:tcBorders>
            <w:vAlign w:val="center"/>
          </w:tcPr>
          <w:p w14:paraId="7F945814">
            <w:pPr>
              <w:keepNext w:val="0"/>
              <w:keepLines w:val="0"/>
              <w:pageBreakBefore w:val="0"/>
              <w:widowControl w:val="0"/>
              <w:suppressLineNumbers w:val="0"/>
              <w:tabs>
                <w:tab w:val="left" w:pos="1875"/>
              </w:tabs>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分值构成</w:t>
            </w:r>
            <w:r>
              <w:rPr>
                <w:rFonts w:hint="eastAsia"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rPr>
              <w:t>总分</w:t>
            </w:r>
            <w:r>
              <w:rPr>
                <w:rFonts w:hint="eastAsia" w:ascii="Times New Roman" w:hAnsi="Times New Roman" w:cs="Times New Roman" w:eastAsiaTheme="minorEastAsia"/>
                <w:color w:val="auto"/>
                <w:kern w:val="0"/>
                <w:sz w:val="21"/>
                <w:szCs w:val="21"/>
                <w:lang w:val="en-US" w:eastAsia="zh-CN"/>
              </w:rPr>
              <w:t>100</w:t>
            </w:r>
            <w:r>
              <w:rPr>
                <w:rFonts w:hint="default" w:ascii="Times New Roman" w:hAnsi="Times New Roman" w:cs="Times New Roman" w:eastAsiaTheme="minorEastAsia"/>
                <w:color w:val="auto"/>
                <w:kern w:val="0"/>
                <w:sz w:val="21"/>
                <w:szCs w:val="21"/>
              </w:rPr>
              <w:t>分)</w:t>
            </w:r>
          </w:p>
        </w:tc>
        <w:tc>
          <w:tcPr>
            <w:tcW w:w="5562" w:type="dxa"/>
            <w:gridSpan w:val="3"/>
            <w:vAlign w:val="top"/>
          </w:tcPr>
          <w:p w14:paraId="7F3944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1.报价</w:t>
            </w:r>
            <w:r>
              <w:rPr>
                <w:rFonts w:hint="eastAsia" w:cs="Times New Roman" w:eastAsiaTheme="minorEastAsia"/>
                <w:color w:val="auto"/>
                <w:kern w:val="0"/>
                <w:sz w:val="21"/>
                <w:szCs w:val="21"/>
                <w:u w:val="single"/>
                <w:lang w:val="en-US" w:eastAsia="zh-CN"/>
              </w:rPr>
              <w:t>7</w:t>
            </w:r>
            <w:r>
              <w:rPr>
                <w:rFonts w:hint="default" w:ascii="Times New Roman" w:hAnsi="Times New Roman" w:cs="Times New Roman" w:eastAsiaTheme="minorEastAsia"/>
                <w:color w:val="auto"/>
                <w:kern w:val="0"/>
                <w:sz w:val="21"/>
                <w:szCs w:val="21"/>
                <w:u w:val="single"/>
              </w:rPr>
              <w:t>0</w:t>
            </w:r>
            <w:r>
              <w:rPr>
                <w:rFonts w:hint="default" w:ascii="Times New Roman" w:hAnsi="Times New Roman" w:cs="Times New Roman" w:eastAsiaTheme="minorEastAsia"/>
                <w:color w:val="auto"/>
                <w:kern w:val="0"/>
                <w:sz w:val="21"/>
                <w:szCs w:val="21"/>
              </w:rPr>
              <w:t>分；</w:t>
            </w:r>
          </w:p>
          <w:p w14:paraId="19FC8E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2.商务部分</w:t>
            </w:r>
            <w:r>
              <w:rPr>
                <w:rFonts w:hint="eastAsia" w:cs="Times New Roman" w:eastAsiaTheme="minorEastAsia"/>
                <w:color w:val="auto"/>
                <w:kern w:val="0"/>
                <w:sz w:val="21"/>
                <w:szCs w:val="21"/>
                <w:u w:val="single"/>
                <w:lang w:val="en-US" w:eastAsia="zh-CN"/>
              </w:rPr>
              <w:t>1</w:t>
            </w:r>
            <w:r>
              <w:rPr>
                <w:rFonts w:hint="default" w:ascii="Times New Roman" w:hAnsi="Times New Roman" w:cs="Times New Roman" w:eastAsiaTheme="minorEastAsia"/>
                <w:color w:val="auto"/>
                <w:kern w:val="0"/>
                <w:sz w:val="21"/>
                <w:szCs w:val="21"/>
                <w:u w:val="single"/>
              </w:rPr>
              <w:t>0</w:t>
            </w:r>
            <w:r>
              <w:rPr>
                <w:rFonts w:hint="default" w:ascii="Times New Roman" w:hAnsi="Times New Roman" w:cs="Times New Roman" w:eastAsiaTheme="minorEastAsia"/>
                <w:color w:val="auto"/>
                <w:kern w:val="0"/>
                <w:sz w:val="21"/>
                <w:szCs w:val="21"/>
              </w:rPr>
              <w:t>分；</w:t>
            </w:r>
          </w:p>
          <w:p w14:paraId="16CCD3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3.技术部分</w:t>
            </w:r>
            <w:r>
              <w:rPr>
                <w:rFonts w:hint="eastAsia" w:cs="Times New Roman" w:eastAsiaTheme="minorEastAsia"/>
                <w:color w:val="auto"/>
                <w:kern w:val="0"/>
                <w:sz w:val="21"/>
                <w:szCs w:val="21"/>
                <w:u w:val="single"/>
                <w:lang w:val="en-US" w:eastAsia="zh-CN"/>
              </w:rPr>
              <w:t>2</w:t>
            </w:r>
            <w:r>
              <w:rPr>
                <w:rFonts w:hint="default" w:ascii="Times New Roman" w:hAnsi="Times New Roman" w:cs="Times New Roman" w:eastAsiaTheme="minorEastAsia"/>
                <w:color w:val="auto"/>
                <w:kern w:val="0"/>
                <w:sz w:val="21"/>
                <w:szCs w:val="21"/>
                <w:u w:val="single"/>
              </w:rPr>
              <w:t>0</w:t>
            </w:r>
            <w:r>
              <w:rPr>
                <w:rFonts w:hint="default" w:ascii="Times New Roman" w:hAnsi="Times New Roman" w:cs="Times New Roman" w:eastAsiaTheme="minorEastAsia"/>
                <w:color w:val="auto"/>
                <w:kern w:val="0"/>
                <w:sz w:val="21"/>
                <w:szCs w:val="21"/>
              </w:rPr>
              <w:t>分。</w:t>
            </w:r>
          </w:p>
        </w:tc>
      </w:tr>
      <w:tr w14:paraId="7D66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5" w:type="dxa"/>
          <w:trHeight w:val="0" w:hRule="atLeast"/>
          <w:jc w:val="center"/>
        </w:trPr>
        <w:tc>
          <w:tcPr>
            <w:tcW w:w="900" w:type="dxa"/>
            <w:gridSpan w:val="2"/>
            <w:tcBorders>
              <w:bottom w:val="single" w:color="auto" w:sz="4" w:space="0"/>
            </w:tcBorders>
            <w:vAlign w:val="center"/>
          </w:tcPr>
          <w:p w14:paraId="39D7FE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2.2.2</w:t>
            </w:r>
          </w:p>
        </w:tc>
        <w:tc>
          <w:tcPr>
            <w:tcW w:w="1133" w:type="dxa"/>
            <w:gridSpan w:val="3"/>
            <w:tcBorders>
              <w:bottom w:val="single" w:color="auto" w:sz="4" w:space="0"/>
            </w:tcBorders>
            <w:vAlign w:val="center"/>
          </w:tcPr>
          <w:p w14:paraId="1C4316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kern w:val="0"/>
                <w:sz w:val="21"/>
                <w:szCs w:val="21"/>
                <w:lang w:val="en-US" w:eastAsia="zh-CN" w:bidi="ar"/>
              </w:rPr>
              <w:t>评审基准价计算方法</w:t>
            </w:r>
          </w:p>
        </w:tc>
        <w:tc>
          <w:tcPr>
            <w:tcW w:w="1558" w:type="dxa"/>
            <w:vAlign w:val="center"/>
          </w:tcPr>
          <w:p w14:paraId="6DD7D4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总报价</w:t>
            </w:r>
          </w:p>
        </w:tc>
        <w:tc>
          <w:tcPr>
            <w:tcW w:w="5562" w:type="dxa"/>
            <w:gridSpan w:val="3"/>
            <w:vAlign w:val="top"/>
          </w:tcPr>
          <w:p w14:paraId="0CF0AE3C">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Times New Roman" w:hAnsi="Times New Roman" w:cs="Times New Roman" w:eastAsiaTheme="minorEastAsia"/>
                <w:snapToGrid w:val="0"/>
                <w:color w:val="auto"/>
                <w:kern w:val="0"/>
                <w:szCs w:val="21"/>
                <w:lang w:val="en-US" w:eastAsia="zh-CN"/>
              </w:rPr>
            </w:pPr>
            <w:r>
              <w:rPr>
                <w:rFonts w:hint="default" w:ascii="Times New Roman" w:hAnsi="Times New Roman" w:cs="Times New Roman" w:eastAsiaTheme="minorEastAsia"/>
                <w:color w:val="auto"/>
                <w:kern w:val="0"/>
                <w:sz w:val="21"/>
                <w:szCs w:val="21"/>
              </w:rPr>
              <w:t>在通过初步评审后且不高于最高限价和不低于最高限价85%的报价中去掉六分之一（不能整除的按小数前整数取整，不足六家报价则不去掉）的最低价和相同家数的最高价后的算术平均值为</w:t>
            </w:r>
            <w:r>
              <w:rPr>
                <w:rFonts w:hint="eastAsia" w:cs="Times New Roman" w:eastAsiaTheme="minorEastAsia"/>
                <w:color w:val="auto"/>
                <w:kern w:val="0"/>
                <w:sz w:val="21"/>
                <w:szCs w:val="21"/>
                <w:lang w:eastAsia="zh-CN"/>
              </w:rPr>
              <w:t>评审</w:t>
            </w:r>
            <w:r>
              <w:rPr>
                <w:rFonts w:hint="default" w:ascii="Times New Roman" w:hAnsi="Times New Roman" w:cs="Times New Roman" w:eastAsiaTheme="minorEastAsia"/>
                <w:color w:val="auto"/>
                <w:kern w:val="0"/>
                <w:sz w:val="21"/>
                <w:szCs w:val="21"/>
              </w:rPr>
              <w:t>基准价</w:t>
            </w:r>
            <w:r>
              <w:rPr>
                <w:rFonts w:hint="eastAsia" w:cs="Times New Roman" w:eastAsiaTheme="minorEastAsia"/>
                <w:color w:val="auto"/>
                <w:kern w:val="0"/>
                <w:sz w:val="21"/>
                <w:szCs w:val="21"/>
                <w:lang w:eastAsia="zh-CN"/>
              </w:rPr>
              <w:t>。</w:t>
            </w:r>
          </w:p>
          <w:p w14:paraId="5513AEC3">
            <w:pPr>
              <w:keepNext w:val="0"/>
              <w:keepLines w:val="0"/>
              <w:suppressLineNumbers w:val="0"/>
              <w:autoSpaceDN w:val="0"/>
              <w:adjustRightInd w:val="0"/>
              <w:snapToGrid w:val="0"/>
              <w:spacing w:before="0" w:beforeAutospacing="0" w:after="0" w:afterAutospacing="0" w:line="400" w:lineRule="exact"/>
              <w:ind w:left="0" w:right="0" w:firstLine="420" w:firstLineChars="200"/>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评审基准价计算的最终结果取小数点后两位，第三位四舍五入。</w:t>
            </w:r>
          </w:p>
          <w:p w14:paraId="42AA35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left"/>
              <w:rPr>
                <w:rFonts w:hint="default" w:ascii="Times New Roman" w:hAnsi="Times New Roman" w:cs="Times New Roman" w:eastAsiaTheme="minorEastAsia"/>
                <w:color w:val="auto"/>
                <w:kern w:val="0"/>
                <w:sz w:val="21"/>
                <w:szCs w:val="21"/>
              </w:rPr>
            </w:pPr>
            <w:r>
              <w:rPr>
                <w:rFonts w:hint="default" w:ascii="Times New Roman" w:hAnsi="Times New Roman" w:cs="Times New Roman"/>
                <w:snapToGrid w:val="0"/>
                <w:color w:val="auto"/>
                <w:kern w:val="0"/>
                <w:szCs w:val="21"/>
              </w:rPr>
              <w:t>在评审基准价计算完成后（除计算错误外），在后续的评审中不得再对其作出调整。</w:t>
            </w:r>
          </w:p>
        </w:tc>
      </w:tr>
      <w:tr w14:paraId="0F01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5" w:type="dxa"/>
          <w:trHeight w:val="0" w:hRule="atLeast"/>
          <w:jc w:val="center"/>
        </w:trPr>
        <w:tc>
          <w:tcPr>
            <w:tcW w:w="900" w:type="dxa"/>
            <w:gridSpan w:val="2"/>
            <w:tcBorders>
              <w:bottom w:val="single" w:color="auto" w:sz="4" w:space="0"/>
            </w:tcBorders>
            <w:vAlign w:val="center"/>
          </w:tcPr>
          <w:p w14:paraId="3A80A5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2.2.4</w:t>
            </w:r>
          </w:p>
        </w:tc>
        <w:tc>
          <w:tcPr>
            <w:tcW w:w="1133" w:type="dxa"/>
            <w:gridSpan w:val="3"/>
            <w:tcBorders>
              <w:bottom w:val="single" w:color="auto" w:sz="4" w:space="0"/>
            </w:tcBorders>
            <w:vAlign w:val="center"/>
          </w:tcPr>
          <w:p w14:paraId="7A8B6D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snapToGrid w:val="0"/>
                <w:color w:val="auto"/>
                <w:kern w:val="0"/>
                <w:szCs w:val="21"/>
              </w:rPr>
              <w:t>偏差率计算</w:t>
            </w:r>
          </w:p>
        </w:tc>
        <w:tc>
          <w:tcPr>
            <w:tcW w:w="7120" w:type="dxa"/>
            <w:gridSpan w:val="4"/>
            <w:vAlign w:val="center"/>
          </w:tcPr>
          <w:p w14:paraId="778EA973">
            <w:pPr>
              <w:keepNext w:val="0"/>
              <w:keepLines w:val="0"/>
              <w:suppressLineNumbers w:val="0"/>
              <w:autoSpaceDN w:val="0"/>
              <w:adjustRightInd w:val="0"/>
              <w:snapToGrid w:val="0"/>
              <w:spacing w:before="0" w:beforeAutospacing="0" w:after="0" w:afterAutospacing="0" w:line="400" w:lineRule="exact"/>
              <w:ind w:left="0" w:right="0" w:firstLine="420" w:firstLineChars="200"/>
              <w:rPr>
                <w:rFonts w:hint="default" w:ascii="Times New Roman" w:hAnsi="Times New Roman" w:cs="Times New Roman" w:eastAsiaTheme="minorEastAsia"/>
                <w:snapToGrid w:val="0"/>
                <w:color w:val="auto"/>
                <w:kern w:val="0"/>
                <w:sz w:val="21"/>
                <w:szCs w:val="21"/>
              </w:rPr>
            </w:pPr>
            <w:r>
              <w:rPr>
                <w:rFonts w:hint="eastAsia" w:cs="Times New Roman" w:eastAsiaTheme="minorEastAsia"/>
                <w:snapToGrid w:val="0"/>
                <w:color w:val="auto"/>
                <w:kern w:val="0"/>
                <w:sz w:val="21"/>
                <w:szCs w:val="21"/>
                <w:lang w:eastAsia="zh-CN"/>
              </w:rPr>
              <w:t>比选</w:t>
            </w:r>
            <w:r>
              <w:rPr>
                <w:rFonts w:hint="default" w:ascii="Times New Roman" w:hAnsi="Times New Roman" w:cs="Times New Roman" w:eastAsiaTheme="minorEastAsia"/>
                <w:snapToGrid w:val="0"/>
                <w:color w:val="auto"/>
                <w:kern w:val="0"/>
                <w:sz w:val="21"/>
                <w:szCs w:val="21"/>
              </w:rPr>
              <w:t>报价的偏差率计算公式</w:t>
            </w:r>
          </w:p>
          <w:p w14:paraId="60D4761A">
            <w:pPr>
              <w:keepNext w:val="0"/>
              <w:keepLines w:val="0"/>
              <w:suppressLineNumbers w:val="0"/>
              <w:autoSpaceDN w:val="0"/>
              <w:adjustRightInd w:val="0"/>
              <w:snapToGrid w:val="0"/>
              <w:spacing w:before="0" w:beforeAutospacing="0" w:after="0" w:afterAutospacing="0" w:line="400" w:lineRule="exact"/>
              <w:ind w:left="0" w:right="0" w:firstLine="420" w:firstLineChars="200"/>
              <w:rPr>
                <w:rFonts w:hint="default" w:ascii="Times New Roman" w:hAnsi="Times New Roman" w:cs="Times New Roman" w:eastAsiaTheme="minorEastAsia"/>
                <w:snapToGrid w:val="0"/>
                <w:color w:val="auto"/>
                <w:kern w:val="0"/>
                <w:sz w:val="21"/>
                <w:szCs w:val="21"/>
              </w:rPr>
            </w:pPr>
            <w:r>
              <w:rPr>
                <w:rFonts w:hint="default" w:ascii="Times New Roman" w:hAnsi="Times New Roman" w:cs="Times New Roman" w:eastAsiaTheme="minorEastAsia"/>
                <w:snapToGrid w:val="0"/>
                <w:color w:val="auto"/>
                <w:kern w:val="0"/>
                <w:sz w:val="21"/>
                <w:szCs w:val="21"/>
              </w:rPr>
              <w:t>偏差率=100%×（</w:t>
            </w:r>
            <w:r>
              <w:rPr>
                <w:rFonts w:hint="eastAsia" w:cs="Times New Roman" w:eastAsiaTheme="minorEastAsia"/>
                <w:snapToGrid w:val="0"/>
                <w:color w:val="auto"/>
                <w:kern w:val="0"/>
                <w:sz w:val="21"/>
                <w:szCs w:val="21"/>
                <w:lang w:eastAsia="zh-CN"/>
              </w:rPr>
              <w:t>报价人比选</w:t>
            </w:r>
            <w:r>
              <w:rPr>
                <w:rFonts w:hint="default" w:ascii="Times New Roman" w:hAnsi="Times New Roman" w:cs="Times New Roman" w:eastAsiaTheme="minorEastAsia"/>
                <w:snapToGrid w:val="0"/>
                <w:color w:val="auto"/>
                <w:kern w:val="0"/>
                <w:sz w:val="21"/>
                <w:szCs w:val="21"/>
              </w:rPr>
              <w:t>报价-评审基准价）/评审基准价</w:t>
            </w:r>
          </w:p>
          <w:p w14:paraId="352E8A7F">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snapToGrid w:val="0"/>
                <w:color w:val="auto"/>
                <w:kern w:val="0"/>
                <w:sz w:val="21"/>
                <w:szCs w:val="21"/>
              </w:rPr>
              <w:t>偏差率计算的最终结果取小数点后两位，小数点后第三位“四舍五入”。</w:t>
            </w:r>
          </w:p>
        </w:tc>
      </w:tr>
      <w:tr w14:paraId="4D76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5" w:type="dxa"/>
          <w:trHeight w:val="0" w:hRule="atLeast"/>
          <w:jc w:val="center"/>
        </w:trPr>
        <w:tc>
          <w:tcPr>
            <w:tcW w:w="900" w:type="dxa"/>
            <w:gridSpan w:val="2"/>
            <w:tcBorders>
              <w:bottom w:val="single" w:color="auto" w:sz="4" w:space="0"/>
            </w:tcBorders>
            <w:vAlign w:val="center"/>
          </w:tcPr>
          <w:p w14:paraId="577FE4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2.2.3（1）</w:t>
            </w:r>
          </w:p>
        </w:tc>
        <w:tc>
          <w:tcPr>
            <w:tcW w:w="1133" w:type="dxa"/>
            <w:gridSpan w:val="3"/>
            <w:tcBorders>
              <w:bottom w:val="single" w:color="auto" w:sz="4" w:space="0"/>
            </w:tcBorders>
            <w:vAlign w:val="center"/>
          </w:tcPr>
          <w:p w14:paraId="5EB76B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报价评分标准</w:t>
            </w:r>
          </w:p>
          <w:p w14:paraId="227355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rPr>
              <w:t>（</w:t>
            </w:r>
            <w:r>
              <w:rPr>
                <w:rFonts w:hint="eastAsia" w:cs="Times New Roman" w:eastAsiaTheme="minorEastAsia"/>
                <w:color w:val="auto"/>
                <w:kern w:val="0"/>
                <w:sz w:val="21"/>
                <w:szCs w:val="21"/>
                <w:lang w:val="en-US" w:eastAsia="zh-CN"/>
              </w:rPr>
              <w:t>7</w:t>
            </w:r>
            <w:r>
              <w:rPr>
                <w:rFonts w:hint="default" w:ascii="Times New Roman" w:hAnsi="Times New Roman" w:cs="Times New Roman" w:eastAsiaTheme="minorEastAsia"/>
                <w:color w:val="auto"/>
                <w:kern w:val="0"/>
                <w:sz w:val="21"/>
                <w:szCs w:val="21"/>
                <w:lang w:val="en-US" w:eastAsia="zh-CN"/>
              </w:rPr>
              <w:t>0</w:t>
            </w:r>
            <w:r>
              <w:rPr>
                <w:rFonts w:hint="default" w:ascii="Times New Roman" w:hAnsi="Times New Roman" w:cs="Times New Roman" w:eastAsiaTheme="minorEastAsia"/>
                <w:color w:val="auto"/>
                <w:kern w:val="0"/>
                <w:sz w:val="21"/>
                <w:szCs w:val="21"/>
              </w:rPr>
              <w:t>分）</w:t>
            </w:r>
          </w:p>
        </w:tc>
        <w:tc>
          <w:tcPr>
            <w:tcW w:w="7120" w:type="dxa"/>
            <w:gridSpan w:val="4"/>
            <w:vAlign w:val="center"/>
          </w:tcPr>
          <w:p w14:paraId="5DEFB3AE">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snapToGrid w:val="0"/>
                <w:color w:val="auto"/>
                <w:kern w:val="0"/>
                <w:sz w:val="21"/>
                <w:szCs w:val="21"/>
              </w:rPr>
            </w:pPr>
            <w:r>
              <w:rPr>
                <w:rFonts w:hint="default" w:ascii="Times New Roman" w:hAnsi="Times New Roman" w:cs="Times New Roman" w:eastAsiaTheme="minorEastAsia"/>
                <w:snapToGrid w:val="0"/>
                <w:color w:val="auto"/>
                <w:kern w:val="0"/>
                <w:sz w:val="21"/>
                <w:szCs w:val="21"/>
              </w:rPr>
              <w:t>所有通过初步评审的有效</w:t>
            </w:r>
            <w:r>
              <w:rPr>
                <w:rFonts w:hint="eastAsia" w:ascii="Times New Roman" w:hAnsi="Times New Roman" w:cs="Times New Roman" w:eastAsiaTheme="minorEastAsia"/>
                <w:snapToGrid w:val="0"/>
                <w:color w:val="auto"/>
                <w:kern w:val="0"/>
                <w:sz w:val="21"/>
                <w:szCs w:val="21"/>
                <w:lang w:eastAsia="zh-CN"/>
              </w:rPr>
              <w:t>比选</w:t>
            </w:r>
            <w:r>
              <w:rPr>
                <w:rFonts w:hint="default" w:ascii="Times New Roman" w:hAnsi="Times New Roman" w:cs="Times New Roman" w:eastAsiaTheme="minorEastAsia"/>
                <w:snapToGrid w:val="0"/>
                <w:color w:val="auto"/>
                <w:kern w:val="0"/>
                <w:sz w:val="21"/>
                <w:szCs w:val="21"/>
              </w:rPr>
              <w:t>总报价得本附表2.2.1项规定分值的满分</w:t>
            </w:r>
            <w:r>
              <w:rPr>
                <w:rFonts w:hint="eastAsia" w:ascii="Times New Roman" w:hAnsi="Times New Roman" w:cs="Times New Roman" w:eastAsiaTheme="minorEastAsia"/>
                <w:snapToGrid w:val="0"/>
                <w:color w:val="auto"/>
                <w:kern w:val="0"/>
                <w:sz w:val="21"/>
                <w:szCs w:val="21"/>
                <w:lang w:val="en-US" w:eastAsia="zh-CN"/>
              </w:rPr>
              <w:t>5</w:t>
            </w:r>
            <w:r>
              <w:rPr>
                <w:rFonts w:hint="default" w:ascii="Times New Roman" w:hAnsi="Times New Roman" w:cs="Times New Roman" w:eastAsiaTheme="minorEastAsia"/>
                <w:snapToGrid w:val="0"/>
                <w:color w:val="auto"/>
                <w:kern w:val="0"/>
                <w:sz w:val="21"/>
                <w:szCs w:val="21"/>
                <w:lang w:val="en-US" w:eastAsia="zh-CN"/>
              </w:rPr>
              <w:t>0</w:t>
            </w:r>
            <w:r>
              <w:rPr>
                <w:rFonts w:hint="default" w:ascii="Times New Roman" w:hAnsi="Times New Roman" w:cs="Times New Roman" w:eastAsiaTheme="minorEastAsia"/>
                <w:snapToGrid w:val="0"/>
                <w:color w:val="auto"/>
                <w:kern w:val="0"/>
                <w:sz w:val="21"/>
                <w:szCs w:val="21"/>
              </w:rPr>
              <w:t>分。</w:t>
            </w:r>
            <w:r>
              <w:rPr>
                <w:rFonts w:hint="default" w:ascii="Times New Roman" w:hAnsi="Times New Roman" w:cs="Times New Roman"/>
                <w:snapToGrid w:val="0"/>
                <w:color w:val="auto"/>
                <w:kern w:val="0"/>
                <w:sz w:val="21"/>
                <w:szCs w:val="21"/>
              </w:rPr>
              <w:t>在此基础上，</w:t>
            </w:r>
            <w:r>
              <w:rPr>
                <w:rFonts w:hint="eastAsia" w:ascii="Times New Roman" w:hAnsi="Times New Roman" w:cs="Times New Roman"/>
                <w:snapToGrid w:val="0"/>
                <w:color w:val="auto"/>
                <w:kern w:val="0"/>
                <w:sz w:val="21"/>
                <w:szCs w:val="21"/>
                <w:lang w:eastAsia="zh-CN"/>
              </w:rPr>
              <w:t>比选</w:t>
            </w:r>
            <w:r>
              <w:rPr>
                <w:rFonts w:hint="default" w:ascii="Times New Roman" w:hAnsi="Times New Roman" w:cs="Times New Roman"/>
                <w:snapToGrid w:val="0"/>
                <w:color w:val="auto"/>
                <w:kern w:val="0"/>
                <w:sz w:val="21"/>
                <w:szCs w:val="21"/>
              </w:rPr>
              <w:t>总报价与评审基准价相比，每增加</w:t>
            </w:r>
            <w:r>
              <w:rPr>
                <w:rFonts w:hint="default" w:ascii="Times New Roman" w:hAnsi="Times New Roman" w:cs="Times New Roman"/>
                <w:snapToGrid w:val="0"/>
                <w:color w:val="auto"/>
                <w:kern w:val="0"/>
                <w:sz w:val="21"/>
                <w:szCs w:val="21"/>
                <w:u w:val="single"/>
              </w:rPr>
              <w:t>1%</w:t>
            </w:r>
            <w:r>
              <w:rPr>
                <w:rFonts w:hint="default" w:ascii="Times New Roman" w:hAnsi="Times New Roman" w:cs="Times New Roman"/>
                <w:snapToGrid w:val="0"/>
                <w:color w:val="auto"/>
                <w:kern w:val="0"/>
                <w:sz w:val="21"/>
                <w:szCs w:val="21"/>
              </w:rPr>
              <w:t>扣</w:t>
            </w:r>
            <w:r>
              <w:rPr>
                <w:rFonts w:hint="default" w:ascii="Times New Roman" w:hAnsi="Times New Roman" w:cs="Times New Roman"/>
                <w:snapToGrid w:val="0"/>
                <w:color w:val="auto"/>
                <w:kern w:val="0"/>
                <w:sz w:val="21"/>
                <w:szCs w:val="21"/>
                <w:u w:val="single"/>
              </w:rPr>
              <w:t>0.</w:t>
            </w:r>
            <w:r>
              <w:rPr>
                <w:rFonts w:hint="eastAsia" w:ascii="Times New Roman" w:hAnsi="Times New Roman" w:cs="Times New Roman"/>
                <w:snapToGrid w:val="0"/>
                <w:color w:val="auto"/>
                <w:kern w:val="0"/>
                <w:sz w:val="21"/>
                <w:szCs w:val="21"/>
                <w:u w:val="single"/>
                <w:lang w:val="en-US" w:eastAsia="zh-CN"/>
              </w:rPr>
              <w:t>5</w:t>
            </w:r>
            <w:r>
              <w:rPr>
                <w:rFonts w:hint="default" w:ascii="Times New Roman" w:hAnsi="Times New Roman" w:cs="Times New Roman"/>
                <w:snapToGrid w:val="0"/>
                <w:color w:val="auto"/>
                <w:kern w:val="0"/>
                <w:sz w:val="21"/>
                <w:szCs w:val="21"/>
              </w:rPr>
              <w:t>分，每减少</w:t>
            </w:r>
            <w:r>
              <w:rPr>
                <w:rFonts w:hint="default" w:ascii="Times New Roman" w:hAnsi="Times New Roman" w:cs="Times New Roman"/>
                <w:snapToGrid w:val="0"/>
                <w:color w:val="auto"/>
                <w:kern w:val="0"/>
                <w:sz w:val="21"/>
                <w:szCs w:val="21"/>
                <w:u w:val="single"/>
              </w:rPr>
              <w:t>1%</w:t>
            </w:r>
            <w:r>
              <w:rPr>
                <w:rFonts w:hint="default" w:ascii="Times New Roman" w:hAnsi="Times New Roman" w:cs="Times New Roman"/>
                <w:snapToGrid w:val="0"/>
                <w:color w:val="auto"/>
                <w:kern w:val="0"/>
                <w:sz w:val="21"/>
                <w:szCs w:val="21"/>
              </w:rPr>
              <w:t>扣</w:t>
            </w:r>
            <w:r>
              <w:rPr>
                <w:rFonts w:hint="default" w:ascii="Times New Roman" w:hAnsi="Times New Roman" w:cs="Times New Roman"/>
                <w:snapToGrid w:val="0"/>
                <w:color w:val="auto"/>
                <w:kern w:val="0"/>
                <w:sz w:val="21"/>
                <w:szCs w:val="21"/>
                <w:u w:val="single"/>
              </w:rPr>
              <w:t>0.</w:t>
            </w:r>
            <w:r>
              <w:rPr>
                <w:rFonts w:hint="eastAsia" w:ascii="Times New Roman" w:hAnsi="Times New Roman" w:cs="Times New Roman"/>
                <w:snapToGrid w:val="0"/>
                <w:color w:val="auto"/>
                <w:kern w:val="0"/>
                <w:sz w:val="21"/>
                <w:szCs w:val="21"/>
                <w:u w:val="single"/>
                <w:lang w:val="en-US" w:eastAsia="zh-CN"/>
              </w:rPr>
              <w:t>2</w:t>
            </w:r>
            <w:r>
              <w:rPr>
                <w:rFonts w:hint="default" w:ascii="Times New Roman" w:hAnsi="Times New Roman" w:cs="Times New Roman"/>
                <w:snapToGrid w:val="0"/>
                <w:color w:val="auto"/>
                <w:kern w:val="0"/>
                <w:sz w:val="21"/>
                <w:szCs w:val="21"/>
              </w:rPr>
              <w:t>分，</w:t>
            </w:r>
            <w:r>
              <w:rPr>
                <w:rFonts w:hint="default" w:ascii="Times New Roman" w:hAnsi="Times New Roman" w:cs="Times New Roman" w:eastAsiaTheme="minorEastAsia"/>
                <w:snapToGrid w:val="0"/>
                <w:color w:val="auto"/>
                <w:kern w:val="0"/>
                <w:sz w:val="21"/>
                <w:szCs w:val="21"/>
              </w:rPr>
              <w:t>扣完为止。</w:t>
            </w:r>
          </w:p>
          <w:p w14:paraId="411E632B">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按插入法计算得分。</w:t>
            </w:r>
          </w:p>
          <w:p w14:paraId="6E266A4B">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rPr>
              <w:t>未参与评审基准价计算的</w:t>
            </w:r>
            <w:r>
              <w:rPr>
                <w:rFonts w:hint="eastAsia" w:cs="Times New Roman"/>
                <w:snapToGrid w:val="0"/>
                <w:color w:val="auto"/>
                <w:kern w:val="0"/>
                <w:sz w:val="21"/>
                <w:szCs w:val="21"/>
                <w:lang w:eastAsia="zh-CN"/>
              </w:rPr>
              <w:t>比选</w:t>
            </w:r>
            <w:r>
              <w:rPr>
                <w:rFonts w:hint="default" w:ascii="Times New Roman" w:hAnsi="Times New Roman" w:cs="Times New Roman"/>
                <w:snapToGrid w:val="0"/>
                <w:color w:val="auto"/>
                <w:kern w:val="0"/>
                <w:sz w:val="21"/>
                <w:szCs w:val="21"/>
              </w:rPr>
              <w:t>总报价，仍应参加计算相应分值。</w:t>
            </w:r>
          </w:p>
          <w:p w14:paraId="78A964FE">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color w:val="auto"/>
                <w:kern w:val="2"/>
                <w:sz w:val="21"/>
                <w:szCs w:val="21"/>
                <w:lang w:val="en-US" w:eastAsia="zh-CN" w:bidi="ar"/>
              </w:rPr>
            </w:pPr>
            <w:r>
              <w:rPr>
                <w:rFonts w:hint="eastAsia" w:ascii="Times New Roman" w:hAnsi="Times New Roman" w:cs="Times New Roman"/>
                <w:snapToGrid w:val="0"/>
                <w:color w:val="auto"/>
                <w:kern w:val="0"/>
                <w:sz w:val="21"/>
                <w:szCs w:val="21"/>
                <w:lang w:eastAsia="zh-CN"/>
              </w:rPr>
              <w:t>比选</w:t>
            </w:r>
            <w:r>
              <w:rPr>
                <w:rFonts w:hint="default" w:ascii="Times New Roman" w:hAnsi="Times New Roman" w:cs="Times New Roman"/>
                <w:snapToGrid w:val="0"/>
                <w:color w:val="auto"/>
                <w:kern w:val="0"/>
                <w:sz w:val="21"/>
                <w:szCs w:val="21"/>
              </w:rPr>
              <w:t>总报价得分最终结果取小数点后两位，第三位四舍五入。</w:t>
            </w:r>
          </w:p>
        </w:tc>
      </w:tr>
      <w:tr w14:paraId="5F53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5" w:type="dxa"/>
          <w:trHeight w:val="0" w:hRule="atLeast"/>
          <w:jc w:val="center"/>
        </w:trPr>
        <w:tc>
          <w:tcPr>
            <w:tcW w:w="900" w:type="dxa"/>
            <w:gridSpan w:val="2"/>
            <w:vMerge w:val="restart"/>
            <w:vAlign w:val="center"/>
          </w:tcPr>
          <w:p w14:paraId="2339D4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2.2.3</w:t>
            </w:r>
          </w:p>
          <w:p w14:paraId="6747B4FD">
            <w:pPr>
              <w:pStyle w:val="4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1133" w:type="dxa"/>
            <w:gridSpan w:val="3"/>
            <w:vMerge w:val="restart"/>
            <w:vAlign w:val="center"/>
          </w:tcPr>
          <w:p w14:paraId="05C1CD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kern w:val="2"/>
                <w:sz w:val="21"/>
                <w:szCs w:val="21"/>
                <w:highlight w:val="none"/>
                <w:lang w:val="en-US" w:eastAsia="zh-CN" w:bidi="ar"/>
              </w:rPr>
              <w:t>商务评分标准（</w:t>
            </w:r>
            <w:r>
              <w:rPr>
                <w:rFonts w:hint="eastAsia" w:cs="Times New Roman" w:eastAsiaTheme="minorEastAsia"/>
                <w:b w:val="0"/>
                <w:bCs/>
                <w:color w:val="auto"/>
                <w:kern w:val="2"/>
                <w:sz w:val="21"/>
                <w:szCs w:val="21"/>
                <w:highlight w:val="none"/>
                <w:lang w:val="en-US" w:eastAsia="zh-CN" w:bidi="ar"/>
              </w:rPr>
              <w:t>10</w:t>
            </w:r>
            <w:r>
              <w:rPr>
                <w:rFonts w:hint="default" w:ascii="Times New Roman" w:hAnsi="Times New Roman" w:cs="Times New Roman" w:eastAsiaTheme="minorEastAsia"/>
                <w:b w:val="0"/>
                <w:bCs/>
                <w:color w:val="auto"/>
                <w:kern w:val="2"/>
                <w:sz w:val="21"/>
                <w:szCs w:val="21"/>
                <w:highlight w:val="none"/>
                <w:lang w:val="en-US" w:eastAsia="zh-CN" w:bidi="ar"/>
              </w:rPr>
              <w:t>分）</w:t>
            </w:r>
          </w:p>
        </w:tc>
        <w:tc>
          <w:tcPr>
            <w:tcW w:w="1558" w:type="dxa"/>
            <w:vAlign w:val="center"/>
          </w:tcPr>
          <w:p w14:paraId="7FF7A74D">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22"/>
                <w:szCs w:val="22"/>
              </w:rPr>
            </w:pPr>
          </w:p>
          <w:p w14:paraId="063276A6">
            <w:pPr>
              <w:pStyle w:val="2"/>
              <w:keepNext w:val="0"/>
              <w:keepLines w:val="0"/>
              <w:suppressLineNumbers w:val="0"/>
              <w:spacing w:before="0" w:beforeAutospacing="0" w:afterAutospacing="0"/>
              <w:ind w:left="0" w:right="0"/>
              <w:jc w:val="center"/>
              <w:rPr>
                <w:rFonts w:hint="eastAsia" w:ascii="宋体" w:hAnsi="宋体" w:eastAsia="宋体" w:cs="宋体"/>
              </w:rPr>
            </w:pPr>
          </w:p>
          <w:p w14:paraId="3D19240D">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22"/>
                <w:szCs w:val="22"/>
              </w:rPr>
            </w:pPr>
            <w:r>
              <w:rPr>
                <w:rFonts w:hint="eastAsia" w:ascii="宋体" w:hAnsi="宋体" w:eastAsia="宋体" w:cs="宋体"/>
                <w:sz w:val="22"/>
                <w:szCs w:val="22"/>
              </w:rPr>
              <w:t>业绩要求（</w:t>
            </w:r>
            <w:r>
              <w:rPr>
                <w:rFonts w:hint="eastAsia" w:ascii="宋体" w:hAnsi="宋体" w:eastAsia="宋体" w:cs="宋体"/>
                <w:sz w:val="22"/>
                <w:szCs w:val="22"/>
                <w:lang w:val="en-US" w:eastAsia="zh-CN"/>
              </w:rPr>
              <w:t>7</w:t>
            </w:r>
            <w:r>
              <w:rPr>
                <w:rFonts w:hint="eastAsia" w:ascii="宋体" w:hAnsi="宋体" w:eastAsia="宋体" w:cs="宋体"/>
                <w:sz w:val="22"/>
                <w:szCs w:val="22"/>
              </w:rPr>
              <w:t>分）</w:t>
            </w:r>
          </w:p>
          <w:p w14:paraId="7793EEFF">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lang w:val="en-US" w:eastAsia="zh-CN" w:bidi="ar"/>
              </w:rPr>
            </w:pPr>
          </w:p>
        </w:tc>
        <w:tc>
          <w:tcPr>
            <w:tcW w:w="5562" w:type="dxa"/>
            <w:gridSpan w:val="3"/>
            <w:vAlign w:val="center"/>
          </w:tcPr>
          <w:p w14:paraId="21ACECE1">
            <w:pPr>
              <w:keepNext w:val="0"/>
              <w:keepLines w:val="0"/>
              <w:numPr>
                <w:ilvl w:val="0"/>
                <w:numId w:val="0"/>
              </w:numPr>
              <w:suppressLineNumbers w:val="0"/>
              <w:snapToGrid w:val="0"/>
              <w:spacing w:before="0" w:beforeAutospacing="0" w:after="0" w:afterAutospacing="0" w:line="400" w:lineRule="exact"/>
              <w:ind w:left="420" w:leftChars="200" w:right="0" w:firstLine="0" w:firstLineChars="0"/>
              <w:rPr>
                <w:rFonts w:hint="eastAsia"/>
              </w:rPr>
            </w:pPr>
            <w:r>
              <w:rPr>
                <w:rFonts w:hint="eastAsia"/>
              </w:rPr>
              <w:t>满足资格条件的业绩要求得4分；</w:t>
            </w:r>
          </w:p>
          <w:p w14:paraId="62690D04">
            <w:pPr>
              <w:keepNext w:val="0"/>
              <w:keepLines w:val="0"/>
              <w:numPr>
                <w:ilvl w:val="0"/>
                <w:numId w:val="0"/>
              </w:numPr>
              <w:suppressLineNumbers w:val="0"/>
              <w:snapToGrid w:val="0"/>
              <w:spacing w:before="0" w:beforeAutospacing="0" w:after="0" w:afterAutospacing="0" w:line="400" w:lineRule="exact"/>
              <w:ind w:left="0" w:leftChars="0" w:right="0" w:firstLine="420" w:firstLineChars="200"/>
              <w:rPr>
                <w:rFonts w:hint="eastAsia"/>
              </w:rPr>
            </w:pPr>
            <w:r>
              <w:rPr>
                <w:rFonts w:hint="eastAsia"/>
              </w:rPr>
              <w:t>1.在满足资格要求基础上2021年1月1日至投标截止日（以合同签订时间为准）每额外完成一个合同额</w:t>
            </w:r>
            <w:r>
              <w:rPr>
                <w:rFonts w:hint="eastAsia"/>
                <w:lang w:val="en-US" w:eastAsia="zh-CN"/>
              </w:rPr>
              <w:t>25</w:t>
            </w:r>
            <w:r>
              <w:rPr>
                <w:rFonts w:hint="eastAsia"/>
              </w:rPr>
              <w:t>0万元以上的10kv及以上高压外线工程施工业绩的得1分，满分2分。</w:t>
            </w:r>
          </w:p>
          <w:p w14:paraId="1F778D39">
            <w:pPr>
              <w:keepNext w:val="0"/>
              <w:keepLines w:val="0"/>
              <w:numPr>
                <w:ilvl w:val="0"/>
                <w:numId w:val="0"/>
              </w:numPr>
              <w:suppressLineNumbers w:val="0"/>
              <w:snapToGrid w:val="0"/>
              <w:spacing w:before="0" w:beforeAutospacing="0" w:after="0" w:afterAutospacing="0" w:line="400" w:lineRule="exact"/>
              <w:ind w:left="0" w:leftChars="0" w:right="0" w:firstLine="420" w:firstLineChars="200"/>
              <w:rPr>
                <w:rFonts w:hint="eastAsia"/>
              </w:rPr>
            </w:pPr>
            <w:r>
              <w:rPr>
                <w:rFonts w:hint="eastAsia"/>
              </w:rPr>
              <w:t>2.在满足资格要求基础上2021年1月1日至投标截止日（以合同签订时间为准）每额外完成一个合同额</w:t>
            </w:r>
            <w:r>
              <w:rPr>
                <w:rFonts w:hint="eastAsia"/>
                <w:lang w:val="en-US" w:eastAsia="zh-CN"/>
              </w:rPr>
              <w:t>25</w:t>
            </w:r>
            <w:r>
              <w:rPr>
                <w:rFonts w:hint="eastAsia"/>
              </w:rPr>
              <w:t>0万元以上的10kv及以上高速公路高压外线工程施工业绩的得1分，满分1分。</w:t>
            </w:r>
          </w:p>
          <w:p w14:paraId="13C1106F">
            <w:pPr>
              <w:keepNext w:val="0"/>
              <w:keepLines w:val="0"/>
              <w:numPr>
                <w:ilvl w:val="0"/>
                <w:numId w:val="0"/>
              </w:numPr>
              <w:suppressLineNumbers w:val="0"/>
              <w:snapToGrid w:val="0"/>
              <w:spacing w:before="0" w:beforeAutospacing="0" w:after="0" w:afterAutospacing="0" w:line="400" w:lineRule="exact"/>
              <w:ind w:left="0" w:leftChars="0" w:right="0" w:firstLine="420" w:firstLineChars="200"/>
              <w:rPr>
                <w:rFonts w:hint="eastAsia"/>
              </w:rPr>
            </w:pPr>
            <w:r>
              <w:rPr>
                <w:rFonts w:hint="eastAsia"/>
              </w:rPr>
              <w:t>注：（1）提供合同扫描件（合同需清晰反映上述业绩要求的主要内容，包括但不限于项目类型、合同金额及供货内容），合同原件备查。</w:t>
            </w:r>
          </w:p>
          <w:p w14:paraId="7B513428">
            <w:pPr>
              <w:keepNext w:val="0"/>
              <w:keepLines w:val="0"/>
              <w:numPr>
                <w:ilvl w:val="0"/>
                <w:numId w:val="0"/>
              </w:numPr>
              <w:suppressLineNumbers w:val="0"/>
              <w:snapToGrid w:val="0"/>
              <w:spacing w:before="0" w:beforeAutospacing="0" w:after="0" w:afterAutospacing="0" w:line="400" w:lineRule="exact"/>
              <w:ind w:left="420" w:leftChars="200" w:right="0" w:firstLine="0" w:firstLineChars="0"/>
              <w:rPr>
                <w:rFonts w:hint="eastAsia"/>
              </w:rPr>
            </w:pPr>
            <w:r>
              <w:rPr>
                <w:rFonts w:hint="eastAsia"/>
              </w:rPr>
              <w:t>（2）同一业绩不可重复加分。</w:t>
            </w:r>
          </w:p>
          <w:p w14:paraId="1F68DE1A">
            <w:pPr>
              <w:keepNext w:val="0"/>
              <w:keepLines w:val="0"/>
              <w:numPr>
                <w:ilvl w:val="0"/>
                <w:numId w:val="0"/>
              </w:numPr>
              <w:suppressLineNumbers w:val="0"/>
              <w:snapToGrid w:val="0"/>
              <w:spacing w:before="0" w:beforeAutospacing="0" w:after="0" w:afterAutospacing="0" w:line="400" w:lineRule="exact"/>
              <w:ind w:left="420" w:leftChars="200" w:right="0" w:firstLine="0" w:firstLineChars="0"/>
              <w:rPr>
                <w:rFonts w:hint="eastAsia"/>
                <w:lang w:val="en-US" w:eastAsia="zh-CN"/>
              </w:rPr>
            </w:pPr>
            <w:r>
              <w:rPr>
                <w:rFonts w:hint="eastAsia"/>
              </w:rPr>
              <w:t>（3）联合体投标的，由联合体牵头人提供。</w:t>
            </w:r>
          </w:p>
        </w:tc>
      </w:tr>
      <w:tr w14:paraId="143B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5" w:type="dxa"/>
          <w:trHeight w:val="0" w:hRule="atLeast"/>
          <w:jc w:val="center"/>
        </w:trPr>
        <w:tc>
          <w:tcPr>
            <w:tcW w:w="900" w:type="dxa"/>
            <w:gridSpan w:val="2"/>
            <w:vMerge w:val="continue"/>
            <w:tcBorders>
              <w:bottom w:val="single" w:color="auto" w:sz="4" w:space="0"/>
            </w:tcBorders>
            <w:vAlign w:val="center"/>
          </w:tcPr>
          <w:p w14:paraId="431689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rPr>
            </w:pPr>
          </w:p>
        </w:tc>
        <w:tc>
          <w:tcPr>
            <w:tcW w:w="1133" w:type="dxa"/>
            <w:gridSpan w:val="3"/>
            <w:vMerge w:val="continue"/>
            <w:tcBorders>
              <w:bottom w:val="single" w:color="auto" w:sz="4" w:space="0"/>
            </w:tcBorders>
            <w:vAlign w:val="center"/>
          </w:tcPr>
          <w:p w14:paraId="27C482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both"/>
              <w:rPr>
                <w:rFonts w:hint="default" w:ascii="Times New Roman" w:hAnsi="Times New Roman" w:cs="Times New Roman" w:eastAsiaTheme="minorEastAsia"/>
                <w:color w:val="auto"/>
                <w:sz w:val="21"/>
                <w:szCs w:val="21"/>
              </w:rPr>
            </w:pPr>
          </w:p>
        </w:tc>
        <w:tc>
          <w:tcPr>
            <w:tcW w:w="1558" w:type="dxa"/>
            <w:vAlign w:val="center"/>
          </w:tcPr>
          <w:p w14:paraId="30087581">
            <w:pPr>
              <w:keepNext w:val="0"/>
              <w:keepLines w:val="0"/>
              <w:suppressLineNumbers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财务要求</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5562" w:type="dxa"/>
            <w:gridSpan w:val="3"/>
            <w:vAlign w:val="center"/>
          </w:tcPr>
          <w:p w14:paraId="3FEA1A8F">
            <w:pPr>
              <w:keepNext w:val="0"/>
              <w:keepLines w:val="0"/>
              <w:numPr>
                <w:ilvl w:val="0"/>
                <w:numId w:val="0"/>
              </w:numPr>
              <w:suppressLineNumbers w:val="0"/>
              <w:snapToGrid w:val="0"/>
              <w:spacing w:before="0" w:beforeAutospacing="0" w:after="0" w:afterAutospacing="0" w:line="400" w:lineRule="exact"/>
              <w:ind w:left="0" w:leftChars="0" w:right="0"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u w:val="none"/>
              </w:rPr>
              <w:t>投标人2021年、2022年以及2023年经营状况良好，3年均不亏损得3分，仅有2年不亏损得2分，有1年不亏损得1分，3年均存在亏损不得分，满分3分。</w:t>
            </w:r>
          </w:p>
          <w:p w14:paraId="69A1D4D7">
            <w:pPr>
              <w:keepNext w:val="0"/>
              <w:keepLines w:val="0"/>
              <w:numPr>
                <w:ilvl w:val="0"/>
                <w:numId w:val="0"/>
              </w:numPr>
              <w:suppressLineNumbers w:val="0"/>
              <w:snapToGrid w:val="0"/>
              <w:spacing w:before="0" w:beforeAutospacing="0" w:after="0" w:afterAutospacing="0" w:line="400" w:lineRule="exact"/>
              <w:ind w:left="0" w:leftChars="0" w:right="0"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cs="宋体"/>
                <w:color w:val="auto"/>
                <w:szCs w:val="21"/>
                <w:highlight w:val="none"/>
                <w:u w:val="none"/>
              </w:rPr>
              <w:t>联合体投标的，联合体各方均需满足上述财务要求。</w:t>
            </w:r>
          </w:p>
        </w:tc>
      </w:tr>
      <w:tr w14:paraId="7CF5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5" w:hRule="atLeast"/>
          <w:jc w:val="center"/>
        </w:trPr>
        <w:tc>
          <w:tcPr>
            <w:tcW w:w="905" w:type="dxa"/>
            <w:gridSpan w:val="3"/>
            <w:vMerge w:val="restart"/>
            <w:vAlign w:val="center"/>
          </w:tcPr>
          <w:p w14:paraId="130EE5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2.2.3（3）</w:t>
            </w:r>
          </w:p>
        </w:tc>
        <w:tc>
          <w:tcPr>
            <w:tcW w:w="1133" w:type="dxa"/>
            <w:gridSpan w:val="3"/>
            <w:vMerge w:val="restart"/>
            <w:vAlign w:val="center"/>
          </w:tcPr>
          <w:p w14:paraId="0F7BF7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Cs/>
                <w:color w:val="auto"/>
                <w:sz w:val="21"/>
                <w:szCs w:val="21"/>
              </w:rPr>
              <w:t>技术部分评分标准</w:t>
            </w:r>
            <w:r>
              <w:rPr>
                <w:rFonts w:hint="eastAsia" w:cs="Times New Roman" w:eastAsiaTheme="minorEastAsia"/>
                <w:bCs/>
                <w:color w:val="auto"/>
                <w:sz w:val="21"/>
                <w:szCs w:val="21"/>
                <w:lang w:eastAsia="zh-CN"/>
              </w:rPr>
              <w:t>（</w:t>
            </w:r>
            <w:r>
              <w:rPr>
                <w:rFonts w:hint="eastAsia" w:cs="Times New Roman" w:eastAsiaTheme="minorEastAsia"/>
                <w:bCs/>
                <w:color w:val="auto"/>
                <w:sz w:val="21"/>
                <w:szCs w:val="21"/>
                <w:lang w:val="en-US" w:eastAsia="zh-CN"/>
              </w:rPr>
              <w:t>20分）</w:t>
            </w:r>
          </w:p>
        </w:tc>
        <w:tc>
          <w:tcPr>
            <w:tcW w:w="1558" w:type="dxa"/>
            <w:vAlign w:val="center"/>
          </w:tcPr>
          <w:p w14:paraId="1BD7859C">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施工组织设计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tc>
        <w:tc>
          <w:tcPr>
            <w:tcW w:w="5562" w:type="dxa"/>
            <w:gridSpan w:val="3"/>
            <w:vAlign w:val="center"/>
          </w:tcPr>
          <w:p w14:paraId="5E80A2F0">
            <w:pPr>
              <w:keepNext w:val="0"/>
              <w:keepLines w:val="0"/>
              <w:suppressLineNumbers w:val="0"/>
              <w:spacing w:before="0" w:beforeAutospacing="0" w:after="62" w:afterLines="20" w:afterAutospacing="0" w:line="400" w:lineRule="exact"/>
              <w:ind w:left="0" w:right="0" w:firstLine="420" w:firstLineChars="200"/>
              <w:rPr>
                <w:rFonts w:hint="eastAsia" w:ascii="宋体" w:hAnsi="宋体" w:cs="宋体"/>
                <w:kern w:val="0"/>
                <w:szCs w:val="21"/>
              </w:rPr>
            </w:pPr>
            <w:r>
              <w:rPr>
                <w:rFonts w:hint="eastAsia" w:ascii="宋体" w:hAnsi="宋体" w:cs="宋体"/>
                <w:kern w:val="0"/>
                <w:szCs w:val="21"/>
              </w:rPr>
              <w:t>从总体施工组织布置及规划，主要工程项目的施工方案、方法与技术措施，工期（需包含设备供应计划、人员、机械安排计划等）和资金保证体系及保证措施，工程质量、安全、环保、水保管理体系及保证措施，项目风险预测与防范，事故应急预案，支付保障措施（有关民工工资等的按期支付保证措施），交通组织方案，缺陷责任期配合措施等各个方面进行施工组织设计编制。</w:t>
            </w:r>
          </w:p>
          <w:p w14:paraId="653EB830">
            <w:pPr>
              <w:keepNext w:val="0"/>
              <w:keepLines w:val="0"/>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rPr>
            </w:pPr>
            <w:r>
              <w:rPr>
                <w:rFonts w:hint="eastAsia" w:ascii="宋体" w:hAnsi="宋体" w:cs="宋体"/>
                <w:kern w:val="0"/>
                <w:szCs w:val="21"/>
              </w:rPr>
              <w:t>施工组织设计编制合理、可实施性高得15~12分；施工组织设计编制较合理、可实施性较高得12~9分；施工组织设计编制不合理、可实施性不高得9~0分。</w:t>
            </w:r>
          </w:p>
        </w:tc>
      </w:tr>
      <w:tr w14:paraId="4D32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5" w:hRule="atLeast"/>
          <w:jc w:val="center"/>
        </w:trPr>
        <w:tc>
          <w:tcPr>
            <w:tcW w:w="905" w:type="dxa"/>
            <w:gridSpan w:val="3"/>
            <w:vMerge w:val="continue"/>
            <w:vAlign w:val="center"/>
          </w:tcPr>
          <w:p w14:paraId="0E7288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lang w:val="en-US" w:eastAsia="zh-CN"/>
              </w:rPr>
            </w:pPr>
          </w:p>
        </w:tc>
        <w:tc>
          <w:tcPr>
            <w:tcW w:w="1133" w:type="dxa"/>
            <w:gridSpan w:val="3"/>
            <w:vMerge w:val="continue"/>
            <w:vAlign w:val="center"/>
          </w:tcPr>
          <w:p w14:paraId="46669C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bCs/>
                <w:color w:val="auto"/>
                <w:sz w:val="21"/>
                <w:szCs w:val="21"/>
              </w:rPr>
            </w:pPr>
          </w:p>
        </w:tc>
        <w:tc>
          <w:tcPr>
            <w:tcW w:w="1558" w:type="dxa"/>
            <w:vAlign w:val="center"/>
          </w:tcPr>
          <w:p w14:paraId="0C2B303E">
            <w:pPr>
              <w:keepNext w:val="0"/>
              <w:keepLines w:val="0"/>
              <w:suppressLineNumbers w:val="0"/>
              <w:snapToGrid w:val="0"/>
              <w:spacing w:before="0" w:beforeAutospacing="0" w:after="0" w:afterAutospacing="0" w:line="400" w:lineRule="exact"/>
              <w:ind w:left="0" w:right="0"/>
              <w:jc w:val="center"/>
              <w:rPr>
                <w:rFonts w:hint="eastAsia" w:ascii="宋体" w:hAnsi="宋体" w:cs="宋体"/>
                <w:color w:val="auto"/>
                <w:szCs w:val="21"/>
              </w:rPr>
            </w:pPr>
            <w:r>
              <w:rPr>
                <w:rFonts w:hint="eastAsia" w:ascii="宋体" w:hAnsi="宋体" w:cs="宋体"/>
                <w:color w:val="auto"/>
                <w:szCs w:val="21"/>
              </w:rPr>
              <w:t>深化设计方案</w:t>
            </w:r>
          </w:p>
          <w:p w14:paraId="280E294C">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Cs w:val="21"/>
              </w:rPr>
              <w:t>（5分）</w:t>
            </w:r>
          </w:p>
        </w:tc>
        <w:tc>
          <w:tcPr>
            <w:tcW w:w="5562" w:type="dxa"/>
            <w:gridSpan w:val="3"/>
            <w:vAlign w:val="center"/>
          </w:tcPr>
          <w:p w14:paraId="38AF5C10">
            <w:pPr>
              <w:keepNext w:val="0"/>
              <w:keepLines w:val="0"/>
              <w:suppressLineNumbers w:val="0"/>
              <w:snapToGrid w:val="0"/>
              <w:spacing w:before="0" w:beforeAutospacing="0" w:after="0" w:afterAutospacing="0" w:line="400" w:lineRule="exact"/>
              <w:ind w:left="0" w:right="0" w:firstLine="420" w:firstLineChars="200"/>
              <w:jc w:val="left"/>
              <w:rPr>
                <w:rFonts w:hint="eastAsia" w:ascii="宋体" w:hAnsi="宋体" w:cs="宋体"/>
                <w:kern w:val="0"/>
                <w:szCs w:val="21"/>
              </w:rPr>
            </w:pPr>
            <w:r>
              <w:rPr>
                <w:rFonts w:hint="eastAsia" w:ascii="宋体" w:hAnsi="宋体" w:cs="宋体"/>
                <w:kern w:val="0"/>
                <w:szCs w:val="21"/>
              </w:rPr>
              <w:t>根据项目现场实际情况，主要针对本项目的解读、总体设计方案、设计原则、设计依据以及详细设计等方面进行阐述。</w:t>
            </w:r>
          </w:p>
          <w:p w14:paraId="30E8BD5C">
            <w:pPr>
              <w:keepNext w:val="0"/>
              <w:keepLines w:val="0"/>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kern w:val="0"/>
                <w:sz w:val="21"/>
                <w:szCs w:val="21"/>
                <w:lang w:val="en-US" w:eastAsia="zh-CN" w:bidi="ar-SA"/>
              </w:rPr>
            </w:pPr>
            <w:r>
              <w:rPr>
                <w:rFonts w:hint="eastAsia" w:ascii="宋体" w:hAnsi="宋体" w:cs="宋体"/>
                <w:kern w:val="0"/>
                <w:szCs w:val="21"/>
              </w:rPr>
              <w:t>设计方案编制合理、相关设计与项目需求贴合度高、可实施性高得5~4分；设计方案编制较合理、相关设计与项目需求贴合度较高、可实施性较高得4~3分；设计方案编制不合理、相关设计与项目需求贴合度一般、可实施性不高得3~0分。</w:t>
            </w:r>
          </w:p>
        </w:tc>
      </w:tr>
      <w:tr w14:paraId="33B4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905" w:type="dxa"/>
            <w:gridSpan w:val="3"/>
            <w:vAlign w:val="center"/>
          </w:tcPr>
          <w:p w14:paraId="03C171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3</w:t>
            </w:r>
          </w:p>
        </w:tc>
        <w:tc>
          <w:tcPr>
            <w:tcW w:w="1133" w:type="dxa"/>
            <w:gridSpan w:val="3"/>
            <w:vAlign w:val="center"/>
          </w:tcPr>
          <w:p w14:paraId="59E36A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eastAsia" w:ascii="Times New Roman" w:hAnsi="Times New Roman" w:cs="Times New Roman" w:eastAsiaTheme="minorEastAsia"/>
                <w:color w:val="auto"/>
                <w:kern w:val="0"/>
                <w:sz w:val="21"/>
                <w:szCs w:val="21"/>
                <w:lang w:eastAsia="zh-CN"/>
              </w:rPr>
            </w:pPr>
            <w:r>
              <w:rPr>
                <w:rFonts w:hint="eastAsia" w:ascii="Times New Roman" w:hAnsi="Times New Roman" w:cs="Times New Roman" w:eastAsiaTheme="minorEastAsia"/>
                <w:color w:val="auto"/>
                <w:sz w:val="21"/>
                <w:szCs w:val="21"/>
                <w:lang w:eastAsia="zh-CN"/>
              </w:rPr>
              <w:t>评审程序</w:t>
            </w:r>
          </w:p>
        </w:tc>
        <w:tc>
          <w:tcPr>
            <w:tcW w:w="7120" w:type="dxa"/>
            <w:gridSpan w:val="4"/>
          </w:tcPr>
          <w:p w14:paraId="7D456E5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default"/>
                <w:color w:val="auto"/>
              </w:rPr>
            </w:pPr>
            <w:r>
              <w:rPr>
                <w:rFonts w:hint="default"/>
                <w:color w:val="auto"/>
              </w:rPr>
              <w:t>1</w:t>
            </w:r>
            <w:r>
              <w:rPr>
                <w:rFonts w:hint="eastAsia"/>
                <w:color w:val="auto"/>
                <w:lang w:eastAsia="zh-CN"/>
              </w:rPr>
              <w:t>.评审</w:t>
            </w:r>
            <w:r>
              <w:rPr>
                <w:rFonts w:hint="default"/>
                <w:color w:val="auto"/>
              </w:rPr>
              <w:t>委员会对所有</w:t>
            </w:r>
            <w:r>
              <w:rPr>
                <w:rFonts w:hint="eastAsia"/>
                <w:color w:val="auto"/>
                <w:lang w:eastAsia="zh-CN"/>
              </w:rPr>
              <w:t>报价人</w:t>
            </w:r>
            <w:r>
              <w:rPr>
                <w:rFonts w:hint="default"/>
                <w:color w:val="auto"/>
              </w:rPr>
              <w:t>的</w:t>
            </w:r>
            <w:r>
              <w:rPr>
                <w:rFonts w:hint="eastAsia"/>
                <w:color w:val="auto"/>
                <w:lang w:eastAsia="zh-CN"/>
              </w:rPr>
              <w:t>比选文件</w:t>
            </w:r>
            <w:r>
              <w:rPr>
                <w:rFonts w:hint="default"/>
                <w:color w:val="auto"/>
              </w:rPr>
              <w:t>按本章</w:t>
            </w:r>
            <w:r>
              <w:rPr>
                <w:rFonts w:hint="eastAsia"/>
                <w:color w:val="auto"/>
                <w:lang w:eastAsia="zh-CN"/>
              </w:rPr>
              <w:t>评审</w:t>
            </w:r>
            <w:r>
              <w:rPr>
                <w:rFonts w:hint="default"/>
                <w:color w:val="auto"/>
              </w:rPr>
              <w:t>办法</w:t>
            </w:r>
            <w:r>
              <w:rPr>
                <w:rFonts w:hint="eastAsia"/>
                <w:color w:val="auto"/>
                <w:lang w:val="en-US" w:eastAsia="zh-CN"/>
              </w:rPr>
              <w:t>3.1</w:t>
            </w:r>
            <w:r>
              <w:rPr>
                <w:rFonts w:hint="default"/>
                <w:color w:val="auto"/>
              </w:rPr>
              <w:t>款进行初步评审。</w:t>
            </w:r>
          </w:p>
          <w:p w14:paraId="4692591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default"/>
                <w:color w:val="auto"/>
              </w:rPr>
            </w:pPr>
            <w:r>
              <w:rPr>
                <w:rFonts w:hint="default"/>
                <w:color w:val="auto"/>
              </w:rPr>
              <w:t>2</w:t>
            </w:r>
            <w:r>
              <w:rPr>
                <w:rFonts w:hint="eastAsia"/>
                <w:color w:val="auto"/>
                <w:lang w:eastAsia="zh-CN"/>
              </w:rPr>
              <w:t>.</w:t>
            </w:r>
            <w:r>
              <w:rPr>
                <w:rFonts w:hint="default"/>
                <w:color w:val="auto"/>
              </w:rPr>
              <w:t>对初步评审合格的</w:t>
            </w:r>
            <w:r>
              <w:rPr>
                <w:rFonts w:hint="eastAsia"/>
                <w:color w:val="auto"/>
                <w:lang w:eastAsia="zh-CN"/>
              </w:rPr>
              <w:t>报价人</w:t>
            </w:r>
            <w:r>
              <w:rPr>
                <w:rFonts w:hint="default"/>
                <w:color w:val="auto"/>
              </w:rPr>
              <w:t>按本章</w:t>
            </w:r>
            <w:r>
              <w:rPr>
                <w:rFonts w:hint="eastAsia"/>
                <w:color w:val="auto"/>
                <w:lang w:eastAsia="zh-CN"/>
              </w:rPr>
              <w:t>评审</w:t>
            </w:r>
            <w:r>
              <w:rPr>
                <w:rFonts w:hint="default"/>
                <w:color w:val="auto"/>
              </w:rPr>
              <w:t>办法2.2.3</w:t>
            </w:r>
            <w:r>
              <w:rPr>
                <w:rFonts w:hint="eastAsia"/>
                <w:color w:val="auto"/>
                <w:lang w:eastAsia="zh-CN"/>
              </w:rPr>
              <w:t>（</w:t>
            </w:r>
            <w:r>
              <w:rPr>
                <w:rFonts w:hint="eastAsia"/>
                <w:color w:val="auto"/>
                <w:lang w:val="en-US" w:eastAsia="zh-CN"/>
              </w:rPr>
              <w:t>3</w:t>
            </w:r>
            <w:r>
              <w:rPr>
                <w:rFonts w:hint="eastAsia"/>
                <w:color w:val="auto"/>
                <w:lang w:eastAsia="zh-CN"/>
              </w:rPr>
              <w:t>）</w:t>
            </w:r>
            <w:r>
              <w:rPr>
                <w:rFonts w:hint="default"/>
                <w:color w:val="auto"/>
              </w:rPr>
              <w:t>及3.2.1项的规定对技术部分进行评审。</w:t>
            </w:r>
          </w:p>
          <w:p w14:paraId="5B61A7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3.按本章评审办法前附表第2.2.</w:t>
            </w:r>
            <w:r>
              <w:rPr>
                <w:rFonts w:hint="eastAsia" w:ascii="Times New Roman" w:hAnsi="Times New Roman" w:cs="Times New Roman"/>
                <w:snapToGrid w:val="0"/>
                <w:color w:val="auto"/>
                <w:kern w:val="0"/>
                <w:szCs w:val="21"/>
                <w:lang w:val="en-US" w:eastAsia="zh-CN"/>
              </w:rPr>
              <w:t>3</w:t>
            </w:r>
            <w:r>
              <w:rPr>
                <w:rFonts w:hint="default" w:ascii="Times New Roman" w:hAnsi="Times New Roman" w:cs="Times New Roman"/>
                <w:snapToGrid w:val="0"/>
                <w:color w:val="auto"/>
                <w:kern w:val="0"/>
                <w:szCs w:val="21"/>
              </w:rPr>
              <w:t>（2）目及第3.2.1（2）目的规定对商务部分进行评审。</w:t>
            </w:r>
          </w:p>
          <w:p w14:paraId="43FAA43B">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Times New Roman" w:hAnsi="Times New Roman" w:cs="Times New Roman"/>
                <w:snapToGrid w:val="0"/>
                <w:color w:val="auto"/>
                <w:kern w:val="0"/>
                <w:szCs w:val="21"/>
              </w:rPr>
            </w:pPr>
            <w:r>
              <w:rPr>
                <w:rFonts w:hint="eastAsia"/>
                <w:color w:val="auto"/>
                <w:lang w:val="en-US" w:eastAsia="zh-CN"/>
              </w:rPr>
              <w:t>4</w:t>
            </w:r>
            <w:r>
              <w:rPr>
                <w:rFonts w:hint="eastAsia"/>
                <w:color w:val="auto"/>
                <w:lang w:eastAsia="zh-CN"/>
              </w:rPr>
              <w:t>.</w:t>
            </w:r>
            <w:r>
              <w:rPr>
                <w:rFonts w:hint="default" w:ascii="Times New Roman" w:hAnsi="Times New Roman" w:cs="Times New Roman"/>
                <w:snapToGrid w:val="0"/>
                <w:color w:val="auto"/>
                <w:kern w:val="0"/>
                <w:szCs w:val="21"/>
              </w:rPr>
              <w:t>经评审合格的</w:t>
            </w:r>
            <w:r>
              <w:rPr>
                <w:rFonts w:hint="eastAsia" w:cs="Times New Roman"/>
                <w:snapToGrid w:val="0"/>
                <w:color w:val="auto"/>
                <w:kern w:val="0"/>
                <w:szCs w:val="21"/>
                <w:lang w:eastAsia="zh-CN"/>
              </w:rPr>
              <w:t>报价人</w:t>
            </w:r>
            <w:r>
              <w:rPr>
                <w:rFonts w:hint="default" w:ascii="Times New Roman" w:hAnsi="Times New Roman" w:cs="Times New Roman"/>
                <w:snapToGrid w:val="0"/>
                <w:color w:val="auto"/>
                <w:kern w:val="0"/>
                <w:szCs w:val="21"/>
              </w:rPr>
              <w:t>按照本章第2.2.</w:t>
            </w:r>
            <w:r>
              <w:rPr>
                <w:rFonts w:hint="eastAsia" w:ascii="Times New Roman" w:hAnsi="Times New Roman" w:cs="Times New Roman"/>
                <w:snapToGrid w:val="0"/>
                <w:color w:val="auto"/>
                <w:kern w:val="0"/>
                <w:szCs w:val="21"/>
                <w:lang w:val="en-US" w:eastAsia="zh-CN"/>
              </w:rPr>
              <w:t>2</w:t>
            </w:r>
            <w:r>
              <w:rPr>
                <w:rFonts w:hint="default" w:ascii="Times New Roman" w:hAnsi="Times New Roman" w:cs="Times New Roman"/>
                <w:snapToGrid w:val="0"/>
                <w:color w:val="auto"/>
                <w:kern w:val="0"/>
                <w:szCs w:val="21"/>
              </w:rPr>
              <w:t>项计算方法计算评审基准价，并按本附表第3.2.1（</w:t>
            </w:r>
            <w:r>
              <w:rPr>
                <w:rFonts w:hint="eastAsia" w:ascii="Times New Roman" w:hAnsi="Times New Roman" w:cs="Times New Roman"/>
                <w:snapToGrid w:val="0"/>
                <w:color w:val="auto"/>
                <w:kern w:val="0"/>
                <w:szCs w:val="21"/>
                <w:lang w:val="en-US" w:eastAsia="zh-CN"/>
              </w:rPr>
              <w:t>1</w:t>
            </w:r>
            <w:r>
              <w:rPr>
                <w:rFonts w:hint="default" w:ascii="Times New Roman" w:hAnsi="Times New Roman" w:cs="Times New Roman"/>
                <w:snapToGrid w:val="0"/>
                <w:color w:val="auto"/>
                <w:kern w:val="0"/>
                <w:szCs w:val="21"/>
              </w:rPr>
              <w:t>）目规定的评分方法对</w:t>
            </w:r>
            <w:r>
              <w:rPr>
                <w:rFonts w:hint="eastAsia" w:cs="Times New Roman"/>
                <w:snapToGrid w:val="0"/>
                <w:color w:val="auto"/>
                <w:kern w:val="0"/>
                <w:szCs w:val="21"/>
                <w:lang w:eastAsia="zh-CN"/>
              </w:rPr>
              <w:t>比选</w:t>
            </w:r>
            <w:r>
              <w:rPr>
                <w:rFonts w:hint="default" w:ascii="Times New Roman" w:hAnsi="Times New Roman" w:cs="Times New Roman"/>
                <w:snapToGrid w:val="0"/>
                <w:color w:val="auto"/>
                <w:kern w:val="0"/>
                <w:szCs w:val="21"/>
              </w:rPr>
              <w:t>报价进行评分。</w:t>
            </w:r>
          </w:p>
          <w:p w14:paraId="7F3646AC">
            <w:pPr>
              <w:keepNext w:val="0"/>
              <w:keepLines w:val="0"/>
              <w:suppressLineNumbers w:val="0"/>
              <w:adjustRightInd w:val="0"/>
              <w:snapToGrid w:val="0"/>
              <w:spacing w:before="0" w:beforeAutospacing="0" w:after="0" w:afterAutospacing="0" w:line="400" w:lineRule="exact"/>
              <w:ind w:left="0" w:right="0" w:firstLine="420" w:firstLineChars="200"/>
              <w:rPr>
                <w:rFonts w:hint="default"/>
                <w:color w:val="auto"/>
              </w:rPr>
            </w:pPr>
            <w:r>
              <w:rPr>
                <w:rFonts w:hint="eastAsia" w:ascii="Times New Roman" w:hAnsi="Times New Roman" w:cs="Times New Roman"/>
                <w:snapToGrid w:val="0"/>
                <w:color w:val="auto"/>
                <w:kern w:val="0"/>
                <w:szCs w:val="21"/>
                <w:lang w:val="en-US" w:eastAsia="zh-CN"/>
              </w:rPr>
              <w:t>5</w:t>
            </w:r>
            <w:r>
              <w:rPr>
                <w:rFonts w:hint="eastAsia" w:ascii="Times New Roman" w:hAnsi="Times New Roman" w:cs="Times New Roman"/>
                <w:snapToGrid w:val="0"/>
                <w:color w:val="auto"/>
                <w:kern w:val="0"/>
                <w:szCs w:val="21"/>
                <w:lang w:eastAsia="zh-CN"/>
              </w:rPr>
              <w:t>.</w:t>
            </w:r>
            <w:r>
              <w:rPr>
                <w:rFonts w:hint="default" w:ascii="Times New Roman" w:hAnsi="Times New Roman" w:cs="Times New Roman"/>
                <w:snapToGrid w:val="0"/>
                <w:color w:val="auto"/>
                <w:kern w:val="0"/>
                <w:szCs w:val="21"/>
              </w:rPr>
              <w:t>对技术部分、商务部分、</w:t>
            </w:r>
            <w:r>
              <w:rPr>
                <w:rFonts w:hint="eastAsia" w:cs="Times New Roman"/>
                <w:snapToGrid w:val="0"/>
                <w:color w:val="auto"/>
                <w:kern w:val="0"/>
                <w:szCs w:val="21"/>
                <w:lang w:eastAsia="zh-CN"/>
              </w:rPr>
              <w:t>比选</w:t>
            </w:r>
            <w:r>
              <w:rPr>
                <w:rFonts w:hint="default" w:ascii="Times New Roman" w:hAnsi="Times New Roman" w:cs="Times New Roman"/>
                <w:snapToGrid w:val="0"/>
                <w:color w:val="auto"/>
                <w:kern w:val="0"/>
                <w:szCs w:val="21"/>
              </w:rPr>
              <w:t>报价得分进行汇总，确定综合得分由高至低前</w:t>
            </w:r>
            <w:r>
              <w:rPr>
                <w:rFonts w:hint="default" w:ascii="Times New Roman" w:hAnsi="Times New Roman" w:cs="Times New Roman"/>
                <w:snapToGrid w:val="0"/>
                <w:color w:val="auto"/>
                <w:kern w:val="0"/>
                <w:szCs w:val="21"/>
                <w:lang w:eastAsia="zh-CN"/>
              </w:rPr>
              <w:t>二</w:t>
            </w:r>
            <w:r>
              <w:rPr>
                <w:rFonts w:hint="default" w:ascii="Times New Roman" w:hAnsi="Times New Roman" w:cs="Times New Roman"/>
                <w:snapToGrid w:val="0"/>
                <w:color w:val="auto"/>
                <w:kern w:val="0"/>
                <w:szCs w:val="21"/>
              </w:rPr>
              <w:t>名</w:t>
            </w:r>
            <w:r>
              <w:rPr>
                <w:rFonts w:hint="eastAsia" w:cs="Times New Roman"/>
                <w:snapToGrid w:val="0"/>
                <w:color w:val="auto"/>
                <w:kern w:val="0"/>
                <w:szCs w:val="21"/>
                <w:lang w:eastAsia="zh-CN"/>
              </w:rPr>
              <w:t>报价人</w:t>
            </w:r>
            <w:r>
              <w:rPr>
                <w:rFonts w:hint="default" w:ascii="Times New Roman" w:hAnsi="Times New Roman" w:cs="Times New Roman"/>
                <w:snapToGrid w:val="0"/>
                <w:color w:val="auto"/>
                <w:kern w:val="0"/>
                <w:szCs w:val="21"/>
              </w:rPr>
              <w:t>为</w:t>
            </w:r>
            <w:r>
              <w:rPr>
                <w:rFonts w:hint="eastAsia" w:ascii="Times New Roman" w:hAnsi="Times New Roman" w:cs="Times New Roman"/>
                <w:snapToGrid w:val="0"/>
                <w:color w:val="auto"/>
                <w:kern w:val="0"/>
                <w:szCs w:val="21"/>
                <w:lang w:eastAsia="zh-CN"/>
              </w:rPr>
              <w:t>中选</w:t>
            </w:r>
            <w:r>
              <w:rPr>
                <w:rFonts w:hint="default" w:ascii="Times New Roman" w:hAnsi="Times New Roman" w:cs="Times New Roman"/>
                <w:snapToGrid w:val="0"/>
                <w:color w:val="auto"/>
                <w:kern w:val="0"/>
                <w:szCs w:val="21"/>
              </w:rPr>
              <w:t>候选人。</w:t>
            </w:r>
          </w:p>
        </w:tc>
      </w:tr>
      <w:tr w14:paraId="0F75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0" w:hRule="atLeast"/>
          <w:jc w:val="center"/>
        </w:trPr>
        <w:tc>
          <w:tcPr>
            <w:tcW w:w="2038" w:type="dxa"/>
            <w:gridSpan w:val="6"/>
            <w:tcBorders>
              <w:bottom w:val="single" w:color="auto" w:sz="4" w:space="0"/>
            </w:tcBorders>
            <w:vAlign w:val="center"/>
          </w:tcPr>
          <w:p w14:paraId="5BD12D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3.2.1</w:t>
            </w:r>
          </w:p>
        </w:tc>
        <w:tc>
          <w:tcPr>
            <w:tcW w:w="1564" w:type="dxa"/>
            <w:gridSpan w:val="2"/>
          </w:tcPr>
          <w:p w14:paraId="25D166C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技术部分评审标准</w:t>
            </w:r>
          </w:p>
        </w:tc>
        <w:tc>
          <w:tcPr>
            <w:tcW w:w="5556" w:type="dxa"/>
            <w:gridSpan w:val="2"/>
          </w:tcPr>
          <w:p w14:paraId="54D8E03D">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部分评分</w:t>
            </w:r>
            <w:r>
              <w:rPr>
                <w:rFonts w:hint="eastAsia" w:ascii="宋体" w:hAnsi="宋体" w:eastAsia="宋体" w:cs="宋体"/>
                <w:color w:val="auto"/>
                <w:szCs w:val="21"/>
                <w:highlight w:val="none"/>
                <w:lang w:val="en-US" w:eastAsia="zh-CN"/>
              </w:rPr>
              <w:t>主观评分</w:t>
            </w:r>
            <w:r>
              <w:rPr>
                <w:rFonts w:hint="eastAsia" w:ascii="宋体" w:hAnsi="宋体" w:eastAsia="宋体" w:cs="宋体"/>
                <w:color w:val="auto"/>
                <w:szCs w:val="21"/>
                <w:highlight w:val="none"/>
                <w:lang w:eastAsia="zh-CN"/>
              </w:rPr>
              <w:t>。</w:t>
            </w:r>
          </w:p>
          <w:p w14:paraId="54CC46B0">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客观评分</w:t>
            </w:r>
            <w:r>
              <w:rPr>
                <w:rFonts w:hint="eastAsia" w:ascii="宋体" w:hAnsi="宋体" w:eastAsia="宋体" w:cs="宋体"/>
                <w:color w:val="auto"/>
                <w:szCs w:val="21"/>
                <w:highlight w:val="none"/>
              </w:rPr>
              <w:t>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14:paraId="608711B7">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2"/>
                <w:highlight w:val="none"/>
                <w:lang w:val="en-US" w:eastAsia="zh-CN"/>
              </w:rPr>
              <w:t>主观评分</w:t>
            </w:r>
            <w:r>
              <w:rPr>
                <w:rFonts w:hint="eastAsia" w:ascii="宋体" w:hAnsi="宋体" w:eastAsia="宋体" w:cs="宋体"/>
                <w:color w:val="auto"/>
                <w:szCs w:val="22"/>
                <w:highlight w:val="none"/>
              </w:rPr>
              <w:t>评标委员会按照优、良、差</w:t>
            </w:r>
            <w:r>
              <w:rPr>
                <w:rFonts w:hint="eastAsia" w:ascii="宋体" w:hAnsi="宋体" w:eastAsia="宋体" w:cs="宋体"/>
                <w:color w:val="auto"/>
                <w:szCs w:val="22"/>
                <w:highlight w:val="none"/>
                <w:lang w:val="en-US" w:eastAsia="zh-CN"/>
              </w:rPr>
              <w:t>三</w:t>
            </w:r>
            <w:r>
              <w:rPr>
                <w:rFonts w:hint="eastAsia" w:ascii="宋体" w:hAnsi="宋体" w:eastAsia="宋体" w:cs="宋体"/>
                <w:color w:val="auto"/>
                <w:szCs w:val="22"/>
                <w:highlight w:val="none"/>
              </w:rPr>
              <w:t>个档次进行评分，</w:t>
            </w:r>
            <w:r>
              <w:rPr>
                <w:rFonts w:hint="eastAsia" w:ascii="宋体" w:hAnsi="宋体" w:eastAsia="宋体" w:cs="宋体"/>
                <w:snapToGrid w:val="0"/>
                <w:color w:val="auto"/>
                <w:kern w:val="0"/>
                <w:szCs w:val="21"/>
                <w:highlight w:val="none"/>
                <w:lang w:val="en-US" w:eastAsia="zh-CN"/>
              </w:rPr>
              <w:t>若评委</w:t>
            </w:r>
            <w:r>
              <w:rPr>
                <w:rFonts w:hint="eastAsia" w:ascii="宋体" w:hAnsi="宋体" w:eastAsia="宋体" w:cs="宋体"/>
                <w:snapToGrid w:val="0"/>
                <w:color w:val="auto"/>
                <w:kern w:val="0"/>
                <w:szCs w:val="21"/>
                <w:highlight w:val="none"/>
              </w:rPr>
              <w:t>对投标人</w:t>
            </w:r>
            <w:r>
              <w:rPr>
                <w:rFonts w:hint="eastAsia" w:ascii="宋体" w:hAnsi="宋体" w:eastAsia="宋体" w:cs="宋体"/>
                <w:color w:val="auto"/>
                <w:kern w:val="0"/>
                <w:highlight w:val="none"/>
                <w:lang w:val="en-US" w:eastAsia="zh-CN"/>
              </w:rPr>
              <w:t>技术部分</w:t>
            </w:r>
            <w:r>
              <w:rPr>
                <w:rFonts w:hint="eastAsia" w:ascii="宋体" w:hAnsi="宋体" w:eastAsia="宋体" w:cs="宋体"/>
                <w:snapToGrid w:val="0"/>
                <w:color w:val="auto"/>
                <w:kern w:val="0"/>
                <w:szCs w:val="21"/>
                <w:highlight w:val="none"/>
                <w:lang w:val="en-US" w:eastAsia="zh-CN"/>
              </w:rPr>
              <w:t>评分低于该部分总分的60%的</w:t>
            </w:r>
            <w:r>
              <w:rPr>
                <w:rFonts w:hint="eastAsia" w:ascii="宋体" w:hAnsi="宋体" w:eastAsia="宋体" w:cs="宋体"/>
                <w:snapToGrid w:val="0"/>
                <w:color w:val="auto"/>
                <w:kern w:val="0"/>
                <w:szCs w:val="21"/>
                <w:highlight w:val="none"/>
              </w:rPr>
              <w:t>须注明</w:t>
            </w:r>
            <w:r>
              <w:rPr>
                <w:rFonts w:hint="eastAsia" w:ascii="宋体" w:hAnsi="宋体" w:eastAsia="宋体" w:cs="宋体"/>
                <w:snapToGrid w:val="0"/>
                <w:color w:val="auto"/>
                <w:kern w:val="0"/>
                <w:szCs w:val="21"/>
                <w:highlight w:val="none"/>
                <w:lang w:val="en-US" w:eastAsia="zh-CN"/>
              </w:rPr>
              <w:t>详实</w:t>
            </w:r>
            <w:r>
              <w:rPr>
                <w:rFonts w:hint="eastAsia" w:ascii="宋体" w:hAnsi="宋体" w:eastAsia="宋体" w:cs="宋体"/>
                <w:snapToGrid w:val="0"/>
                <w:color w:val="auto"/>
                <w:kern w:val="0"/>
                <w:szCs w:val="21"/>
                <w:highlight w:val="none"/>
              </w:rPr>
              <w:t>理由，</w:t>
            </w: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缺项的该项得0分。</w:t>
            </w:r>
          </w:p>
          <w:p w14:paraId="6C186CE0">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取</w:t>
            </w:r>
            <w:r>
              <w:rPr>
                <w:rFonts w:hint="eastAsia" w:ascii="宋体" w:hAnsi="宋体" w:eastAsia="宋体" w:cs="宋体"/>
                <w:snapToGrid w:val="0"/>
                <w:color w:val="auto"/>
                <w:kern w:val="0"/>
                <w:szCs w:val="21"/>
                <w:highlight w:val="none"/>
              </w:rPr>
              <w:t>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算术平均值为该投标人</w:t>
            </w:r>
            <w:r>
              <w:rPr>
                <w:rFonts w:hint="eastAsia" w:ascii="宋体" w:hAnsi="宋体" w:eastAsia="宋体" w:cs="宋体"/>
                <w:snapToGrid w:val="0"/>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得分。</w:t>
            </w:r>
          </w:p>
          <w:p w14:paraId="53A14DF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420" w:firstLineChars="200"/>
              <w:jc w:val="left"/>
              <w:rPr>
                <w:rFonts w:hint="eastAsia" w:eastAsia="宋体" w:cs="Times New Roman"/>
                <w:snapToGrid w:val="0"/>
                <w:color w:val="auto"/>
                <w:kern w:val="0"/>
                <w:szCs w:val="21"/>
                <w:lang w:eastAsia="zh-CN"/>
              </w:rPr>
            </w:pP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color w:val="auto"/>
                <w:kern w:val="0"/>
                <w:szCs w:val="21"/>
                <w:highlight w:val="none"/>
              </w:rPr>
              <w:t>得分的最终结果保留两位小数，</w:t>
            </w:r>
            <w:r>
              <w:rPr>
                <w:rFonts w:hint="eastAsia" w:ascii="宋体" w:hAnsi="宋体" w:eastAsia="宋体" w:cs="宋体"/>
                <w:color w:val="auto"/>
                <w:kern w:val="0"/>
                <w:szCs w:val="21"/>
                <w:highlight w:val="none"/>
                <w:lang w:val="en-US" w:eastAsia="zh-CN"/>
              </w:rPr>
              <w:t>小数点后</w:t>
            </w:r>
            <w:r>
              <w:rPr>
                <w:rFonts w:hint="eastAsia" w:ascii="宋体" w:hAnsi="宋体" w:eastAsia="宋体" w:cs="宋体"/>
                <w:color w:val="auto"/>
                <w:kern w:val="0"/>
                <w:szCs w:val="21"/>
                <w:highlight w:val="none"/>
              </w:rPr>
              <w:t>第三位四舍五</w:t>
            </w:r>
            <w:r>
              <w:rPr>
                <w:rFonts w:hint="eastAsia" w:ascii="宋体" w:hAnsi="宋体" w:cs="宋体"/>
                <w:color w:val="auto"/>
                <w:kern w:val="0"/>
                <w:szCs w:val="21"/>
                <w:highlight w:val="none"/>
                <w:lang w:eastAsia="zh-CN"/>
              </w:rPr>
              <w:t>。</w:t>
            </w:r>
          </w:p>
        </w:tc>
      </w:tr>
      <w:tr w14:paraId="1204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038" w:type="dxa"/>
            <w:gridSpan w:val="6"/>
            <w:tcBorders>
              <w:bottom w:val="single" w:color="auto" w:sz="4" w:space="0"/>
            </w:tcBorders>
            <w:vAlign w:val="center"/>
          </w:tcPr>
          <w:p w14:paraId="733C68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3.2.2</w:t>
            </w:r>
          </w:p>
        </w:tc>
        <w:tc>
          <w:tcPr>
            <w:tcW w:w="1564" w:type="dxa"/>
            <w:gridSpan w:val="2"/>
          </w:tcPr>
          <w:p w14:paraId="06121D9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cs="Times New Roman"/>
                <w:snapToGrid w:val="0"/>
                <w:color w:val="auto"/>
                <w:kern w:val="0"/>
                <w:szCs w:val="21"/>
                <w:lang w:eastAsia="zh-CN"/>
              </w:rPr>
            </w:pPr>
            <w:r>
              <w:rPr>
                <w:rFonts w:hint="eastAsia" w:ascii="宋体" w:hAnsi="宋体" w:cs="宋体"/>
                <w:color w:val="auto"/>
                <w:szCs w:val="22"/>
                <w:highlight w:val="none"/>
                <w:lang w:val="en-US" w:eastAsia="zh-CN"/>
              </w:rPr>
              <w:t>商务部分</w:t>
            </w:r>
            <w:r>
              <w:rPr>
                <w:rFonts w:hint="eastAsia" w:ascii="宋体" w:hAnsi="宋体" w:eastAsia="宋体" w:cs="宋体"/>
                <w:color w:val="auto"/>
                <w:szCs w:val="22"/>
                <w:highlight w:val="none"/>
              </w:rPr>
              <w:t>评审标准</w:t>
            </w:r>
          </w:p>
        </w:tc>
        <w:tc>
          <w:tcPr>
            <w:tcW w:w="5556" w:type="dxa"/>
            <w:gridSpan w:val="2"/>
          </w:tcPr>
          <w:p w14:paraId="2E6B1CB2">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center"/>
              <w:rPr>
                <w:rFonts w:hint="eastAsia" w:cs="Times New Roman"/>
                <w:snapToGrid w:val="0"/>
                <w:color w:val="auto"/>
                <w:kern w:val="0"/>
                <w:szCs w:val="21"/>
                <w:lang w:eastAsia="zh-CN"/>
              </w:rPr>
            </w:pPr>
            <w:r>
              <w:rPr>
                <w:rFonts w:hint="eastAsia" w:ascii="宋体" w:hAnsi="宋体" w:eastAsia="宋体" w:cs="宋体"/>
                <w:color w:val="auto"/>
                <w:szCs w:val="21"/>
                <w:highlight w:val="none"/>
                <w:lang w:val="en-US" w:eastAsia="zh-CN"/>
              </w:rPr>
              <w:t>客观评分</w:t>
            </w:r>
            <w:r>
              <w:rPr>
                <w:rFonts w:hint="eastAsia" w:ascii="宋体" w:hAnsi="宋体" w:eastAsia="宋体" w:cs="宋体"/>
                <w:color w:val="auto"/>
                <w:szCs w:val="21"/>
                <w:highlight w:val="none"/>
              </w:rPr>
              <w:t>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tc>
      </w:tr>
      <w:tr w14:paraId="54EF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038" w:type="dxa"/>
            <w:gridSpan w:val="6"/>
            <w:tcBorders>
              <w:bottom w:val="single" w:color="auto" w:sz="4" w:space="0"/>
            </w:tcBorders>
            <w:vAlign w:val="center"/>
          </w:tcPr>
          <w:p w14:paraId="6417DE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3.2.3</w:t>
            </w:r>
          </w:p>
        </w:tc>
        <w:tc>
          <w:tcPr>
            <w:tcW w:w="1564" w:type="dxa"/>
            <w:gridSpan w:val="2"/>
          </w:tcPr>
          <w:p w14:paraId="6B25CA47">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default" w:ascii="Times New Roman" w:hAnsi="Times New Roman" w:cs="Times New Roman" w:eastAsiaTheme="minorEastAsia"/>
                <w:color w:val="auto"/>
                <w:sz w:val="21"/>
                <w:szCs w:val="21"/>
                <w:highlight w:val="yellow"/>
              </w:rPr>
            </w:pPr>
            <w:r>
              <w:rPr>
                <w:rFonts w:hint="eastAsia" w:cs="Times New Roman"/>
                <w:snapToGrid w:val="0"/>
                <w:color w:val="auto"/>
                <w:kern w:val="0"/>
                <w:szCs w:val="21"/>
                <w:lang w:eastAsia="zh-CN"/>
              </w:rPr>
              <w:t>报价人</w:t>
            </w:r>
            <w:r>
              <w:rPr>
                <w:rFonts w:hint="default" w:ascii="Times New Roman" w:hAnsi="Times New Roman" w:cs="Times New Roman"/>
                <w:snapToGrid w:val="0"/>
                <w:color w:val="auto"/>
                <w:kern w:val="0"/>
                <w:szCs w:val="21"/>
              </w:rPr>
              <w:t>得分</w:t>
            </w:r>
          </w:p>
        </w:tc>
        <w:tc>
          <w:tcPr>
            <w:tcW w:w="5556" w:type="dxa"/>
            <w:gridSpan w:val="2"/>
          </w:tcPr>
          <w:p w14:paraId="00826DF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jc w:val="center"/>
              <w:rPr>
                <w:rFonts w:hint="default" w:ascii="Times New Roman" w:hAnsi="Times New Roman" w:cs="Times New Roman" w:eastAsiaTheme="minorEastAsia"/>
                <w:color w:val="auto"/>
                <w:sz w:val="21"/>
                <w:szCs w:val="21"/>
                <w:highlight w:val="yellow"/>
              </w:rPr>
            </w:pPr>
            <w:r>
              <w:rPr>
                <w:rFonts w:hint="eastAsia" w:cs="Times New Roman"/>
                <w:snapToGrid w:val="0"/>
                <w:color w:val="auto"/>
                <w:kern w:val="0"/>
                <w:szCs w:val="21"/>
                <w:lang w:eastAsia="zh-CN"/>
              </w:rPr>
              <w:t>报价人</w:t>
            </w:r>
            <w:r>
              <w:rPr>
                <w:rFonts w:hint="default" w:ascii="Times New Roman" w:hAnsi="Times New Roman" w:cs="Times New Roman"/>
                <w:snapToGrid w:val="0"/>
                <w:color w:val="auto"/>
                <w:kern w:val="0"/>
                <w:szCs w:val="21"/>
              </w:rPr>
              <w:t>得分=A+B+C</w:t>
            </w:r>
          </w:p>
        </w:tc>
      </w:tr>
    </w:tbl>
    <w:p w14:paraId="1B286C10">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exact"/>
        <w:ind w:firstLine="0" w:firstLineChars="0"/>
        <w:textAlignment w:val="auto"/>
        <w:rPr>
          <w:b/>
          <w:bCs/>
          <w:color w:val="auto"/>
          <w:sz w:val="32"/>
          <w:szCs w:val="36"/>
        </w:rPr>
      </w:pPr>
      <w:bookmarkStart w:id="150" w:name="_Toc75963227"/>
      <w:bookmarkStart w:id="151" w:name="_Toc21541"/>
      <w:bookmarkStart w:id="152" w:name="_Toc8445"/>
      <w:bookmarkStart w:id="153" w:name="_Toc1656"/>
      <w:r>
        <w:rPr>
          <w:rFonts w:hint="eastAsia"/>
          <w:b/>
          <w:bCs/>
          <w:color w:val="auto"/>
          <w:sz w:val="32"/>
          <w:szCs w:val="36"/>
          <w:lang w:eastAsia="zh-CN"/>
        </w:rPr>
        <w:t>评审</w:t>
      </w:r>
      <w:r>
        <w:rPr>
          <w:rFonts w:hint="eastAsia"/>
          <w:b/>
          <w:bCs/>
          <w:color w:val="auto"/>
          <w:sz w:val="32"/>
          <w:szCs w:val="36"/>
        </w:rPr>
        <w:t>方法</w:t>
      </w:r>
      <w:bookmarkEnd w:id="150"/>
      <w:bookmarkEnd w:id="151"/>
      <w:bookmarkEnd w:id="152"/>
      <w:bookmarkEnd w:id="153"/>
    </w:p>
    <w:p w14:paraId="6D95A3D9">
      <w:pPr>
        <w:pageBreakBefore w:val="0"/>
        <w:widowControl w:val="0"/>
        <w:kinsoku/>
        <w:wordWrap/>
        <w:overflowPunct/>
        <w:topLinePunct w:val="0"/>
        <w:autoSpaceDE w:val="0"/>
        <w:autoSpaceDN w:val="0"/>
        <w:bidi w:val="0"/>
        <w:adjustRightInd w:val="0"/>
        <w:snapToGrid w:val="0"/>
        <w:spacing w:line="420" w:lineRule="exact"/>
        <w:ind w:left="1" w:firstLine="420"/>
        <w:textAlignment w:val="auto"/>
        <w:rPr>
          <w:rFonts w:ascii="宋体" w:hAnsi="宋体"/>
          <w:color w:val="auto"/>
          <w:kern w:val="0"/>
          <w:szCs w:val="21"/>
        </w:rPr>
      </w:pPr>
      <w:r>
        <w:rPr>
          <w:rFonts w:hint="eastAsia" w:ascii="宋体" w:hAnsi="宋体"/>
          <w:color w:val="auto"/>
          <w:kern w:val="0"/>
          <w:szCs w:val="21"/>
        </w:rPr>
        <w:t>本次评审采用</w:t>
      </w:r>
      <w:r>
        <w:rPr>
          <w:rFonts w:hint="eastAsia" w:ascii="宋体" w:hAnsi="宋体"/>
          <w:color w:val="auto"/>
          <w:kern w:val="0"/>
          <w:szCs w:val="21"/>
          <w:lang w:eastAsia="zh-CN"/>
        </w:rPr>
        <w:t>综合评估</w:t>
      </w:r>
      <w:r>
        <w:rPr>
          <w:rFonts w:hint="eastAsia" w:ascii="宋体" w:hAnsi="宋体"/>
          <w:color w:val="auto"/>
          <w:kern w:val="0"/>
          <w:szCs w:val="21"/>
        </w:rPr>
        <w:t>法。</w:t>
      </w:r>
      <w:r>
        <w:rPr>
          <w:rFonts w:hint="eastAsia" w:ascii="宋体" w:hAnsi="宋体"/>
          <w:color w:val="auto"/>
          <w:kern w:val="0"/>
          <w:szCs w:val="21"/>
          <w:lang w:eastAsia="zh-CN"/>
        </w:rPr>
        <w:t>评审委员会</w:t>
      </w:r>
      <w:r>
        <w:rPr>
          <w:rFonts w:hint="eastAsia" w:ascii="宋体" w:hAnsi="宋体"/>
          <w:color w:val="auto"/>
          <w:kern w:val="0"/>
          <w:szCs w:val="21"/>
        </w:rPr>
        <w:t>对满足</w:t>
      </w:r>
      <w:r>
        <w:rPr>
          <w:rFonts w:ascii="宋体" w:hAnsi="宋体"/>
          <w:color w:val="auto"/>
          <w:kern w:val="0"/>
          <w:szCs w:val="21"/>
        </w:rPr>
        <w:t>比选</w:t>
      </w:r>
      <w:r>
        <w:rPr>
          <w:rFonts w:hint="eastAsia" w:ascii="宋体" w:hAnsi="宋体"/>
          <w:color w:val="auto"/>
          <w:kern w:val="0"/>
          <w:szCs w:val="21"/>
        </w:rPr>
        <w:t>文件实质性要求的</w:t>
      </w:r>
      <w:r>
        <w:rPr>
          <w:rFonts w:hint="eastAsia" w:ascii="宋体" w:hAnsi="宋体"/>
          <w:color w:val="auto"/>
          <w:kern w:val="0"/>
          <w:szCs w:val="21"/>
          <w:lang w:eastAsia="zh-CN"/>
        </w:rPr>
        <w:t>比选文件</w:t>
      </w:r>
      <w:r>
        <w:rPr>
          <w:rFonts w:hint="eastAsia" w:ascii="宋体" w:hAnsi="宋体"/>
          <w:color w:val="auto"/>
          <w:kern w:val="0"/>
          <w:szCs w:val="21"/>
        </w:rPr>
        <w:t>，按照本章第</w:t>
      </w:r>
      <w:r>
        <w:rPr>
          <w:rFonts w:ascii="宋体" w:hAnsi="宋体"/>
          <w:color w:val="auto"/>
          <w:kern w:val="0"/>
          <w:szCs w:val="21"/>
        </w:rPr>
        <w:t xml:space="preserve"> </w:t>
      </w:r>
      <w:r>
        <w:rPr>
          <w:rFonts w:hint="eastAsia" w:ascii="宋体" w:hAnsi="宋体"/>
          <w:color w:val="auto"/>
          <w:kern w:val="0"/>
          <w:szCs w:val="21"/>
          <w:lang w:val="en-US" w:eastAsia="zh-CN"/>
        </w:rPr>
        <w:t>2.1</w:t>
      </w:r>
      <w:r>
        <w:rPr>
          <w:rFonts w:ascii="宋体" w:hAnsi="宋体"/>
          <w:color w:val="auto"/>
          <w:kern w:val="0"/>
          <w:szCs w:val="21"/>
        </w:rPr>
        <w:t xml:space="preserve"> </w:t>
      </w:r>
      <w:r>
        <w:rPr>
          <w:rFonts w:hint="eastAsia" w:ascii="宋体" w:hAnsi="宋体"/>
          <w:color w:val="auto"/>
          <w:kern w:val="0"/>
          <w:szCs w:val="21"/>
        </w:rPr>
        <w:t>款规定进行评审，并按</w:t>
      </w:r>
      <w:r>
        <w:rPr>
          <w:rFonts w:hint="eastAsia" w:ascii="宋体" w:hAnsi="宋体"/>
          <w:color w:val="auto"/>
          <w:kern w:val="0"/>
          <w:szCs w:val="21"/>
          <w:lang w:eastAsia="zh-CN"/>
        </w:rPr>
        <w:t>综合得分由高到低的顺序</w:t>
      </w:r>
      <w:r>
        <w:rPr>
          <w:rFonts w:hint="eastAsia" w:ascii="宋体" w:hAnsi="宋体"/>
          <w:color w:val="auto"/>
          <w:kern w:val="0"/>
          <w:szCs w:val="21"/>
        </w:rPr>
        <w:t>推荐</w:t>
      </w:r>
      <w:r>
        <w:rPr>
          <w:rFonts w:hint="eastAsia" w:ascii="宋体" w:hAnsi="宋体"/>
          <w:color w:val="auto"/>
          <w:kern w:val="0"/>
          <w:szCs w:val="21"/>
          <w:lang w:val="en-US" w:eastAsia="zh-CN"/>
        </w:rPr>
        <w:t>2</w:t>
      </w:r>
      <w:r>
        <w:rPr>
          <w:rFonts w:ascii="宋体" w:hAnsi="宋体"/>
          <w:color w:val="auto"/>
          <w:kern w:val="0"/>
          <w:szCs w:val="21"/>
        </w:rPr>
        <w:t>名中选候选人，或根据比选人授权直接确定中选人，但</w:t>
      </w:r>
      <w:r>
        <w:rPr>
          <w:rFonts w:hint="eastAsia" w:ascii="宋体" w:hAnsi="宋体"/>
          <w:color w:val="auto"/>
          <w:kern w:val="0"/>
          <w:szCs w:val="21"/>
          <w:lang w:eastAsia="zh-CN"/>
        </w:rPr>
        <w:t>比选</w:t>
      </w:r>
      <w:r>
        <w:rPr>
          <w:rFonts w:hint="eastAsia" w:ascii="宋体" w:hAnsi="宋体"/>
          <w:color w:val="auto"/>
          <w:kern w:val="0"/>
          <w:szCs w:val="21"/>
        </w:rPr>
        <w:t>报价</w:t>
      </w:r>
      <w:r>
        <w:rPr>
          <w:rFonts w:ascii="宋体" w:hAnsi="宋体"/>
          <w:color w:val="auto"/>
          <w:kern w:val="0"/>
          <w:szCs w:val="21"/>
        </w:rPr>
        <w:t>低于其成本的除外。</w:t>
      </w:r>
    </w:p>
    <w:p w14:paraId="5AD8A92B">
      <w:pPr>
        <w:keepNext/>
        <w:keepLines/>
        <w:pageBreakBefore w:val="0"/>
        <w:widowControl w:val="0"/>
        <w:numPr>
          <w:ilvl w:val="0"/>
          <w:numId w:val="3"/>
        </w:numPr>
        <w:kinsoku/>
        <w:wordWrap/>
        <w:overflowPunct/>
        <w:topLinePunct w:val="0"/>
        <w:autoSpaceDE/>
        <w:autoSpaceDN/>
        <w:bidi w:val="0"/>
        <w:adjustRightInd w:val="0"/>
        <w:snapToGrid w:val="0"/>
        <w:spacing w:line="420" w:lineRule="exact"/>
        <w:ind w:left="0" w:leftChars="0" w:firstLine="0" w:firstLineChars="0"/>
        <w:textAlignment w:val="auto"/>
        <w:rPr>
          <w:b/>
          <w:bCs/>
          <w:color w:val="auto"/>
          <w:sz w:val="32"/>
          <w:szCs w:val="36"/>
        </w:rPr>
      </w:pPr>
      <w:bookmarkStart w:id="154" w:name="_Toc2105"/>
      <w:bookmarkStart w:id="155" w:name="_Toc75963228"/>
      <w:bookmarkStart w:id="156" w:name="_Toc360722800"/>
      <w:bookmarkStart w:id="157" w:name="_Toc241483911"/>
      <w:bookmarkStart w:id="158" w:name="_Toc3454"/>
      <w:bookmarkStart w:id="159" w:name="_Toc300754713"/>
      <w:bookmarkStart w:id="160" w:name="_Toc237171529"/>
      <w:bookmarkStart w:id="161" w:name="_Toc224103385"/>
      <w:bookmarkStart w:id="162" w:name="_Toc200513199"/>
      <w:bookmarkStart w:id="163" w:name="_Toc18597"/>
      <w:r>
        <w:rPr>
          <w:rFonts w:hint="eastAsia"/>
          <w:b/>
          <w:bCs/>
          <w:color w:val="auto"/>
          <w:sz w:val="32"/>
          <w:szCs w:val="36"/>
        </w:rPr>
        <w:t>评审标准</w:t>
      </w:r>
      <w:bookmarkEnd w:id="154"/>
      <w:bookmarkEnd w:id="155"/>
      <w:bookmarkEnd w:id="156"/>
      <w:bookmarkEnd w:id="157"/>
      <w:bookmarkEnd w:id="158"/>
      <w:bookmarkEnd w:id="159"/>
      <w:bookmarkEnd w:id="160"/>
      <w:bookmarkEnd w:id="161"/>
      <w:bookmarkEnd w:id="162"/>
      <w:bookmarkEnd w:id="163"/>
    </w:p>
    <w:p w14:paraId="66158060">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164" w:name="_Toc224103386"/>
      <w:bookmarkStart w:id="165" w:name="_Toc300754714"/>
      <w:bookmarkStart w:id="166" w:name="_Toc200513200"/>
      <w:bookmarkStart w:id="167" w:name="_Toc241483912"/>
      <w:bookmarkStart w:id="168" w:name="_Toc237171530"/>
      <w:bookmarkStart w:id="169" w:name="_Toc360722801"/>
      <w:r>
        <w:rPr>
          <w:rFonts w:hint="default" w:ascii="Times New Roman" w:hAnsi="Times New Roman" w:cs="Times New Roman"/>
          <w:b/>
          <w:color w:val="auto"/>
          <w:kern w:val="0"/>
          <w:szCs w:val="21"/>
        </w:rPr>
        <w:t>2.1</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初步评审标准</w:t>
      </w:r>
    </w:p>
    <w:p w14:paraId="05541499">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资格评审标准：见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14:paraId="35E6C7DE">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形式</w:t>
      </w:r>
      <w:r>
        <w:rPr>
          <w:rFonts w:hint="default" w:ascii="Times New Roman" w:hAnsi="Times New Roman" w:cs="Times New Roman"/>
          <w:color w:val="auto"/>
          <w:kern w:val="0"/>
          <w:szCs w:val="21"/>
        </w:rPr>
        <w:t>评审标准：见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14:paraId="64072E2C">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响应性评审标准：见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14:paraId="29B041FD">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170" w:name="_Toc360722802"/>
      <w:bookmarkStart w:id="171" w:name="_Toc300754715"/>
      <w:bookmarkStart w:id="172" w:name="_Toc224103387"/>
      <w:bookmarkStart w:id="173" w:name="_Toc200513201"/>
      <w:bookmarkStart w:id="174" w:name="_Toc237171531"/>
      <w:bookmarkStart w:id="175" w:name="_Toc241483913"/>
      <w:r>
        <w:rPr>
          <w:rFonts w:hint="default" w:ascii="Times New Roman" w:hAnsi="Times New Roman" w:cs="Times New Roman"/>
          <w:b/>
          <w:color w:val="auto"/>
          <w:kern w:val="0"/>
          <w:szCs w:val="21"/>
        </w:rPr>
        <w:t>2.2</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分值构成与评分标准</w:t>
      </w:r>
      <w:bookmarkEnd w:id="170"/>
      <w:bookmarkEnd w:id="171"/>
      <w:bookmarkEnd w:id="172"/>
      <w:bookmarkEnd w:id="173"/>
      <w:bookmarkEnd w:id="174"/>
      <w:bookmarkEnd w:id="175"/>
    </w:p>
    <w:p w14:paraId="2285ED26">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分值构成</w:t>
      </w:r>
    </w:p>
    <w:p w14:paraId="3E841313">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eastAsia" w:cs="Times New Roman"/>
          <w:color w:val="auto"/>
          <w:kern w:val="0"/>
          <w:szCs w:val="21"/>
          <w:lang w:eastAsia="zh-CN"/>
        </w:rPr>
        <w:t>比选</w:t>
      </w:r>
      <w:r>
        <w:rPr>
          <w:rFonts w:hint="default" w:ascii="Times New Roman" w:hAnsi="Times New Roman" w:cs="Times New Roman"/>
          <w:color w:val="auto"/>
          <w:kern w:val="0"/>
          <w:szCs w:val="21"/>
        </w:rPr>
        <w:t>报价：见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14:paraId="20358D26">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基准价计算</w:t>
      </w:r>
    </w:p>
    <w:p w14:paraId="4D978E4E">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基准价计算方法：见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14:paraId="47F07D94">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评分标准</w:t>
      </w:r>
    </w:p>
    <w:p w14:paraId="5FB3F2CE">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（1）</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报价评分标准：见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14:paraId="14854235">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（2）商务部分评分标准：见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14:paraId="0571BE68">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（3）技术部分评分标准：见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14:paraId="64F01C04">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2.2.4 </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报价的偏差率计算</w:t>
      </w:r>
    </w:p>
    <w:p w14:paraId="1516B5E4">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eastAsia" w:cs="Times New Roman"/>
          <w:color w:val="auto"/>
          <w:kern w:val="0"/>
          <w:szCs w:val="21"/>
          <w:lang w:eastAsia="zh-CN"/>
        </w:rPr>
        <w:t>比选</w:t>
      </w:r>
      <w:r>
        <w:rPr>
          <w:rFonts w:hint="default" w:ascii="Times New Roman" w:hAnsi="Times New Roman" w:cs="Times New Roman"/>
          <w:color w:val="auto"/>
          <w:kern w:val="0"/>
          <w:szCs w:val="21"/>
        </w:rPr>
        <w:t>报价的偏差率计算公式：见评审办法前附表。</w:t>
      </w:r>
    </w:p>
    <w:bookmarkEnd w:id="164"/>
    <w:bookmarkEnd w:id="165"/>
    <w:bookmarkEnd w:id="166"/>
    <w:bookmarkEnd w:id="167"/>
    <w:bookmarkEnd w:id="168"/>
    <w:bookmarkEnd w:id="169"/>
    <w:p w14:paraId="568EA648">
      <w:pPr>
        <w:keepNext/>
        <w:keepLines/>
        <w:pageBreakBefore w:val="0"/>
        <w:widowControl w:val="0"/>
        <w:kinsoku/>
        <w:wordWrap/>
        <w:overflowPunct/>
        <w:topLinePunct w:val="0"/>
        <w:autoSpaceDE/>
        <w:autoSpaceDN/>
        <w:bidi w:val="0"/>
        <w:adjustRightInd w:val="0"/>
        <w:snapToGrid w:val="0"/>
        <w:spacing w:line="420" w:lineRule="exact"/>
        <w:ind w:firstLine="0" w:firstLineChars="0"/>
        <w:textAlignment w:val="auto"/>
        <w:rPr>
          <w:b/>
          <w:bCs/>
          <w:color w:val="auto"/>
          <w:sz w:val="32"/>
          <w:szCs w:val="36"/>
        </w:rPr>
      </w:pPr>
      <w:bookmarkStart w:id="176" w:name="_Toc4398"/>
      <w:bookmarkStart w:id="177" w:name="_Toc224103388"/>
      <w:bookmarkStart w:id="178" w:name="_Toc360722803"/>
      <w:bookmarkStart w:id="179" w:name="_Toc200513202"/>
      <w:bookmarkStart w:id="180" w:name="_Toc241483914"/>
      <w:bookmarkStart w:id="181" w:name="_Toc300754716"/>
      <w:bookmarkStart w:id="182" w:name="_Toc6430"/>
      <w:bookmarkStart w:id="183" w:name="_Toc1805"/>
      <w:bookmarkStart w:id="184" w:name="_Toc237171532"/>
      <w:bookmarkStart w:id="185" w:name="_Toc75963229"/>
      <w:r>
        <w:rPr>
          <w:rFonts w:hint="eastAsia"/>
          <w:b/>
          <w:bCs/>
          <w:color w:val="auto"/>
          <w:sz w:val="32"/>
          <w:szCs w:val="36"/>
        </w:rPr>
        <w:t>3.</w:t>
      </w:r>
      <w:r>
        <w:rPr>
          <w:rFonts w:hint="eastAsia"/>
          <w:b/>
          <w:bCs/>
          <w:color w:val="auto"/>
          <w:sz w:val="32"/>
          <w:szCs w:val="36"/>
          <w:lang w:val="en-US" w:eastAsia="zh-CN"/>
        </w:rPr>
        <w:t xml:space="preserve"> </w:t>
      </w:r>
      <w:r>
        <w:rPr>
          <w:rFonts w:hint="eastAsia"/>
          <w:b/>
          <w:bCs/>
          <w:color w:val="auto"/>
          <w:sz w:val="32"/>
          <w:szCs w:val="36"/>
          <w:lang w:eastAsia="zh-CN"/>
        </w:rPr>
        <w:t>评审</w:t>
      </w:r>
      <w:r>
        <w:rPr>
          <w:rFonts w:hint="eastAsia"/>
          <w:b/>
          <w:bCs/>
          <w:color w:val="auto"/>
          <w:sz w:val="32"/>
          <w:szCs w:val="36"/>
        </w:rPr>
        <w:t>程序</w:t>
      </w:r>
      <w:bookmarkEnd w:id="176"/>
      <w:bookmarkEnd w:id="177"/>
      <w:bookmarkEnd w:id="178"/>
      <w:bookmarkEnd w:id="179"/>
      <w:bookmarkEnd w:id="180"/>
      <w:bookmarkEnd w:id="181"/>
      <w:bookmarkEnd w:id="182"/>
      <w:bookmarkEnd w:id="183"/>
      <w:bookmarkEnd w:id="184"/>
      <w:bookmarkEnd w:id="185"/>
    </w:p>
    <w:p w14:paraId="431C682F">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186" w:name="_Toc224103389"/>
      <w:bookmarkStart w:id="187" w:name="_Toc241483915"/>
      <w:bookmarkStart w:id="188" w:name="_Toc237171533"/>
      <w:bookmarkStart w:id="189" w:name="_Toc360722804"/>
      <w:bookmarkStart w:id="190" w:name="_Toc200513203"/>
      <w:bookmarkStart w:id="191" w:name="_Toc300754717"/>
      <w:r>
        <w:rPr>
          <w:rFonts w:hint="default" w:ascii="Times New Roman" w:hAnsi="Times New Roman" w:cs="Times New Roman"/>
          <w:b/>
          <w:color w:val="auto"/>
          <w:kern w:val="0"/>
          <w:szCs w:val="21"/>
        </w:rPr>
        <w:t>3.1</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初步评审</w:t>
      </w:r>
      <w:bookmarkEnd w:id="186"/>
      <w:bookmarkEnd w:id="187"/>
      <w:bookmarkEnd w:id="188"/>
      <w:bookmarkEnd w:id="189"/>
      <w:bookmarkEnd w:id="190"/>
      <w:bookmarkEnd w:id="191"/>
    </w:p>
    <w:p w14:paraId="3CB97F3C">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依据本章第 2.1 款规定的标准对</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进行初步评审。</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依据本章第 2.1 款规定的标准对</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进行初步评审。有一项不符合评审标准的，作否决</w:t>
      </w:r>
      <w:r>
        <w:rPr>
          <w:rFonts w:hint="eastAsia" w:cs="Times New Roman"/>
          <w:color w:val="auto"/>
          <w:kern w:val="0"/>
          <w:szCs w:val="21"/>
          <w:lang w:eastAsia="zh-CN"/>
        </w:rPr>
        <w:t>比选</w:t>
      </w:r>
      <w:r>
        <w:rPr>
          <w:rFonts w:hint="default" w:ascii="Times New Roman" w:hAnsi="Times New Roman" w:cs="Times New Roman"/>
          <w:color w:val="auto"/>
          <w:kern w:val="0"/>
          <w:szCs w:val="21"/>
        </w:rPr>
        <w:t>处理。</w:t>
      </w:r>
    </w:p>
    <w:p w14:paraId="07D263BC">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3.1.2</w:t>
      </w:r>
      <w:r>
        <w:rPr>
          <w:rFonts w:hint="eastAsia" w:ascii="Times New Roman" w:hAnsi="Times New Roman" w:cs="Times New Roman"/>
          <w:color w:val="auto"/>
          <w:kern w:val="0"/>
          <w:szCs w:val="21"/>
          <w:lang w:val="en-US" w:eastAsia="zh-CN"/>
        </w:rPr>
        <w:t xml:space="preserve"> </w:t>
      </w:r>
      <w:r>
        <w:rPr>
          <w:rFonts w:hint="eastAsia" w:cs="Times New Roman"/>
          <w:color w:val="auto"/>
          <w:kern w:val="0"/>
          <w:szCs w:val="21"/>
          <w:lang w:eastAsia="zh-CN"/>
        </w:rPr>
        <w:t>报价人</w:t>
      </w:r>
      <w:r>
        <w:rPr>
          <w:rFonts w:hint="default" w:ascii="Times New Roman" w:hAnsi="Times New Roman" w:cs="Times New Roman"/>
          <w:color w:val="auto"/>
          <w:kern w:val="0"/>
          <w:szCs w:val="21"/>
        </w:rPr>
        <w:t>有以下情形之一的，其</w:t>
      </w:r>
      <w:r>
        <w:rPr>
          <w:rFonts w:hint="eastAsia" w:cs="Times New Roman"/>
          <w:color w:val="auto"/>
          <w:kern w:val="0"/>
          <w:szCs w:val="21"/>
          <w:lang w:eastAsia="zh-CN"/>
        </w:rPr>
        <w:t>比选</w:t>
      </w:r>
      <w:r>
        <w:rPr>
          <w:rFonts w:hint="default" w:ascii="Times New Roman" w:hAnsi="Times New Roman" w:cs="Times New Roman"/>
          <w:color w:val="auto"/>
          <w:kern w:val="0"/>
          <w:szCs w:val="21"/>
        </w:rPr>
        <w:t>作否决处理：</w:t>
      </w:r>
    </w:p>
    <w:p w14:paraId="099AC8FD">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（1）第二章“</w:t>
      </w:r>
      <w:r>
        <w:rPr>
          <w:rFonts w:hint="eastAsia" w:cs="Times New Roman"/>
          <w:color w:val="auto"/>
          <w:kern w:val="0"/>
          <w:szCs w:val="21"/>
          <w:lang w:eastAsia="zh-CN"/>
        </w:rPr>
        <w:t>报价人</w:t>
      </w:r>
      <w:r>
        <w:rPr>
          <w:rFonts w:hint="default" w:ascii="Times New Roman" w:hAnsi="Times New Roman" w:cs="Times New Roman"/>
          <w:color w:val="auto"/>
          <w:kern w:val="0"/>
          <w:szCs w:val="21"/>
        </w:rPr>
        <w:t>须知”第 1.4.3 项规定的任何一种情形的；</w:t>
      </w:r>
    </w:p>
    <w:p w14:paraId="47A59AAD">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（2）串通</w:t>
      </w:r>
      <w:r>
        <w:rPr>
          <w:rFonts w:hint="eastAsia" w:cs="Times New Roman"/>
          <w:color w:val="auto"/>
          <w:kern w:val="0"/>
          <w:szCs w:val="21"/>
          <w:lang w:eastAsia="zh-CN"/>
        </w:rPr>
        <w:t>比选</w:t>
      </w:r>
      <w:r>
        <w:rPr>
          <w:rFonts w:hint="default" w:ascii="Times New Roman" w:hAnsi="Times New Roman" w:cs="Times New Roman"/>
          <w:color w:val="auto"/>
          <w:kern w:val="0"/>
          <w:szCs w:val="21"/>
        </w:rPr>
        <w:t>或弄虚作假或有其他违法行为的；</w:t>
      </w:r>
    </w:p>
    <w:p w14:paraId="208B2A61">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（3）不按</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要求澄清、说明或补正的。</w:t>
      </w:r>
    </w:p>
    <w:p w14:paraId="5B70175E">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（4）本比选文件约定的其他情形。</w:t>
      </w:r>
    </w:p>
    <w:p w14:paraId="25943326">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3.1.3</w:t>
      </w:r>
      <w:r>
        <w:rPr>
          <w:rFonts w:hint="eastAsia" w:ascii="Times New Roman" w:hAnsi="Times New Roman" w:cs="Times New Roman"/>
          <w:color w:val="auto"/>
          <w:kern w:val="0"/>
          <w:szCs w:val="21"/>
          <w:lang w:val="en-US" w:eastAsia="zh-CN"/>
        </w:rPr>
        <w:t xml:space="preserve"> </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报价有算术错误的，</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按以下原则对</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报价进行修正，修正的价格经</w:t>
      </w:r>
      <w:r>
        <w:rPr>
          <w:rFonts w:hint="eastAsia" w:cs="Times New Roman"/>
          <w:color w:val="auto"/>
          <w:kern w:val="0"/>
          <w:szCs w:val="21"/>
          <w:lang w:eastAsia="zh-CN"/>
        </w:rPr>
        <w:t>报价人</w:t>
      </w:r>
      <w:r>
        <w:rPr>
          <w:rFonts w:hint="default" w:ascii="Times New Roman" w:hAnsi="Times New Roman" w:cs="Times New Roman"/>
          <w:color w:val="auto"/>
          <w:kern w:val="0"/>
          <w:szCs w:val="21"/>
        </w:rPr>
        <w:t>书面确认后具有约束力。</w:t>
      </w:r>
      <w:r>
        <w:rPr>
          <w:rFonts w:hint="eastAsia" w:cs="Times New Roman"/>
          <w:color w:val="auto"/>
          <w:kern w:val="0"/>
          <w:szCs w:val="21"/>
          <w:lang w:eastAsia="zh-CN"/>
        </w:rPr>
        <w:t>报价人</w:t>
      </w:r>
      <w:r>
        <w:rPr>
          <w:rFonts w:hint="default" w:ascii="Times New Roman" w:hAnsi="Times New Roman" w:cs="Times New Roman"/>
          <w:color w:val="auto"/>
          <w:kern w:val="0"/>
          <w:szCs w:val="21"/>
        </w:rPr>
        <w:t>不接受修正价格的，其</w:t>
      </w:r>
      <w:r>
        <w:rPr>
          <w:rFonts w:hint="eastAsia" w:cs="Times New Roman"/>
          <w:color w:val="auto"/>
          <w:kern w:val="0"/>
          <w:szCs w:val="21"/>
          <w:lang w:eastAsia="zh-CN"/>
        </w:rPr>
        <w:t>比选</w:t>
      </w:r>
      <w:r>
        <w:rPr>
          <w:rFonts w:hint="default" w:ascii="Times New Roman" w:hAnsi="Times New Roman" w:cs="Times New Roman"/>
          <w:color w:val="auto"/>
          <w:kern w:val="0"/>
          <w:szCs w:val="21"/>
        </w:rPr>
        <w:t>作否决</w:t>
      </w:r>
      <w:r>
        <w:rPr>
          <w:rFonts w:hint="eastAsia" w:cs="Times New Roman"/>
          <w:color w:val="auto"/>
          <w:kern w:val="0"/>
          <w:szCs w:val="21"/>
          <w:lang w:eastAsia="zh-CN"/>
        </w:rPr>
        <w:t>比选</w:t>
      </w:r>
      <w:r>
        <w:rPr>
          <w:rFonts w:hint="default" w:ascii="Times New Roman" w:hAnsi="Times New Roman" w:cs="Times New Roman"/>
          <w:color w:val="auto"/>
          <w:kern w:val="0"/>
          <w:szCs w:val="21"/>
        </w:rPr>
        <w:t>处理。</w:t>
      </w:r>
    </w:p>
    <w:p w14:paraId="1D88EB35">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中的大写金额与小写金额不一致的，以大写金额为准；</w:t>
      </w:r>
    </w:p>
    <w:p w14:paraId="555FDBB4">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（2）单价金额小数点或者百分比有明显错位的，以修正后的单价为准；</w:t>
      </w:r>
    </w:p>
    <w:p w14:paraId="4EA6EB58">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（3）总价金额与按单价汇总金额不一致的，以单价金额计算结果为准。</w:t>
      </w:r>
    </w:p>
    <w:p w14:paraId="3C91BFFC">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cs="Times New Roman"/>
          <w:color w:val="auto"/>
          <w:spacing w:val="1"/>
          <w:kern w:val="0"/>
          <w:szCs w:val="21"/>
        </w:rPr>
        <w:t>4</w:t>
      </w:r>
      <w:r>
        <w:rPr>
          <w:rFonts w:hint="default" w:ascii="Times New Roman" w:hAnsi="Times New Roman" w:cs="Times New Roman"/>
          <w:color w:val="auto"/>
          <w:kern w:val="0"/>
          <w:szCs w:val="21"/>
        </w:rPr>
        <w:t>）</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中，若</w:t>
      </w:r>
      <w:r>
        <w:rPr>
          <w:rFonts w:hint="eastAsia" w:cs="Times New Roman"/>
          <w:color w:val="auto"/>
          <w:kern w:val="0"/>
          <w:szCs w:val="21"/>
          <w:lang w:eastAsia="zh-CN"/>
        </w:rPr>
        <w:t>比选函</w:t>
      </w:r>
      <w:r>
        <w:rPr>
          <w:rFonts w:hint="default" w:ascii="Times New Roman" w:hAnsi="Times New Roman" w:cs="Times New Roman"/>
          <w:color w:val="auto"/>
          <w:kern w:val="0"/>
          <w:szCs w:val="21"/>
        </w:rPr>
        <w:t>的</w:t>
      </w:r>
      <w:r>
        <w:rPr>
          <w:rFonts w:hint="eastAsia" w:cs="Times New Roman"/>
          <w:color w:val="auto"/>
          <w:kern w:val="0"/>
          <w:szCs w:val="21"/>
          <w:lang w:eastAsia="zh-CN"/>
        </w:rPr>
        <w:t>比选</w:t>
      </w:r>
      <w:r>
        <w:rPr>
          <w:rFonts w:hint="default" w:ascii="Times New Roman" w:hAnsi="Times New Roman" w:cs="Times New Roman"/>
          <w:color w:val="auto"/>
          <w:kern w:val="0"/>
          <w:szCs w:val="21"/>
        </w:rPr>
        <w:t>总报价与</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报价清单总价不一致，以</w:t>
      </w:r>
      <w:r>
        <w:rPr>
          <w:rFonts w:hint="eastAsia" w:cs="Times New Roman"/>
          <w:color w:val="auto"/>
          <w:kern w:val="0"/>
          <w:szCs w:val="21"/>
          <w:lang w:eastAsia="zh-CN"/>
        </w:rPr>
        <w:t>比选函</w:t>
      </w:r>
      <w:r>
        <w:rPr>
          <w:rFonts w:hint="default" w:ascii="Times New Roman" w:hAnsi="Times New Roman" w:cs="Times New Roman"/>
          <w:color w:val="auto"/>
          <w:kern w:val="0"/>
          <w:szCs w:val="21"/>
        </w:rPr>
        <w:t>为准；</w:t>
      </w:r>
    </w:p>
    <w:p w14:paraId="60AF42DA">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同时出现两种以上不一致的，按照上述规定的顺序修正。</w:t>
      </w:r>
    </w:p>
    <w:p w14:paraId="41BDEBBD">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192" w:name="_Toc224103390"/>
      <w:bookmarkStart w:id="193" w:name="_Toc360722805"/>
      <w:bookmarkStart w:id="194" w:name="_Toc300754718"/>
      <w:bookmarkStart w:id="195" w:name="_Toc237171534"/>
      <w:bookmarkStart w:id="196" w:name="_Toc241483916"/>
      <w:bookmarkStart w:id="197" w:name="_Toc200513204"/>
      <w:r>
        <w:rPr>
          <w:rFonts w:hint="default" w:ascii="Times New Roman" w:hAnsi="Times New Roman" w:cs="Times New Roman"/>
          <w:b/>
          <w:color w:val="auto"/>
          <w:kern w:val="0"/>
          <w:szCs w:val="21"/>
        </w:rPr>
        <w:t>3.2</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详细评审</w:t>
      </w:r>
      <w:bookmarkEnd w:id="192"/>
      <w:bookmarkEnd w:id="193"/>
      <w:bookmarkEnd w:id="194"/>
      <w:bookmarkEnd w:id="195"/>
      <w:bookmarkEnd w:id="196"/>
      <w:bookmarkEnd w:id="197"/>
    </w:p>
    <w:p w14:paraId="49AA2C73">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按本章第2.2款规定的量化因素和分值进行打分，并计算出综合评估得分。</w:t>
      </w:r>
    </w:p>
    <w:p w14:paraId="3B811A08">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r>
        <w:rPr>
          <w:rFonts w:hint="default" w:ascii="Times New Roman" w:hAnsi="Times New Roman" w:cs="Times New Roman"/>
          <w:color w:val="auto"/>
          <w:kern w:val="0"/>
          <w:szCs w:val="21"/>
          <w:lang w:eastAsia="zh-CN"/>
        </w:rPr>
        <w:t>按评审办法前附表</w:t>
      </w:r>
      <w:r>
        <w:rPr>
          <w:rFonts w:hint="default" w:ascii="Times New Roman" w:hAnsi="Times New Roman" w:cs="Times New Roman"/>
          <w:color w:val="auto"/>
          <w:kern w:val="0"/>
          <w:szCs w:val="21"/>
        </w:rPr>
        <w:t>规定的评审因素和分值对</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报价计算出得分A；</w:t>
      </w:r>
    </w:p>
    <w:p w14:paraId="12B7BA62">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r>
        <w:rPr>
          <w:rFonts w:hint="default" w:ascii="Times New Roman" w:hAnsi="Times New Roman" w:cs="Times New Roman"/>
          <w:color w:val="auto"/>
          <w:kern w:val="0"/>
          <w:szCs w:val="21"/>
          <w:lang w:eastAsia="zh-CN"/>
        </w:rPr>
        <w:t>按评审办法前附表</w:t>
      </w:r>
      <w:r>
        <w:rPr>
          <w:rFonts w:hint="default" w:ascii="Times New Roman" w:hAnsi="Times New Roman" w:cs="Times New Roman"/>
          <w:color w:val="auto"/>
          <w:kern w:val="0"/>
          <w:szCs w:val="21"/>
        </w:rPr>
        <w:t>规定的评审因素和分值对商务部分计算出得分B；</w:t>
      </w:r>
    </w:p>
    <w:p w14:paraId="378755BF">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r>
        <w:rPr>
          <w:rFonts w:hint="default" w:ascii="Times New Roman" w:hAnsi="Times New Roman" w:cs="Times New Roman"/>
          <w:color w:val="auto"/>
          <w:kern w:val="0"/>
          <w:szCs w:val="21"/>
          <w:lang w:eastAsia="zh-CN"/>
        </w:rPr>
        <w:t>按评审办法前附表</w:t>
      </w:r>
      <w:r>
        <w:rPr>
          <w:rFonts w:hint="default" w:ascii="Times New Roman" w:hAnsi="Times New Roman" w:cs="Times New Roman"/>
          <w:color w:val="auto"/>
          <w:kern w:val="0"/>
          <w:szCs w:val="21"/>
        </w:rPr>
        <w:t>规定的评审因素和分值对技术部分计算出得分C；</w:t>
      </w:r>
    </w:p>
    <w:p w14:paraId="2062BAE5">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评分分值计算保留小数点后两位，小数点后第三位“四舍五入”。</w:t>
      </w:r>
    </w:p>
    <w:p w14:paraId="00D7D293">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3.2.3</w:t>
      </w:r>
      <w:r>
        <w:rPr>
          <w:rFonts w:hint="eastAsia" w:ascii="Times New Roman" w:hAnsi="Times New Roman" w:cs="Times New Roman"/>
          <w:color w:val="auto"/>
          <w:kern w:val="0"/>
          <w:szCs w:val="21"/>
          <w:lang w:val="en-US" w:eastAsia="zh-CN"/>
        </w:rPr>
        <w:t xml:space="preserve"> </w:t>
      </w:r>
      <w:r>
        <w:rPr>
          <w:rFonts w:hint="eastAsia" w:cs="Times New Roman"/>
          <w:color w:val="auto"/>
          <w:kern w:val="0"/>
          <w:szCs w:val="21"/>
          <w:lang w:eastAsia="zh-CN"/>
        </w:rPr>
        <w:t>报价人</w:t>
      </w:r>
      <w:r>
        <w:rPr>
          <w:rFonts w:hint="default" w:ascii="Times New Roman" w:hAnsi="Times New Roman" w:cs="Times New Roman"/>
          <w:color w:val="auto"/>
          <w:kern w:val="0"/>
          <w:szCs w:val="21"/>
        </w:rPr>
        <w:t>得分=A+B+C</w:t>
      </w:r>
    </w:p>
    <w:p w14:paraId="5F2AD8E7">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3.2.4</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发现</w:t>
      </w:r>
      <w:r>
        <w:rPr>
          <w:rFonts w:hint="eastAsia" w:cs="Times New Roman"/>
          <w:color w:val="auto"/>
          <w:kern w:val="0"/>
          <w:szCs w:val="21"/>
          <w:lang w:eastAsia="zh-CN"/>
        </w:rPr>
        <w:t>报价人</w:t>
      </w:r>
      <w:r>
        <w:rPr>
          <w:rFonts w:hint="default" w:ascii="Times New Roman" w:hAnsi="Times New Roman" w:cs="Times New Roman"/>
          <w:color w:val="auto"/>
          <w:kern w:val="0"/>
          <w:szCs w:val="21"/>
        </w:rPr>
        <w:t>的报价明显低于其他</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报价，或者在设有标底时明显低于标底，使得其</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报价可能低于其个别成本的，应当要求该</w:t>
      </w:r>
      <w:r>
        <w:rPr>
          <w:rFonts w:hint="eastAsia" w:cs="Times New Roman"/>
          <w:color w:val="auto"/>
          <w:kern w:val="0"/>
          <w:szCs w:val="21"/>
          <w:lang w:eastAsia="zh-CN"/>
        </w:rPr>
        <w:t>报价人</w:t>
      </w:r>
      <w:r>
        <w:rPr>
          <w:rFonts w:hint="default" w:ascii="Times New Roman" w:hAnsi="Times New Roman" w:cs="Times New Roman"/>
          <w:color w:val="auto"/>
          <w:kern w:val="0"/>
          <w:szCs w:val="21"/>
        </w:rPr>
        <w:t>做出书面说明并提供相应的证明材料。</w:t>
      </w:r>
      <w:r>
        <w:rPr>
          <w:rFonts w:hint="eastAsia" w:cs="Times New Roman"/>
          <w:color w:val="auto"/>
          <w:kern w:val="0"/>
          <w:szCs w:val="21"/>
          <w:lang w:eastAsia="zh-CN"/>
        </w:rPr>
        <w:t>报价人</w:t>
      </w:r>
      <w:r>
        <w:rPr>
          <w:rFonts w:hint="default" w:ascii="Times New Roman" w:hAnsi="Times New Roman" w:cs="Times New Roman"/>
          <w:color w:val="auto"/>
          <w:kern w:val="0"/>
          <w:szCs w:val="21"/>
        </w:rPr>
        <w:t>不能合理说明或者不能提供相应证明材料的，由</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认定该</w:t>
      </w:r>
      <w:r>
        <w:rPr>
          <w:rFonts w:hint="eastAsia" w:cs="Times New Roman"/>
          <w:color w:val="auto"/>
          <w:kern w:val="0"/>
          <w:szCs w:val="21"/>
          <w:lang w:eastAsia="zh-CN"/>
        </w:rPr>
        <w:t>报价人</w:t>
      </w:r>
      <w:r>
        <w:rPr>
          <w:rFonts w:hint="default" w:ascii="Times New Roman" w:hAnsi="Times New Roman" w:cs="Times New Roman"/>
          <w:color w:val="auto"/>
          <w:kern w:val="0"/>
          <w:szCs w:val="21"/>
        </w:rPr>
        <w:t>以低于成本报价</w:t>
      </w:r>
      <w:r>
        <w:rPr>
          <w:rFonts w:hint="eastAsia" w:cs="Times New Roman"/>
          <w:color w:val="auto"/>
          <w:kern w:val="0"/>
          <w:szCs w:val="21"/>
          <w:lang w:eastAsia="zh-CN"/>
        </w:rPr>
        <w:t>比选</w:t>
      </w:r>
      <w:r>
        <w:rPr>
          <w:rFonts w:hint="default" w:ascii="Times New Roman" w:hAnsi="Times New Roman" w:cs="Times New Roman"/>
          <w:color w:val="auto"/>
          <w:kern w:val="0"/>
          <w:szCs w:val="21"/>
        </w:rPr>
        <w:t>，其比选作否决</w:t>
      </w:r>
      <w:r>
        <w:rPr>
          <w:rFonts w:hint="eastAsia" w:cs="Times New Roman"/>
          <w:color w:val="auto"/>
          <w:kern w:val="0"/>
          <w:szCs w:val="21"/>
          <w:lang w:eastAsia="zh-CN"/>
        </w:rPr>
        <w:t>比选</w:t>
      </w:r>
      <w:r>
        <w:rPr>
          <w:rFonts w:hint="default" w:ascii="Times New Roman" w:hAnsi="Times New Roman" w:cs="Times New Roman"/>
          <w:color w:val="auto"/>
          <w:kern w:val="0"/>
          <w:szCs w:val="21"/>
        </w:rPr>
        <w:t>处理。</w:t>
      </w:r>
    </w:p>
    <w:p w14:paraId="1F21E7E2">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color w:val="auto"/>
          <w:szCs w:val="21"/>
        </w:rPr>
      </w:pPr>
      <w:bookmarkStart w:id="198" w:name="_Toc200513205"/>
      <w:bookmarkStart w:id="199" w:name="_Toc241483917"/>
      <w:bookmarkStart w:id="200" w:name="_Toc237171535"/>
      <w:bookmarkStart w:id="201" w:name="_Toc300754719"/>
      <w:bookmarkStart w:id="202" w:name="_Toc360722806"/>
      <w:bookmarkStart w:id="203" w:name="_Toc224103391"/>
      <w:r>
        <w:rPr>
          <w:rFonts w:hint="default" w:ascii="Times New Roman" w:hAnsi="Times New Roman" w:cs="Times New Roman"/>
          <w:b/>
          <w:color w:val="auto"/>
          <w:kern w:val="0"/>
          <w:szCs w:val="21"/>
        </w:rPr>
        <w:t>3.3</w:t>
      </w:r>
      <w:r>
        <w:rPr>
          <w:rFonts w:hint="eastAsia" w:ascii="Times New Roman" w:hAnsi="Times New Roman" w:cs="Times New Roman"/>
          <w:b/>
          <w:color w:val="auto"/>
          <w:kern w:val="0"/>
          <w:szCs w:val="21"/>
          <w:lang w:val="en-US" w:eastAsia="zh-CN"/>
        </w:rPr>
        <w:t xml:space="preserve"> </w:t>
      </w:r>
      <w:r>
        <w:rPr>
          <w:rFonts w:hint="eastAsia" w:cs="Times New Roman"/>
          <w:b/>
          <w:color w:val="auto"/>
          <w:kern w:val="0"/>
          <w:szCs w:val="21"/>
          <w:lang w:eastAsia="zh-CN"/>
        </w:rPr>
        <w:t>比选文件</w:t>
      </w:r>
      <w:r>
        <w:rPr>
          <w:rFonts w:hint="default" w:ascii="Times New Roman" w:hAnsi="Times New Roman" w:cs="Times New Roman"/>
          <w:b/>
          <w:color w:val="auto"/>
          <w:kern w:val="0"/>
          <w:szCs w:val="21"/>
        </w:rPr>
        <w:t>的澄清和补正</w:t>
      </w:r>
      <w:bookmarkEnd w:id="198"/>
      <w:bookmarkEnd w:id="199"/>
      <w:bookmarkEnd w:id="200"/>
      <w:bookmarkEnd w:id="201"/>
      <w:bookmarkEnd w:id="202"/>
      <w:bookmarkEnd w:id="203"/>
    </w:p>
    <w:p w14:paraId="4F575DD8">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在</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过程中，</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可以书面形式要求</w:t>
      </w:r>
      <w:r>
        <w:rPr>
          <w:rFonts w:hint="eastAsia" w:cs="Times New Roman"/>
          <w:color w:val="auto"/>
          <w:kern w:val="0"/>
          <w:szCs w:val="21"/>
          <w:lang w:eastAsia="zh-CN"/>
        </w:rPr>
        <w:t>报价人</w:t>
      </w:r>
      <w:r>
        <w:rPr>
          <w:rFonts w:hint="default" w:ascii="Times New Roman" w:hAnsi="Times New Roman" w:cs="Times New Roman"/>
          <w:color w:val="auto"/>
          <w:kern w:val="0"/>
          <w:szCs w:val="21"/>
        </w:rPr>
        <w:t>对所提交</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中不明确的内容进行书面澄清或说明，或者对细微偏差进行补正。</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不接受</w:t>
      </w:r>
      <w:r>
        <w:rPr>
          <w:rFonts w:hint="eastAsia" w:cs="Times New Roman"/>
          <w:color w:val="auto"/>
          <w:kern w:val="0"/>
          <w:szCs w:val="21"/>
          <w:lang w:eastAsia="zh-CN"/>
        </w:rPr>
        <w:t>报价人</w:t>
      </w:r>
      <w:r>
        <w:rPr>
          <w:rFonts w:hint="default" w:ascii="Times New Roman" w:hAnsi="Times New Roman" w:cs="Times New Roman"/>
          <w:color w:val="auto"/>
          <w:kern w:val="0"/>
          <w:szCs w:val="21"/>
        </w:rPr>
        <w:t>主动提出的澄清、说明或补正。</w:t>
      </w:r>
    </w:p>
    <w:p w14:paraId="5B07D9A9">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澄清、说明和补正不得改变比选文件的实质性内容（算术性错误修正的除外）。</w:t>
      </w:r>
      <w:r>
        <w:rPr>
          <w:rFonts w:hint="eastAsia" w:cs="Times New Roman"/>
          <w:color w:val="auto"/>
          <w:kern w:val="0"/>
          <w:szCs w:val="21"/>
          <w:lang w:eastAsia="zh-CN"/>
        </w:rPr>
        <w:t>报价人</w:t>
      </w:r>
      <w:r>
        <w:rPr>
          <w:rFonts w:hint="default" w:ascii="Times New Roman" w:hAnsi="Times New Roman" w:cs="Times New Roman"/>
          <w:color w:val="auto"/>
          <w:kern w:val="0"/>
          <w:szCs w:val="21"/>
        </w:rPr>
        <w:t>的书面澄清、说明和补正属于比选文件的组成部分。</w:t>
      </w:r>
    </w:p>
    <w:p w14:paraId="0646506C">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对</w:t>
      </w:r>
      <w:r>
        <w:rPr>
          <w:rFonts w:hint="eastAsia" w:cs="Times New Roman"/>
          <w:color w:val="auto"/>
          <w:kern w:val="0"/>
          <w:szCs w:val="21"/>
          <w:lang w:eastAsia="zh-CN"/>
        </w:rPr>
        <w:t>报价人</w:t>
      </w:r>
      <w:r>
        <w:rPr>
          <w:rFonts w:hint="default" w:ascii="Times New Roman" w:hAnsi="Times New Roman" w:cs="Times New Roman"/>
          <w:color w:val="auto"/>
          <w:kern w:val="0"/>
          <w:szCs w:val="21"/>
        </w:rPr>
        <w:t>提交的澄清、说明或补正有疑问的，可以要求</w:t>
      </w:r>
      <w:r>
        <w:rPr>
          <w:rFonts w:hint="eastAsia" w:cs="Times New Roman"/>
          <w:color w:val="auto"/>
          <w:kern w:val="0"/>
          <w:szCs w:val="21"/>
          <w:lang w:eastAsia="zh-CN"/>
        </w:rPr>
        <w:t>报价人</w:t>
      </w:r>
      <w:r>
        <w:rPr>
          <w:rFonts w:hint="default" w:ascii="Times New Roman" w:hAnsi="Times New Roman" w:cs="Times New Roman"/>
          <w:color w:val="auto"/>
          <w:kern w:val="0"/>
          <w:szCs w:val="21"/>
        </w:rPr>
        <w:t>进一步澄清、说明或补正，直至满足</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的要求。</w:t>
      </w:r>
    </w:p>
    <w:p w14:paraId="48BF5471">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rPr>
      </w:pPr>
      <w:bookmarkStart w:id="204" w:name="_Toc241483918"/>
      <w:bookmarkStart w:id="205" w:name="_Toc360722807"/>
      <w:bookmarkStart w:id="206" w:name="_Toc200513206"/>
      <w:bookmarkStart w:id="207" w:name="_Toc224103392"/>
      <w:bookmarkStart w:id="208" w:name="_Toc237171536"/>
      <w:bookmarkStart w:id="209" w:name="_Toc300754720"/>
      <w:r>
        <w:rPr>
          <w:rFonts w:hint="default" w:ascii="Times New Roman" w:hAnsi="Times New Roman" w:cs="Times New Roman"/>
          <w:b/>
          <w:color w:val="auto"/>
          <w:kern w:val="0"/>
          <w:szCs w:val="21"/>
        </w:rPr>
        <w:t>3.4</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lang w:eastAsia="zh-CN"/>
        </w:rPr>
        <w:t>评审</w:t>
      </w:r>
      <w:r>
        <w:rPr>
          <w:rFonts w:hint="default" w:ascii="Times New Roman" w:hAnsi="Times New Roman" w:cs="Times New Roman"/>
          <w:b/>
          <w:color w:val="auto"/>
          <w:kern w:val="0"/>
          <w:szCs w:val="21"/>
        </w:rPr>
        <w:t>结果</w:t>
      </w:r>
      <w:bookmarkEnd w:id="204"/>
      <w:bookmarkEnd w:id="205"/>
      <w:bookmarkEnd w:id="206"/>
      <w:bookmarkEnd w:id="207"/>
      <w:bookmarkEnd w:id="208"/>
      <w:bookmarkEnd w:id="209"/>
    </w:p>
    <w:p w14:paraId="745DA649">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r>
        <w:rPr>
          <w:rFonts w:hint="default" w:ascii="Times New Roman" w:hAnsi="Times New Roman" w:cs="Times New Roman"/>
          <w:color w:val="auto"/>
          <w:spacing w:val="-1"/>
          <w:kern w:val="0"/>
          <w:szCs w:val="21"/>
        </w:rPr>
        <w:t>4</w:t>
      </w:r>
      <w:r>
        <w:rPr>
          <w:rFonts w:hint="default" w:ascii="Times New Roman" w:hAnsi="Times New Roman" w:cs="Times New Roman"/>
          <w:color w:val="auto"/>
          <w:kern w:val="0"/>
          <w:szCs w:val="21"/>
        </w:rPr>
        <w:t>.1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除第二章“</w:t>
      </w:r>
      <w:r>
        <w:rPr>
          <w:rFonts w:hint="eastAsia" w:cs="Times New Roman"/>
          <w:color w:val="auto"/>
          <w:kern w:val="0"/>
          <w:szCs w:val="21"/>
          <w:lang w:eastAsia="zh-CN"/>
        </w:rPr>
        <w:t>报价人</w:t>
      </w:r>
      <w:r>
        <w:rPr>
          <w:rFonts w:hint="default" w:ascii="Times New Roman" w:hAnsi="Times New Roman" w:cs="Times New Roman"/>
          <w:color w:val="auto"/>
          <w:kern w:val="0"/>
          <w:szCs w:val="21"/>
        </w:rPr>
        <w:t>须知”前</w:t>
      </w:r>
      <w:r>
        <w:rPr>
          <w:rFonts w:hint="default" w:ascii="Times New Roman" w:hAnsi="Times New Roman" w:cs="Times New Roman"/>
          <w:color w:val="auto"/>
          <w:spacing w:val="1"/>
          <w:kern w:val="0"/>
          <w:szCs w:val="21"/>
        </w:rPr>
        <w:t>附</w:t>
      </w:r>
      <w:r>
        <w:rPr>
          <w:rFonts w:hint="default" w:ascii="Times New Roman" w:hAnsi="Times New Roman" w:cs="Times New Roman"/>
          <w:color w:val="auto"/>
          <w:kern w:val="0"/>
          <w:szCs w:val="21"/>
        </w:rPr>
        <w:t>表授权直</w:t>
      </w:r>
      <w:r>
        <w:rPr>
          <w:rFonts w:hint="default" w:ascii="Times New Roman" w:hAnsi="Times New Roman" w:cs="Times New Roman"/>
          <w:color w:val="auto"/>
          <w:spacing w:val="1"/>
          <w:kern w:val="0"/>
          <w:szCs w:val="21"/>
        </w:rPr>
        <w:t>接</w:t>
      </w:r>
      <w:r>
        <w:rPr>
          <w:rFonts w:hint="default" w:ascii="Times New Roman" w:hAnsi="Times New Roman" w:cs="Times New Roman"/>
          <w:color w:val="auto"/>
          <w:kern w:val="0"/>
          <w:szCs w:val="21"/>
        </w:rPr>
        <w:t>确定中选人外，</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按照</w:t>
      </w:r>
      <w:r>
        <w:rPr>
          <w:rFonts w:hint="default" w:ascii="Times New Roman" w:hAnsi="Times New Roman" w:cs="Times New Roman"/>
          <w:color w:val="auto"/>
          <w:spacing w:val="1"/>
          <w:kern w:val="0"/>
          <w:szCs w:val="21"/>
        </w:rPr>
        <w:t>得分</w:t>
      </w:r>
      <w:r>
        <w:rPr>
          <w:rFonts w:hint="default" w:ascii="Times New Roman" w:hAnsi="Times New Roman" w:cs="Times New Roman"/>
          <w:color w:val="auto"/>
          <w:kern w:val="0"/>
          <w:szCs w:val="21"/>
        </w:rPr>
        <w:t>由高到低的顺序推荐中选候选人。</w:t>
      </w:r>
    </w:p>
    <w:p w14:paraId="4E575CF6">
      <w:pPr>
        <w:keepNext w:val="0"/>
        <w:keepLines w:val="0"/>
        <w:pageBreakBefore w:val="0"/>
        <w:widowControl w:val="0"/>
        <w:kinsoku/>
        <w:wordWrap/>
        <w:overflowPunct/>
        <w:topLinePunct w:val="0"/>
        <w:autoSpaceDE w:val="0"/>
        <w:autoSpaceDN w:val="0"/>
        <w:bidi w:val="0"/>
        <w:adjustRightInd w:val="0"/>
        <w:snapToGrid w:val="0"/>
        <w:spacing w:line="420" w:lineRule="exact"/>
        <w:ind w:firstLine="424" w:firstLineChars="200"/>
        <w:textAlignment w:val="auto"/>
        <w:rPr>
          <w:rFonts w:hint="default" w:ascii="Times New Roman" w:hAnsi="Times New Roman" w:cs="Times New Roman"/>
          <w:color w:val="auto"/>
        </w:rPr>
      </w:pPr>
      <w:r>
        <w:rPr>
          <w:rFonts w:hint="default" w:ascii="Times New Roman" w:hAnsi="Times New Roman" w:cs="Times New Roman"/>
          <w:color w:val="auto"/>
          <w:spacing w:val="1"/>
          <w:kern w:val="0"/>
          <w:szCs w:val="21"/>
        </w:rPr>
        <w:t>3</w:t>
      </w:r>
      <w:r>
        <w:rPr>
          <w:rFonts w:hint="default" w:ascii="Times New Roman" w:hAnsi="Times New Roman" w:cs="Times New Roman"/>
          <w:color w:val="auto"/>
          <w:kern w:val="0"/>
          <w:szCs w:val="21"/>
        </w:rPr>
        <w:t>.4.2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完成</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后，应当向比选人提交书面</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报告。</w:t>
      </w:r>
    </w:p>
    <w:bookmarkEnd w:id="145"/>
    <w:bookmarkEnd w:id="146"/>
    <w:bookmarkEnd w:id="147"/>
    <w:bookmarkEnd w:id="148"/>
    <w:bookmarkEnd w:id="149"/>
    <w:p w14:paraId="17A78EC9">
      <w:pPr>
        <w:rPr>
          <w:rFonts w:hint="eastAsia"/>
        </w:rPr>
      </w:pPr>
      <w:r>
        <w:rPr>
          <w:rFonts w:hint="eastAsia"/>
        </w:rPr>
        <w:br w:type="page"/>
      </w:r>
    </w:p>
    <w:p w14:paraId="2B87FDBE">
      <w:pPr>
        <w:pStyle w:val="28"/>
        <w:ind w:firstLine="883" w:firstLineChars="200"/>
        <w:jc w:val="center"/>
      </w:pPr>
      <w:r>
        <w:rPr>
          <w:rStyle w:val="82"/>
          <w:rFonts w:hint="eastAsia"/>
          <w:b/>
          <w:bCs/>
        </w:rPr>
        <w:t>第四章 报价说明</w:t>
      </w:r>
    </w:p>
    <w:p w14:paraId="27EED3A9">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14:paraId="76075CE4">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税率：3%</w:t>
      </w:r>
      <w:r>
        <w:rPr>
          <w:rFonts w:hint="eastAsia" w:ascii="宋体" w:hAnsi="宋体" w:cs="宋体"/>
          <w:b w:val="0"/>
          <w:bCs w:val="0"/>
          <w:sz w:val="21"/>
          <w:szCs w:val="21"/>
          <w:lang w:eastAsia="zh-CN"/>
        </w:rPr>
        <w:t>）</w:t>
      </w:r>
      <w:r>
        <w:rPr>
          <w:rFonts w:hint="eastAsia" w:ascii="宋体" w:hAnsi="宋体" w:cs="宋体"/>
          <w:b w:val="0"/>
          <w:bCs w:val="0"/>
          <w:sz w:val="21"/>
          <w:szCs w:val="21"/>
        </w:rPr>
        <w:t>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防疫费等），以及竞争性比选文件中明示或暗示的的所有责任、义务和一般风险。</w:t>
      </w:r>
    </w:p>
    <w:p w14:paraId="188860CF">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r>
        <w:rPr>
          <w:rFonts w:hint="eastAsia" w:ascii="宋体" w:hAnsi="宋体" w:cs="宋体"/>
          <w:b/>
          <w:bCs/>
          <w:sz w:val="21"/>
          <w:szCs w:val="21"/>
        </w:rPr>
        <w:t>乙方应按照甲方《关于工程(维护)类安全生产费据实支付的业务指引》</w:t>
      </w:r>
      <w:r>
        <w:rPr>
          <w:rFonts w:hint="eastAsia" w:ascii="宋体" w:hAnsi="宋体" w:cs="宋体"/>
          <w:b/>
          <w:bCs/>
          <w:sz w:val="21"/>
          <w:szCs w:val="21"/>
          <w:lang w:eastAsia="zh-CN"/>
        </w:rPr>
        <w:t>（</w:t>
      </w:r>
      <w:r>
        <w:rPr>
          <w:rFonts w:hint="eastAsia" w:ascii="宋体" w:hAnsi="宋体" w:cs="宋体"/>
          <w:b/>
          <w:bCs/>
          <w:sz w:val="21"/>
          <w:szCs w:val="21"/>
          <w:lang w:val="en-US" w:eastAsia="zh-CN"/>
        </w:rPr>
        <w:t>详见附件</w:t>
      </w:r>
      <w:r>
        <w:rPr>
          <w:rFonts w:hint="eastAsia" w:ascii="宋体" w:hAnsi="宋体" w:cs="宋体"/>
          <w:b/>
          <w:bCs/>
          <w:sz w:val="21"/>
          <w:szCs w:val="21"/>
          <w:lang w:eastAsia="zh-CN"/>
        </w:rPr>
        <w:t>）</w:t>
      </w:r>
      <w:r>
        <w:rPr>
          <w:rFonts w:hint="eastAsia" w:ascii="宋体" w:hAnsi="宋体" w:cs="宋体"/>
          <w:b/>
          <w:bCs/>
          <w:sz w:val="21"/>
          <w:szCs w:val="21"/>
        </w:rPr>
        <w:t>中安全生产法结算的要求，提供相应结算材料，确保安全生产投入。</w:t>
      </w:r>
    </w:p>
    <w:p w14:paraId="706A8B5E">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14:paraId="0DB80FE6">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5、报价人应结合施工现场实际和现在的市场情况、自身技术及管理水平、经营状况、机械设备及制定的施工方案的要求自行报价，该报价不低于报价人完成该项目的成本。</w:t>
      </w:r>
    </w:p>
    <w:p w14:paraId="0816C44E">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6、工程量清单中所列工程数量是估算的数量，仅作为报价的共同基础，不能作为最终结算与支付的依据。实际支付应按实际完成的工程量*工程量清单的单价来计算支付金额。</w:t>
      </w:r>
    </w:p>
    <w:p w14:paraId="4846724E">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7、工程量清单中所列工程量的变动，丝毫不会降低或影响合同条款的效力，也不免除报价人按规定的标准进行施工和修复缺陷的责任。</w:t>
      </w:r>
    </w:p>
    <w:p w14:paraId="4DA371C7">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14:paraId="46840FE2">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9、工程量清单中的任何内容不得随意删除或涂改，若有误，在有效时间内书面向采购人提出，以“补遗”资料为准。</w:t>
      </w:r>
    </w:p>
    <w:p w14:paraId="2B57832B">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10、不同单项及单位工程中的分部分项工程量清单中相同项目（项目特征及工作内容相同）的应报价统一，如有差异，按最低的一个报价进行结算；材料设备单价处理办法相同。</w:t>
      </w:r>
    </w:p>
    <w:p w14:paraId="46A824CF">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14:paraId="4A7C1F6D">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14:paraId="27243AB6">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13、工程量清单中的任何内容不得随意删除或涂改，若有误，在有效时间内书面向采购人提出，以“补遗”资料为准。</w:t>
      </w:r>
    </w:p>
    <w:p w14:paraId="69A2FC9C">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14、报价中的单价和合价全部以人民币（元）表示。</w:t>
      </w:r>
    </w:p>
    <w:p w14:paraId="709C4AC9">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15、对于报价人报价中明显高于市场价的单项报价，采购人有权进行价格审核后调整。调整后应以取得报价人的同意，并确认修正后的最终报价。如果报价人拒绝确认，则其竞争性响应文件将不予评审。</w:t>
      </w:r>
    </w:p>
    <w:p w14:paraId="29045EA4">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16、合同为单价合同，合同期间不予调价。</w:t>
      </w:r>
    </w:p>
    <w:p w14:paraId="1F926AD1">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17、报价人应严格按照工程量清单进行报价，不得随意修改采购人发布的工程量清单数量、公式及相关内容。</w:t>
      </w:r>
    </w:p>
    <w:p w14:paraId="5AB741C4">
      <w:pPr>
        <w:ind w:firstLine="420" w:firstLineChars="200"/>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18、</w:t>
      </w:r>
      <w:r>
        <w:rPr>
          <w:rFonts w:hint="eastAsia" w:ascii="宋体" w:hAnsi="宋体" w:cs="宋体"/>
          <w:szCs w:val="21"/>
        </w:rPr>
        <w:t>若报价人未按要求填写工程量清单，将按废标处理。</w:t>
      </w:r>
    </w:p>
    <w:p w14:paraId="26F8E8E4">
      <w:pPr>
        <w:spacing w:line="400" w:lineRule="exact"/>
        <w:rPr>
          <w:rFonts w:ascii="宋体" w:hAnsi="宋体" w:cs="宋体"/>
          <w:szCs w:val="21"/>
        </w:rPr>
      </w:pPr>
      <w:bookmarkStart w:id="210" w:name="_Toc179632806"/>
      <w:bookmarkStart w:id="211" w:name="_Toc144974855"/>
      <w:bookmarkStart w:id="212" w:name="_Toc152045786"/>
      <w:bookmarkStart w:id="213" w:name="_Toc246996354"/>
      <w:bookmarkStart w:id="214" w:name="_Toc152042575"/>
      <w:bookmarkStart w:id="215" w:name="_Toc247085872"/>
      <w:bookmarkStart w:id="216" w:name="_Toc246997097"/>
    </w:p>
    <w:p w14:paraId="507961C9">
      <w:pPr>
        <w:pStyle w:val="3"/>
        <w:spacing w:before="0" w:after="0" w:line="360" w:lineRule="auto"/>
        <w:jc w:val="center"/>
        <w:rPr>
          <w:rFonts w:ascii="宋体" w:hAnsi="宋体" w:cs="宋体"/>
        </w:rPr>
      </w:pPr>
      <w:bookmarkStart w:id="217" w:name="_Toc246997083"/>
      <w:bookmarkStart w:id="218" w:name="_Toc179632789"/>
      <w:bookmarkStart w:id="219" w:name="_Toc152045772"/>
      <w:bookmarkStart w:id="220" w:name="_Toc247085855"/>
      <w:bookmarkStart w:id="221" w:name="_Toc28183"/>
      <w:bookmarkStart w:id="222" w:name="_Toc246996340"/>
      <w:bookmarkStart w:id="223" w:name="_Toc2000409"/>
      <w:bookmarkStart w:id="224" w:name="_Toc152042554"/>
      <w:bookmarkStart w:id="225" w:name="_Toc144974834"/>
      <w:bookmarkStart w:id="226" w:name="_Toc514858705"/>
      <w:r>
        <w:rPr>
          <w:rFonts w:hint="eastAsia" w:ascii="宋体" w:hAnsi="宋体" w:cs="宋体"/>
        </w:rPr>
        <w:t>第五章  工程量清单</w:t>
      </w:r>
      <w:bookmarkEnd w:id="217"/>
      <w:bookmarkEnd w:id="218"/>
      <w:bookmarkEnd w:id="219"/>
      <w:bookmarkEnd w:id="220"/>
      <w:bookmarkEnd w:id="221"/>
      <w:bookmarkEnd w:id="222"/>
      <w:bookmarkEnd w:id="223"/>
      <w:bookmarkEnd w:id="224"/>
      <w:bookmarkEnd w:id="225"/>
      <w:bookmarkEnd w:id="226"/>
    </w:p>
    <w:p w14:paraId="3D2FE601">
      <w:pPr>
        <w:ind w:firstLine="420"/>
        <w:jc w:val="left"/>
        <w:rPr>
          <w:rFonts w:ascii="宋体" w:hAnsi="宋体" w:cs="宋体"/>
          <w:b/>
        </w:rPr>
      </w:pPr>
      <w:bookmarkStart w:id="227" w:name="_Toc246996350"/>
      <w:bookmarkStart w:id="228" w:name="_Toc247085866"/>
      <w:bookmarkStart w:id="229" w:name="_Toc247096438"/>
      <w:bookmarkStart w:id="230" w:name="_Toc179632800"/>
      <w:bookmarkStart w:id="231" w:name="_Toc144974851"/>
      <w:bookmarkStart w:id="232" w:name="_Toc246997093"/>
      <w:bookmarkStart w:id="233" w:name="_Toc152045782"/>
      <w:bookmarkStart w:id="234" w:name="_Toc152042571"/>
    </w:p>
    <w:p w14:paraId="0C172648">
      <w:pPr>
        <w:jc w:val="center"/>
        <w:rPr>
          <w:rFonts w:ascii="宋体" w:hAnsi="宋体" w:cs="宋体"/>
          <w:b/>
        </w:rPr>
      </w:pPr>
      <w:r>
        <w:rPr>
          <w:rFonts w:hint="eastAsia" w:ascii="宋体" w:hAnsi="宋体" w:cs="宋体"/>
          <w:b/>
          <w:kern w:val="0"/>
          <w:sz w:val="24"/>
        </w:rPr>
        <w:t>详见竞争性比选文件附件。</w:t>
      </w:r>
    </w:p>
    <w:p w14:paraId="2F429FD2">
      <w:pPr>
        <w:jc w:val="center"/>
        <w:rPr>
          <w:rFonts w:ascii="宋体" w:hAnsi="宋体" w:cs="宋体"/>
          <w:b/>
        </w:rPr>
      </w:pPr>
    </w:p>
    <w:p w14:paraId="212EDA82">
      <w:pPr>
        <w:jc w:val="left"/>
        <w:rPr>
          <w:rFonts w:ascii="宋体" w:hAnsi="宋体" w:cs="宋体"/>
          <w:szCs w:val="21"/>
        </w:rPr>
      </w:pPr>
    </w:p>
    <w:p w14:paraId="1BBADD13">
      <w:pPr>
        <w:pStyle w:val="28"/>
        <w:spacing w:line="380" w:lineRule="exact"/>
        <w:ind w:firstLine="420" w:firstLineChars="200"/>
        <w:rPr>
          <w:rFonts w:ascii="宋体" w:hAnsi="宋体" w:cs="宋体"/>
          <w:b w:val="0"/>
          <w:bCs w:val="0"/>
          <w:sz w:val="21"/>
          <w:szCs w:val="21"/>
        </w:rPr>
      </w:pPr>
    </w:p>
    <w:p w14:paraId="7948A093">
      <w:pPr>
        <w:jc w:val="center"/>
        <w:rPr>
          <w:rFonts w:ascii="宋体" w:hAnsi="宋体" w:cs="宋体"/>
          <w:b/>
        </w:rPr>
      </w:pPr>
    </w:p>
    <w:p w14:paraId="77069C2C">
      <w:pPr>
        <w:jc w:val="center"/>
        <w:rPr>
          <w:rFonts w:ascii="宋体" w:hAnsi="宋体" w:cs="宋体"/>
          <w:b/>
        </w:rPr>
      </w:pPr>
    </w:p>
    <w:p w14:paraId="10A2E370">
      <w:pPr>
        <w:jc w:val="center"/>
        <w:rPr>
          <w:rFonts w:ascii="宋体" w:hAnsi="宋体" w:cs="宋体"/>
          <w:b/>
        </w:rPr>
      </w:pPr>
    </w:p>
    <w:p w14:paraId="00E924B5">
      <w:pPr>
        <w:jc w:val="center"/>
        <w:rPr>
          <w:rFonts w:ascii="宋体" w:hAnsi="宋体" w:cs="宋体"/>
          <w:b/>
        </w:rPr>
      </w:pPr>
    </w:p>
    <w:p w14:paraId="4AEBB354">
      <w:pPr>
        <w:jc w:val="center"/>
        <w:rPr>
          <w:rFonts w:ascii="宋体" w:hAnsi="宋体" w:cs="宋体"/>
          <w:b/>
        </w:rPr>
      </w:pPr>
    </w:p>
    <w:p w14:paraId="775BC31D">
      <w:pPr>
        <w:jc w:val="center"/>
        <w:rPr>
          <w:rFonts w:ascii="宋体" w:hAnsi="宋体" w:cs="宋体"/>
          <w:b/>
        </w:rPr>
      </w:pPr>
    </w:p>
    <w:p w14:paraId="3FE53146">
      <w:pPr>
        <w:jc w:val="center"/>
        <w:rPr>
          <w:rFonts w:ascii="宋体" w:hAnsi="宋体" w:cs="宋体"/>
          <w:b/>
        </w:rPr>
      </w:pPr>
    </w:p>
    <w:p w14:paraId="74BC8C37">
      <w:pPr>
        <w:jc w:val="center"/>
        <w:rPr>
          <w:rFonts w:ascii="宋体" w:hAnsi="宋体" w:cs="宋体"/>
          <w:b/>
        </w:rPr>
      </w:pPr>
    </w:p>
    <w:p w14:paraId="38D2B391">
      <w:pPr>
        <w:jc w:val="center"/>
        <w:rPr>
          <w:rFonts w:ascii="宋体" w:hAnsi="宋体" w:cs="宋体"/>
          <w:b/>
        </w:rPr>
      </w:pPr>
    </w:p>
    <w:p w14:paraId="21EF5DF8">
      <w:pPr>
        <w:jc w:val="center"/>
        <w:rPr>
          <w:rFonts w:ascii="宋体" w:hAnsi="宋体" w:cs="宋体"/>
          <w:b/>
        </w:rPr>
      </w:pPr>
    </w:p>
    <w:p w14:paraId="312ABA10">
      <w:pPr>
        <w:jc w:val="center"/>
        <w:rPr>
          <w:rFonts w:ascii="宋体" w:hAnsi="宋体" w:cs="宋体"/>
          <w:b/>
        </w:rPr>
      </w:pPr>
    </w:p>
    <w:p w14:paraId="0A955D33">
      <w:pPr>
        <w:jc w:val="center"/>
        <w:rPr>
          <w:rFonts w:ascii="宋体" w:hAnsi="宋体" w:cs="宋体"/>
          <w:b/>
        </w:rPr>
      </w:pPr>
    </w:p>
    <w:p w14:paraId="39949FE2">
      <w:pPr>
        <w:jc w:val="center"/>
        <w:rPr>
          <w:rFonts w:ascii="宋体" w:hAnsi="宋体" w:cs="宋体"/>
          <w:b/>
        </w:rPr>
      </w:pPr>
    </w:p>
    <w:p w14:paraId="54B0285C">
      <w:pPr>
        <w:jc w:val="center"/>
        <w:rPr>
          <w:rFonts w:ascii="宋体" w:hAnsi="宋体" w:cs="宋体"/>
          <w:b/>
        </w:rPr>
      </w:pPr>
    </w:p>
    <w:p w14:paraId="4D581DBA">
      <w:pPr>
        <w:jc w:val="center"/>
        <w:rPr>
          <w:rFonts w:ascii="宋体" w:hAnsi="宋体" w:cs="宋体"/>
          <w:b/>
        </w:rPr>
      </w:pPr>
    </w:p>
    <w:p w14:paraId="4A73E555">
      <w:pPr>
        <w:jc w:val="center"/>
        <w:rPr>
          <w:rFonts w:ascii="宋体" w:hAnsi="宋体" w:cs="宋体"/>
          <w:b/>
        </w:rPr>
      </w:pPr>
    </w:p>
    <w:p w14:paraId="1B7A3D56">
      <w:pPr>
        <w:jc w:val="center"/>
        <w:rPr>
          <w:rFonts w:ascii="宋体" w:hAnsi="宋体" w:cs="宋体"/>
          <w:b/>
        </w:rPr>
      </w:pPr>
    </w:p>
    <w:p w14:paraId="3515A082">
      <w:pPr>
        <w:jc w:val="center"/>
        <w:rPr>
          <w:rFonts w:ascii="宋体" w:hAnsi="宋体" w:cs="宋体"/>
          <w:b/>
        </w:rPr>
      </w:pPr>
    </w:p>
    <w:p w14:paraId="75CF02D4">
      <w:pPr>
        <w:jc w:val="center"/>
        <w:rPr>
          <w:rFonts w:ascii="宋体" w:hAnsi="宋体" w:cs="宋体"/>
          <w:b/>
        </w:rPr>
      </w:pPr>
    </w:p>
    <w:p w14:paraId="3220FEF6">
      <w:pPr>
        <w:jc w:val="center"/>
        <w:rPr>
          <w:rFonts w:ascii="宋体" w:hAnsi="宋体" w:cs="宋体"/>
          <w:b/>
        </w:rPr>
      </w:pPr>
    </w:p>
    <w:p w14:paraId="1CA21B1E">
      <w:pPr>
        <w:jc w:val="center"/>
        <w:rPr>
          <w:rFonts w:ascii="宋体" w:hAnsi="宋体" w:cs="宋体"/>
          <w:b/>
        </w:rPr>
      </w:pPr>
    </w:p>
    <w:p w14:paraId="4B3E79FA">
      <w:pPr>
        <w:jc w:val="center"/>
        <w:rPr>
          <w:rFonts w:ascii="宋体" w:hAnsi="宋体" w:cs="宋体"/>
          <w:b/>
        </w:rPr>
      </w:pPr>
    </w:p>
    <w:p w14:paraId="6FC7DA4E">
      <w:pPr>
        <w:jc w:val="center"/>
        <w:rPr>
          <w:rFonts w:ascii="宋体" w:hAnsi="宋体" w:cs="宋体"/>
          <w:b/>
        </w:rPr>
      </w:pPr>
    </w:p>
    <w:p w14:paraId="752A219D">
      <w:pPr>
        <w:jc w:val="center"/>
        <w:rPr>
          <w:rFonts w:ascii="宋体" w:hAnsi="宋体" w:cs="宋体"/>
          <w:b/>
        </w:rPr>
      </w:pPr>
    </w:p>
    <w:p w14:paraId="553AC4EF">
      <w:pPr>
        <w:jc w:val="center"/>
        <w:rPr>
          <w:rFonts w:ascii="宋体" w:hAnsi="宋体" w:cs="宋体"/>
          <w:b/>
        </w:rPr>
      </w:pPr>
    </w:p>
    <w:p w14:paraId="028C91BA">
      <w:pPr>
        <w:jc w:val="center"/>
        <w:rPr>
          <w:rFonts w:ascii="宋体" w:hAnsi="宋体" w:cs="宋体"/>
          <w:b/>
        </w:rPr>
      </w:pPr>
    </w:p>
    <w:p w14:paraId="2CC4386C">
      <w:pPr>
        <w:jc w:val="center"/>
        <w:rPr>
          <w:rFonts w:ascii="宋体" w:hAnsi="宋体" w:cs="宋体"/>
          <w:b/>
        </w:rPr>
      </w:pPr>
    </w:p>
    <w:p w14:paraId="7F13C88A">
      <w:pPr>
        <w:rPr>
          <w:rFonts w:ascii="宋体" w:hAnsi="宋体" w:cs="宋体"/>
          <w:b/>
        </w:rPr>
      </w:pPr>
    </w:p>
    <w:p w14:paraId="43DCB93E">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14:paraId="5D7144C8">
      <w:pPr>
        <w:rPr>
          <w:rFonts w:ascii="宋体" w:hAnsi="宋体" w:cs="宋体"/>
          <w:b/>
        </w:rPr>
      </w:pPr>
    </w:p>
    <w:p w14:paraId="6DAB3E49">
      <w:pPr>
        <w:jc w:val="center"/>
        <w:rPr>
          <w:rFonts w:ascii="宋体" w:hAnsi="宋体" w:cs="宋体"/>
          <w:b/>
        </w:rPr>
      </w:pPr>
    </w:p>
    <w:p w14:paraId="116C1896">
      <w:pPr>
        <w:pStyle w:val="3"/>
        <w:spacing w:before="0" w:after="0" w:line="360" w:lineRule="auto"/>
        <w:jc w:val="center"/>
        <w:rPr>
          <w:rFonts w:ascii="宋体" w:hAnsi="宋体" w:cs="宋体"/>
        </w:rPr>
      </w:pPr>
      <w:bookmarkStart w:id="235" w:name="_Toc447827048"/>
      <w:bookmarkStart w:id="236" w:name="_Toc2000410"/>
      <w:bookmarkStart w:id="237" w:name="_Toc514858706"/>
      <w:bookmarkStart w:id="238" w:name="_Toc513633963"/>
      <w:bookmarkStart w:id="239" w:name="_Toc28297"/>
      <w:bookmarkStart w:id="240" w:name="_Toc503951042"/>
      <w:r>
        <w:rPr>
          <w:rFonts w:hint="eastAsia" w:ascii="宋体" w:hAnsi="宋体" w:cs="宋体"/>
        </w:rPr>
        <w:t>第六章  图  纸</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71B7D1C4">
      <w:pPr>
        <w:jc w:val="center"/>
        <w:rPr>
          <w:rFonts w:ascii="宋体" w:hAnsi="宋体" w:cs="宋体"/>
          <w:b/>
        </w:rPr>
      </w:pPr>
      <w:r>
        <w:rPr>
          <w:rFonts w:hint="eastAsia" w:ascii="宋体" w:hAnsi="宋体" w:cs="宋体"/>
          <w:b/>
          <w:kern w:val="0"/>
          <w:sz w:val="24"/>
          <w:lang w:val="en-US" w:eastAsia="zh-CN"/>
        </w:rPr>
        <w:t>无</w:t>
      </w:r>
      <w:r>
        <w:rPr>
          <w:rFonts w:hint="eastAsia" w:ascii="宋体" w:hAnsi="宋体" w:cs="宋体"/>
          <w:b/>
          <w:kern w:val="0"/>
          <w:sz w:val="24"/>
        </w:rPr>
        <w:t>。</w:t>
      </w:r>
    </w:p>
    <w:p w14:paraId="7FEB842F">
      <w:pPr>
        <w:spacing w:line="400" w:lineRule="exact"/>
        <w:rPr>
          <w:rFonts w:ascii="宋体" w:hAnsi="宋体" w:cs="宋体"/>
        </w:rPr>
      </w:pPr>
      <w:r>
        <w:rPr>
          <w:rFonts w:hint="eastAsia" w:ascii="宋体" w:hAnsi="宋体" w:cs="宋体"/>
        </w:rPr>
        <w:br w:type="page"/>
      </w:r>
      <w:bookmarkStart w:id="241" w:name="_Toc152042574"/>
      <w:bookmarkStart w:id="242" w:name="_Toc144974854"/>
      <w:bookmarkStart w:id="243" w:name="_Toc152045785"/>
    </w:p>
    <w:p w14:paraId="3A6FC998">
      <w:pPr>
        <w:pStyle w:val="3"/>
        <w:spacing w:before="0" w:after="0" w:line="360" w:lineRule="auto"/>
        <w:jc w:val="center"/>
        <w:rPr>
          <w:rFonts w:ascii="宋体" w:hAnsi="宋体" w:cs="宋体"/>
        </w:rPr>
      </w:pPr>
      <w:bookmarkStart w:id="244" w:name="_Toc246996353"/>
      <w:bookmarkStart w:id="245" w:name="_Toc246997096"/>
      <w:bookmarkStart w:id="246" w:name="_Toc179632804"/>
      <w:bookmarkStart w:id="247" w:name="_Toc247085870"/>
      <w:bookmarkStart w:id="248" w:name="_Toc503951043"/>
      <w:bookmarkStart w:id="249" w:name="_Toc10679"/>
      <w:bookmarkStart w:id="250" w:name="_Toc447827049"/>
      <w:bookmarkStart w:id="251" w:name="_Toc2000411"/>
      <w:bookmarkStart w:id="252" w:name="_Toc513633964"/>
      <w:bookmarkStart w:id="253" w:name="_Toc514858707"/>
      <w:r>
        <w:rPr>
          <w:rFonts w:hint="eastAsia" w:ascii="宋体" w:hAnsi="宋体" w:cs="宋体"/>
        </w:rPr>
        <w:t>第七章  技术标准和工作要求</w:t>
      </w:r>
      <w:bookmarkEnd w:id="241"/>
      <w:bookmarkEnd w:id="242"/>
      <w:bookmarkEnd w:id="243"/>
      <w:bookmarkEnd w:id="244"/>
      <w:bookmarkEnd w:id="245"/>
      <w:bookmarkEnd w:id="246"/>
      <w:bookmarkEnd w:id="247"/>
      <w:bookmarkEnd w:id="248"/>
      <w:bookmarkEnd w:id="249"/>
      <w:bookmarkEnd w:id="250"/>
      <w:bookmarkEnd w:id="251"/>
      <w:bookmarkEnd w:id="252"/>
      <w:bookmarkEnd w:id="253"/>
    </w:p>
    <w:bookmarkEnd w:id="210"/>
    <w:bookmarkEnd w:id="211"/>
    <w:bookmarkEnd w:id="212"/>
    <w:bookmarkEnd w:id="213"/>
    <w:bookmarkEnd w:id="214"/>
    <w:bookmarkEnd w:id="215"/>
    <w:bookmarkEnd w:id="216"/>
    <w:p w14:paraId="501E6B3C">
      <w:pPr>
        <w:spacing w:line="400" w:lineRule="exact"/>
        <w:ind w:firstLine="480" w:firstLineChars="200"/>
        <w:rPr>
          <w:rFonts w:ascii="宋体" w:hAnsi="宋体" w:cs="宋体"/>
          <w:sz w:val="24"/>
        </w:rPr>
      </w:pPr>
      <w:bookmarkStart w:id="254" w:name="_Toc514858708"/>
      <w:bookmarkStart w:id="255" w:name="_Toc514430114"/>
      <w:bookmarkStart w:id="256" w:name="_Toc12089"/>
      <w:bookmarkStart w:id="257" w:name="_Toc2000412"/>
      <w:bookmarkStart w:id="258" w:name="_Toc144974856"/>
      <w:bookmarkStart w:id="259" w:name="_Toc246996355"/>
      <w:bookmarkStart w:id="260" w:name="_Toc247085873"/>
      <w:bookmarkStart w:id="261" w:name="_Toc507320039"/>
      <w:bookmarkStart w:id="262" w:name="_Toc152045787"/>
      <w:bookmarkStart w:id="263" w:name="_Toc246997098"/>
      <w:bookmarkStart w:id="264" w:name="_Toc152042576"/>
      <w:bookmarkStart w:id="265" w:name="_Toc179632807"/>
      <w:r>
        <w:rPr>
          <w:rFonts w:hint="eastAsia"/>
          <w:sz w:val="24"/>
        </w:rPr>
        <w:t>一、技术标准见图纸和清单说明</w:t>
      </w:r>
      <w:r>
        <w:rPr>
          <w:rFonts w:hint="eastAsia" w:ascii="宋体" w:hAnsi="宋体" w:cs="宋体"/>
          <w:sz w:val="24"/>
        </w:rPr>
        <w:t>。</w:t>
      </w:r>
    </w:p>
    <w:p w14:paraId="1E0FF0F0">
      <w:pPr>
        <w:spacing w:line="400" w:lineRule="exact"/>
        <w:ind w:firstLine="480" w:firstLineChars="200"/>
        <w:rPr>
          <w:rFonts w:ascii="宋体" w:hAnsi="宋体" w:cs="宋体"/>
          <w:sz w:val="24"/>
        </w:rPr>
      </w:pPr>
      <w:r>
        <w:rPr>
          <w:rFonts w:hint="eastAsia" w:ascii="宋体" w:hAnsi="宋体" w:cs="宋体"/>
          <w:sz w:val="24"/>
        </w:rPr>
        <w:t>二、工作要求</w:t>
      </w:r>
    </w:p>
    <w:p w14:paraId="4C055646">
      <w:pPr>
        <w:spacing w:line="400" w:lineRule="exact"/>
        <w:ind w:firstLine="480" w:firstLineChars="200"/>
        <w:rPr>
          <w:rFonts w:ascii="宋体" w:hAnsi="宋体" w:cs="宋体"/>
          <w:szCs w:val="21"/>
        </w:rPr>
      </w:pPr>
      <w:r>
        <w:rPr>
          <w:rFonts w:hint="eastAsia" w:ascii="宋体" w:hAnsi="宋体" w:cs="宋体"/>
          <w:sz w:val="24"/>
        </w:rPr>
        <w:t>1、</w:t>
      </w:r>
      <w:r>
        <w:rPr>
          <w:rFonts w:hint="eastAsia"/>
        </w:rPr>
        <w:t>乙方</w:t>
      </w:r>
      <w:r>
        <w:rPr>
          <w:rFonts w:hint="eastAsia" w:ascii="宋体" w:hAnsi="宋体" w:cs="宋体"/>
          <w:szCs w:val="21"/>
        </w:rPr>
        <w:t>须严格按照国家行业标准、设计的要求进行材料供货及设备安装，甲方对所供货设备材料及安装工艺应严格按照相关的施工质量验收规范进行验收，乙方必须严格遵守相关规范，保证质量、功能合格，工艺美观，各项设备材料安装后功能试验都必须合格，并同时做好开工申请、进场报验、施工隐蔽、检验批、分部分项及其他相关施工资料、试验检测资料等资料收集及报审，确保质量达到国家标准及以上。对于施工中存在的质量问题、安全问题，一经提出，必须立即整改，拒不整改的，甲方有权以违约通知书的形式进行处理。</w:t>
      </w:r>
    </w:p>
    <w:p w14:paraId="14A12EE5">
      <w:pPr>
        <w:spacing w:line="400" w:lineRule="exact"/>
        <w:ind w:firstLine="420" w:firstLineChars="200"/>
        <w:rPr>
          <w:rFonts w:ascii="宋体" w:hAnsi="宋体" w:cs="宋体"/>
        </w:rPr>
      </w:pPr>
      <w:r>
        <w:rPr>
          <w:rFonts w:ascii="宋体" w:hAnsi="宋体" w:cs="宋体"/>
          <w:szCs w:val="21"/>
        </w:rPr>
        <w:t xml:space="preserve">   </w:t>
      </w:r>
    </w:p>
    <w:p w14:paraId="3C30B512">
      <w:pPr>
        <w:spacing w:line="400" w:lineRule="exact"/>
        <w:ind w:firstLine="420" w:firstLineChars="200"/>
        <w:rPr>
          <w:rFonts w:ascii="宋体" w:hAnsi="宋体" w:cs="宋体"/>
        </w:rPr>
      </w:pPr>
      <w:r>
        <w:rPr>
          <w:rFonts w:hint="eastAsia" w:ascii="宋体" w:hAnsi="宋体" w:cs="宋体"/>
        </w:rPr>
        <w:br w:type="page"/>
      </w:r>
      <w:bookmarkEnd w:id="254"/>
      <w:bookmarkEnd w:id="255"/>
      <w:bookmarkEnd w:id="256"/>
      <w:bookmarkEnd w:id="257"/>
      <w:bookmarkStart w:id="266" w:name="_Toc513633965"/>
    </w:p>
    <w:p w14:paraId="28969EB7">
      <w:pPr>
        <w:pStyle w:val="3"/>
        <w:numPr>
          <w:ilvl w:val="0"/>
          <w:numId w:val="4"/>
        </w:numPr>
        <w:spacing w:before="0" w:after="0" w:line="360" w:lineRule="auto"/>
        <w:jc w:val="center"/>
        <w:rPr>
          <w:rFonts w:hint="eastAsia" w:ascii="宋体" w:hAnsi="宋体" w:cs="宋体"/>
          <w:b/>
          <w:bCs/>
          <w:kern w:val="44"/>
          <w:sz w:val="44"/>
          <w:szCs w:val="44"/>
          <w:lang w:val="en-US" w:eastAsia="zh-CN" w:bidi="ar-SA"/>
        </w:rPr>
      </w:pPr>
      <w:r>
        <w:rPr>
          <w:rFonts w:hint="eastAsia" w:ascii="宋体" w:hAnsi="宋体" w:eastAsia="宋体" w:cs="宋体"/>
          <w:b/>
          <w:bCs/>
          <w:kern w:val="44"/>
          <w:sz w:val="44"/>
          <w:szCs w:val="44"/>
          <w:lang w:val="en-US" w:eastAsia="zh-CN" w:bidi="ar-SA"/>
        </w:rPr>
        <w:t xml:space="preserve"> </w:t>
      </w:r>
      <w:bookmarkStart w:id="267" w:name="_Toc27155"/>
      <w:r>
        <w:rPr>
          <w:rFonts w:hint="eastAsia" w:ascii="宋体" w:hAnsi="宋体" w:cs="宋体"/>
          <w:b/>
          <w:bCs/>
          <w:kern w:val="44"/>
          <w:sz w:val="44"/>
          <w:szCs w:val="44"/>
          <w:lang w:val="en-US" w:eastAsia="zh-CN" w:bidi="ar-SA"/>
        </w:rPr>
        <w:t>合同范本</w:t>
      </w:r>
      <w:bookmarkEnd w:id="267"/>
    </w:p>
    <w:p w14:paraId="705B10F4">
      <w:pPr>
        <w:pStyle w:val="3"/>
        <w:numPr>
          <w:ilvl w:val="0"/>
          <w:numId w:val="0"/>
        </w:numPr>
        <w:spacing w:before="0" w:after="0" w:line="360" w:lineRule="auto"/>
        <w:ind w:firstLine="2409" w:firstLineChars="1000"/>
        <w:jc w:val="both"/>
        <w:rPr>
          <w:rFonts w:ascii="宋体" w:hAnsi="宋体" w:cs="宋体"/>
        </w:rPr>
      </w:pPr>
      <w:bookmarkStart w:id="268" w:name="_Toc7418"/>
      <w:r>
        <w:rPr>
          <w:rFonts w:hint="eastAsia" w:ascii="宋体" w:hAnsi="宋体" w:eastAsia="宋体" w:cs="宋体"/>
          <w:b/>
          <w:bCs w:val="0"/>
          <w:kern w:val="0"/>
          <w:sz w:val="24"/>
          <w:szCs w:val="24"/>
          <w:lang w:val="en-US" w:eastAsia="zh-CN" w:bidi="ar-SA"/>
        </w:rPr>
        <w:t>合同范本详见附件</w:t>
      </w:r>
      <w:r>
        <w:rPr>
          <w:rFonts w:ascii="宋体" w:hAnsi="宋体" w:cs="宋体"/>
        </w:rPr>
        <w:br w:type="page"/>
      </w:r>
      <w:bookmarkEnd w:id="268"/>
    </w:p>
    <w:p w14:paraId="6FA354FF">
      <w:pPr>
        <w:pStyle w:val="2"/>
      </w:pPr>
    </w:p>
    <w:p w14:paraId="4522BD77">
      <w:pPr>
        <w:pStyle w:val="3"/>
        <w:spacing w:before="0" w:after="0" w:line="360" w:lineRule="auto"/>
        <w:jc w:val="center"/>
        <w:rPr>
          <w:rFonts w:ascii="宋体" w:hAnsi="宋体" w:cs="宋体"/>
        </w:rPr>
      </w:pPr>
      <w:bookmarkStart w:id="269" w:name="_Toc2882"/>
      <w:bookmarkStart w:id="270" w:name="_Toc2000413"/>
      <w:bookmarkStart w:id="271" w:name="_Toc514858709"/>
      <w:r>
        <w:rPr>
          <w:rFonts w:hint="eastAsia" w:ascii="宋体" w:hAnsi="宋体" w:cs="宋体"/>
        </w:rPr>
        <w:t>第</w:t>
      </w:r>
      <w:r>
        <w:rPr>
          <w:rFonts w:hint="eastAsia" w:ascii="宋体" w:hAnsi="宋体" w:cs="宋体"/>
          <w:lang w:val="en-US" w:eastAsia="zh-CN"/>
        </w:rPr>
        <w:t>九</w:t>
      </w:r>
      <w:r>
        <w:rPr>
          <w:rFonts w:hint="eastAsia" w:ascii="宋体" w:hAnsi="宋体" w:cs="宋体"/>
        </w:rPr>
        <w:t>章  竞争性比选响应文件格式</w:t>
      </w:r>
      <w:bookmarkEnd w:id="266"/>
      <w:bookmarkEnd w:id="269"/>
      <w:bookmarkEnd w:id="270"/>
      <w:bookmarkEnd w:id="271"/>
    </w:p>
    <w:p w14:paraId="014941AD">
      <w:pPr>
        <w:rPr>
          <w:rFonts w:ascii="宋体" w:hAnsi="宋体" w:cs="宋体"/>
        </w:rPr>
      </w:pPr>
    </w:p>
    <w:p w14:paraId="77A502AA">
      <w:pPr>
        <w:rPr>
          <w:rFonts w:ascii="宋体" w:hAnsi="宋体" w:cs="宋体"/>
        </w:rPr>
        <w:sectPr>
          <w:pgSz w:w="11906" w:h="16838"/>
          <w:pgMar w:top="1440" w:right="1803" w:bottom="1440" w:left="1803" w:header="851" w:footer="992" w:gutter="0"/>
          <w:cols w:space="720" w:num="1"/>
          <w:titlePg/>
          <w:docGrid w:type="lines" w:linePitch="319" w:charSpace="0"/>
        </w:sectPr>
      </w:pPr>
    </w:p>
    <w:p w14:paraId="3F0FE5D9">
      <w:pPr>
        <w:rPr>
          <w:rFonts w:ascii="宋体" w:hAnsi="宋体" w:cs="宋体"/>
        </w:rPr>
      </w:pPr>
    </w:p>
    <w:p w14:paraId="6F65110E">
      <w:pPr>
        <w:jc w:val="center"/>
        <w:rPr>
          <w:rFonts w:ascii="宋体" w:hAnsi="宋体" w:cs="宋体"/>
          <w:sz w:val="52"/>
          <w:szCs w:val="52"/>
          <w:u w:val="single"/>
        </w:rPr>
      </w:pPr>
      <w:bookmarkStart w:id="272" w:name="_Toc503971829"/>
      <w:bookmarkStart w:id="273" w:name="_Toc503951046"/>
      <w:bookmarkStart w:id="274" w:name="_Toc513633967"/>
      <w:bookmarkStart w:id="275" w:name="_Toc514858710"/>
      <w:bookmarkStart w:id="276" w:name="_Toc513646738"/>
      <w:r>
        <w:rPr>
          <w:rFonts w:hint="eastAsia" w:ascii="宋体" w:hAnsi="宋体" w:cs="宋体"/>
          <w:u w:val="single"/>
        </w:rPr>
        <w:t xml:space="preserve">                           </w:t>
      </w:r>
      <w:r>
        <w:rPr>
          <w:rFonts w:hint="eastAsia" w:ascii="宋体" w:hAnsi="宋体" w:cs="宋体"/>
          <w:sz w:val="52"/>
          <w:szCs w:val="52"/>
          <w:u w:val="single"/>
        </w:rPr>
        <w:t>（项目名称）</w:t>
      </w:r>
      <w:bookmarkEnd w:id="272"/>
      <w:bookmarkEnd w:id="273"/>
      <w:bookmarkEnd w:id="274"/>
      <w:bookmarkEnd w:id="275"/>
      <w:bookmarkEnd w:id="276"/>
      <w:r>
        <w:rPr>
          <w:rFonts w:hint="eastAsia" w:ascii="宋体" w:hAnsi="宋体" w:cs="宋体"/>
          <w:sz w:val="52"/>
          <w:szCs w:val="52"/>
          <w:u w:val="single"/>
        </w:rPr>
        <w:t xml:space="preserve"> </w:t>
      </w:r>
    </w:p>
    <w:p w14:paraId="2844A68C">
      <w:pPr>
        <w:rPr>
          <w:rFonts w:ascii="宋体" w:hAnsi="宋体" w:cs="宋体"/>
          <w:sz w:val="20"/>
          <w:szCs w:val="20"/>
        </w:rPr>
      </w:pPr>
    </w:p>
    <w:p w14:paraId="1C86D7E0">
      <w:pPr>
        <w:jc w:val="center"/>
        <w:rPr>
          <w:rFonts w:ascii="宋体" w:hAnsi="宋体" w:cs="宋体"/>
          <w:sz w:val="44"/>
          <w:szCs w:val="44"/>
        </w:rPr>
      </w:pPr>
      <w:r>
        <w:rPr>
          <w:rFonts w:hint="eastAsia" w:ascii="宋体" w:hAnsi="宋体" w:cs="宋体"/>
          <w:sz w:val="44"/>
          <w:szCs w:val="44"/>
        </w:rPr>
        <w:t xml:space="preserve"> </w:t>
      </w:r>
    </w:p>
    <w:p w14:paraId="0C593E65">
      <w:pPr>
        <w:rPr>
          <w:rFonts w:ascii="宋体" w:hAnsi="宋体" w:cs="宋体"/>
          <w:sz w:val="28"/>
          <w:szCs w:val="28"/>
        </w:rPr>
      </w:pPr>
    </w:p>
    <w:p w14:paraId="28509381">
      <w:pPr>
        <w:rPr>
          <w:rFonts w:ascii="宋体" w:hAnsi="宋体" w:cs="宋体"/>
          <w:sz w:val="28"/>
          <w:szCs w:val="28"/>
        </w:rPr>
      </w:pPr>
    </w:p>
    <w:p w14:paraId="3415C82C">
      <w:pPr>
        <w:rPr>
          <w:rFonts w:ascii="宋体" w:hAnsi="宋体" w:cs="宋体"/>
          <w:sz w:val="28"/>
          <w:szCs w:val="28"/>
        </w:rPr>
      </w:pPr>
    </w:p>
    <w:p w14:paraId="20B11115">
      <w:pPr>
        <w:jc w:val="center"/>
        <w:rPr>
          <w:rFonts w:ascii="宋体" w:hAnsi="宋体" w:cs="宋体"/>
          <w:b/>
          <w:sz w:val="72"/>
          <w:szCs w:val="44"/>
        </w:rPr>
      </w:pPr>
      <w:r>
        <w:rPr>
          <w:rFonts w:hint="eastAsia" w:ascii="宋体" w:hAnsi="宋体" w:cs="宋体"/>
          <w:b/>
          <w:sz w:val="72"/>
          <w:szCs w:val="44"/>
        </w:rPr>
        <w:t>竞争性比选响应文件</w:t>
      </w:r>
    </w:p>
    <w:p w14:paraId="195A95BF">
      <w:pPr>
        <w:jc w:val="center"/>
        <w:rPr>
          <w:rFonts w:ascii="宋体" w:hAnsi="宋体" w:cs="宋体"/>
          <w:b/>
          <w:sz w:val="32"/>
          <w:szCs w:val="32"/>
        </w:rPr>
      </w:pPr>
    </w:p>
    <w:p w14:paraId="412FEBAA">
      <w:pPr>
        <w:rPr>
          <w:rFonts w:ascii="宋体" w:hAnsi="宋体" w:cs="宋体"/>
          <w:sz w:val="28"/>
          <w:szCs w:val="28"/>
        </w:rPr>
      </w:pPr>
    </w:p>
    <w:p w14:paraId="0F9E798E">
      <w:pPr>
        <w:rPr>
          <w:rFonts w:ascii="宋体" w:hAnsi="宋体" w:cs="宋体"/>
          <w:sz w:val="28"/>
          <w:szCs w:val="28"/>
        </w:rPr>
      </w:pPr>
    </w:p>
    <w:p w14:paraId="65A724AD">
      <w:pPr>
        <w:rPr>
          <w:rFonts w:ascii="宋体" w:hAnsi="宋体" w:cs="宋体"/>
          <w:sz w:val="28"/>
          <w:szCs w:val="28"/>
        </w:rPr>
      </w:pPr>
    </w:p>
    <w:p w14:paraId="139FE30E">
      <w:pPr>
        <w:rPr>
          <w:rFonts w:ascii="宋体" w:hAnsi="宋体" w:cs="宋体"/>
          <w:sz w:val="28"/>
          <w:szCs w:val="28"/>
        </w:rPr>
      </w:pPr>
    </w:p>
    <w:p w14:paraId="3B709C73">
      <w:pPr>
        <w:rPr>
          <w:rFonts w:ascii="宋体" w:hAnsi="宋体" w:cs="宋体"/>
          <w:sz w:val="28"/>
          <w:szCs w:val="28"/>
        </w:rPr>
      </w:pPr>
    </w:p>
    <w:p w14:paraId="711C83E7">
      <w:pPr>
        <w:pStyle w:val="28"/>
      </w:pPr>
    </w:p>
    <w:p w14:paraId="134C1CB1"/>
    <w:p w14:paraId="08725ACE">
      <w:pPr>
        <w:pStyle w:val="28"/>
      </w:pPr>
    </w:p>
    <w:p w14:paraId="200223A3"/>
    <w:p w14:paraId="590CF2FE">
      <w:pPr>
        <w:pStyle w:val="28"/>
      </w:pPr>
    </w:p>
    <w:p w14:paraId="4D73124C">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14:paraId="35578B3E">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14:paraId="52661B89">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0EE5D696">
      <w:pPr>
        <w:spacing w:line="400" w:lineRule="exact"/>
        <w:rPr>
          <w:rFonts w:ascii="宋体" w:hAnsi="宋体" w:cs="宋体"/>
        </w:rPr>
      </w:pPr>
    </w:p>
    <w:p w14:paraId="6B27B34E">
      <w:pPr>
        <w:spacing w:line="400" w:lineRule="exact"/>
        <w:rPr>
          <w:rFonts w:ascii="宋体" w:hAnsi="宋体" w:cs="宋体"/>
        </w:rPr>
      </w:pPr>
    </w:p>
    <w:p w14:paraId="1601DDD8">
      <w:pPr>
        <w:spacing w:line="400" w:lineRule="exact"/>
        <w:rPr>
          <w:rFonts w:ascii="宋体" w:hAnsi="宋体" w:cs="宋体"/>
        </w:rPr>
      </w:pPr>
    </w:p>
    <w:p w14:paraId="4AAA0068">
      <w:pPr>
        <w:pStyle w:val="4"/>
        <w:jc w:val="center"/>
        <w:rPr>
          <w:rFonts w:ascii="宋体" w:hAnsi="宋体" w:eastAsia="宋体" w:cs="宋体"/>
        </w:rPr>
      </w:pPr>
      <w:bookmarkStart w:id="277" w:name="_Toc30795"/>
      <w:bookmarkStart w:id="278" w:name="_Toc11329273"/>
      <w:bookmarkStart w:id="279" w:name="_Toc28780"/>
      <w:bookmarkStart w:id="280" w:name="_Toc1368"/>
      <w:bookmarkStart w:id="281" w:name="_Toc17061"/>
      <w:bookmarkStart w:id="282" w:name="_Toc5459"/>
      <w:r>
        <w:rPr>
          <w:rFonts w:hint="eastAsia" w:ascii="宋体" w:hAnsi="宋体" w:eastAsia="宋体" w:cs="宋体"/>
        </w:rPr>
        <w:t>目    录</w:t>
      </w:r>
      <w:bookmarkEnd w:id="258"/>
      <w:bookmarkEnd w:id="259"/>
      <w:bookmarkEnd w:id="260"/>
      <w:bookmarkEnd w:id="261"/>
      <w:bookmarkEnd w:id="262"/>
      <w:bookmarkEnd w:id="263"/>
      <w:bookmarkEnd w:id="264"/>
      <w:bookmarkEnd w:id="265"/>
      <w:bookmarkEnd w:id="277"/>
      <w:bookmarkEnd w:id="278"/>
      <w:bookmarkEnd w:id="279"/>
      <w:bookmarkEnd w:id="280"/>
      <w:bookmarkEnd w:id="281"/>
      <w:bookmarkEnd w:id="282"/>
    </w:p>
    <w:p w14:paraId="7C73626C">
      <w:pPr>
        <w:numPr>
          <w:ilvl w:val="0"/>
          <w:numId w:val="5"/>
        </w:numPr>
        <w:spacing w:line="400" w:lineRule="exact"/>
        <w:rPr>
          <w:rFonts w:ascii="宋体" w:hAnsi="宋体" w:cs="宋体"/>
        </w:rPr>
      </w:pPr>
      <w:r>
        <w:rPr>
          <w:rFonts w:hint="eastAsia" w:ascii="宋体" w:hAnsi="宋体" w:cs="宋体"/>
        </w:rPr>
        <w:t>竞争性响应声明书</w:t>
      </w:r>
    </w:p>
    <w:p w14:paraId="3865666F">
      <w:pPr>
        <w:numPr>
          <w:ilvl w:val="0"/>
          <w:numId w:val="5"/>
        </w:numPr>
        <w:spacing w:line="400" w:lineRule="exact"/>
        <w:rPr>
          <w:rFonts w:ascii="宋体" w:hAnsi="宋体" w:cs="宋体"/>
        </w:rPr>
      </w:pPr>
      <w:r>
        <w:rPr>
          <w:rFonts w:ascii="宋体" w:hAnsi="宋体" w:cs="宋体"/>
        </w:rPr>
        <w:t>法定代表人身份证明或法定代表人授权委托书</w:t>
      </w:r>
    </w:p>
    <w:p w14:paraId="23DF4D04">
      <w:pPr>
        <w:spacing w:line="400" w:lineRule="exact"/>
        <w:rPr>
          <w:rFonts w:ascii="宋体" w:hAnsi="宋体" w:cs="宋体"/>
        </w:rPr>
      </w:pPr>
      <w:r>
        <w:rPr>
          <w:rFonts w:hint="eastAsia" w:ascii="宋体" w:hAnsi="宋体" w:cs="宋体"/>
        </w:rPr>
        <w:t>三、报价一览表</w:t>
      </w:r>
    </w:p>
    <w:p w14:paraId="73E2CE35">
      <w:pPr>
        <w:spacing w:line="400" w:lineRule="exact"/>
        <w:rPr>
          <w:rFonts w:ascii="宋体" w:hAnsi="宋体" w:cs="宋体"/>
        </w:rPr>
      </w:pPr>
      <w:r>
        <w:rPr>
          <w:rFonts w:hint="eastAsia" w:ascii="宋体" w:hAnsi="宋体" w:cs="宋体"/>
        </w:rPr>
        <w:t>四、资格审查资料</w:t>
      </w:r>
    </w:p>
    <w:p w14:paraId="67E08E45">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14:paraId="5B612CB3">
      <w:pPr>
        <w:spacing w:line="400" w:lineRule="exact"/>
        <w:rPr>
          <w:rFonts w:ascii="宋体" w:hAnsi="宋体" w:cs="宋体"/>
          <w:szCs w:val="21"/>
        </w:rPr>
      </w:pPr>
      <w:r>
        <w:rPr>
          <w:rFonts w:hint="eastAsia" w:ascii="宋体" w:hAnsi="宋体" w:cs="宋体"/>
          <w:szCs w:val="21"/>
        </w:rPr>
        <w:t>六、报价人基本信息及其他材料</w:t>
      </w:r>
    </w:p>
    <w:p w14:paraId="41680E92">
      <w:pPr>
        <w:pStyle w:val="28"/>
        <w:rPr>
          <w:rFonts w:ascii="宋体" w:hAnsi="宋体" w:cs="宋体"/>
          <w:b w:val="0"/>
          <w:bCs w:val="0"/>
          <w:caps w:val="0"/>
          <w:sz w:val="21"/>
          <w:szCs w:val="21"/>
        </w:rPr>
      </w:pPr>
      <w:r>
        <w:rPr>
          <w:rFonts w:hint="eastAsia" w:ascii="宋体" w:hAnsi="宋体" w:cs="宋体"/>
          <w:b w:val="0"/>
          <w:bCs w:val="0"/>
          <w:caps w:val="0"/>
          <w:sz w:val="21"/>
          <w:szCs w:val="21"/>
        </w:rPr>
        <w:t>七、现场安全负责人承诺书</w:t>
      </w:r>
    </w:p>
    <w:p w14:paraId="41CC05B0">
      <w:pPr>
        <w:spacing w:line="400" w:lineRule="exact"/>
        <w:rPr>
          <w:rFonts w:ascii="宋体" w:hAnsi="宋体" w:cs="宋体"/>
        </w:rPr>
      </w:pPr>
      <w:r>
        <w:rPr>
          <w:rFonts w:hint="eastAsia" w:ascii="宋体" w:hAnsi="宋体" w:cs="宋体"/>
        </w:rPr>
        <w:t xml:space="preserve"> </w:t>
      </w:r>
    </w:p>
    <w:p w14:paraId="4B0DF8DF">
      <w:pPr>
        <w:spacing w:line="400" w:lineRule="exact"/>
        <w:rPr>
          <w:rFonts w:ascii="宋体" w:hAnsi="宋体" w:cs="宋体"/>
        </w:rPr>
      </w:pPr>
    </w:p>
    <w:p w14:paraId="1FEE6E94">
      <w:pPr>
        <w:spacing w:line="400" w:lineRule="exact"/>
        <w:rPr>
          <w:rFonts w:ascii="宋体" w:hAnsi="宋体" w:cs="宋体"/>
        </w:rPr>
      </w:pPr>
    </w:p>
    <w:p w14:paraId="558A8DC4">
      <w:pPr>
        <w:spacing w:line="400" w:lineRule="exact"/>
        <w:rPr>
          <w:rFonts w:ascii="宋体" w:hAnsi="宋体" w:cs="宋体"/>
        </w:rPr>
      </w:pPr>
    </w:p>
    <w:p w14:paraId="4E1E82F1">
      <w:pPr>
        <w:spacing w:line="400" w:lineRule="exact"/>
        <w:rPr>
          <w:rFonts w:ascii="宋体" w:hAnsi="宋体" w:cs="宋体"/>
        </w:rPr>
      </w:pPr>
    </w:p>
    <w:p w14:paraId="287C2C19">
      <w:pPr>
        <w:spacing w:line="400" w:lineRule="exact"/>
        <w:rPr>
          <w:rFonts w:ascii="宋体" w:hAnsi="宋体" w:cs="宋体"/>
        </w:rPr>
      </w:pPr>
    </w:p>
    <w:p w14:paraId="021CAFEC">
      <w:pPr>
        <w:spacing w:line="400" w:lineRule="exact"/>
        <w:rPr>
          <w:rFonts w:ascii="宋体" w:hAnsi="宋体" w:cs="宋体"/>
        </w:rPr>
      </w:pPr>
    </w:p>
    <w:p w14:paraId="3D1FC836">
      <w:pPr>
        <w:spacing w:line="400" w:lineRule="exact"/>
        <w:rPr>
          <w:rFonts w:ascii="宋体" w:hAnsi="宋体" w:cs="宋体"/>
        </w:rPr>
      </w:pPr>
    </w:p>
    <w:p w14:paraId="2AE92D99">
      <w:pPr>
        <w:spacing w:line="400" w:lineRule="exact"/>
        <w:rPr>
          <w:rFonts w:ascii="宋体" w:hAnsi="宋体" w:cs="宋体"/>
        </w:rPr>
      </w:pPr>
    </w:p>
    <w:p w14:paraId="32FB8B43">
      <w:pPr>
        <w:spacing w:line="400" w:lineRule="exact"/>
        <w:rPr>
          <w:rFonts w:ascii="宋体" w:hAnsi="宋体" w:cs="宋体"/>
        </w:rPr>
      </w:pPr>
    </w:p>
    <w:p w14:paraId="27195A22">
      <w:pPr>
        <w:spacing w:line="400" w:lineRule="exact"/>
        <w:rPr>
          <w:rFonts w:ascii="宋体" w:hAnsi="宋体" w:cs="宋体"/>
        </w:rPr>
      </w:pPr>
    </w:p>
    <w:p w14:paraId="2C43A09C">
      <w:pPr>
        <w:spacing w:line="400" w:lineRule="exact"/>
        <w:rPr>
          <w:rFonts w:ascii="宋体" w:hAnsi="宋体" w:cs="宋体"/>
        </w:rPr>
      </w:pPr>
    </w:p>
    <w:p w14:paraId="15FF0FA5">
      <w:pPr>
        <w:spacing w:line="400" w:lineRule="exact"/>
        <w:rPr>
          <w:rFonts w:ascii="宋体" w:hAnsi="宋体" w:cs="宋体"/>
        </w:rPr>
      </w:pPr>
    </w:p>
    <w:p w14:paraId="0751EF06">
      <w:pPr>
        <w:spacing w:line="400" w:lineRule="exact"/>
        <w:rPr>
          <w:rFonts w:ascii="宋体" w:hAnsi="宋体" w:cs="宋体"/>
        </w:rPr>
      </w:pPr>
    </w:p>
    <w:p w14:paraId="6174AB22">
      <w:pPr>
        <w:spacing w:line="400" w:lineRule="exact"/>
        <w:rPr>
          <w:rFonts w:ascii="宋体" w:hAnsi="宋体" w:cs="宋体"/>
        </w:rPr>
      </w:pPr>
    </w:p>
    <w:p w14:paraId="5C76E7CB">
      <w:pPr>
        <w:spacing w:line="400" w:lineRule="exact"/>
        <w:rPr>
          <w:rFonts w:ascii="宋体" w:hAnsi="宋体" w:cs="宋体"/>
        </w:rPr>
      </w:pPr>
    </w:p>
    <w:p w14:paraId="7B184671">
      <w:pPr>
        <w:spacing w:line="400" w:lineRule="exact"/>
        <w:rPr>
          <w:rFonts w:ascii="宋体" w:hAnsi="宋体" w:cs="宋体"/>
        </w:rPr>
      </w:pPr>
    </w:p>
    <w:p w14:paraId="489515EC">
      <w:pPr>
        <w:spacing w:line="400" w:lineRule="exact"/>
        <w:rPr>
          <w:rFonts w:ascii="宋体" w:hAnsi="宋体" w:cs="宋体"/>
        </w:rPr>
      </w:pPr>
    </w:p>
    <w:p w14:paraId="68AC9ED8">
      <w:pPr>
        <w:spacing w:line="400" w:lineRule="exact"/>
        <w:rPr>
          <w:rFonts w:ascii="宋体" w:hAnsi="宋体" w:cs="宋体"/>
        </w:rPr>
      </w:pPr>
    </w:p>
    <w:p w14:paraId="267EB777">
      <w:pPr>
        <w:spacing w:line="400" w:lineRule="exact"/>
        <w:rPr>
          <w:rFonts w:ascii="宋体" w:hAnsi="宋体" w:cs="宋体"/>
        </w:rPr>
      </w:pPr>
    </w:p>
    <w:p w14:paraId="3CFD7381">
      <w:pPr>
        <w:spacing w:line="400" w:lineRule="exact"/>
        <w:rPr>
          <w:rFonts w:ascii="宋体" w:hAnsi="宋体" w:cs="宋体"/>
        </w:rPr>
      </w:pPr>
    </w:p>
    <w:p w14:paraId="51CE580E">
      <w:pPr>
        <w:spacing w:line="400" w:lineRule="exact"/>
        <w:rPr>
          <w:rFonts w:ascii="宋体" w:hAnsi="宋体" w:cs="宋体"/>
        </w:rPr>
      </w:pPr>
      <w:r>
        <w:rPr>
          <w:rFonts w:ascii="宋体" w:hAnsi="宋体" w:cs="宋体"/>
        </w:rPr>
        <w:br w:type="page"/>
      </w:r>
    </w:p>
    <w:p w14:paraId="589C0EDC">
      <w:pPr>
        <w:pStyle w:val="4"/>
        <w:spacing w:before="0" w:after="0" w:line="360" w:lineRule="auto"/>
        <w:jc w:val="center"/>
        <w:rPr>
          <w:rFonts w:ascii="宋体" w:hAnsi="宋体" w:eastAsia="宋体" w:cs="宋体"/>
          <w:sz w:val="28"/>
        </w:rPr>
      </w:pPr>
      <w:bookmarkStart w:id="283" w:name="_Toc11329274"/>
      <w:bookmarkStart w:id="284" w:name="_Toc8870"/>
      <w:bookmarkStart w:id="285" w:name="_Toc4152"/>
      <w:bookmarkStart w:id="286" w:name="_Toc29547"/>
      <w:bookmarkStart w:id="287" w:name="_Toc13644"/>
      <w:bookmarkStart w:id="288" w:name="_Toc15863"/>
      <w:bookmarkStart w:id="289" w:name="_Toc25874"/>
      <w:bookmarkStart w:id="290" w:name="_Toc503951048"/>
      <w:bookmarkStart w:id="291" w:name="_Toc447827053"/>
      <w:bookmarkStart w:id="292" w:name="_Toc513633969"/>
      <w:r>
        <w:rPr>
          <w:rFonts w:hint="eastAsia" w:ascii="宋体" w:hAnsi="宋体" w:eastAsia="宋体" w:cs="宋体"/>
          <w:sz w:val="28"/>
        </w:rPr>
        <w:t>一、</w:t>
      </w:r>
      <w:bookmarkEnd w:id="283"/>
      <w:bookmarkEnd w:id="284"/>
      <w:r>
        <w:rPr>
          <w:rFonts w:hint="eastAsia" w:ascii="宋体" w:hAnsi="宋体" w:eastAsia="宋体" w:cs="宋体"/>
          <w:sz w:val="28"/>
        </w:rPr>
        <w:t>竞争比选响应声明书</w:t>
      </w:r>
      <w:bookmarkEnd w:id="285"/>
      <w:bookmarkEnd w:id="286"/>
      <w:bookmarkEnd w:id="287"/>
      <w:bookmarkEnd w:id="288"/>
      <w:bookmarkEnd w:id="289"/>
    </w:p>
    <w:p w14:paraId="4FD01BC9">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14:paraId="5E2537FD">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color w:val="000000"/>
          <w:sz w:val="24"/>
          <w:u w:val="single"/>
          <w:lang w:eastAsia="zh-CN"/>
        </w:rPr>
        <w:t>巫溪至开州高速公路项目机电工程（开州段）高压外电接入施工专项分包</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14:paraId="74DFC13F">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w:t>
      </w:r>
      <w:r>
        <w:rPr>
          <w:rFonts w:hint="eastAsia" w:ascii="Arial" w:hAnsi="Arial" w:cs="Arial"/>
          <w:color w:val="000000"/>
          <w:sz w:val="24"/>
          <w:u w:val="single"/>
          <w:lang w:val="en-US" w:eastAsia="zh-CN"/>
        </w:rPr>
        <w:t>项目实施</w:t>
      </w:r>
      <w:r>
        <w:rPr>
          <w:rFonts w:hint="eastAsia" w:ascii="Arial" w:hAnsi="Arial" w:cs="Arial"/>
          <w:color w:val="000000"/>
          <w:sz w:val="24"/>
          <w:u w:val="single"/>
        </w:rPr>
        <w:t>。</w:t>
      </w:r>
    </w:p>
    <w:p w14:paraId="6DD88033">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14:paraId="1BF888D4">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14:paraId="1F521950">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14:paraId="6027F859">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14:paraId="2E32D149">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14:paraId="6E9A9399">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14:paraId="05B23866">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16F70093">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14:paraId="25E99690">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14:paraId="025ED8F1">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14:paraId="7C128AC2">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14:paraId="70F26F2F">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14:paraId="3E49879B">
      <w:pPr>
        <w:outlineLvl w:val="0"/>
        <w:rPr>
          <w:b/>
          <w:sz w:val="24"/>
        </w:rPr>
      </w:pPr>
    </w:p>
    <w:p w14:paraId="41CA89DB">
      <w:pPr>
        <w:outlineLvl w:val="0"/>
        <w:rPr>
          <w:b/>
          <w:sz w:val="24"/>
        </w:rPr>
      </w:pPr>
    </w:p>
    <w:p w14:paraId="156E24DB">
      <w:pPr>
        <w:outlineLvl w:val="0"/>
        <w:rPr>
          <w:b/>
          <w:sz w:val="24"/>
        </w:rPr>
      </w:pPr>
    </w:p>
    <w:p w14:paraId="0398B7CE">
      <w:pPr>
        <w:pStyle w:val="4"/>
        <w:jc w:val="center"/>
        <w:rPr>
          <w:rFonts w:ascii="宋体" w:hAnsi="宋体" w:eastAsia="宋体" w:cs="宋体"/>
          <w:sz w:val="28"/>
          <w:szCs w:val="28"/>
        </w:rPr>
      </w:pPr>
      <w:bookmarkStart w:id="293" w:name="_Toc27815"/>
      <w:bookmarkStart w:id="294" w:name="_Toc13538"/>
      <w:bookmarkStart w:id="295" w:name="_Toc7417"/>
      <w:bookmarkStart w:id="296" w:name="_Toc491883232"/>
      <w:r>
        <w:rPr>
          <w:rFonts w:hint="eastAsia" w:ascii="宋体" w:hAnsi="宋体" w:eastAsia="宋体" w:cs="宋体"/>
          <w:sz w:val="28"/>
          <w:szCs w:val="28"/>
        </w:rPr>
        <w:t>二、法定代表人身份证明或法定代表人授权委托书</w:t>
      </w:r>
      <w:bookmarkEnd w:id="293"/>
      <w:bookmarkEnd w:id="294"/>
      <w:bookmarkEnd w:id="295"/>
    </w:p>
    <w:p w14:paraId="007089EA">
      <w:pPr>
        <w:pStyle w:val="4"/>
        <w:jc w:val="center"/>
        <w:rPr>
          <w:rFonts w:ascii="宋体" w:hAnsi="宋体" w:eastAsia="宋体" w:cs="宋体"/>
          <w:sz w:val="24"/>
          <w:szCs w:val="24"/>
        </w:rPr>
      </w:pPr>
      <w:bookmarkStart w:id="297" w:name="_Toc14141"/>
      <w:bookmarkStart w:id="298" w:name="_Toc25654"/>
      <w:bookmarkStart w:id="299" w:name="_Toc15238"/>
      <w:r>
        <w:rPr>
          <w:rFonts w:hint="eastAsia" w:ascii="宋体" w:hAnsi="宋体" w:eastAsia="宋体" w:cs="宋体"/>
          <w:sz w:val="24"/>
          <w:szCs w:val="24"/>
        </w:rPr>
        <w:t>（一）法定代表人身份证明</w:t>
      </w:r>
      <w:bookmarkEnd w:id="296"/>
      <w:bookmarkEnd w:id="297"/>
      <w:bookmarkEnd w:id="298"/>
      <w:bookmarkEnd w:id="299"/>
    </w:p>
    <w:p w14:paraId="71E21CF1">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14:paraId="0487AC24">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300" w:name="_Toc352691662"/>
      <w:bookmarkStart w:id="301" w:name="_Toc27897"/>
      <w:bookmarkStart w:id="302" w:name="_Toc369531698"/>
      <w:r>
        <w:rPr>
          <w:rFonts w:ascii="宋体" w:hAnsi="宋体"/>
          <w:u w:val="single"/>
        </w:rPr>
        <w:t xml:space="preserve">        </w:t>
      </w:r>
      <w:r>
        <w:rPr>
          <w:rFonts w:ascii="宋体" w:hAnsi="宋体"/>
        </w:rPr>
        <w:t>年</w:t>
      </w:r>
      <w:bookmarkEnd w:id="300"/>
      <w:bookmarkEnd w:id="301"/>
      <w:bookmarkEnd w:id="302"/>
      <w:r>
        <w:rPr>
          <w:rFonts w:ascii="宋体" w:hAnsi="宋体"/>
        </w:rPr>
        <w:t>龄</w:t>
      </w:r>
      <w:bookmarkStart w:id="303" w:name="_Toc247527829"/>
      <w:bookmarkStart w:id="304" w:name="_Toc352691663"/>
      <w:bookmarkStart w:id="305" w:name="_Toc361508754"/>
      <w:bookmarkStart w:id="306" w:name="_Toc144974858"/>
      <w:bookmarkStart w:id="307" w:name="_Toc247514248"/>
      <w:bookmarkStart w:id="308" w:name="_Toc300835211"/>
      <w:bookmarkStart w:id="309" w:name="_Toc152045789"/>
      <w:bookmarkStart w:id="310" w:name="_Toc152042578"/>
      <w:bookmarkStart w:id="311" w:name="_Toc369531699"/>
      <w:bookmarkStart w:id="312" w:name="_Toc384308377"/>
      <w:bookmarkStart w:id="313" w:name="_Toc15573"/>
      <w:r>
        <w:rPr>
          <w:rFonts w:ascii="宋体" w:hAnsi="宋体"/>
        </w:rPr>
        <w:t>：</w:t>
      </w:r>
      <w:bookmarkEnd w:id="303"/>
      <w:bookmarkEnd w:id="304"/>
      <w:bookmarkEnd w:id="305"/>
      <w:bookmarkEnd w:id="306"/>
      <w:bookmarkEnd w:id="307"/>
      <w:bookmarkEnd w:id="308"/>
      <w:bookmarkEnd w:id="309"/>
      <w:bookmarkEnd w:id="310"/>
      <w:bookmarkEnd w:id="311"/>
      <w:bookmarkEnd w:id="312"/>
      <w:bookmarkEnd w:id="313"/>
      <w:r>
        <w:rPr>
          <w:rFonts w:ascii="宋体" w:hAnsi="宋体"/>
          <w:u w:val="single"/>
        </w:rPr>
        <w:t xml:space="preserve">        </w:t>
      </w:r>
      <w:r>
        <w:rPr>
          <w:rFonts w:ascii="宋体" w:hAnsi="宋体"/>
        </w:rPr>
        <w:t>职务：</w:t>
      </w:r>
      <w:r>
        <w:rPr>
          <w:rFonts w:ascii="宋体" w:hAnsi="宋体"/>
          <w:u w:val="single"/>
        </w:rPr>
        <w:t xml:space="preserve">        </w:t>
      </w:r>
    </w:p>
    <w:p w14:paraId="294C375D">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14:paraId="5AE421B2">
      <w:pPr>
        <w:spacing w:line="440" w:lineRule="exact"/>
        <w:ind w:firstLine="420" w:firstLineChars="200"/>
        <w:rPr>
          <w:rFonts w:ascii="宋体" w:hAnsi="宋体"/>
        </w:rPr>
      </w:pPr>
      <w:r>
        <w:rPr>
          <w:rFonts w:ascii="宋体" w:hAnsi="宋体"/>
        </w:rPr>
        <w:t>特此证明。</w:t>
      </w:r>
    </w:p>
    <w:p w14:paraId="4D4C6C4F">
      <w:pPr>
        <w:spacing w:line="440" w:lineRule="exact"/>
        <w:rPr>
          <w:rFonts w:ascii="宋体" w:hAnsi="宋体"/>
        </w:rPr>
      </w:pPr>
    </w:p>
    <w:p w14:paraId="60A16D93">
      <w:pPr>
        <w:spacing w:line="440" w:lineRule="exact"/>
        <w:rPr>
          <w:rFonts w:ascii="宋体" w:hAnsi="宋体"/>
        </w:rPr>
      </w:pPr>
      <w:r>
        <w:rPr>
          <w:rFonts w:ascii="宋体" w:hAnsi="宋体"/>
        </w:rPr>
        <w:t>附：法定代表人身份证复印件</w:t>
      </w:r>
      <w:r>
        <w:rPr>
          <w:rFonts w:hint="eastAsia" w:ascii="宋体" w:hAnsi="宋体"/>
        </w:rPr>
        <w:t>（</w:t>
      </w:r>
      <w:r>
        <w:rPr>
          <w:rFonts w:hint="eastAsia" w:ascii="宋体" w:hAnsi="宋体"/>
          <w:b/>
          <w:bCs/>
        </w:rPr>
        <w:t>正、反面</w:t>
      </w:r>
      <w:r>
        <w:rPr>
          <w:rFonts w:hint="eastAsia" w:ascii="宋体" w:hAnsi="宋体"/>
        </w:rPr>
        <w:t>）</w:t>
      </w:r>
      <w:r>
        <w:rPr>
          <w:rFonts w:ascii="宋体" w:hAnsi="宋体"/>
        </w:rPr>
        <w:t>。</w:t>
      </w:r>
    </w:p>
    <w:p w14:paraId="6F29D9E9">
      <w:pPr>
        <w:spacing w:line="440" w:lineRule="exact"/>
        <w:rPr>
          <w:rFonts w:ascii="宋体" w:hAnsi="宋体"/>
        </w:rPr>
      </w:pPr>
    </w:p>
    <w:p w14:paraId="01E30F97">
      <w:pPr>
        <w:spacing w:line="440" w:lineRule="exact"/>
        <w:rPr>
          <w:rFonts w:ascii="宋体" w:hAnsi="宋体"/>
        </w:rPr>
      </w:pPr>
    </w:p>
    <w:p w14:paraId="3DB200D4">
      <w:pPr>
        <w:spacing w:line="440" w:lineRule="exact"/>
        <w:rPr>
          <w:rFonts w:ascii="宋体" w:hAnsi="宋体"/>
        </w:rPr>
      </w:pPr>
    </w:p>
    <w:p w14:paraId="1BCB2F06">
      <w:pPr>
        <w:spacing w:line="440" w:lineRule="exact"/>
        <w:rPr>
          <w:rFonts w:ascii="宋体" w:hAnsi="宋体"/>
        </w:rPr>
      </w:pPr>
    </w:p>
    <w:p w14:paraId="42E2E025">
      <w:pPr>
        <w:spacing w:line="440" w:lineRule="exact"/>
        <w:rPr>
          <w:rFonts w:ascii="宋体" w:hAnsi="宋体"/>
        </w:rPr>
      </w:pPr>
    </w:p>
    <w:p w14:paraId="5A23EA0B">
      <w:pPr>
        <w:spacing w:line="440" w:lineRule="exact"/>
        <w:rPr>
          <w:rFonts w:ascii="宋体" w:hAnsi="宋体"/>
        </w:rPr>
      </w:pPr>
    </w:p>
    <w:p w14:paraId="13B72D9A">
      <w:pPr>
        <w:spacing w:line="440" w:lineRule="exact"/>
        <w:rPr>
          <w:rFonts w:ascii="宋体" w:hAnsi="宋体"/>
        </w:rPr>
      </w:pPr>
    </w:p>
    <w:p w14:paraId="5F420C44">
      <w:pPr>
        <w:spacing w:line="440" w:lineRule="exact"/>
        <w:rPr>
          <w:rFonts w:ascii="宋体" w:hAnsi="宋体"/>
        </w:rPr>
      </w:pPr>
    </w:p>
    <w:p w14:paraId="2E6664F1">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14:paraId="27C7485D">
      <w:pPr>
        <w:spacing w:line="440" w:lineRule="exact"/>
        <w:rPr>
          <w:rFonts w:ascii="宋体" w:hAnsi="宋体"/>
        </w:rPr>
      </w:pPr>
    </w:p>
    <w:p w14:paraId="11672EFB">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3E70C19F">
      <w:pPr>
        <w:rPr>
          <w:rFonts w:ascii="宋体" w:hAnsi="宋体"/>
        </w:rPr>
      </w:pPr>
    </w:p>
    <w:p w14:paraId="5A0CBBAB">
      <w:pPr>
        <w:rPr>
          <w:rFonts w:ascii="宋体" w:hAnsi="宋体"/>
        </w:rPr>
      </w:pPr>
    </w:p>
    <w:p w14:paraId="421264D1">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14:paraId="74E0F5CE">
      <w:pPr>
        <w:spacing w:line="440" w:lineRule="exact"/>
        <w:rPr>
          <w:rFonts w:ascii="宋体" w:hAnsi="宋体"/>
          <w:sz w:val="20"/>
        </w:rPr>
      </w:pPr>
    </w:p>
    <w:p w14:paraId="6483E86A">
      <w:pPr>
        <w:spacing w:line="20" w:lineRule="exact"/>
        <w:jc w:val="center"/>
        <w:rPr>
          <w:rFonts w:ascii="宋体" w:hAnsi="宋体"/>
          <w:sz w:val="20"/>
        </w:rPr>
      </w:pPr>
      <w:r>
        <w:rPr>
          <w:rFonts w:ascii="宋体" w:hAnsi="宋体"/>
          <w:sz w:val="20"/>
        </w:rPr>
        <w:br w:type="page"/>
      </w:r>
    </w:p>
    <w:p w14:paraId="771FC836">
      <w:pPr>
        <w:pStyle w:val="4"/>
        <w:jc w:val="center"/>
        <w:rPr>
          <w:rFonts w:ascii="宋体" w:hAnsi="宋体"/>
          <w:sz w:val="28"/>
          <w:szCs w:val="28"/>
        </w:rPr>
      </w:pPr>
      <w:bookmarkStart w:id="314" w:name="_Toc491883233"/>
      <w:bookmarkStart w:id="315" w:name="_Toc7216"/>
      <w:bookmarkStart w:id="316" w:name="_Toc58"/>
      <w:bookmarkStart w:id="317" w:name="_Toc23510"/>
      <w:r>
        <w:rPr>
          <w:rFonts w:hint="eastAsia" w:ascii="宋体" w:hAnsi="宋体" w:eastAsia="宋体" w:cs="宋体"/>
          <w:sz w:val="24"/>
          <w:szCs w:val="24"/>
        </w:rPr>
        <w:t>（二）</w:t>
      </w:r>
      <w:bookmarkEnd w:id="314"/>
      <w:r>
        <w:rPr>
          <w:rFonts w:hint="eastAsia" w:ascii="宋体" w:hAnsi="宋体" w:eastAsia="宋体" w:cs="宋体"/>
          <w:sz w:val="24"/>
          <w:szCs w:val="24"/>
        </w:rPr>
        <w:t>法定代表人授权委托书</w:t>
      </w:r>
      <w:bookmarkEnd w:id="315"/>
      <w:bookmarkEnd w:id="316"/>
      <w:bookmarkEnd w:id="317"/>
    </w:p>
    <w:p w14:paraId="5285D654">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14:paraId="3EB20881">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55CB118B">
      <w:pPr>
        <w:spacing w:line="440" w:lineRule="exact"/>
        <w:ind w:firstLine="420" w:firstLineChars="200"/>
        <w:rPr>
          <w:rFonts w:ascii="宋体" w:hAnsi="宋体"/>
        </w:rPr>
      </w:pPr>
      <w:r>
        <w:rPr>
          <w:rFonts w:ascii="宋体" w:hAnsi="宋体"/>
        </w:rPr>
        <w:t>代理人无转委托权。</w:t>
      </w:r>
    </w:p>
    <w:p w14:paraId="600FCCDA">
      <w:pPr>
        <w:spacing w:line="440" w:lineRule="exact"/>
        <w:ind w:firstLine="420" w:firstLineChars="200"/>
        <w:rPr>
          <w:rFonts w:ascii="宋体" w:hAnsi="宋体"/>
        </w:rPr>
      </w:pPr>
    </w:p>
    <w:p w14:paraId="1D77D9C2">
      <w:pPr>
        <w:spacing w:line="440" w:lineRule="exact"/>
        <w:rPr>
          <w:rFonts w:ascii="宋体" w:hAnsi="宋体"/>
        </w:rPr>
      </w:pPr>
      <w:r>
        <w:rPr>
          <w:rFonts w:ascii="宋体" w:hAnsi="宋体"/>
        </w:rPr>
        <w:t>附：</w:t>
      </w:r>
      <w:r>
        <w:rPr>
          <w:rFonts w:ascii="宋体" w:hAnsi="宋体"/>
          <w:b/>
          <w:bCs/>
        </w:rPr>
        <w:t>法定代表人</w:t>
      </w:r>
      <w:r>
        <w:rPr>
          <w:rFonts w:ascii="宋体" w:hAnsi="宋体"/>
        </w:rPr>
        <w:t>身份证复印件及</w:t>
      </w:r>
      <w:r>
        <w:rPr>
          <w:rFonts w:ascii="宋体" w:hAnsi="宋体"/>
          <w:b/>
          <w:bCs/>
        </w:rPr>
        <w:t>委托代理人</w:t>
      </w:r>
      <w:r>
        <w:rPr>
          <w:rFonts w:ascii="宋体" w:hAnsi="宋体"/>
        </w:rPr>
        <w:t>身份证复印件</w:t>
      </w:r>
      <w:r>
        <w:rPr>
          <w:rFonts w:hint="eastAsia" w:ascii="宋体" w:hAnsi="宋体"/>
        </w:rPr>
        <w:t>（</w:t>
      </w:r>
      <w:r>
        <w:rPr>
          <w:rFonts w:hint="eastAsia" w:ascii="宋体" w:hAnsi="宋体"/>
          <w:b/>
          <w:bCs/>
        </w:rPr>
        <w:t>正、反面</w:t>
      </w:r>
      <w:r>
        <w:rPr>
          <w:rFonts w:hint="eastAsia" w:ascii="宋体" w:hAnsi="宋体"/>
        </w:rPr>
        <w:t>）</w:t>
      </w:r>
    </w:p>
    <w:p w14:paraId="41B906A4">
      <w:pPr>
        <w:spacing w:line="440" w:lineRule="exact"/>
        <w:rPr>
          <w:rFonts w:ascii="宋体" w:hAnsi="宋体"/>
        </w:rPr>
      </w:pPr>
    </w:p>
    <w:p w14:paraId="31296005">
      <w:pPr>
        <w:spacing w:line="440" w:lineRule="exact"/>
        <w:rPr>
          <w:rFonts w:ascii="宋体" w:hAnsi="宋体"/>
        </w:rPr>
      </w:pPr>
    </w:p>
    <w:p w14:paraId="797DDE68">
      <w:pPr>
        <w:spacing w:line="440" w:lineRule="exact"/>
        <w:rPr>
          <w:rFonts w:ascii="宋体" w:hAnsi="宋体"/>
        </w:rPr>
      </w:pPr>
    </w:p>
    <w:p w14:paraId="332B8D51">
      <w:pPr>
        <w:spacing w:line="440" w:lineRule="exact"/>
        <w:rPr>
          <w:rFonts w:ascii="宋体" w:hAnsi="宋体"/>
        </w:rPr>
      </w:pPr>
    </w:p>
    <w:p w14:paraId="6CD8847F">
      <w:pPr>
        <w:spacing w:line="440" w:lineRule="exact"/>
        <w:rPr>
          <w:rFonts w:ascii="宋体" w:hAnsi="宋体"/>
        </w:rPr>
      </w:pPr>
    </w:p>
    <w:p w14:paraId="724D6C85">
      <w:pPr>
        <w:spacing w:line="440" w:lineRule="exact"/>
        <w:rPr>
          <w:rFonts w:ascii="宋体" w:hAnsi="宋体"/>
        </w:rPr>
      </w:pPr>
    </w:p>
    <w:p w14:paraId="56EFCC83">
      <w:pPr>
        <w:spacing w:line="440" w:lineRule="exact"/>
        <w:rPr>
          <w:rFonts w:ascii="宋体" w:hAnsi="宋体"/>
        </w:rPr>
      </w:pPr>
    </w:p>
    <w:p w14:paraId="5F45DE3C">
      <w:pPr>
        <w:spacing w:line="440" w:lineRule="exact"/>
        <w:rPr>
          <w:rFonts w:ascii="宋体" w:hAnsi="宋体"/>
        </w:rPr>
      </w:pPr>
    </w:p>
    <w:p w14:paraId="42BF727A">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14:paraId="14EBDCB7">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14:paraId="24E95416">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14:paraId="7D8ADB4B">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rPr>
        <w:t>（签字）</w:t>
      </w:r>
    </w:p>
    <w:p w14:paraId="41065A33">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14:paraId="0DCDC6FC">
      <w:pPr>
        <w:spacing w:line="440" w:lineRule="exact"/>
        <w:ind w:firstLine="2692" w:firstLineChars="1282"/>
        <w:rPr>
          <w:rFonts w:ascii="宋体" w:hAnsi="宋体"/>
        </w:rPr>
      </w:pPr>
    </w:p>
    <w:p w14:paraId="08117750">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766619E8">
      <w:pPr>
        <w:rPr>
          <w:rFonts w:ascii="宋体" w:hAnsi="宋体"/>
        </w:rPr>
      </w:pPr>
    </w:p>
    <w:p w14:paraId="37E545CF">
      <w:pPr>
        <w:rPr>
          <w:rFonts w:ascii="宋体" w:hAnsi="宋体"/>
        </w:rPr>
      </w:pPr>
    </w:p>
    <w:p w14:paraId="5C458ADE">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14:paraId="4150B53E">
      <w:pPr>
        <w:pStyle w:val="28"/>
        <w:sectPr>
          <w:pgSz w:w="11906" w:h="16838"/>
          <w:pgMar w:top="1440" w:right="1803" w:bottom="1440" w:left="1803" w:header="851" w:footer="992" w:gutter="0"/>
          <w:cols w:space="720" w:num="1"/>
          <w:titlePg/>
          <w:docGrid w:type="lines" w:linePitch="319" w:charSpace="0"/>
        </w:sectPr>
      </w:pPr>
    </w:p>
    <w:p w14:paraId="1013132E">
      <w:pPr>
        <w:rPr>
          <w:rFonts w:ascii="宋体" w:hAnsi="宋体" w:cs="宋体"/>
          <w:snapToGrid w:val="0"/>
          <w:kern w:val="0"/>
          <w:szCs w:val="21"/>
        </w:rPr>
      </w:pPr>
    </w:p>
    <w:p w14:paraId="4950A096">
      <w:pPr>
        <w:jc w:val="center"/>
        <w:rPr>
          <w:rFonts w:ascii="宋体" w:hAnsi="宋体" w:cs="宋体"/>
          <w:b/>
        </w:rPr>
      </w:pPr>
      <w:bookmarkStart w:id="318" w:name="_Toc11329275"/>
      <w:r>
        <w:rPr>
          <w:rFonts w:hint="eastAsia" w:ascii="宋体" w:hAnsi="宋体" w:cs="宋体"/>
          <w:b/>
          <w:bCs/>
          <w:kern w:val="0"/>
          <w:sz w:val="28"/>
          <w:szCs w:val="32"/>
        </w:rPr>
        <w:t>三、</w:t>
      </w:r>
      <w:bookmarkEnd w:id="290"/>
      <w:bookmarkEnd w:id="291"/>
      <w:bookmarkEnd w:id="292"/>
      <w:bookmarkEnd w:id="318"/>
      <w:r>
        <w:rPr>
          <w:rFonts w:hint="eastAsia" w:ascii="宋体" w:hAnsi="宋体" w:cs="宋体"/>
          <w:b/>
          <w:bCs/>
          <w:kern w:val="0"/>
          <w:sz w:val="28"/>
          <w:szCs w:val="32"/>
        </w:rPr>
        <w:t>报价一览表</w:t>
      </w:r>
    </w:p>
    <w:p w14:paraId="122DA042">
      <w:pPr>
        <w:ind w:left="765"/>
        <w:jc w:val="center"/>
        <w:rPr>
          <w:rFonts w:ascii="宋体" w:hAnsi="宋体" w:cs="宋体"/>
          <w:szCs w:val="21"/>
        </w:rPr>
      </w:pPr>
    </w:p>
    <w:p w14:paraId="47CF69CF">
      <w:pPr>
        <w:pStyle w:val="38"/>
        <w:jc w:val="both"/>
        <w:rPr>
          <w:rFonts w:hAnsi="宋体"/>
        </w:rPr>
      </w:pPr>
      <w:r>
        <w:rPr>
          <w:rFonts w:hint="eastAsia" w:hAnsi="宋体"/>
        </w:rPr>
        <w:t>重庆首讯科技股份有限公司：</w:t>
      </w:r>
    </w:p>
    <w:p w14:paraId="3748A17B">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lang w:eastAsia="zh-CN"/>
        </w:rPr>
        <w:t>巫溪至开州高速公路项目机电工程（开州段）高压外电接入施工专项分包</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14:paraId="29594B6E">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14:paraId="642568F8">
      <w:pPr>
        <w:spacing w:line="400" w:lineRule="exact"/>
        <w:rPr>
          <w:rFonts w:ascii="宋体" w:hAnsi="宋体" w:cs="宋体"/>
          <w:kern w:val="0"/>
          <w:szCs w:val="21"/>
        </w:rPr>
      </w:pPr>
    </w:p>
    <w:p w14:paraId="05BB54A7">
      <w:pPr>
        <w:pStyle w:val="4"/>
        <w:spacing w:before="0" w:after="0" w:line="360" w:lineRule="auto"/>
        <w:jc w:val="center"/>
        <w:rPr>
          <w:rFonts w:ascii="宋体" w:hAnsi="宋体" w:eastAsia="宋体" w:cs="宋体"/>
          <w:sz w:val="28"/>
        </w:rPr>
      </w:pPr>
      <w:bookmarkStart w:id="319" w:name="_Toc503951050"/>
      <w:bookmarkStart w:id="320" w:name="_Toc513633971"/>
      <w:bookmarkStart w:id="321" w:name="_Toc11329278"/>
      <w:bookmarkStart w:id="322" w:name="_Toc246996369"/>
      <w:bookmarkStart w:id="323" w:name="_Toc144974871"/>
      <w:bookmarkStart w:id="324" w:name="_Toc179632823"/>
      <w:bookmarkStart w:id="325" w:name="_Toc247085887"/>
      <w:bookmarkStart w:id="326" w:name="_Toc152042592"/>
      <w:bookmarkStart w:id="327" w:name="_Toc246997112"/>
      <w:bookmarkStart w:id="328" w:name="_Toc152045803"/>
      <w:bookmarkStart w:id="329" w:name="_Toc447827058"/>
      <w:r>
        <w:rPr>
          <w:rFonts w:hint="eastAsia" w:ascii="宋体" w:hAnsi="宋体" w:eastAsia="宋体" w:cs="宋体"/>
          <w:sz w:val="28"/>
        </w:rPr>
        <w:br w:type="page"/>
      </w:r>
      <w:bookmarkStart w:id="330" w:name="_Toc12910"/>
      <w:bookmarkStart w:id="331" w:name="_Toc18757"/>
      <w:bookmarkStart w:id="332" w:name="_Toc20702"/>
      <w:bookmarkStart w:id="333" w:name="_Toc2210"/>
      <w:bookmarkStart w:id="334" w:name="_Toc11961"/>
      <w:r>
        <w:rPr>
          <w:rFonts w:hint="eastAsia" w:ascii="宋体" w:hAnsi="宋体" w:eastAsia="宋体" w:cs="宋体"/>
          <w:sz w:val="28"/>
        </w:rPr>
        <w:t>四、资格审查资料</w:t>
      </w:r>
      <w:bookmarkEnd w:id="319"/>
      <w:bookmarkEnd w:id="320"/>
      <w:bookmarkEnd w:id="321"/>
      <w:bookmarkEnd w:id="330"/>
      <w:bookmarkEnd w:id="331"/>
      <w:bookmarkEnd w:id="332"/>
      <w:bookmarkEnd w:id="333"/>
      <w:bookmarkEnd w:id="334"/>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10EF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3F20B4E1">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080A5934">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059CD8B6">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资格要求</w:t>
            </w:r>
          </w:p>
        </w:tc>
      </w:tr>
      <w:tr w14:paraId="33D7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14:paraId="4554DD9D">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14:paraId="043E8599">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14:paraId="10DCC932">
            <w:pPr>
              <w:keepNext w:val="0"/>
              <w:keepLines w:val="0"/>
              <w:suppressLineNumbers w:val="0"/>
              <w:spacing w:before="0" w:beforeAutospacing="0" w:after="0" w:afterAutospacing="0"/>
              <w:ind w:left="0" w:right="0"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施工资质：（1）具有独立法人资格，具有有效的营业执照；（2）具有有效的四级及以上级别的承装(修、试）电力设施许可证；（3）具有有效的电力工程施工总承包三级或输变电工程专业承包三级及以上资质；（4）具有有效的施工企业安全生产许可证。（注：联合体投标的，联合体承担施工工作的单位须满足）</w:t>
            </w:r>
          </w:p>
          <w:p w14:paraId="3C4B884E">
            <w:pPr>
              <w:keepNext w:val="0"/>
              <w:keepLines w:val="0"/>
              <w:suppressLineNumbers w:val="0"/>
              <w:spacing w:before="0" w:beforeAutospacing="0" w:after="0" w:afterAutospacing="0"/>
              <w:ind w:left="0" w:right="0" w:firstLine="420" w:firstLineChars="200"/>
              <w:rPr>
                <w:rFonts w:hint="eastAsia"/>
                <w:lang w:val="en-US" w:eastAsia="zh-CN"/>
              </w:rPr>
            </w:pPr>
            <w:r>
              <w:rPr>
                <w:rFonts w:hint="eastAsia" w:ascii="宋体" w:hAnsi="宋体" w:cs="宋体"/>
                <w:szCs w:val="21"/>
                <w:shd w:val="clear" w:color="auto" w:fill="FFFFFF"/>
              </w:rPr>
              <w:t>2.设计资质：（1）具有独立法人资格，具有有效的营业执照；（2）具有有效的电力行业（变电工程）专业丙级及以上资质，具有有效的电力行业（送电工程）专业丙级及以上资质。（注：联合体投标的，联合体承担设计工作的单位须满足）</w:t>
            </w:r>
          </w:p>
        </w:tc>
      </w:tr>
      <w:tr w14:paraId="1646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14:paraId="5034F463">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5544A891">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3072D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宋体" w:hAnsi="宋体" w:cs="宋体"/>
                <w:szCs w:val="21"/>
                <w:highlight w:val="none"/>
                <w:lang w:val="en-US" w:eastAsia="zh-CN"/>
              </w:rPr>
            </w:pPr>
            <w:r>
              <w:rPr>
                <w:rFonts w:hint="eastAsia" w:ascii="宋体" w:hAnsi="宋体" w:cs="宋体"/>
                <w:highlight w:val="none"/>
                <w:lang w:eastAsia="zh-CN"/>
              </w:rPr>
              <w:t>报价</w:t>
            </w:r>
            <w:r>
              <w:rPr>
                <w:rFonts w:hint="eastAsia" w:ascii="宋体" w:hAnsi="宋体" w:cs="宋体"/>
                <w:highlight w:val="none"/>
              </w:rPr>
              <w:t>人2021年1月1日至投标截止日（以合同签订时间为准）至少完成一个合同额</w:t>
            </w:r>
            <w:r>
              <w:rPr>
                <w:rFonts w:hint="eastAsia" w:ascii="宋体" w:hAnsi="宋体" w:cs="宋体"/>
                <w:highlight w:val="none"/>
                <w:lang w:eastAsia="zh-CN"/>
              </w:rPr>
              <w:t>2</w:t>
            </w:r>
            <w:r>
              <w:rPr>
                <w:rFonts w:hint="eastAsia" w:ascii="宋体" w:hAnsi="宋体" w:cs="宋体"/>
                <w:highlight w:val="none"/>
                <w:lang w:val="en-US" w:eastAsia="zh-CN"/>
              </w:rPr>
              <w:t>5</w:t>
            </w:r>
            <w:r>
              <w:rPr>
                <w:rFonts w:hint="eastAsia" w:ascii="宋体" w:hAnsi="宋体" w:cs="宋体"/>
                <w:highlight w:val="none"/>
              </w:rPr>
              <w:t>0万元以上10kv及以上高压外线工程施工业绩。（注：联合体投标的，由联合体牵头人提供）</w:t>
            </w:r>
          </w:p>
        </w:tc>
      </w:tr>
      <w:tr w14:paraId="5A3C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1EAA03A">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0725DA4D">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CBB9E81">
            <w:pPr>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信誉要求：在国家企业信用信息公示系统（http://www.gsxt.gov.cn/）中未被列入严重违法失信企业名单（黑名单）信息；在“信用中国”网站（http://www.creditchina.gov.cn/）中未被列入失信惩戒执行人名单。</w:t>
            </w:r>
          </w:p>
        </w:tc>
      </w:tr>
    </w:tbl>
    <w:p w14:paraId="1B7E47B7">
      <w:pPr>
        <w:rPr>
          <w:rFonts w:hint="eastAsia"/>
          <w:lang w:val="en-US" w:eastAsia="zh-CN"/>
        </w:rPr>
      </w:pPr>
    </w:p>
    <w:p w14:paraId="057E32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bCs/>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 xml:space="preserve"> 注：</w:t>
      </w:r>
      <w:r>
        <w:rPr>
          <w:rFonts w:hint="eastAsia" w:ascii="Times New Roman" w:hAnsi="宋体" w:eastAsia="宋体" w:cs="Times New Roman"/>
          <w:b/>
          <w:bCs/>
          <w:color w:val="auto"/>
          <w:kern w:val="0"/>
          <w:sz w:val="21"/>
          <w:szCs w:val="21"/>
          <w:highlight w:val="none"/>
          <w:lang w:val="en-US" w:eastAsia="zh-CN" w:bidi="ar-SA"/>
        </w:rPr>
        <w:t>1.提供营业执照、资质证书复印件，并加盖鲜章。</w:t>
      </w:r>
    </w:p>
    <w:p w14:paraId="41014C8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宋体" w:eastAsia="宋体" w:cs="Times New Roman"/>
          <w:b/>
          <w:bCs/>
          <w:color w:val="auto"/>
          <w:kern w:val="0"/>
          <w:sz w:val="21"/>
          <w:szCs w:val="21"/>
          <w:highlight w:val="none"/>
          <w:lang w:val="en-US" w:eastAsia="zh-CN" w:bidi="ar-SA"/>
        </w:rPr>
      </w:pPr>
      <w:r>
        <w:rPr>
          <w:rFonts w:hint="eastAsia" w:ascii="Times New Roman" w:hAnsi="宋体" w:eastAsia="宋体" w:cs="Times New Roman"/>
          <w:b/>
          <w:bCs/>
          <w:color w:val="auto"/>
          <w:kern w:val="0"/>
          <w:sz w:val="21"/>
          <w:szCs w:val="21"/>
          <w:highlight w:val="none"/>
          <w:lang w:val="en-US" w:eastAsia="zh-CN" w:bidi="ar-SA"/>
        </w:rPr>
        <w:t xml:space="preserve">     2.提供业绩合同复印件，并加盖鲜章；合同同复印件需体现合同额、清单、合同签订时间。</w:t>
      </w:r>
    </w:p>
    <w:p w14:paraId="30108E5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szCs w:val="21"/>
          <w:highlight w:val="none"/>
          <w:shd w:val="clear" w:color="auto" w:fill="FFFFFF"/>
          <w:lang w:val="en-US" w:eastAsia="zh-CN"/>
        </w:rPr>
      </w:pPr>
      <w:r>
        <w:rPr>
          <w:rFonts w:hint="eastAsia" w:hAnsi="宋体" w:cs="Times New Roman"/>
          <w:b/>
          <w:bCs/>
          <w:color w:val="auto"/>
          <w:kern w:val="0"/>
          <w:sz w:val="21"/>
          <w:szCs w:val="21"/>
          <w:highlight w:val="none"/>
          <w:lang w:val="en-US" w:eastAsia="zh-CN" w:bidi="ar-SA"/>
        </w:rPr>
        <w:t>3</w:t>
      </w:r>
      <w:r>
        <w:rPr>
          <w:rFonts w:hint="eastAsia" w:ascii="Times New Roman" w:hAnsi="宋体" w:eastAsia="宋体" w:cs="Times New Roman"/>
          <w:b/>
          <w:bCs/>
          <w:color w:val="auto"/>
          <w:kern w:val="0"/>
          <w:sz w:val="21"/>
          <w:szCs w:val="21"/>
          <w:highlight w:val="none"/>
          <w:lang w:val="en-US" w:eastAsia="zh-CN" w:bidi="ar-SA"/>
        </w:rPr>
        <w:t>.提供企业信用信息公示系统（http://www.gsxt.gov.cn/）中未被列入严重违法失信企业名单（黑名单）信息截图和</w:t>
      </w:r>
      <w:r>
        <w:rPr>
          <w:rFonts w:hint="eastAsia" w:ascii="宋体" w:hAnsi="宋体" w:cs="宋体"/>
          <w:b/>
          <w:bCs/>
          <w:szCs w:val="21"/>
          <w:highlight w:val="none"/>
          <w:shd w:val="clear" w:color="auto" w:fill="FFFFFF"/>
          <w:lang w:val="en-US" w:eastAsia="zh-CN"/>
        </w:rPr>
        <w:t>在“信用中国”网站（http://www.creditchina.gov.cn/）中未被列入失信惩戒执行人名单截图并加盖鲜章。</w:t>
      </w:r>
    </w:p>
    <w:p w14:paraId="716FB61C">
      <w:pPr>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br w:type="page"/>
      </w:r>
    </w:p>
    <w:p w14:paraId="64485B0E">
      <w:pPr>
        <w:pStyle w:val="4"/>
        <w:numPr>
          <w:ilvl w:val="0"/>
          <w:numId w:val="6"/>
        </w:numPr>
        <w:spacing w:before="0" w:after="0" w:line="360" w:lineRule="auto"/>
        <w:ind w:left="0" w:leftChars="0" w:firstLine="420" w:firstLineChars="0"/>
        <w:jc w:val="center"/>
        <w:rPr>
          <w:rFonts w:hint="default" w:ascii="宋体" w:hAnsi="宋体" w:eastAsia="宋体" w:cs="宋体"/>
          <w:sz w:val="28"/>
          <w:highlight w:val="none"/>
          <w:lang w:val="en-US" w:eastAsia="zh-CN"/>
        </w:rPr>
      </w:pPr>
      <w:r>
        <w:rPr>
          <w:rFonts w:hint="eastAsia" w:ascii="宋体" w:hAnsi="宋体" w:eastAsia="宋体" w:cs="宋体"/>
          <w:sz w:val="28"/>
          <w:highlight w:val="none"/>
          <w:lang w:val="en-US" w:eastAsia="zh-CN"/>
        </w:rPr>
        <w:t>基本要求</w:t>
      </w:r>
    </w:p>
    <w:p w14:paraId="020627BC">
      <w:pPr>
        <w:spacing w:line="400" w:lineRule="exact"/>
        <w:jc w:val="left"/>
        <w:rPr>
          <w:rFonts w:hint="eastAsia" w:ascii="宋体" w:hAnsi="宋体" w:eastAsia="宋体" w:cs="宋体"/>
          <w:sz w:val="28"/>
          <w:highlight w:val="none"/>
          <w:lang w:val="en-US" w:eastAsia="zh-CN"/>
        </w:rPr>
      </w:pPr>
      <w:r>
        <w:rPr>
          <w:rFonts w:hint="eastAsia" w:ascii="Times New Roman" w:hAnsi="宋体" w:eastAsia="宋体" w:cs="Times New Roman"/>
          <w:b w:val="0"/>
          <w:bCs w:val="0"/>
          <w:color w:val="auto"/>
          <w:kern w:val="0"/>
          <w:sz w:val="21"/>
          <w:szCs w:val="21"/>
          <w:highlight w:val="none"/>
          <w:lang w:val="en-US" w:eastAsia="zh-CN" w:bidi="ar-SA"/>
        </w:rPr>
        <w:t>提供营业执照、资质证书复印件，并加盖鲜章。</w:t>
      </w:r>
    </w:p>
    <w:p w14:paraId="5F89A0B3">
      <w:pPr>
        <w:pStyle w:val="42"/>
        <w:rPr>
          <w:rFonts w:hint="eastAsia"/>
          <w:lang w:val="en-US" w:eastAsia="zh-CN"/>
        </w:rPr>
      </w:pPr>
    </w:p>
    <w:p w14:paraId="0A63BE2B">
      <w:pPr>
        <w:pStyle w:val="4"/>
        <w:numPr>
          <w:ilvl w:val="0"/>
          <w:numId w:val="6"/>
        </w:numPr>
        <w:spacing w:before="0" w:after="0" w:line="360" w:lineRule="auto"/>
        <w:ind w:left="0" w:leftChars="0" w:firstLine="420" w:firstLineChars="0"/>
        <w:jc w:val="center"/>
        <w:rPr>
          <w:rFonts w:hint="eastAsia"/>
          <w:lang w:val="en-US" w:eastAsia="zh-CN"/>
        </w:rPr>
      </w:pPr>
      <w:bookmarkStart w:id="335" w:name="_Toc7543"/>
      <w:r>
        <w:rPr>
          <w:rFonts w:hint="eastAsia" w:ascii="宋体" w:hAnsi="宋体" w:eastAsia="宋体" w:cs="宋体"/>
          <w:sz w:val="28"/>
          <w:highlight w:val="none"/>
          <w:lang w:val="en-US" w:eastAsia="zh-CN"/>
        </w:rPr>
        <w:t>业绩要求</w:t>
      </w:r>
      <w:bookmarkEnd w:id="335"/>
    </w:p>
    <w:p w14:paraId="7BBF38EE">
      <w:pPr>
        <w:rPr>
          <w:rFonts w:hint="default"/>
          <w:lang w:val="en-US" w:eastAsia="zh-CN"/>
        </w:rPr>
      </w:pPr>
      <w:r>
        <w:rPr>
          <w:rFonts w:hint="eastAsia" w:ascii="Times New Roman" w:hAnsi="宋体" w:eastAsia="宋体" w:cs="Times New Roman"/>
          <w:b w:val="0"/>
          <w:bCs w:val="0"/>
          <w:color w:val="auto"/>
          <w:kern w:val="0"/>
          <w:sz w:val="21"/>
          <w:szCs w:val="21"/>
          <w:highlight w:val="none"/>
          <w:lang w:val="en-US" w:eastAsia="zh-CN" w:bidi="ar-SA"/>
        </w:rPr>
        <w:t>提供业绩合同复印件，并加盖鲜章；合同同复印件需体现合同额、清单、合同签订时间</w:t>
      </w:r>
      <w:r>
        <w:rPr>
          <w:rFonts w:hint="eastAsia" w:hAnsi="宋体" w:eastAsia="宋体" w:cs="Times New Roman"/>
          <w:b w:val="0"/>
          <w:bCs w:val="0"/>
          <w:color w:val="auto"/>
          <w:kern w:val="0"/>
          <w:sz w:val="21"/>
          <w:szCs w:val="21"/>
          <w:highlight w:val="none"/>
          <w:lang w:val="en-US" w:eastAsia="zh-CN" w:bidi="ar-SA"/>
        </w:rPr>
        <w:t>。</w:t>
      </w:r>
    </w:p>
    <w:p w14:paraId="03BD9ADB">
      <w:pPr>
        <w:pStyle w:val="28"/>
        <w:rPr>
          <w:rFonts w:hint="eastAsia"/>
          <w:lang w:val="en-US" w:eastAsia="zh-CN"/>
        </w:rPr>
      </w:pPr>
    </w:p>
    <w:p w14:paraId="5A9C41FF">
      <w:pPr>
        <w:rPr>
          <w:rFonts w:hint="eastAsia"/>
          <w:lang w:val="en-US" w:eastAsia="zh-CN"/>
        </w:rPr>
      </w:pPr>
    </w:p>
    <w:p w14:paraId="2BE37C10">
      <w:pPr>
        <w:pStyle w:val="4"/>
        <w:numPr>
          <w:ilvl w:val="0"/>
          <w:numId w:val="6"/>
        </w:numPr>
        <w:spacing w:before="0" w:after="0" w:line="360" w:lineRule="auto"/>
        <w:ind w:left="0" w:leftChars="0" w:firstLine="420" w:firstLineChars="0"/>
        <w:jc w:val="center"/>
        <w:rPr>
          <w:rFonts w:hint="eastAsia" w:ascii="宋体" w:hAnsi="宋体" w:eastAsia="宋体" w:cs="宋体"/>
          <w:sz w:val="28"/>
          <w:highlight w:val="none"/>
          <w:lang w:val="en-US" w:eastAsia="zh-CN"/>
        </w:rPr>
      </w:pPr>
      <w:bookmarkStart w:id="336" w:name="_Toc29865"/>
      <w:r>
        <w:rPr>
          <w:rFonts w:hint="eastAsia" w:ascii="宋体" w:hAnsi="宋体" w:eastAsia="宋体" w:cs="宋体"/>
          <w:sz w:val="28"/>
          <w:highlight w:val="none"/>
          <w:lang w:val="en-US" w:eastAsia="zh-CN"/>
        </w:rPr>
        <w:t>信誉要求</w:t>
      </w:r>
      <w:bookmarkEnd w:id="336"/>
    </w:p>
    <w:p w14:paraId="717653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shd w:val="clear" w:color="auto" w:fill="FFFFFF"/>
          <w:lang w:val="en-US" w:eastAsia="zh-CN"/>
        </w:rPr>
      </w:pP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w:t>
      </w:r>
      <w:r>
        <w:rPr>
          <w:rFonts w:hint="eastAsia" w:ascii="宋体" w:hAnsi="宋体" w:cs="宋体"/>
          <w:szCs w:val="21"/>
          <w:highlight w:val="none"/>
          <w:shd w:val="clear" w:color="auto" w:fill="FFFFFF"/>
          <w:lang w:val="en-US" w:eastAsia="zh-CN"/>
        </w:rPr>
        <w:t>在“信用中国”网站（http://www.creditchina.gov.cn/）中未被列入失信惩戒执行人名单截图并加盖鲜章。</w:t>
      </w:r>
    </w:p>
    <w:p w14:paraId="249FE10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kern w:val="0"/>
          <w:sz w:val="28"/>
          <w:szCs w:val="32"/>
          <w:highlight w:val="none"/>
          <w:lang w:val="en-US" w:eastAsia="zh-CN" w:bidi="ar-SA"/>
        </w:rPr>
      </w:pPr>
    </w:p>
    <w:p w14:paraId="46E9644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kern w:val="0"/>
          <w:sz w:val="28"/>
          <w:szCs w:val="32"/>
          <w:highlight w:val="none"/>
          <w:lang w:val="en-US" w:eastAsia="zh-CN" w:bidi="ar-SA"/>
        </w:rPr>
      </w:pPr>
    </w:p>
    <w:p w14:paraId="4277FC6A">
      <w:pPr>
        <w:pStyle w:val="12"/>
        <w:rPr>
          <w:rFonts w:hint="default"/>
          <w:lang w:val="en-US"/>
        </w:rPr>
      </w:pPr>
    </w:p>
    <w:p w14:paraId="2D1FA9FF">
      <w:r>
        <w:br w:type="page"/>
      </w:r>
    </w:p>
    <w:p w14:paraId="01DAE395">
      <w:pPr>
        <w:pStyle w:val="4"/>
        <w:numPr>
          <w:ilvl w:val="0"/>
          <w:numId w:val="6"/>
        </w:numPr>
        <w:spacing w:line="360" w:lineRule="auto"/>
        <w:ind w:firstLine="420"/>
        <w:jc w:val="center"/>
        <w:rPr>
          <w:rFonts w:hint="eastAsia" w:ascii="宋体" w:hAnsi="宋体" w:eastAsia="宋体" w:cs="宋体"/>
          <w:sz w:val="28"/>
          <w:szCs w:val="32"/>
          <w:highlight w:val="none"/>
        </w:rPr>
      </w:pPr>
      <w:r>
        <w:rPr>
          <w:rFonts w:hint="eastAsia" w:ascii="宋体" w:hAnsi="宋体" w:eastAsia="宋体" w:cs="宋体"/>
          <w:sz w:val="28"/>
          <w:szCs w:val="32"/>
          <w:highlight w:val="none"/>
        </w:rPr>
        <w:t>人员要求</w:t>
      </w:r>
    </w:p>
    <w:p w14:paraId="4184E0F7">
      <w:pPr>
        <w:jc w:val="center"/>
      </w:pPr>
      <w:r>
        <w:rPr>
          <w:rFonts w:hint="eastAsia" w:ascii="宋体" w:hAnsi="宋体" w:cs="宋体"/>
          <w:b/>
          <w:szCs w:val="21"/>
        </w:rPr>
        <w:t>主要管理人员名单</w:t>
      </w:r>
    </w:p>
    <w:bookmarkEnd w:id="322"/>
    <w:bookmarkEnd w:id="323"/>
    <w:bookmarkEnd w:id="324"/>
    <w:bookmarkEnd w:id="325"/>
    <w:bookmarkEnd w:id="326"/>
    <w:bookmarkEnd w:id="327"/>
    <w:bookmarkEnd w:id="328"/>
    <w:bookmarkEnd w:id="329"/>
    <w:tbl>
      <w:tblPr>
        <w:tblStyle w:val="43"/>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1060"/>
        <w:gridCol w:w="2808"/>
        <w:gridCol w:w="2653"/>
        <w:gridCol w:w="1205"/>
      </w:tblGrid>
      <w:tr w14:paraId="4B4B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A008879">
            <w:pPr>
              <w:keepNext w:val="0"/>
              <w:keepLines w:val="0"/>
              <w:suppressLineNumbers w:val="0"/>
              <w:spacing w:before="0" w:beforeAutospacing="0" w:after="0" w:afterAutospacing="0" w:line="400" w:lineRule="exact"/>
              <w:ind w:left="0" w:right="0"/>
              <w:jc w:val="center"/>
              <w:rPr>
                <w:rFonts w:hint="default" w:ascii="宋体" w:hAnsi="宋体" w:cs="宋体"/>
                <w:szCs w:val="21"/>
              </w:rPr>
            </w:pPr>
            <w:bookmarkStart w:id="337" w:name="_Toc503951055"/>
            <w:bookmarkStart w:id="338" w:name="_Toc513633973"/>
            <w:bookmarkStart w:id="339" w:name="_Toc447827068"/>
            <w:r>
              <w:rPr>
                <w:rFonts w:hint="eastAsia" w:ascii="宋体" w:hAnsi="宋体" w:cs="宋体"/>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31B37082">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人  员</w:t>
            </w:r>
          </w:p>
        </w:tc>
        <w:tc>
          <w:tcPr>
            <w:tcW w:w="1060" w:type="dxa"/>
            <w:tcBorders>
              <w:top w:val="single" w:color="auto" w:sz="4" w:space="0"/>
              <w:left w:val="single" w:color="auto" w:sz="4" w:space="0"/>
              <w:bottom w:val="single" w:color="auto" w:sz="4" w:space="0"/>
              <w:right w:val="single" w:color="auto" w:sz="4" w:space="0"/>
            </w:tcBorders>
            <w:vAlign w:val="center"/>
          </w:tcPr>
          <w:p w14:paraId="0BF150A6">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姓名</w:t>
            </w:r>
          </w:p>
        </w:tc>
        <w:tc>
          <w:tcPr>
            <w:tcW w:w="2808" w:type="dxa"/>
            <w:tcBorders>
              <w:top w:val="single" w:color="auto" w:sz="4" w:space="0"/>
              <w:left w:val="single" w:color="auto" w:sz="4" w:space="0"/>
              <w:bottom w:val="single" w:color="auto" w:sz="4" w:space="0"/>
              <w:right w:val="single" w:color="auto" w:sz="4" w:space="0"/>
            </w:tcBorders>
            <w:vAlign w:val="center"/>
          </w:tcPr>
          <w:p w14:paraId="40191DB2">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身份证号码</w:t>
            </w:r>
          </w:p>
        </w:tc>
        <w:tc>
          <w:tcPr>
            <w:tcW w:w="2653" w:type="dxa"/>
            <w:tcBorders>
              <w:top w:val="single" w:color="auto" w:sz="4" w:space="0"/>
              <w:left w:val="single" w:color="auto" w:sz="4" w:space="0"/>
              <w:bottom w:val="single" w:color="auto" w:sz="4" w:space="0"/>
              <w:right w:val="single" w:color="auto" w:sz="4" w:space="0"/>
            </w:tcBorders>
            <w:vAlign w:val="center"/>
          </w:tcPr>
          <w:p w14:paraId="1A3C419B">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资格证件号码</w:t>
            </w:r>
          </w:p>
        </w:tc>
        <w:tc>
          <w:tcPr>
            <w:tcW w:w="1205" w:type="dxa"/>
            <w:tcBorders>
              <w:top w:val="single" w:color="auto" w:sz="4" w:space="0"/>
              <w:left w:val="single" w:color="auto" w:sz="4" w:space="0"/>
              <w:bottom w:val="single" w:color="auto" w:sz="4" w:space="0"/>
              <w:right w:val="single" w:color="auto" w:sz="4" w:space="0"/>
            </w:tcBorders>
            <w:vAlign w:val="center"/>
          </w:tcPr>
          <w:p w14:paraId="63C22FD5">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备注</w:t>
            </w:r>
          </w:p>
        </w:tc>
      </w:tr>
      <w:tr w14:paraId="7E45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25157CD">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14:paraId="0B5B9B73">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项目经理</w:t>
            </w:r>
          </w:p>
        </w:tc>
        <w:tc>
          <w:tcPr>
            <w:tcW w:w="1060" w:type="dxa"/>
            <w:tcBorders>
              <w:top w:val="single" w:color="auto" w:sz="4" w:space="0"/>
              <w:left w:val="single" w:color="auto" w:sz="4" w:space="0"/>
              <w:bottom w:val="single" w:color="auto" w:sz="4" w:space="0"/>
              <w:right w:val="single" w:color="auto" w:sz="4" w:space="0"/>
            </w:tcBorders>
            <w:vAlign w:val="center"/>
          </w:tcPr>
          <w:p w14:paraId="04C47ED3">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14:paraId="06B93B01">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2653" w:type="dxa"/>
            <w:tcBorders>
              <w:top w:val="single" w:color="auto" w:sz="4" w:space="0"/>
              <w:left w:val="single" w:color="auto" w:sz="4" w:space="0"/>
              <w:bottom w:val="single" w:color="auto" w:sz="4" w:space="0"/>
              <w:right w:val="single" w:color="auto" w:sz="4" w:space="0"/>
            </w:tcBorders>
            <w:vAlign w:val="center"/>
          </w:tcPr>
          <w:p w14:paraId="075C5218">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1205" w:type="dxa"/>
            <w:tcBorders>
              <w:top w:val="single" w:color="auto" w:sz="4" w:space="0"/>
              <w:left w:val="single" w:color="auto" w:sz="4" w:space="0"/>
              <w:bottom w:val="single" w:color="auto" w:sz="4" w:space="0"/>
              <w:right w:val="single" w:color="auto" w:sz="4" w:space="0"/>
            </w:tcBorders>
            <w:vAlign w:val="center"/>
          </w:tcPr>
          <w:p w14:paraId="1A92E0BE">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r>
      <w:tr w14:paraId="0D4E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9BDE579">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14:paraId="7067A1BF">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项目总工</w:t>
            </w:r>
          </w:p>
        </w:tc>
        <w:tc>
          <w:tcPr>
            <w:tcW w:w="1060" w:type="dxa"/>
            <w:tcBorders>
              <w:top w:val="single" w:color="auto" w:sz="4" w:space="0"/>
              <w:left w:val="single" w:color="auto" w:sz="4" w:space="0"/>
              <w:bottom w:val="single" w:color="auto" w:sz="4" w:space="0"/>
              <w:right w:val="single" w:color="auto" w:sz="4" w:space="0"/>
            </w:tcBorders>
            <w:vAlign w:val="center"/>
          </w:tcPr>
          <w:p w14:paraId="1E0FE0D6">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14:paraId="32857E3B">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2653" w:type="dxa"/>
            <w:tcBorders>
              <w:top w:val="single" w:color="auto" w:sz="4" w:space="0"/>
              <w:left w:val="single" w:color="auto" w:sz="4" w:space="0"/>
              <w:bottom w:val="single" w:color="auto" w:sz="4" w:space="0"/>
              <w:right w:val="single" w:color="auto" w:sz="4" w:space="0"/>
            </w:tcBorders>
            <w:vAlign w:val="center"/>
          </w:tcPr>
          <w:p w14:paraId="2666D608">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1205" w:type="dxa"/>
            <w:tcBorders>
              <w:top w:val="single" w:color="auto" w:sz="4" w:space="0"/>
              <w:left w:val="single" w:color="auto" w:sz="4" w:space="0"/>
              <w:bottom w:val="single" w:color="auto" w:sz="4" w:space="0"/>
              <w:right w:val="single" w:color="auto" w:sz="4" w:space="0"/>
            </w:tcBorders>
            <w:vAlign w:val="center"/>
          </w:tcPr>
          <w:p w14:paraId="6BEDF5B6">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r>
      <w:tr w14:paraId="0388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48B82EF">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kern w:val="2"/>
                <w:sz w:val="21"/>
                <w:szCs w:val="21"/>
                <w:lang w:val="en-US" w:eastAsia="zh-CN" w:bidi="ar-SA"/>
              </w:rPr>
            </w:pPr>
            <w:bookmarkStart w:id="340" w:name="_Toc11329281"/>
            <w:bookmarkStart w:id="341" w:name="_Toc11672"/>
            <w:r>
              <w:rPr>
                <w:rFonts w:hint="eastAsia" w:ascii="宋体" w:hAnsi="宋体" w:cs="宋体"/>
                <w:szCs w:val="21"/>
                <w:lang w:val="en-US" w:eastAsia="zh-CN"/>
              </w:rPr>
              <w:t>3</w:t>
            </w:r>
          </w:p>
        </w:tc>
        <w:tc>
          <w:tcPr>
            <w:tcW w:w="1276" w:type="dxa"/>
            <w:tcBorders>
              <w:top w:val="single" w:color="auto" w:sz="4" w:space="0"/>
              <w:left w:val="single" w:color="auto" w:sz="4" w:space="0"/>
              <w:bottom w:val="single" w:color="auto" w:sz="4" w:space="0"/>
              <w:right w:val="single" w:color="auto" w:sz="4" w:space="0"/>
            </w:tcBorders>
            <w:vAlign w:val="center"/>
          </w:tcPr>
          <w:p w14:paraId="6990AD25">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rPr>
              <w:t>安全</w:t>
            </w:r>
            <w:r>
              <w:rPr>
                <w:rFonts w:hint="eastAsia" w:ascii="宋体" w:hAnsi="宋体" w:cs="宋体"/>
                <w:szCs w:val="21"/>
                <w:lang w:val="en-US" w:eastAsia="zh-CN"/>
              </w:rPr>
              <w:t>员</w:t>
            </w:r>
          </w:p>
        </w:tc>
        <w:tc>
          <w:tcPr>
            <w:tcW w:w="1060" w:type="dxa"/>
            <w:tcBorders>
              <w:top w:val="single" w:color="auto" w:sz="4" w:space="0"/>
              <w:left w:val="single" w:color="auto" w:sz="4" w:space="0"/>
              <w:bottom w:val="single" w:color="auto" w:sz="4" w:space="0"/>
              <w:right w:val="single" w:color="auto" w:sz="4" w:space="0"/>
            </w:tcBorders>
            <w:vAlign w:val="center"/>
          </w:tcPr>
          <w:p w14:paraId="2E2E3D5A">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14:paraId="512C593A">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2653" w:type="dxa"/>
            <w:tcBorders>
              <w:top w:val="single" w:color="auto" w:sz="4" w:space="0"/>
              <w:left w:val="single" w:color="auto" w:sz="4" w:space="0"/>
              <w:bottom w:val="single" w:color="auto" w:sz="4" w:space="0"/>
              <w:right w:val="single" w:color="auto" w:sz="4" w:space="0"/>
            </w:tcBorders>
            <w:vAlign w:val="center"/>
          </w:tcPr>
          <w:p w14:paraId="37CDA86A">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c>
          <w:tcPr>
            <w:tcW w:w="1205" w:type="dxa"/>
            <w:tcBorders>
              <w:top w:val="single" w:color="auto" w:sz="4" w:space="0"/>
              <w:left w:val="single" w:color="auto" w:sz="4" w:space="0"/>
              <w:bottom w:val="single" w:color="auto" w:sz="4" w:space="0"/>
              <w:right w:val="single" w:color="auto" w:sz="4" w:space="0"/>
            </w:tcBorders>
            <w:vAlign w:val="center"/>
          </w:tcPr>
          <w:p w14:paraId="0C101243">
            <w:pPr>
              <w:keepNext w:val="0"/>
              <w:keepLines w:val="0"/>
              <w:suppressLineNumbers w:val="0"/>
              <w:spacing w:before="0" w:beforeAutospacing="0" w:after="0" w:afterAutospacing="0" w:line="400" w:lineRule="exact"/>
              <w:ind w:left="0" w:right="0"/>
              <w:jc w:val="center"/>
              <w:rPr>
                <w:rFonts w:hint="default" w:ascii="宋体" w:hAnsi="宋体" w:cs="宋体"/>
                <w:szCs w:val="21"/>
              </w:rPr>
            </w:pPr>
          </w:p>
        </w:tc>
      </w:tr>
    </w:tbl>
    <w:p w14:paraId="7D30E0AD">
      <w:pPr>
        <w:pStyle w:val="149"/>
        <w:adjustRightInd/>
        <w:spacing w:line="360" w:lineRule="auto"/>
        <w:rPr>
          <w:rFonts w:ascii="Times New Roman" w:hAnsi="宋体" w:cs="Times New Roman"/>
          <w:color w:val="auto"/>
          <w:sz w:val="21"/>
          <w:szCs w:val="21"/>
        </w:rPr>
      </w:pPr>
      <w:r>
        <w:rPr>
          <w:rFonts w:hint="eastAsia" w:ascii="Times New Roman" w:hAnsi="宋体" w:cs="Times New Roman"/>
          <w:color w:val="auto"/>
          <w:sz w:val="21"/>
          <w:szCs w:val="21"/>
        </w:rPr>
        <w:t>注：以上人员不得在首讯公司其他未完工项目中重复任用。需提供项目主要管理人员名单（表格形式），以上人员相关资质证件、身份证复印件</w:t>
      </w:r>
      <w:r>
        <w:rPr>
          <w:rFonts w:hint="eastAsia" w:ascii="Times New Roman" w:hAnsi="宋体" w:cs="Times New Roman"/>
          <w:color w:val="auto"/>
          <w:sz w:val="21"/>
          <w:szCs w:val="21"/>
          <w:lang w:eastAsia="zh-CN"/>
        </w:rPr>
        <w:t>、</w:t>
      </w:r>
      <w:r>
        <w:rPr>
          <w:rFonts w:hint="eastAsia" w:ascii="Times New Roman" w:hAnsi="宋体" w:cs="Times New Roman"/>
          <w:color w:val="auto"/>
          <w:sz w:val="21"/>
          <w:szCs w:val="21"/>
          <w:lang w:val="en-US" w:eastAsia="zh-CN"/>
        </w:rPr>
        <w:t>人员业绩合同或其他证明材料</w:t>
      </w:r>
      <w:r>
        <w:rPr>
          <w:rFonts w:hint="eastAsia" w:ascii="Times New Roman" w:hAnsi="宋体" w:cs="Times New Roman"/>
          <w:color w:val="auto"/>
          <w:sz w:val="21"/>
          <w:szCs w:val="21"/>
        </w:rPr>
        <w:t>及由社保局出具的报价人为以上人员缴纳的</w:t>
      </w:r>
      <w:r>
        <w:rPr>
          <w:rFonts w:hint="eastAsia" w:ascii="Times New Roman" w:hAnsi="宋体" w:cs="Times New Roman"/>
          <w:color w:val="auto"/>
          <w:sz w:val="21"/>
          <w:szCs w:val="21"/>
          <w:lang w:val="en-US" w:eastAsia="zh-CN"/>
        </w:rPr>
        <w:t>近三个月</w:t>
      </w:r>
      <w:r>
        <w:rPr>
          <w:rFonts w:hint="eastAsia" w:ascii="Times New Roman" w:hAnsi="宋体" w:cs="Times New Roman"/>
          <w:color w:val="auto"/>
          <w:sz w:val="21"/>
          <w:szCs w:val="21"/>
        </w:rPr>
        <w:t>养老保险证明（带有社保部门公章或社保部门的有效电子印章），并加盖单位鲜公章。</w:t>
      </w:r>
    </w:p>
    <w:p w14:paraId="75D51FE9"/>
    <w:p w14:paraId="35286440">
      <w:pPr>
        <w:pStyle w:val="2"/>
      </w:pPr>
    </w:p>
    <w:p w14:paraId="287E3660"/>
    <w:p w14:paraId="3FAED29B">
      <w:pPr>
        <w:pStyle w:val="2"/>
      </w:pPr>
    </w:p>
    <w:p w14:paraId="2C7C30E4">
      <w:pPr>
        <w:jc w:val="center"/>
      </w:pPr>
      <w:r>
        <w:rPr>
          <w:rFonts w:hint="eastAsia" w:ascii="宋体" w:hAnsi="宋体" w:cs="宋体"/>
          <w:b/>
          <w:szCs w:val="21"/>
        </w:rPr>
        <w:t>其他人员</w:t>
      </w:r>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3A7F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14:paraId="234A2A53">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项目施工、安装及调试劳务人员最低要求</w:t>
            </w:r>
          </w:p>
        </w:tc>
      </w:tr>
      <w:tr w14:paraId="2172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9160" w:type="dxa"/>
          </w:tcPr>
          <w:p w14:paraId="4510C8CB">
            <w:pPr>
              <w:keepNext w:val="0"/>
              <w:keepLines w:val="0"/>
              <w:suppressLineNumbers w:val="0"/>
              <w:spacing w:before="0" w:beforeAutospacing="0" w:after="0" w:afterAutospacing="0"/>
              <w:ind w:left="0" w:right="0" w:firstLine="420" w:firstLineChars="200"/>
              <w:rPr>
                <w:rFonts w:hint="default"/>
              </w:rPr>
            </w:pPr>
            <w:r>
              <w:rPr>
                <w:rFonts w:hint="eastAsia" w:ascii="宋体" w:hAnsi="宋体" w:cs="宋体"/>
                <w:caps/>
                <w:szCs w:val="21"/>
              </w:rPr>
              <w:t>根据界面提交情况及项目部要求追加人员，满足工程进度需要。</w:t>
            </w:r>
          </w:p>
        </w:tc>
      </w:tr>
    </w:tbl>
    <w:p w14:paraId="2DC345DF">
      <w:pPr>
        <w:pStyle w:val="149"/>
        <w:adjustRightInd/>
        <w:spacing w:line="360" w:lineRule="auto"/>
        <w:rPr>
          <w:rFonts w:hAnsi="宋体"/>
          <w:color w:val="FF0000"/>
          <w:sz w:val="21"/>
          <w:szCs w:val="21"/>
        </w:rPr>
      </w:pPr>
      <w:r>
        <w:rPr>
          <w:rFonts w:hint="eastAsia" w:hAnsi="宋体"/>
          <w:color w:val="auto"/>
          <w:sz w:val="21"/>
          <w:szCs w:val="21"/>
        </w:rPr>
        <w:t>注：</w:t>
      </w:r>
      <w:r>
        <w:rPr>
          <w:rFonts w:hint="eastAsia" w:ascii="Times New Roman" w:hAnsi="宋体" w:cs="Times New Roman"/>
          <w:color w:val="auto"/>
          <w:sz w:val="21"/>
          <w:szCs w:val="21"/>
        </w:rPr>
        <w:t>以上人员不得在其他项目重复任职</w:t>
      </w:r>
      <w:r>
        <w:rPr>
          <w:rFonts w:hint="eastAsia" w:ascii="Times New Roman" w:hAnsi="宋体" w:cs="Times New Roman"/>
          <w:color w:val="auto"/>
          <w:sz w:val="21"/>
          <w:szCs w:val="21"/>
          <w:lang w:eastAsia="zh-CN"/>
        </w:rPr>
        <w:t>，</w:t>
      </w:r>
      <w:r>
        <w:rPr>
          <w:rFonts w:hint="eastAsia" w:ascii="Times New Roman" w:hAnsi="宋体" w:cs="Times New Roman"/>
          <w:caps w:val="0"/>
          <w:color w:val="auto"/>
          <w:sz w:val="21"/>
          <w:szCs w:val="21"/>
        </w:rPr>
        <w:t>报价人自行承诺即可，</w:t>
      </w:r>
      <w:r>
        <w:rPr>
          <w:rFonts w:hint="eastAsia" w:ascii="Times New Roman" w:hAnsi="宋体" w:cs="Times New Roman"/>
          <w:caps w:val="0"/>
          <w:color w:val="auto"/>
          <w:sz w:val="21"/>
          <w:szCs w:val="21"/>
          <w:lang w:val="en-US" w:eastAsia="zh-CN"/>
        </w:rPr>
        <w:t>提供承诺资料并加盖单位公章</w:t>
      </w:r>
      <w:r>
        <w:rPr>
          <w:rFonts w:hint="eastAsia" w:hAnsi="宋体"/>
          <w:color w:val="auto"/>
          <w:sz w:val="21"/>
          <w:szCs w:val="21"/>
        </w:rPr>
        <w:t>。</w:t>
      </w:r>
    </w:p>
    <w:p w14:paraId="10BFF489">
      <w:pPr>
        <w:pStyle w:val="4"/>
        <w:numPr>
          <w:ilvl w:val="0"/>
          <w:numId w:val="6"/>
        </w:numPr>
        <w:spacing w:line="360" w:lineRule="auto"/>
        <w:ind w:firstLine="420"/>
        <w:jc w:val="center"/>
        <w:rPr>
          <w:rFonts w:hint="eastAsia" w:ascii="宋体" w:hAnsi="宋体" w:eastAsia="宋体" w:cs="宋体"/>
          <w:sz w:val="28"/>
          <w:szCs w:val="32"/>
          <w:highlight w:val="none"/>
        </w:rPr>
      </w:pPr>
      <w:r>
        <w:rPr>
          <w:rFonts w:hint="eastAsia" w:ascii="宋体" w:hAnsi="宋体" w:eastAsia="宋体" w:cs="宋体"/>
          <w:sz w:val="28"/>
          <w:szCs w:val="32"/>
          <w:highlight w:val="none"/>
          <w:lang w:val="en-US" w:eastAsia="zh-CN"/>
        </w:rPr>
        <w:t>机械</w:t>
      </w:r>
      <w:r>
        <w:rPr>
          <w:rFonts w:hint="eastAsia" w:ascii="宋体" w:hAnsi="宋体" w:eastAsia="宋体" w:cs="宋体"/>
          <w:sz w:val="28"/>
          <w:szCs w:val="32"/>
          <w:highlight w:val="none"/>
        </w:rPr>
        <w:t>要求</w:t>
      </w:r>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0CCE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14:paraId="22719DCD">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主要机械设备和试验检测设备最低要求</w:t>
            </w:r>
          </w:p>
        </w:tc>
      </w:tr>
      <w:tr w14:paraId="0064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14:paraId="16E77F27">
            <w:pPr>
              <w:keepNext w:val="0"/>
              <w:keepLines w:val="0"/>
              <w:suppressLineNumbers w:val="0"/>
              <w:spacing w:before="0" w:beforeAutospacing="0" w:after="0" w:afterAutospacing="0"/>
              <w:ind w:left="0" w:right="0" w:firstLine="420" w:firstLineChars="200"/>
              <w:rPr>
                <w:rFonts w:hint="default"/>
              </w:rPr>
            </w:pPr>
            <w:r>
              <w:rPr>
                <w:rFonts w:hint="eastAsia" w:ascii="宋体" w:hAnsi="宋体" w:cs="宋体"/>
                <w:caps/>
                <w:szCs w:val="21"/>
              </w:rPr>
              <w:t>根据界面提交情况及项目部要求追加机械，满足工程进度需要。</w:t>
            </w:r>
          </w:p>
        </w:tc>
      </w:tr>
    </w:tbl>
    <w:p w14:paraId="1B1C2FA8">
      <w:pPr>
        <w:pStyle w:val="4"/>
        <w:spacing w:before="0" w:after="0" w:line="360" w:lineRule="auto"/>
        <w:jc w:val="both"/>
        <w:rPr>
          <w:rFonts w:ascii="宋体" w:hAnsi="宋体" w:eastAsia="宋体" w:cs="宋体"/>
          <w:sz w:val="28"/>
        </w:rPr>
      </w:pPr>
      <w:r>
        <w:rPr>
          <w:rFonts w:hint="eastAsia" w:ascii="Times New Roman" w:hAnsi="宋体" w:eastAsia="宋体" w:cs="Times New Roman"/>
          <w:b w:val="0"/>
          <w:bCs w:val="0"/>
          <w:color w:val="auto"/>
          <w:kern w:val="0"/>
          <w:sz w:val="21"/>
          <w:szCs w:val="21"/>
        </w:rPr>
        <w:t>注：以上设备由报价人自行承诺</w:t>
      </w:r>
      <w:r>
        <w:rPr>
          <w:rFonts w:hint="eastAsia" w:ascii="Times New Roman" w:hAnsi="宋体" w:eastAsia="宋体" w:cs="Times New Roman"/>
          <w:b w:val="0"/>
          <w:bCs w:val="0"/>
          <w:caps w:val="0"/>
          <w:color w:val="auto"/>
          <w:sz w:val="21"/>
          <w:szCs w:val="21"/>
        </w:rPr>
        <w:t>，</w:t>
      </w:r>
      <w:r>
        <w:rPr>
          <w:rFonts w:hint="eastAsia" w:ascii="Times New Roman" w:hAnsi="宋体" w:eastAsia="宋体" w:cs="Times New Roman"/>
          <w:b w:val="0"/>
          <w:bCs w:val="0"/>
          <w:caps w:val="0"/>
          <w:color w:val="auto"/>
          <w:sz w:val="21"/>
          <w:szCs w:val="21"/>
          <w:lang w:val="en-US" w:eastAsia="zh-CN"/>
        </w:rPr>
        <w:t>提供承诺资料并加盖单位公章</w:t>
      </w:r>
      <w:r>
        <w:rPr>
          <w:rFonts w:hint="eastAsia" w:ascii="Times New Roman" w:hAnsi="宋体" w:eastAsia="宋体" w:cs="Times New Roman"/>
          <w:b w:val="0"/>
          <w:bCs w:val="0"/>
          <w:color w:val="auto"/>
          <w:kern w:val="0"/>
          <w:sz w:val="21"/>
          <w:szCs w:val="21"/>
        </w:rPr>
        <w:t>。</w:t>
      </w:r>
      <w:r>
        <w:rPr>
          <w:rFonts w:hint="eastAsia" w:ascii="宋体" w:hAnsi="宋体" w:eastAsia="宋体" w:cs="宋体"/>
          <w:sz w:val="28"/>
        </w:rPr>
        <w:br w:type="page"/>
      </w:r>
      <w:bookmarkStart w:id="342" w:name="_Toc6442"/>
      <w:bookmarkStart w:id="343" w:name="_Toc18260"/>
      <w:bookmarkStart w:id="344" w:name="_Toc11243"/>
      <w:bookmarkStart w:id="345" w:name="_Toc29559"/>
      <w:r>
        <w:rPr>
          <w:rFonts w:hint="eastAsia" w:ascii="宋体" w:hAnsi="宋体" w:eastAsia="宋体" w:cs="宋体"/>
          <w:sz w:val="28"/>
        </w:rPr>
        <w:t>五、</w:t>
      </w:r>
      <w:bookmarkEnd w:id="337"/>
      <w:bookmarkEnd w:id="338"/>
      <w:bookmarkEnd w:id="339"/>
      <w:r>
        <w:rPr>
          <w:rFonts w:hint="eastAsia" w:ascii="宋体" w:hAnsi="宋体" w:eastAsia="宋体" w:cs="宋体"/>
          <w:sz w:val="28"/>
        </w:rPr>
        <w:t>报价人须知前附表规定的材料</w:t>
      </w:r>
      <w:bookmarkEnd w:id="340"/>
      <w:bookmarkEnd w:id="341"/>
      <w:bookmarkEnd w:id="342"/>
      <w:bookmarkEnd w:id="343"/>
      <w:bookmarkEnd w:id="344"/>
      <w:bookmarkEnd w:id="345"/>
    </w:p>
    <w:p w14:paraId="516C5200">
      <w:pPr>
        <w:jc w:val="center"/>
        <w:rPr>
          <w:b/>
          <w:bCs/>
          <w:sz w:val="32"/>
          <w:szCs w:val="36"/>
        </w:rPr>
      </w:pPr>
      <w:bookmarkStart w:id="346" w:name="bookmark81"/>
      <w:bookmarkStart w:id="347" w:name="_Toc503951058"/>
      <w:bookmarkStart w:id="348" w:name="_Toc513633974"/>
      <w:r>
        <w:rPr>
          <w:rFonts w:hint="eastAsia"/>
          <w:b/>
          <w:bCs/>
          <w:sz w:val="32"/>
          <w:szCs w:val="36"/>
        </w:rPr>
        <w:t>（一）响应性承诺书</w:t>
      </w:r>
    </w:p>
    <w:p w14:paraId="6185D059">
      <w:pPr>
        <w:spacing w:line="360" w:lineRule="auto"/>
        <w:rPr>
          <w:sz w:val="24"/>
          <w:szCs w:val="28"/>
        </w:rPr>
      </w:pPr>
      <w:r>
        <w:rPr>
          <w:rFonts w:hint="eastAsia"/>
          <w:sz w:val="24"/>
          <w:szCs w:val="28"/>
        </w:rPr>
        <w:t>致：重庆首讯科技股份有限公司</w:t>
      </w:r>
    </w:p>
    <w:p w14:paraId="2E6A4912">
      <w:pPr>
        <w:spacing w:line="360" w:lineRule="auto"/>
        <w:ind w:firstLine="1"/>
        <w:rPr>
          <w:rFonts w:hint="eastAsia"/>
          <w:sz w:val="24"/>
          <w:szCs w:val="28"/>
        </w:rPr>
      </w:pPr>
      <w:r>
        <w:rPr>
          <w:rFonts w:hint="eastAsia"/>
          <w:sz w:val="24"/>
          <w:szCs w:val="28"/>
        </w:rPr>
        <w:t>我公司对</w:t>
      </w:r>
      <w:r>
        <w:rPr>
          <w:rFonts w:hint="eastAsia"/>
          <w:sz w:val="24"/>
          <w:szCs w:val="28"/>
          <w:u w:val="single"/>
        </w:rPr>
        <w:t xml:space="preserve">                                 （项目名称）</w:t>
      </w:r>
      <w:r>
        <w:rPr>
          <w:rFonts w:hint="eastAsia"/>
          <w:sz w:val="24"/>
          <w:szCs w:val="28"/>
        </w:rPr>
        <w:t>竞争性比选文件中要求内容完全响应做出以下承诺：</w:t>
      </w:r>
    </w:p>
    <w:p w14:paraId="7E526BA2">
      <w:pPr>
        <w:spacing w:line="360" w:lineRule="auto"/>
        <w:rPr>
          <w:rFonts w:hint="eastAsia"/>
          <w:sz w:val="24"/>
          <w:szCs w:val="28"/>
        </w:rPr>
      </w:pPr>
      <w:r>
        <w:rPr>
          <w:rFonts w:hint="eastAsia"/>
          <w:sz w:val="24"/>
          <w:szCs w:val="28"/>
        </w:rPr>
        <w:t>1、我方比选响应文件中所有资料都是真实、准确、完整的；</w:t>
      </w:r>
    </w:p>
    <w:p w14:paraId="427D8291">
      <w:pPr>
        <w:spacing w:line="360" w:lineRule="auto"/>
        <w:rPr>
          <w:sz w:val="24"/>
          <w:szCs w:val="28"/>
        </w:rPr>
      </w:pPr>
      <w:r>
        <w:rPr>
          <w:rFonts w:hint="eastAsia"/>
          <w:sz w:val="24"/>
          <w:szCs w:val="28"/>
        </w:rPr>
        <w:t>2、我方不存在资质挂靠或参与串标、围标情形。所报项目相关人员未在其他项目任职。</w:t>
      </w:r>
    </w:p>
    <w:p w14:paraId="48DCE8F3">
      <w:pPr>
        <w:spacing w:line="360" w:lineRule="auto"/>
        <w:rPr>
          <w:rFonts w:hint="eastAsia"/>
          <w:sz w:val="24"/>
          <w:szCs w:val="28"/>
        </w:rPr>
      </w:pPr>
      <w:r>
        <w:rPr>
          <w:rFonts w:hint="eastAsia"/>
          <w:sz w:val="24"/>
          <w:szCs w:val="28"/>
        </w:rPr>
        <w:t>3、完全响应竞争性比选文件中的人员要求、机械设备要求、投标内容要求、报价要求、工期要求、质量标准、安全目标等要求；</w:t>
      </w:r>
    </w:p>
    <w:p w14:paraId="23B94C81">
      <w:pPr>
        <w:spacing w:line="360" w:lineRule="auto"/>
        <w:rPr>
          <w:sz w:val="24"/>
          <w:szCs w:val="28"/>
        </w:rPr>
      </w:pPr>
      <w:r>
        <w:rPr>
          <w:rFonts w:hint="eastAsia"/>
          <w:sz w:val="24"/>
          <w:szCs w:val="28"/>
        </w:rPr>
        <w:t>如我方违反上述承诺，隐瞒、提供虚假资料或不按竞争性比选文件要求组织实施，被贵方发现或被他人举报查实，无条件接受贵司的处罚，对造成的损失，任何法律和经济责任完全由我方承担。</w:t>
      </w:r>
    </w:p>
    <w:p w14:paraId="34A14300">
      <w:pPr>
        <w:spacing w:line="360" w:lineRule="auto"/>
        <w:rPr>
          <w:sz w:val="24"/>
          <w:szCs w:val="28"/>
        </w:rPr>
      </w:pPr>
    </w:p>
    <w:p w14:paraId="3B643D1E">
      <w:pPr>
        <w:spacing w:line="360" w:lineRule="auto"/>
        <w:rPr>
          <w:sz w:val="24"/>
          <w:szCs w:val="28"/>
        </w:rPr>
      </w:pPr>
    </w:p>
    <w:p w14:paraId="6B0FDDD6">
      <w:pPr>
        <w:spacing w:line="360" w:lineRule="auto"/>
        <w:rPr>
          <w:rFonts w:hint="eastAsia"/>
          <w:sz w:val="24"/>
          <w:szCs w:val="28"/>
        </w:rPr>
      </w:pPr>
      <w:r>
        <w:rPr>
          <w:rFonts w:hint="eastAsia"/>
          <w:sz w:val="24"/>
          <w:szCs w:val="28"/>
        </w:rPr>
        <w:t xml:space="preserve">                    报价人（单位名称）：</w:t>
      </w:r>
    </w:p>
    <w:p w14:paraId="068F3F53">
      <w:pPr>
        <w:spacing w:line="360" w:lineRule="auto"/>
        <w:rPr>
          <w:rFonts w:hint="eastAsia" w:ascii="宋体" w:hAnsi="宋体"/>
          <w:sz w:val="24"/>
          <w:szCs w:val="28"/>
        </w:rPr>
      </w:pPr>
      <w:r>
        <w:rPr>
          <w:rFonts w:hint="eastAsia"/>
          <w:sz w:val="24"/>
          <w:szCs w:val="28"/>
        </w:rPr>
        <w:t xml:space="preserve">        </w:t>
      </w:r>
      <w:r>
        <w:rPr>
          <w:rFonts w:ascii="宋体" w:hAnsi="宋体"/>
          <w:sz w:val="24"/>
          <w:szCs w:val="28"/>
        </w:rPr>
        <w:t>法定代表人</w:t>
      </w:r>
      <w:r>
        <w:rPr>
          <w:rFonts w:hint="eastAsia" w:ascii="宋体" w:hAnsi="宋体"/>
          <w:sz w:val="24"/>
          <w:szCs w:val="28"/>
        </w:rPr>
        <w:t>（或</w:t>
      </w:r>
      <w:r>
        <w:rPr>
          <w:rFonts w:ascii="宋体" w:hAnsi="宋体"/>
          <w:sz w:val="24"/>
          <w:szCs w:val="28"/>
        </w:rPr>
        <w:t>委托代理人</w:t>
      </w:r>
      <w:r>
        <w:rPr>
          <w:rFonts w:hint="eastAsia" w:ascii="宋体" w:hAnsi="宋体"/>
          <w:sz w:val="24"/>
          <w:szCs w:val="28"/>
        </w:rPr>
        <w:t>）</w:t>
      </w:r>
      <w:r>
        <w:rPr>
          <w:rFonts w:ascii="宋体" w:hAnsi="宋体"/>
          <w:sz w:val="24"/>
          <w:szCs w:val="28"/>
        </w:rPr>
        <w:t>签字</w:t>
      </w:r>
      <w:r>
        <w:rPr>
          <w:rFonts w:hint="eastAsia" w:ascii="宋体" w:hAnsi="宋体"/>
          <w:sz w:val="24"/>
          <w:szCs w:val="28"/>
        </w:rPr>
        <w:t>：</w:t>
      </w:r>
    </w:p>
    <w:p w14:paraId="654F0371">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kern w:val="0"/>
          <w:szCs w:val="21"/>
        </w:rPr>
      </w:pPr>
      <w:r>
        <w:rPr>
          <w:rFonts w:hint="eastAsia" w:ascii="宋体" w:hAnsi="宋体"/>
          <w:sz w:val="24"/>
          <w:szCs w:val="28"/>
        </w:rPr>
        <w:t xml:space="preserve">     日期：</w:t>
      </w:r>
    </w:p>
    <w:p w14:paraId="2688A314">
      <w:pPr>
        <w:pStyle w:val="5"/>
        <w:jc w:val="center"/>
        <w:rPr>
          <w:rFonts w:hint="eastAsia" w:ascii="宋体" w:hAnsi="宋体" w:cs="宋体"/>
          <w:sz w:val="28"/>
        </w:rPr>
      </w:pPr>
    </w:p>
    <w:p w14:paraId="0AF7D18D">
      <w:pPr>
        <w:pStyle w:val="5"/>
        <w:jc w:val="center"/>
        <w:rPr>
          <w:rFonts w:ascii="宋体" w:hAnsi="宋体" w:cs="宋体"/>
          <w:sz w:val="28"/>
        </w:rPr>
      </w:pPr>
      <w:r>
        <w:rPr>
          <w:rFonts w:hint="eastAsia" w:ascii="宋体" w:hAnsi="宋体" w:cs="宋体"/>
          <w:sz w:val="28"/>
        </w:rPr>
        <w:t>（</w:t>
      </w:r>
      <w:r>
        <w:rPr>
          <w:rFonts w:hint="eastAsia" w:ascii="宋体" w:hAnsi="宋体" w:cs="宋体"/>
          <w:sz w:val="28"/>
          <w:lang w:val="en-US" w:eastAsia="zh-CN"/>
        </w:rPr>
        <w:t>二</w:t>
      </w:r>
      <w:r>
        <w:rPr>
          <w:rFonts w:hint="eastAsia" w:ascii="宋体" w:hAnsi="宋体" w:cs="宋体"/>
          <w:sz w:val="28"/>
        </w:rPr>
        <w:t>）</w:t>
      </w:r>
      <w:bookmarkEnd w:id="346"/>
      <w:bookmarkStart w:id="349" w:name="_Toc504639215"/>
      <w:bookmarkStart w:id="350" w:name="_Toc507681700"/>
      <w:bookmarkStart w:id="351" w:name="_Toc507681488"/>
      <w:r>
        <w:rPr>
          <w:rFonts w:hint="eastAsia" w:ascii="宋体" w:hAnsi="宋体" w:cs="宋体"/>
          <w:sz w:val="28"/>
        </w:rPr>
        <w:t>报价人自行承诺部分</w:t>
      </w:r>
      <w:bookmarkEnd w:id="349"/>
      <w:bookmarkEnd w:id="350"/>
      <w:bookmarkEnd w:id="351"/>
    </w:p>
    <w:p w14:paraId="6D0C9095">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14:paraId="634EF449">
      <w:pPr>
        <w:pStyle w:val="5"/>
        <w:jc w:val="center"/>
        <w:rPr>
          <w:rFonts w:ascii="宋体" w:hAnsi="宋体" w:cs="宋体"/>
          <w:sz w:val="28"/>
        </w:rPr>
      </w:pPr>
    </w:p>
    <w:p w14:paraId="143DF1C2">
      <w:pPr>
        <w:pStyle w:val="5"/>
        <w:jc w:val="center"/>
        <w:rPr>
          <w:rFonts w:ascii="宋体" w:hAnsi="宋体" w:cs="宋体"/>
          <w:sz w:val="28"/>
        </w:rPr>
      </w:pPr>
    </w:p>
    <w:p w14:paraId="310105DB">
      <w:pPr>
        <w:pStyle w:val="4"/>
        <w:spacing w:before="0" w:after="0" w:line="360" w:lineRule="auto"/>
        <w:jc w:val="center"/>
        <w:rPr>
          <w:rFonts w:ascii="宋体" w:hAnsi="宋体" w:eastAsia="宋体" w:cs="宋体"/>
          <w:sz w:val="28"/>
        </w:rPr>
      </w:pPr>
      <w:r>
        <w:rPr>
          <w:rFonts w:hint="eastAsia" w:ascii="宋体" w:hAnsi="宋体" w:cs="宋体"/>
          <w:sz w:val="28"/>
        </w:rPr>
        <w:br w:type="page"/>
      </w:r>
      <w:bookmarkStart w:id="352" w:name="_Toc31248"/>
      <w:bookmarkStart w:id="353" w:name="_Toc1178"/>
      <w:r>
        <w:rPr>
          <w:rFonts w:hint="eastAsia" w:ascii="宋体" w:hAnsi="宋体" w:eastAsia="宋体" w:cs="宋体"/>
          <w:sz w:val="28"/>
        </w:rPr>
        <w:t>六、报价人基本信息及其他材料</w:t>
      </w:r>
      <w:bookmarkEnd w:id="352"/>
      <w:bookmarkEnd w:id="353"/>
    </w:p>
    <w:p w14:paraId="6126F71C">
      <w:pPr>
        <w:pStyle w:val="5"/>
        <w:spacing w:before="0" w:after="0" w:line="360" w:lineRule="auto"/>
        <w:jc w:val="center"/>
        <w:rPr>
          <w:sz w:val="28"/>
          <w:szCs w:val="28"/>
        </w:rPr>
      </w:pPr>
      <w:bookmarkStart w:id="354" w:name="_Toc452107137"/>
      <w:bookmarkStart w:id="355" w:name="_Toc4375"/>
      <w:bookmarkStart w:id="356" w:name="_Toc508110857"/>
      <w:r>
        <w:rPr>
          <w:rFonts w:hint="eastAsia"/>
          <w:sz w:val="28"/>
          <w:szCs w:val="28"/>
        </w:rPr>
        <w:t>（一）报价人基本信息表</w:t>
      </w:r>
      <w:bookmarkEnd w:id="354"/>
      <w:bookmarkEnd w:id="355"/>
      <w:bookmarkEnd w:id="356"/>
    </w:p>
    <w:p w14:paraId="4B25461D">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3A7C9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33D4EE78">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1D4F926">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14:paraId="6D315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3B53622E">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报价人</w:t>
            </w:r>
          </w:p>
          <w:p w14:paraId="30DAC310">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757CAC08">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14:paraId="3B892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123F532A">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5BC0E706">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65A287BE">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21C9E3B">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14:paraId="1D4D0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73C964FC">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5561953D">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CB3C600">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65483BAF">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A7A8970">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14:paraId="5917C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494251BA">
            <w:pPr>
              <w:keepNext w:val="0"/>
              <w:keepLines w:val="0"/>
              <w:widowControl/>
              <w:suppressLineNumbers w:val="0"/>
              <w:spacing w:before="0" w:beforeAutospacing="0" w:after="0" w:afterAutospacing="0"/>
              <w:ind w:left="0" w:right="0"/>
              <w:jc w:val="left"/>
              <w:rPr>
                <w:rFonts w:hint="default"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6C7631D7">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E078922">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D908EA9">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76A2A32">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14:paraId="36FA7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3B6ADBFF">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2675AB0A">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14:paraId="23205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01D4D47F">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0BDEBB06">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54F46854">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5563E664">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0C604D06">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56517961">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11D3786E">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14:paraId="6101B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2DA374AA">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14:paraId="0A3E9C66">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2A129C25">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697CD38D">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0207F93C">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2E4AF32">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1951E0A4">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14:paraId="04A8A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6D492D98">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6F6E1F6">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785FCB50">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rPr>
            </w:pPr>
            <w:r>
              <w:rPr>
                <w:rFonts w:hint="eastAsia" w:ascii="宋体" w:hAnsi="宋体" w:cs="宋体"/>
                <w:color w:val="000000"/>
                <w:szCs w:val="21"/>
              </w:rPr>
              <w:t>员工总人数：</w:t>
            </w:r>
          </w:p>
        </w:tc>
      </w:tr>
      <w:tr w14:paraId="79BCF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72450B09">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AA4E9A8">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78124EF5">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8FB1CB5">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F76D9AB">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14:paraId="4BE88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32AD6E11">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FD160F3">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330E734">
            <w:pPr>
              <w:keepNext w:val="0"/>
              <w:keepLines w:val="0"/>
              <w:widowControl/>
              <w:suppressLineNumbers w:val="0"/>
              <w:spacing w:before="0" w:beforeAutospacing="0" w:after="0" w:afterAutospacing="0"/>
              <w:ind w:left="0" w:right="0"/>
              <w:jc w:val="left"/>
              <w:rPr>
                <w:rFonts w:hint="default"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10DBD8B">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A86DFC2">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14:paraId="17786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3A929856">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30557B3B">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D06E75B">
            <w:pPr>
              <w:keepNext w:val="0"/>
              <w:keepLines w:val="0"/>
              <w:widowControl/>
              <w:suppressLineNumbers w:val="0"/>
              <w:spacing w:before="0" w:beforeAutospacing="0" w:after="0" w:afterAutospacing="0"/>
              <w:ind w:left="0" w:right="0"/>
              <w:jc w:val="left"/>
              <w:rPr>
                <w:rFonts w:hint="default"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31BD05BB">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25E0469">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14:paraId="0E69C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7B9D5EC5">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F8E300A">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4019BB95">
            <w:pPr>
              <w:keepNext w:val="0"/>
              <w:keepLines w:val="0"/>
              <w:widowControl/>
              <w:suppressLineNumbers w:val="0"/>
              <w:spacing w:before="0" w:beforeAutospacing="0" w:after="0" w:afterAutospacing="0"/>
              <w:ind w:left="0" w:right="0"/>
              <w:jc w:val="left"/>
              <w:rPr>
                <w:rFonts w:hint="default"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72B345E">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29B549A">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14:paraId="72D98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3715FC11">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9211351">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6EA159BA">
            <w:pPr>
              <w:keepNext w:val="0"/>
              <w:keepLines w:val="0"/>
              <w:widowControl/>
              <w:suppressLineNumbers w:val="0"/>
              <w:spacing w:before="0" w:beforeAutospacing="0" w:after="0" w:afterAutospacing="0"/>
              <w:ind w:left="0" w:right="0"/>
              <w:jc w:val="left"/>
              <w:rPr>
                <w:rFonts w:hint="default"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C1C18DE">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E985272">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14:paraId="14C85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6C01EF95">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14:paraId="7E8ABF67">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rPr>
            </w:pPr>
            <w:r>
              <w:rPr>
                <w:rFonts w:hint="eastAsia" w:ascii="宋体" w:hAnsi="宋体" w:cs="宋体"/>
                <w:color w:val="000000"/>
                <w:szCs w:val="21"/>
              </w:rPr>
              <w:t> </w:t>
            </w:r>
          </w:p>
        </w:tc>
      </w:tr>
      <w:tr w14:paraId="403EB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55342A48">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37FFBAB4">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bl>
    <w:p w14:paraId="45BC75CD">
      <w:pPr>
        <w:pStyle w:val="5"/>
        <w:jc w:val="center"/>
        <w:rPr>
          <w:rFonts w:ascii="宋体" w:hAnsi="宋体" w:cs="宋体"/>
          <w:sz w:val="28"/>
        </w:rPr>
      </w:pPr>
    </w:p>
    <w:p w14:paraId="656E6F8F">
      <w:pPr>
        <w:spacing w:line="240" w:lineRule="auto"/>
        <w:jc w:val="left"/>
        <w:outlineLvl w:val="9"/>
        <w:rPr>
          <w:rFonts w:hint="eastAsia" w:ascii="宋体" w:hAnsi="宋体" w:cs="宋体"/>
          <w:b/>
          <w:bCs/>
          <w:kern w:val="0"/>
          <w:sz w:val="28"/>
          <w:szCs w:val="32"/>
        </w:rPr>
      </w:pPr>
      <w:r>
        <w:rPr>
          <w:rFonts w:hint="eastAsia" w:ascii="宋体" w:hAnsi="宋体" w:cs="宋体"/>
          <w:b/>
          <w:bCs/>
          <w:kern w:val="0"/>
          <w:sz w:val="28"/>
          <w:szCs w:val="32"/>
        </w:rPr>
        <w:br w:type="page"/>
      </w:r>
    </w:p>
    <w:p w14:paraId="62585BDE">
      <w:pPr>
        <w:spacing w:line="360" w:lineRule="auto"/>
        <w:jc w:val="center"/>
        <w:outlineLvl w:val="1"/>
        <w:rPr>
          <w:rFonts w:ascii="宋体" w:hAnsi="宋体" w:cs="宋体"/>
          <w:b/>
          <w:bCs/>
          <w:color w:val="000000" w:themeColor="text1"/>
          <w:sz w:val="24"/>
          <w:szCs w:val="28"/>
          <w14:textFill>
            <w14:solidFill>
              <w14:schemeClr w14:val="tx1"/>
            </w14:solidFill>
          </w14:textFill>
        </w:rPr>
      </w:pPr>
      <w:r>
        <w:rPr>
          <w:rFonts w:hint="eastAsia" w:ascii="宋体" w:hAnsi="宋体" w:cs="宋体"/>
          <w:b/>
          <w:bCs/>
          <w:kern w:val="0"/>
          <w:sz w:val="28"/>
          <w:szCs w:val="32"/>
        </w:rPr>
        <w:t>（</w:t>
      </w:r>
      <w:r>
        <w:rPr>
          <w:rFonts w:hint="eastAsia" w:ascii="宋体" w:hAnsi="宋体" w:cs="宋体"/>
          <w:b/>
          <w:bCs/>
          <w:kern w:val="0"/>
          <w:sz w:val="28"/>
          <w:szCs w:val="32"/>
          <w:lang w:val="en-US" w:eastAsia="zh-CN"/>
        </w:rPr>
        <w:t>三</w:t>
      </w:r>
      <w:r>
        <w:rPr>
          <w:rFonts w:hint="eastAsia" w:ascii="宋体" w:hAnsi="宋体" w:cs="宋体"/>
          <w:b/>
          <w:bCs/>
          <w:kern w:val="0"/>
          <w:sz w:val="28"/>
          <w:szCs w:val="32"/>
        </w:rPr>
        <w:t>）商务评分资料</w:t>
      </w:r>
    </w:p>
    <w:p w14:paraId="5444E0B5"/>
    <w:p w14:paraId="4BAF6A92">
      <w:pPr>
        <w:rPr>
          <w:rFonts w:hint="eastAsia" w:ascii="宋体" w:hAnsi="宋体" w:cs="宋体"/>
          <w:sz w:val="28"/>
          <w:highlight w:val="none"/>
        </w:rPr>
      </w:pPr>
    </w:p>
    <w:p w14:paraId="67674E02">
      <w:pPr>
        <w:pStyle w:val="2"/>
        <w:rPr>
          <w:rFonts w:hint="eastAsia" w:ascii="宋体" w:hAnsi="宋体" w:cs="宋体"/>
          <w:sz w:val="28"/>
          <w:highlight w:val="none"/>
        </w:rPr>
      </w:pPr>
    </w:p>
    <w:p w14:paraId="28912023">
      <w:pPr>
        <w:rPr>
          <w:rFonts w:hint="eastAsia" w:ascii="宋体" w:hAnsi="宋体" w:cs="宋体"/>
          <w:sz w:val="28"/>
          <w:highlight w:val="none"/>
        </w:rPr>
      </w:pPr>
    </w:p>
    <w:p w14:paraId="7857E7B9">
      <w:pPr>
        <w:pStyle w:val="2"/>
        <w:rPr>
          <w:rFonts w:hint="eastAsia"/>
        </w:rPr>
      </w:pPr>
    </w:p>
    <w:p w14:paraId="486E7762">
      <w:pPr>
        <w:spacing w:line="360" w:lineRule="auto"/>
        <w:jc w:val="center"/>
        <w:outlineLvl w:val="1"/>
        <w:rPr>
          <w:rFonts w:hint="eastAsia" w:ascii="宋体" w:hAnsi="宋体" w:cs="宋体"/>
          <w:b/>
          <w:bCs/>
          <w:kern w:val="0"/>
          <w:sz w:val="28"/>
          <w:szCs w:val="32"/>
        </w:rPr>
      </w:pPr>
    </w:p>
    <w:p w14:paraId="249AE3A5">
      <w:pPr>
        <w:spacing w:line="360" w:lineRule="auto"/>
        <w:jc w:val="center"/>
        <w:outlineLvl w:val="1"/>
        <w:rPr>
          <w:rFonts w:ascii="宋体" w:hAnsi="宋体" w:cs="宋体"/>
          <w:b/>
          <w:bCs/>
          <w:kern w:val="0"/>
          <w:sz w:val="28"/>
          <w:szCs w:val="32"/>
        </w:rPr>
      </w:pPr>
      <w:bookmarkStart w:id="357" w:name="_Toc21892"/>
      <w:r>
        <w:rPr>
          <w:rFonts w:hint="eastAsia" w:ascii="宋体" w:hAnsi="宋体" w:cs="宋体"/>
          <w:b/>
          <w:bCs/>
          <w:kern w:val="0"/>
          <w:sz w:val="28"/>
          <w:szCs w:val="32"/>
        </w:rPr>
        <w:t>（</w:t>
      </w:r>
      <w:r>
        <w:rPr>
          <w:rFonts w:hint="eastAsia" w:ascii="宋体" w:hAnsi="宋体" w:cs="宋体"/>
          <w:b/>
          <w:bCs/>
          <w:kern w:val="0"/>
          <w:sz w:val="28"/>
          <w:szCs w:val="32"/>
          <w:lang w:val="en-US" w:eastAsia="zh-CN"/>
        </w:rPr>
        <w:t>四</w:t>
      </w:r>
      <w:r>
        <w:rPr>
          <w:rFonts w:hint="eastAsia" w:ascii="宋体" w:hAnsi="宋体" w:cs="宋体"/>
          <w:b/>
          <w:bCs/>
          <w:kern w:val="0"/>
          <w:sz w:val="28"/>
          <w:szCs w:val="32"/>
        </w:rPr>
        <w:t>）技术方案</w:t>
      </w:r>
      <w:bookmarkEnd w:id="357"/>
    </w:p>
    <w:p w14:paraId="548497D6">
      <w:pPr>
        <w:pStyle w:val="4"/>
        <w:spacing w:before="0" w:after="0" w:line="360" w:lineRule="auto"/>
        <w:jc w:val="center"/>
        <w:rPr>
          <w:rFonts w:hint="eastAsia" w:ascii="宋体" w:hAnsi="宋体" w:eastAsia="宋体" w:cs="宋体"/>
          <w:sz w:val="28"/>
          <w:highlight w:val="none"/>
          <w:lang w:val="en-US" w:eastAsia="zh-CN"/>
        </w:rPr>
      </w:pPr>
    </w:p>
    <w:p w14:paraId="3C87C1C3">
      <w:pPr>
        <w:rPr>
          <w:rFonts w:hint="eastAsia"/>
          <w:highlight w:val="none"/>
        </w:rPr>
      </w:pPr>
    </w:p>
    <w:p w14:paraId="57EC227E">
      <w:pPr>
        <w:pStyle w:val="2"/>
        <w:rPr>
          <w:rFonts w:hint="eastAsia"/>
          <w:highlight w:val="none"/>
        </w:rPr>
      </w:pPr>
    </w:p>
    <w:p w14:paraId="78779FD8">
      <w:pPr>
        <w:rPr>
          <w:rFonts w:hint="eastAsia"/>
          <w:highlight w:val="none"/>
        </w:rPr>
      </w:pPr>
    </w:p>
    <w:p w14:paraId="477AC810">
      <w:pPr>
        <w:pStyle w:val="2"/>
        <w:rPr>
          <w:rFonts w:hint="eastAsia"/>
          <w:highlight w:val="none"/>
        </w:rPr>
      </w:pPr>
    </w:p>
    <w:p w14:paraId="3FF6C034">
      <w:pPr>
        <w:pStyle w:val="5"/>
        <w:jc w:val="center"/>
        <w:rPr>
          <w:rFonts w:ascii="宋体" w:hAnsi="宋体" w:cs="宋体"/>
          <w:sz w:val="28"/>
        </w:rPr>
      </w:pPr>
      <w:r>
        <w:rPr>
          <w:rFonts w:hint="eastAsia" w:ascii="宋体" w:hAnsi="宋体" w:cs="宋体"/>
          <w:sz w:val="28"/>
        </w:rPr>
        <w:t>（</w:t>
      </w:r>
      <w:r>
        <w:rPr>
          <w:rFonts w:hint="eastAsia" w:ascii="宋体" w:hAnsi="宋体" w:cs="宋体"/>
          <w:sz w:val="28"/>
          <w:lang w:val="en-US" w:eastAsia="zh-CN"/>
        </w:rPr>
        <w:t>五</w:t>
      </w:r>
      <w:r>
        <w:rPr>
          <w:rFonts w:hint="eastAsia" w:ascii="宋体" w:hAnsi="宋体" w:cs="宋体"/>
          <w:sz w:val="28"/>
        </w:rPr>
        <w:t>）其他材料</w:t>
      </w:r>
    </w:p>
    <w:p w14:paraId="28D4E6A5">
      <w:pPr>
        <w:rPr>
          <w:rFonts w:hint="eastAsia"/>
          <w:highlight w:val="none"/>
        </w:rPr>
      </w:pPr>
    </w:p>
    <w:p w14:paraId="09EC6384">
      <w:pPr>
        <w:pStyle w:val="2"/>
        <w:rPr>
          <w:rFonts w:hint="eastAsia"/>
          <w:highlight w:val="none"/>
        </w:rPr>
      </w:pPr>
    </w:p>
    <w:p w14:paraId="18CF5D36">
      <w:pPr>
        <w:pStyle w:val="2"/>
      </w:pPr>
    </w:p>
    <w:p w14:paraId="2D45A049"/>
    <w:p w14:paraId="3C36EE17">
      <w:pPr>
        <w:pStyle w:val="2"/>
      </w:pPr>
    </w:p>
    <w:p w14:paraId="67EC9B7E"/>
    <w:p w14:paraId="58D5910B">
      <w:pPr>
        <w:rPr>
          <w:rFonts w:hint="eastAsia" w:ascii="宋体" w:hAnsi="宋体" w:eastAsia="宋体" w:cs="宋体"/>
          <w:sz w:val="28"/>
        </w:rPr>
      </w:pPr>
      <w:bookmarkStart w:id="358" w:name="_Toc12795"/>
      <w:bookmarkStart w:id="359" w:name="_Toc85"/>
      <w:r>
        <w:rPr>
          <w:rFonts w:hint="eastAsia" w:ascii="宋体" w:hAnsi="宋体" w:eastAsia="宋体" w:cs="宋体"/>
          <w:sz w:val="28"/>
        </w:rPr>
        <w:br w:type="page"/>
      </w:r>
    </w:p>
    <w:p w14:paraId="55771A38">
      <w:pPr>
        <w:pStyle w:val="4"/>
        <w:spacing w:before="0" w:after="0" w:line="360" w:lineRule="auto"/>
        <w:jc w:val="center"/>
        <w:rPr>
          <w:rFonts w:ascii="宋体" w:hAnsi="宋体" w:eastAsia="宋体" w:cs="宋体"/>
          <w:sz w:val="28"/>
        </w:rPr>
      </w:pPr>
      <w:r>
        <w:rPr>
          <w:rFonts w:hint="eastAsia" w:ascii="宋体" w:hAnsi="宋体" w:eastAsia="宋体" w:cs="宋体"/>
          <w:sz w:val="28"/>
        </w:rPr>
        <w:t>七、现场安全负责人承诺书</w:t>
      </w:r>
      <w:bookmarkEnd w:id="358"/>
      <w:bookmarkEnd w:id="359"/>
    </w:p>
    <w:p w14:paraId="364EDF1C"/>
    <w:p w14:paraId="5F973C2A">
      <w:pPr>
        <w:tabs>
          <w:tab w:val="left" w:pos="900"/>
        </w:tabs>
        <w:spacing w:line="300" w:lineRule="auto"/>
        <w:rPr>
          <w:rFonts w:ascii="Arial" w:hAnsi="Arial" w:cs="Arial"/>
          <w:b/>
          <w:bCs/>
          <w:color w:val="000000"/>
          <w:sz w:val="24"/>
          <w:u w:val="single"/>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14:paraId="2A2C0485">
      <w:pPr>
        <w:spacing w:line="700" w:lineRule="atLeast"/>
        <w:ind w:firstLine="480" w:firstLineChars="200"/>
      </w:pPr>
      <w:r>
        <w:rPr>
          <w:rFonts w:hint="eastAsia" w:ascii="Arial" w:hAnsi="Arial" w:cs="Arial"/>
          <w:color w:val="000000"/>
          <w:sz w:val="24"/>
        </w:rPr>
        <w:t>根据贵方为</w:t>
      </w:r>
      <w:r>
        <w:rPr>
          <w:rFonts w:hint="eastAsia" w:ascii="Arial" w:hAnsi="Arial" w:cs="Arial"/>
          <w:color w:val="000000"/>
          <w:sz w:val="24"/>
          <w:u w:val="single"/>
          <w:lang w:eastAsia="zh-CN"/>
        </w:rPr>
        <w:t>巫溪至开州高速公路项目机电工程（开州段）高压外电接入施工专项分包</w:t>
      </w:r>
      <w:r>
        <w:rPr>
          <w:rFonts w:hint="eastAsia" w:ascii="Arial" w:hAnsi="Arial" w:cs="Arial"/>
          <w:color w:val="000000"/>
          <w:sz w:val="24"/>
        </w:rPr>
        <w:t>竞争比选项目及服务的竞争比选邀请，</w:t>
      </w:r>
      <w:r>
        <w:rPr>
          <w:rFonts w:hint="eastAsia" w:ascii="Arial" w:hAnsi="Arial" w:cs="Arial"/>
          <w:color w:val="000000"/>
          <w:sz w:val="24"/>
          <w:u w:val="single"/>
        </w:rPr>
        <w:t xml:space="preserve"> （姓名）</w:t>
      </w:r>
      <w:r>
        <w:rPr>
          <w:rFonts w:hint="eastAsia" w:ascii="Arial" w:hAnsi="Arial" w:cs="Arial"/>
          <w:color w:val="000000"/>
          <w:sz w:val="24"/>
        </w:rPr>
        <w:t>经正式任命为</w:t>
      </w:r>
      <w:r>
        <w:rPr>
          <w:rFonts w:hint="eastAsia" w:ascii="Arial" w:hAnsi="Arial" w:cs="Arial"/>
          <w:color w:val="000000"/>
          <w:sz w:val="24"/>
          <w:u w:val="single"/>
          <w:lang w:eastAsia="zh-CN"/>
        </w:rPr>
        <w:t>巫溪至开州高速公路项目机电工程（开州段）高压外电接入施工专项分包</w:t>
      </w:r>
      <w:r>
        <w:rPr>
          <w:rFonts w:hint="eastAsia" w:ascii="Arial" w:hAnsi="Arial" w:cs="Arial"/>
          <w:color w:val="000000"/>
          <w:sz w:val="24"/>
        </w:rPr>
        <w:t>竞争比选项目及服务现场安全负责人，严格遵守国家有关安全生产的法律法规及《首讯公司工程安全生产的违约处理细则》渝高速首讯文〔2019〕40 号等有关安全生产的规定，承诺施工期间在现场开展安全管理工作。</w:t>
      </w:r>
      <w:bookmarkStart w:id="360" w:name="_GoBack"/>
      <w:bookmarkEnd w:id="360"/>
    </w:p>
    <w:p w14:paraId="3437B770">
      <w:pPr>
        <w:tabs>
          <w:tab w:val="left" w:pos="540"/>
          <w:tab w:val="left" w:pos="900"/>
        </w:tabs>
        <w:spacing w:line="300" w:lineRule="auto"/>
        <w:rPr>
          <w:rFonts w:ascii="Arial" w:hAnsi="Arial" w:cs="Arial"/>
          <w:sz w:val="24"/>
        </w:rPr>
      </w:pPr>
      <w:r>
        <w:rPr>
          <w:rFonts w:hint="eastAsia" w:ascii="Arial" w:hAnsi="Arial" w:cs="Arial"/>
          <w:sz w:val="24"/>
        </w:rPr>
        <w:t xml:space="preserve">    </w:t>
      </w:r>
    </w:p>
    <w:p w14:paraId="7FFD9300">
      <w:pPr>
        <w:pStyle w:val="28"/>
        <w:rPr>
          <w:rFonts w:ascii="Arial" w:hAnsi="Arial" w:cs="Arial"/>
          <w:caps w:val="0"/>
          <w:color w:val="000000"/>
          <w:sz w:val="24"/>
          <w:szCs w:val="24"/>
        </w:rPr>
      </w:pPr>
    </w:p>
    <w:p w14:paraId="1E3DD487">
      <w:pPr>
        <w:rPr>
          <w:rFonts w:ascii="Arial" w:hAnsi="Arial" w:cs="Arial"/>
          <w:b/>
          <w:bCs/>
          <w:color w:val="000000"/>
          <w:sz w:val="24"/>
        </w:rPr>
      </w:pPr>
    </w:p>
    <w:p w14:paraId="17F32FB1">
      <w:pPr>
        <w:pStyle w:val="28"/>
        <w:rPr>
          <w:rFonts w:ascii="Arial" w:hAnsi="Arial" w:cs="Arial"/>
          <w:caps w:val="0"/>
          <w:color w:val="000000"/>
          <w:sz w:val="24"/>
          <w:szCs w:val="24"/>
        </w:rPr>
      </w:pPr>
    </w:p>
    <w:p w14:paraId="37EB02C1">
      <w:pPr>
        <w:rPr>
          <w:rFonts w:ascii="Arial" w:hAnsi="Arial" w:cs="Arial"/>
          <w:b/>
          <w:bCs/>
          <w:color w:val="000000"/>
          <w:sz w:val="24"/>
        </w:rPr>
      </w:pPr>
    </w:p>
    <w:p w14:paraId="3AC7E298">
      <w:pPr>
        <w:rPr>
          <w:rFonts w:ascii="Arial" w:hAnsi="Arial" w:cs="Arial"/>
          <w:b/>
          <w:bCs/>
          <w:color w:val="000000"/>
          <w:sz w:val="24"/>
        </w:rPr>
      </w:pPr>
    </w:p>
    <w:p w14:paraId="019F8852">
      <w:pPr>
        <w:pStyle w:val="28"/>
        <w:jc w:val="both"/>
        <w:rPr>
          <w:rFonts w:ascii="Arial" w:hAnsi="Arial" w:cs="Arial"/>
          <w:caps w:val="0"/>
          <w:color w:val="000000"/>
          <w:sz w:val="24"/>
          <w:szCs w:val="24"/>
          <w:u w:val="single"/>
        </w:rPr>
      </w:pPr>
      <w:r>
        <w:rPr>
          <w:rFonts w:ascii="Arial" w:hAnsi="Arial" w:cs="Arial"/>
          <w:caps w:val="0"/>
          <w:color w:val="000000"/>
          <w:sz w:val="24"/>
          <w:szCs w:val="24"/>
        </w:rPr>
        <w:t>竞争比选响应单位</w:t>
      </w:r>
      <w:r>
        <w:rPr>
          <w:rFonts w:hint="eastAsia" w:ascii="Arial" w:hAnsi="Arial" w:cs="Arial"/>
          <w:caps w:val="0"/>
          <w:color w:val="000000"/>
          <w:sz w:val="24"/>
          <w:szCs w:val="24"/>
        </w:rPr>
        <w:t>现场安全负责人</w:t>
      </w:r>
      <w:r>
        <w:rPr>
          <w:rFonts w:ascii="Arial" w:hAnsi="Arial" w:cs="Arial"/>
          <w:caps w:val="0"/>
          <w:color w:val="000000"/>
          <w:sz w:val="24"/>
          <w:szCs w:val="24"/>
        </w:rPr>
        <w:t>（签字）：</w:t>
      </w:r>
      <w:r>
        <w:rPr>
          <w:rFonts w:hint="eastAsia" w:ascii="Arial" w:hAnsi="Arial" w:cs="Arial"/>
          <w:caps w:val="0"/>
          <w:color w:val="000000"/>
          <w:sz w:val="24"/>
          <w:szCs w:val="24"/>
          <w:u w:val="single"/>
        </w:rPr>
        <w:t xml:space="preserve">               </w:t>
      </w:r>
    </w:p>
    <w:p w14:paraId="66017CB1">
      <w:pPr>
        <w:pStyle w:val="28"/>
        <w:jc w:val="both"/>
        <w:rPr>
          <w:rFonts w:ascii="Arial" w:hAnsi="Arial" w:cs="Arial"/>
          <w:caps w:val="0"/>
          <w:color w:val="000000"/>
          <w:sz w:val="24"/>
          <w:szCs w:val="24"/>
        </w:rPr>
      </w:pPr>
      <w:r>
        <w:rPr>
          <w:rFonts w:ascii="Arial" w:hAnsi="Arial" w:cs="Arial"/>
          <w:caps w:val="0"/>
          <w:color w:val="000000"/>
          <w:sz w:val="24"/>
          <w:szCs w:val="24"/>
        </w:rPr>
        <w:t>竞争比选响应单位名称（加盖公章）：</w:t>
      </w:r>
    </w:p>
    <w:p w14:paraId="713C3D0D">
      <w:pPr>
        <w:pStyle w:val="28"/>
        <w:jc w:val="both"/>
        <w:rPr>
          <w:rFonts w:ascii="Arial" w:hAnsi="Arial" w:cs="Arial"/>
          <w:caps w:val="0"/>
          <w:color w:val="000000"/>
          <w:sz w:val="24"/>
          <w:szCs w:val="24"/>
        </w:rPr>
      </w:pPr>
      <w:r>
        <w:rPr>
          <w:rFonts w:ascii="Arial" w:hAnsi="Arial" w:cs="Arial"/>
          <w:caps w:val="0"/>
          <w:color w:val="000000"/>
          <w:sz w:val="24"/>
          <w:szCs w:val="24"/>
        </w:rPr>
        <w:t>日期：</w:t>
      </w:r>
      <w:r>
        <w:rPr>
          <w:rFonts w:ascii="Arial" w:hAnsi="Arial" w:cs="Arial"/>
          <w:caps w:val="0"/>
          <w:color w:val="000000"/>
          <w:sz w:val="24"/>
          <w:szCs w:val="24"/>
          <w:u w:val="single"/>
        </w:rPr>
        <w:t xml:space="preserve">     </w:t>
      </w:r>
      <w:r>
        <w:rPr>
          <w:rFonts w:ascii="Arial" w:hAnsi="Arial" w:cs="Arial"/>
          <w:caps w:val="0"/>
          <w:color w:val="000000"/>
          <w:sz w:val="24"/>
          <w:szCs w:val="24"/>
        </w:rPr>
        <w:t>年</w:t>
      </w:r>
      <w:r>
        <w:rPr>
          <w:rFonts w:ascii="Arial" w:hAnsi="Arial" w:cs="Arial"/>
          <w:caps w:val="0"/>
          <w:color w:val="000000"/>
          <w:sz w:val="24"/>
          <w:szCs w:val="24"/>
          <w:u w:val="single"/>
        </w:rPr>
        <w:t xml:space="preserve">      </w:t>
      </w:r>
      <w:r>
        <w:rPr>
          <w:rFonts w:ascii="Arial" w:hAnsi="Arial" w:cs="Arial"/>
          <w:caps w:val="0"/>
          <w:color w:val="000000"/>
          <w:sz w:val="24"/>
          <w:szCs w:val="24"/>
        </w:rPr>
        <w:t>月</w:t>
      </w:r>
      <w:r>
        <w:rPr>
          <w:rFonts w:ascii="Arial" w:hAnsi="Arial" w:cs="Arial"/>
          <w:caps w:val="0"/>
          <w:color w:val="000000"/>
          <w:sz w:val="24"/>
          <w:szCs w:val="24"/>
          <w:u w:val="single"/>
        </w:rPr>
        <w:t xml:space="preserve">      </w:t>
      </w:r>
      <w:r>
        <w:rPr>
          <w:rFonts w:ascii="Arial" w:hAnsi="Arial" w:cs="Arial"/>
          <w:caps w:val="0"/>
          <w:color w:val="000000"/>
          <w:sz w:val="24"/>
          <w:szCs w:val="24"/>
        </w:rPr>
        <w:t>日</w:t>
      </w:r>
    </w:p>
    <w:p w14:paraId="4CA7A3E9">
      <w:pPr>
        <w:pStyle w:val="28"/>
        <w:rPr>
          <w:rFonts w:ascii="Arial" w:hAnsi="Arial" w:cs="Arial"/>
          <w:caps w:val="0"/>
          <w:color w:val="000000"/>
          <w:sz w:val="24"/>
          <w:szCs w:val="24"/>
        </w:rPr>
      </w:pPr>
    </w:p>
    <w:p w14:paraId="4EB5C287">
      <w:pPr>
        <w:rPr>
          <w:rFonts w:ascii="Arial" w:hAnsi="Arial" w:cs="Arial"/>
          <w:b/>
          <w:bCs/>
          <w:color w:val="000000"/>
          <w:sz w:val="24"/>
        </w:rPr>
      </w:pPr>
    </w:p>
    <w:p w14:paraId="4880FEC3">
      <w:pPr>
        <w:pStyle w:val="28"/>
        <w:rPr>
          <w:rFonts w:ascii="Arial" w:hAnsi="Arial" w:cs="Arial"/>
          <w:caps w:val="0"/>
          <w:color w:val="000000"/>
          <w:sz w:val="24"/>
          <w:szCs w:val="24"/>
        </w:rPr>
      </w:pPr>
    </w:p>
    <w:p w14:paraId="78D11EF9">
      <w:pPr>
        <w:pStyle w:val="28"/>
        <w:rPr>
          <w:rFonts w:ascii="Arial" w:hAnsi="Arial" w:cs="Arial"/>
          <w:caps w:val="0"/>
          <w:color w:val="000000"/>
          <w:sz w:val="24"/>
          <w:szCs w:val="24"/>
        </w:rPr>
      </w:pPr>
    </w:p>
    <w:bookmarkEnd w:id="347"/>
    <w:bookmarkEnd w:id="348"/>
    <w:p w14:paraId="5E4E4F97">
      <w:pPr>
        <w:pStyle w:val="28"/>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035320DF-F2D7-46DC-87CA-4D95C51724A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CA2B290-1D23-4FF1-AB09-399E35FE74AD}"/>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D7BFA">
    <w:pPr>
      <w:pStyle w:val="26"/>
      <w:jc w:val="center"/>
    </w:pPr>
  </w:p>
  <w:p w14:paraId="6266D06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A93E">
    <w:pPr>
      <w:pStyle w:val="26"/>
      <w:framePr w:wrap="around" w:vAnchor="text" w:hAnchor="margin" w:xAlign="center" w:y="1"/>
      <w:rPr>
        <w:rStyle w:val="47"/>
      </w:rPr>
    </w:pPr>
    <w:r>
      <w:fldChar w:fldCharType="begin"/>
    </w:r>
    <w:r>
      <w:rPr>
        <w:rStyle w:val="47"/>
      </w:rPr>
      <w:instrText xml:space="preserve">PAGE  </w:instrText>
    </w:r>
    <w:r>
      <w:fldChar w:fldCharType="end"/>
    </w:r>
  </w:p>
  <w:p w14:paraId="6C7AAFD7">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036B2">
    <w:pPr>
      <w:pStyle w:val="26"/>
      <w:jc w:val="center"/>
    </w:pPr>
    <w:r>
      <w:fldChar w:fldCharType="begin"/>
    </w:r>
    <w:r>
      <w:instrText xml:space="preserve">PAGE   \* MERGEFORMAT</w:instrText>
    </w:r>
    <w:r>
      <w:fldChar w:fldCharType="separate"/>
    </w:r>
    <w:r>
      <w:rPr>
        <w:lang w:val="zh-CN"/>
      </w:rPr>
      <w:t>79</w:t>
    </w:r>
    <w:r>
      <w:fldChar w:fldCharType="end"/>
    </w:r>
  </w:p>
  <w:p w14:paraId="26D584DD">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1E4B">
    <w:pPr>
      <w:pStyle w:val="26"/>
      <w:jc w:val="center"/>
    </w:pPr>
    <w:r>
      <w:fldChar w:fldCharType="begin"/>
    </w:r>
    <w:r>
      <w:instrText xml:space="preserve">PAGE   \* MERGEFORMAT</w:instrText>
    </w:r>
    <w:r>
      <w:fldChar w:fldCharType="separate"/>
    </w:r>
    <w:r>
      <w:rPr>
        <w:lang w:val="zh-CN"/>
      </w:rPr>
      <w:t>35</w:t>
    </w:r>
    <w:r>
      <w:fldChar w:fldCharType="end"/>
    </w:r>
  </w:p>
  <w:p w14:paraId="2C96FD91">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B2EC8">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14:paraId="025116EF">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F79CE">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14:paraId="4FCA0606">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BEDC5">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557460">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33557460">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57F7">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A92D36">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8A92D36">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104A">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AE1FA"/>
    <w:multiLevelType w:val="singleLevel"/>
    <w:tmpl w:val="A75AE1FA"/>
    <w:lvl w:ilvl="0" w:tentative="0">
      <w:start w:val="1"/>
      <w:numFmt w:val="chineseCounting"/>
      <w:suff w:val="nothing"/>
      <w:lvlText w:val="（%1）"/>
      <w:lvlJc w:val="left"/>
      <w:pPr>
        <w:ind w:left="0" w:firstLine="420"/>
      </w:pPr>
      <w:rPr>
        <w:rFonts w:hint="eastAsia"/>
      </w:rPr>
    </w:lvl>
  </w:abstractNum>
  <w:abstractNum w:abstractNumId="1">
    <w:nsid w:val="C832C134"/>
    <w:multiLevelType w:val="singleLevel"/>
    <w:tmpl w:val="C832C134"/>
    <w:lvl w:ilvl="0" w:tentative="0">
      <w:start w:val="1"/>
      <w:numFmt w:val="decimal"/>
      <w:suff w:val="space"/>
      <w:lvlText w:val="%1."/>
      <w:lvlJc w:val="left"/>
    </w:lvl>
  </w:abstractNum>
  <w:abstractNum w:abstractNumId="2">
    <w:nsid w:val="E6810CC3"/>
    <w:multiLevelType w:val="singleLevel"/>
    <w:tmpl w:val="E6810CC3"/>
    <w:lvl w:ilvl="0" w:tentative="0">
      <w:start w:val="8"/>
      <w:numFmt w:val="chineseCounting"/>
      <w:suff w:val="space"/>
      <w:lvlText w:val="第%1章"/>
      <w:lvlJc w:val="left"/>
      <w:rPr>
        <w:rFonts w:hint="eastAsia"/>
      </w:rPr>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55E7E3B4"/>
    <w:multiLevelType w:val="singleLevel"/>
    <w:tmpl w:val="55E7E3B4"/>
    <w:lvl w:ilvl="0" w:tentative="0">
      <w:start w:val="3"/>
      <w:numFmt w:val="chineseCounting"/>
      <w:suff w:val="space"/>
      <w:lvlText w:val="第%1章"/>
      <w:lvlJc w:val="left"/>
      <w:rPr>
        <w:rFonts w:hint="eastAsia"/>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NotTrackMoves/>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4B3D"/>
    <w:rsid w:val="00035D65"/>
    <w:rsid w:val="00035FD9"/>
    <w:rsid w:val="00037178"/>
    <w:rsid w:val="000439F3"/>
    <w:rsid w:val="00046EC8"/>
    <w:rsid w:val="0005109B"/>
    <w:rsid w:val="00051746"/>
    <w:rsid w:val="00055B95"/>
    <w:rsid w:val="000563B8"/>
    <w:rsid w:val="000572DF"/>
    <w:rsid w:val="00057B74"/>
    <w:rsid w:val="0006199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4A56"/>
    <w:rsid w:val="00095B35"/>
    <w:rsid w:val="00095EDA"/>
    <w:rsid w:val="000975F2"/>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29F0"/>
    <w:rsid w:val="000C3C36"/>
    <w:rsid w:val="000C4170"/>
    <w:rsid w:val="000C42B0"/>
    <w:rsid w:val="000C4955"/>
    <w:rsid w:val="000C5DB1"/>
    <w:rsid w:val="000C6C80"/>
    <w:rsid w:val="000C6EF3"/>
    <w:rsid w:val="000D0FF5"/>
    <w:rsid w:val="000D6003"/>
    <w:rsid w:val="000E2A4B"/>
    <w:rsid w:val="000E313E"/>
    <w:rsid w:val="000E59C6"/>
    <w:rsid w:val="000E72BF"/>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C54"/>
    <w:rsid w:val="00180EFE"/>
    <w:rsid w:val="00183BEA"/>
    <w:rsid w:val="00184A5E"/>
    <w:rsid w:val="0018579A"/>
    <w:rsid w:val="0019148A"/>
    <w:rsid w:val="001A0539"/>
    <w:rsid w:val="001A09DE"/>
    <w:rsid w:val="001A5CDC"/>
    <w:rsid w:val="001A7336"/>
    <w:rsid w:val="001B00F7"/>
    <w:rsid w:val="001B37EE"/>
    <w:rsid w:val="001B455F"/>
    <w:rsid w:val="001B7789"/>
    <w:rsid w:val="001C0BBE"/>
    <w:rsid w:val="001C47B4"/>
    <w:rsid w:val="001C7A81"/>
    <w:rsid w:val="001D0E4A"/>
    <w:rsid w:val="001D4A30"/>
    <w:rsid w:val="001D5992"/>
    <w:rsid w:val="001D620B"/>
    <w:rsid w:val="001D6692"/>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678CE"/>
    <w:rsid w:val="00272FC8"/>
    <w:rsid w:val="00277351"/>
    <w:rsid w:val="00277BB5"/>
    <w:rsid w:val="002826F6"/>
    <w:rsid w:val="00286337"/>
    <w:rsid w:val="00287763"/>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3553"/>
    <w:rsid w:val="002E695F"/>
    <w:rsid w:val="002F308B"/>
    <w:rsid w:val="002F59DF"/>
    <w:rsid w:val="002F6545"/>
    <w:rsid w:val="002F68D9"/>
    <w:rsid w:val="002F737A"/>
    <w:rsid w:val="002F73BF"/>
    <w:rsid w:val="002F7968"/>
    <w:rsid w:val="00300BA8"/>
    <w:rsid w:val="0030183E"/>
    <w:rsid w:val="00305027"/>
    <w:rsid w:val="003111A2"/>
    <w:rsid w:val="0031451A"/>
    <w:rsid w:val="0031530B"/>
    <w:rsid w:val="00321B30"/>
    <w:rsid w:val="00321F4D"/>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48FC"/>
    <w:rsid w:val="00355399"/>
    <w:rsid w:val="003600B5"/>
    <w:rsid w:val="00361ABE"/>
    <w:rsid w:val="00362AD2"/>
    <w:rsid w:val="003638FE"/>
    <w:rsid w:val="003668C2"/>
    <w:rsid w:val="00367182"/>
    <w:rsid w:val="00375544"/>
    <w:rsid w:val="0037709D"/>
    <w:rsid w:val="00380543"/>
    <w:rsid w:val="00383AFE"/>
    <w:rsid w:val="00384108"/>
    <w:rsid w:val="00384E9A"/>
    <w:rsid w:val="003856B3"/>
    <w:rsid w:val="003858BE"/>
    <w:rsid w:val="003859B8"/>
    <w:rsid w:val="0039099F"/>
    <w:rsid w:val="00393CA8"/>
    <w:rsid w:val="00397134"/>
    <w:rsid w:val="003A063A"/>
    <w:rsid w:val="003A67CF"/>
    <w:rsid w:val="003B4B4D"/>
    <w:rsid w:val="003B5115"/>
    <w:rsid w:val="003B5AAE"/>
    <w:rsid w:val="003B696A"/>
    <w:rsid w:val="003B6C2E"/>
    <w:rsid w:val="003C18C8"/>
    <w:rsid w:val="003C28DD"/>
    <w:rsid w:val="003C4C34"/>
    <w:rsid w:val="003C7112"/>
    <w:rsid w:val="003C7632"/>
    <w:rsid w:val="003C7809"/>
    <w:rsid w:val="003D0BF2"/>
    <w:rsid w:val="003D4436"/>
    <w:rsid w:val="003D5153"/>
    <w:rsid w:val="003D5F84"/>
    <w:rsid w:val="003E0D5A"/>
    <w:rsid w:val="003E3829"/>
    <w:rsid w:val="003E38BD"/>
    <w:rsid w:val="003E68AB"/>
    <w:rsid w:val="003F098D"/>
    <w:rsid w:val="003F1C45"/>
    <w:rsid w:val="003F1F45"/>
    <w:rsid w:val="003F23CE"/>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0A3"/>
    <w:rsid w:val="00426621"/>
    <w:rsid w:val="00430D84"/>
    <w:rsid w:val="0043226B"/>
    <w:rsid w:val="0043326B"/>
    <w:rsid w:val="00434144"/>
    <w:rsid w:val="00435BC6"/>
    <w:rsid w:val="004409EE"/>
    <w:rsid w:val="00441624"/>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8562D"/>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9ED"/>
    <w:rsid w:val="004C4B65"/>
    <w:rsid w:val="004C5682"/>
    <w:rsid w:val="004C6795"/>
    <w:rsid w:val="004C71DC"/>
    <w:rsid w:val="004D1ADF"/>
    <w:rsid w:val="004D4A97"/>
    <w:rsid w:val="004D5467"/>
    <w:rsid w:val="004D6EA5"/>
    <w:rsid w:val="004D7ECE"/>
    <w:rsid w:val="004E6A77"/>
    <w:rsid w:val="004F05BD"/>
    <w:rsid w:val="004F5845"/>
    <w:rsid w:val="004F7236"/>
    <w:rsid w:val="005016AD"/>
    <w:rsid w:val="00501C58"/>
    <w:rsid w:val="00502E26"/>
    <w:rsid w:val="00504EDE"/>
    <w:rsid w:val="005118BF"/>
    <w:rsid w:val="005142E6"/>
    <w:rsid w:val="00514DF5"/>
    <w:rsid w:val="005207FF"/>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4674"/>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000"/>
    <w:rsid w:val="005D48DB"/>
    <w:rsid w:val="005E25FB"/>
    <w:rsid w:val="005E2F99"/>
    <w:rsid w:val="005E3EBE"/>
    <w:rsid w:val="005E3F38"/>
    <w:rsid w:val="005E782A"/>
    <w:rsid w:val="005F18AC"/>
    <w:rsid w:val="005F2C77"/>
    <w:rsid w:val="005F6B0B"/>
    <w:rsid w:val="00605878"/>
    <w:rsid w:val="0060679A"/>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661A6"/>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B6793"/>
    <w:rsid w:val="006C41F0"/>
    <w:rsid w:val="006C497C"/>
    <w:rsid w:val="006C75C9"/>
    <w:rsid w:val="006C7F0A"/>
    <w:rsid w:val="006D1032"/>
    <w:rsid w:val="006D48FF"/>
    <w:rsid w:val="006D4950"/>
    <w:rsid w:val="006E2BEB"/>
    <w:rsid w:val="006E2F3D"/>
    <w:rsid w:val="006E3F3F"/>
    <w:rsid w:val="006E44D5"/>
    <w:rsid w:val="006E4EA8"/>
    <w:rsid w:val="006F08B7"/>
    <w:rsid w:val="00702554"/>
    <w:rsid w:val="0070267A"/>
    <w:rsid w:val="00704E87"/>
    <w:rsid w:val="0070542B"/>
    <w:rsid w:val="00705864"/>
    <w:rsid w:val="0071015C"/>
    <w:rsid w:val="0071261D"/>
    <w:rsid w:val="0071777A"/>
    <w:rsid w:val="00722FD3"/>
    <w:rsid w:val="00724D14"/>
    <w:rsid w:val="007271C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3F44"/>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3E34"/>
    <w:rsid w:val="007B4196"/>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4285"/>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8E5583"/>
    <w:rsid w:val="00900693"/>
    <w:rsid w:val="009006A6"/>
    <w:rsid w:val="00903037"/>
    <w:rsid w:val="009046B3"/>
    <w:rsid w:val="00905B3A"/>
    <w:rsid w:val="00916B64"/>
    <w:rsid w:val="00920C99"/>
    <w:rsid w:val="00923EAA"/>
    <w:rsid w:val="00925EBF"/>
    <w:rsid w:val="00927097"/>
    <w:rsid w:val="009275AE"/>
    <w:rsid w:val="009279C7"/>
    <w:rsid w:val="00931886"/>
    <w:rsid w:val="009332B4"/>
    <w:rsid w:val="0093372E"/>
    <w:rsid w:val="00933E5E"/>
    <w:rsid w:val="0093599E"/>
    <w:rsid w:val="00940847"/>
    <w:rsid w:val="00940FA6"/>
    <w:rsid w:val="0094101C"/>
    <w:rsid w:val="009421B0"/>
    <w:rsid w:val="0094715F"/>
    <w:rsid w:val="009514A5"/>
    <w:rsid w:val="00951EA8"/>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6DB9"/>
    <w:rsid w:val="00A077AC"/>
    <w:rsid w:val="00A07D0B"/>
    <w:rsid w:val="00A123BA"/>
    <w:rsid w:val="00A14408"/>
    <w:rsid w:val="00A21CCE"/>
    <w:rsid w:val="00A2254A"/>
    <w:rsid w:val="00A23A4F"/>
    <w:rsid w:val="00A23CC4"/>
    <w:rsid w:val="00A2552A"/>
    <w:rsid w:val="00A260BF"/>
    <w:rsid w:val="00A268ED"/>
    <w:rsid w:val="00A26ACF"/>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7A1"/>
    <w:rsid w:val="00A70CA2"/>
    <w:rsid w:val="00A71A44"/>
    <w:rsid w:val="00A7363E"/>
    <w:rsid w:val="00A805C4"/>
    <w:rsid w:val="00A81C0E"/>
    <w:rsid w:val="00A826A4"/>
    <w:rsid w:val="00A828D4"/>
    <w:rsid w:val="00A83919"/>
    <w:rsid w:val="00A84585"/>
    <w:rsid w:val="00A84832"/>
    <w:rsid w:val="00A8542F"/>
    <w:rsid w:val="00A86D94"/>
    <w:rsid w:val="00A92E22"/>
    <w:rsid w:val="00A95AFB"/>
    <w:rsid w:val="00AA1ED7"/>
    <w:rsid w:val="00AA2125"/>
    <w:rsid w:val="00AA7B39"/>
    <w:rsid w:val="00AB1277"/>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1929"/>
    <w:rsid w:val="00AE3AEB"/>
    <w:rsid w:val="00AE7FF3"/>
    <w:rsid w:val="00AF1302"/>
    <w:rsid w:val="00AF5F1C"/>
    <w:rsid w:val="00AF6CF5"/>
    <w:rsid w:val="00B0490C"/>
    <w:rsid w:val="00B05534"/>
    <w:rsid w:val="00B05CAE"/>
    <w:rsid w:val="00B070E2"/>
    <w:rsid w:val="00B12019"/>
    <w:rsid w:val="00B122D8"/>
    <w:rsid w:val="00B13624"/>
    <w:rsid w:val="00B13908"/>
    <w:rsid w:val="00B13B89"/>
    <w:rsid w:val="00B151A8"/>
    <w:rsid w:val="00B20392"/>
    <w:rsid w:val="00B235BC"/>
    <w:rsid w:val="00B24221"/>
    <w:rsid w:val="00B2626C"/>
    <w:rsid w:val="00B307F7"/>
    <w:rsid w:val="00B32CAE"/>
    <w:rsid w:val="00B3421D"/>
    <w:rsid w:val="00B35641"/>
    <w:rsid w:val="00B36173"/>
    <w:rsid w:val="00B36D13"/>
    <w:rsid w:val="00B41020"/>
    <w:rsid w:val="00B42F9A"/>
    <w:rsid w:val="00B43741"/>
    <w:rsid w:val="00B459DA"/>
    <w:rsid w:val="00B4647E"/>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29C"/>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890"/>
    <w:rsid w:val="00C078A2"/>
    <w:rsid w:val="00C07B2A"/>
    <w:rsid w:val="00C11F6E"/>
    <w:rsid w:val="00C13F63"/>
    <w:rsid w:val="00C15831"/>
    <w:rsid w:val="00C168B7"/>
    <w:rsid w:val="00C1727A"/>
    <w:rsid w:val="00C21595"/>
    <w:rsid w:val="00C221A7"/>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12D"/>
    <w:rsid w:val="00C66A53"/>
    <w:rsid w:val="00C66FB7"/>
    <w:rsid w:val="00C76490"/>
    <w:rsid w:val="00C8220D"/>
    <w:rsid w:val="00C848C9"/>
    <w:rsid w:val="00C8655B"/>
    <w:rsid w:val="00C91CDE"/>
    <w:rsid w:val="00C91F22"/>
    <w:rsid w:val="00C92C81"/>
    <w:rsid w:val="00C943E9"/>
    <w:rsid w:val="00CA01B6"/>
    <w:rsid w:val="00CA2781"/>
    <w:rsid w:val="00CA398D"/>
    <w:rsid w:val="00CA45CB"/>
    <w:rsid w:val="00CA6051"/>
    <w:rsid w:val="00CA6808"/>
    <w:rsid w:val="00CA7567"/>
    <w:rsid w:val="00CB4015"/>
    <w:rsid w:val="00CB452C"/>
    <w:rsid w:val="00CB4A3D"/>
    <w:rsid w:val="00CB5C0F"/>
    <w:rsid w:val="00CB7FDA"/>
    <w:rsid w:val="00CC0EAF"/>
    <w:rsid w:val="00CC505F"/>
    <w:rsid w:val="00CC5715"/>
    <w:rsid w:val="00CD1726"/>
    <w:rsid w:val="00CD225D"/>
    <w:rsid w:val="00CD4175"/>
    <w:rsid w:val="00CD6C71"/>
    <w:rsid w:val="00CD78E5"/>
    <w:rsid w:val="00CE076F"/>
    <w:rsid w:val="00CE0E41"/>
    <w:rsid w:val="00CE2D7F"/>
    <w:rsid w:val="00CE32CD"/>
    <w:rsid w:val="00CE44DD"/>
    <w:rsid w:val="00CE658B"/>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699D"/>
    <w:rsid w:val="00D37D3B"/>
    <w:rsid w:val="00D609BA"/>
    <w:rsid w:val="00D61413"/>
    <w:rsid w:val="00D62541"/>
    <w:rsid w:val="00D64F3A"/>
    <w:rsid w:val="00D66247"/>
    <w:rsid w:val="00D66886"/>
    <w:rsid w:val="00D66F49"/>
    <w:rsid w:val="00D7284C"/>
    <w:rsid w:val="00D7403D"/>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083D"/>
    <w:rsid w:val="00DD1747"/>
    <w:rsid w:val="00DD2133"/>
    <w:rsid w:val="00DD38F6"/>
    <w:rsid w:val="00DD4988"/>
    <w:rsid w:val="00DD4A11"/>
    <w:rsid w:val="00DD4FB9"/>
    <w:rsid w:val="00DD737B"/>
    <w:rsid w:val="00DE1033"/>
    <w:rsid w:val="00DE251C"/>
    <w:rsid w:val="00DE288F"/>
    <w:rsid w:val="00DE2BFF"/>
    <w:rsid w:val="00DE3226"/>
    <w:rsid w:val="00DE58F9"/>
    <w:rsid w:val="00DE680C"/>
    <w:rsid w:val="00DE7971"/>
    <w:rsid w:val="00DF1985"/>
    <w:rsid w:val="00DF5B31"/>
    <w:rsid w:val="00E02114"/>
    <w:rsid w:val="00E03783"/>
    <w:rsid w:val="00E03A6B"/>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6BEE"/>
    <w:rsid w:val="00E57CE7"/>
    <w:rsid w:val="00E64D73"/>
    <w:rsid w:val="00E65B2B"/>
    <w:rsid w:val="00E703AC"/>
    <w:rsid w:val="00E84AD3"/>
    <w:rsid w:val="00E8555A"/>
    <w:rsid w:val="00E907D3"/>
    <w:rsid w:val="00E9117E"/>
    <w:rsid w:val="00E91C2B"/>
    <w:rsid w:val="00E9267B"/>
    <w:rsid w:val="00E9477F"/>
    <w:rsid w:val="00EA092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17D0"/>
    <w:rsid w:val="00F620DD"/>
    <w:rsid w:val="00F6265D"/>
    <w:rsid w:val="00F646A2"/>
    <w:rsid w:val="00F65BF5"/>
    <w:rsid w:val="00F70302"/>
    <w:rsid w:val="00F72A20"/>
    <w:rsid w:val="00F72AAD"/>
    <w:rsid w:val="00F72FBB"/>
    <w:rsid w:val="00F73BC2"/>
    <w:rsid w:val="00F73F3B"/>
    <w:rsid w:val="00F74775"/>
    <w:rsid w:val="00F75143"/>
    <w:rsid w:val="00F807D7"/>
    <w:rsid w:val="00F8189C"/>
    <w:rsid w:val="00F8218B"/>
    <w:rsid w:val="00F8241E"/>
    <w:rsid w:val="00F83C2D"/>
    <w:rsid w:val="00F848FF"/>
    <w:rsid w:val="00F8662C"/>
    <w:rsid w:val="00F90AD7"/>
    <w:rsid w:val="00F92857"/>
    <w:rsid w:val="00F941F8"/>
    <w:rsid w:val="00F97718"/>
    <w:rsid w:val="00F97C4A"/>
    <w:rsid w:val="00FA1207"/>
    <w:rsid w:val="00FA6D96"/>
    <w:rsid w:val="00FA7E59"/>
    <w:rsid w:val="00FB0BF6"/>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08714A"/>
    <w:rsid w:val="01110D91"/>
    <w:rsid w:val="01232ED2"/>
    <w:rsid w:val="01314566"/>
    <w:rsid w:val="015D18DC"/>
    <w:rsid w:val="01695955"/>
    <w:rsid w:val="0184380B"/>
    <w:rsid w:val="01852BD3"/>
    <w:rsid w:val="018A6C3C"/>
    <w:rsid w:val="01912179"/>
    <w:rsid w:val="01A8609A"/>
    <w:rsid w:val="01A93FA3"/>
    <w:rsid w:val="01CA6EA2"/>
    <w:rsid w:val="01E05F01"/>
    <w:rsid w:val="020C0D2B"/>
    <w:rsid w:val="02195A53"/>
    <w:rsid w:val="022831DB"/>
    <w:rsid w:val="02375428"/>
    <w:rsid w:val="02427F54"/>
    <w:rsid w:val="0258785C"/>
    <w:rsid w:val="02732249"/>
    <w:rsid w:val="029D41FE"/>
    <w:rsid w:val="02A800C5"/>
    <w:rsid w:val="02B53517"/>
    <w:rsid w:val="02BC659C"/>
    <w:rsid w:val="02C6499B"/>
    <w:rsid w:val="02C91CAA"/>
    <w:rsid w:val="02D0709E"/>
    <w:rsid w:val="02FA438B"/>
    <w:rsid w:val="031117DA"/>
    <w:rsid w:val="03162A63"/>
    <w:rsid w:val="037D0CD2"/>
    <w:rsid w:val="038B3366"/>
    <w:rsid w:val="03981B5E"/>
    <w:rsid w:val="03996EAD"/>
    <w:rsid w:val="03F35447"/>
    <w:rsid w:val="03F60BFA"/>
    <w:rsid w:val="04023CC8"/>
    <w:rsid w:val="04144049"/>
    <w:rsid w:val="042674F4"/>
    <w:rsid w:val="042A6EF2"/>
    <w:rsid w:val="042D3C13"/>
    <w:rsid w:val="04566DE4"/>
    <w:rsid w:val="04722D72"/>
    <w:rsid w:val="047A0BBC"/>
    <w:rsid w:val="04933E65"/>
    <w:rsid w:val="04BF52ED"/>
    <w:rsid w:val="04C12ED8"/>
    <w:rsid w:val="04DC5749"/>
    <w:rsid w:val="04E26FED"/>
    <w:rsid w:val="04E41F94"/>
    <w:rsid w:val="04FD6633"/>
    <w:rsid w:val="05070DB7"/>
    <w:rsid w:val="050F1997"/>
    <w:rsid w:val="0515595C"/>
    <w:rsid w:val="052E2B3B"/>
    <w:rsid w:val="054416D2"/>
    <w:rsid w:val="05507F0F"/>
    <w:rsid w:val="055A4D20"/>
    <w:rsid w:val="056F275C"/>
    <w:rsid w:val="05753C79"/>
    <w:rsid w:val="058324D6"/>
    <w:rsid w:val="05871A0A"/>
    <w:rsid w:val="05A42E7B"/>
    <w:rsid w:val="05A70EA9"/>
    <w:rsid w:val="05D55D36"/>
    <w:rsid w:val="060C2525"/>
    <w:rsid w:val="062756FD"/>
    <w:rsid w:val="06465A4B"/>
    <w:rsid w:val="065F7A31"/>
    <w:rsid w:val="067C53E7"/>
    <w:rsid w:val="06820F5E"/>
    <w:rsid w:val="06A7180A"/>
    <w:rsid w:val="06AE2ABA"/>
    <w:rsid w:val="06BA1001"/>
    <w:rsid w:val="06BF6017"/>
    <w:rsid w:val="06C75DF5"/>
    <w:rsid w:val="06DD02BB"/>
    <w:rsid w:val="06E71F51"/>
    <w:rsid w:val="06F3282F"/>
    <w:rsid w:val="06F965AD"/>
    <w:rsid w:val="07035F04"/>
    <w:rsid w:val="07050666"/>
    <w:rsid w:val="071A6392"/>
    <w:rsid w:val="071B13D3"/>
    <w:rsid w:val="071C4DB7"/>
    <w:rsid w:val="07362674"/>
    <w:rsid w:val="073B54B2"/>
    <w:rsid w:val="07410810"/>
    <w:rsid w:val="07537EF9"/>
    <w:rsid w:val="0760673E"/>
    <w:rsid w:val="077E1A2E"/>
    <w:rsid w:val="07815EE7"/>
    <w:rsid w:val="0784155A"/>
    <w:rsid w:val="079A613C"/>
    <w:rsid w:val="07A50D69"/>
    <w:rsid w:val="07C74D49"/>
    <w:rsid w:val="07E6454D"/>
    <w:rsid w:val="081748AE"/>
    <w:rsid w:val="08635851"/>
    <w:rsid w:val="08805332"/>
    <w:rsid w:val="08891E69"/>
    <w:rsid w:val="08A30341"/>
    <w:rsid w:val="08B128CB"/>
    <w:rsid w:val="08C2359B"/>
    <w:rsid w:val="08ED052C"/>
    <w:rsid w:val="09041814"/>
    <w:rsid w:val="090C4E18"/>
    <w:rsid w:val="0926237D"/>
    <w:rsid w:val="092D7BDC"/>
    <w:rsid w:val="09332D2B"/>
    <w:rsid w:val="093E2D64"/>
    <w:rsid w:val="09414AC1"/>
    <w:rsid w:val="09455F12"/>
    <w:rsid w:val="09472203"/>
    <w:rsid w:val="0971070F"/>
    <w:rsid w:val="098B1DA7"/>
    <w:rsid w:val="09907951"/>
    <w:rsid w:val="0992531D"/>
    <w:rsid w:val="099F43E4"/>
    <w:rsid w:val="09A31A61"/>
    <w:rsid w:val="09BA7A85"/>
    <w:rsid w:val="09D92F4C"/>
    <w:rsid w:val="09DE1094"/>
    <w:rsid w:val="09E2475B"/>
    <w:rsid w:val="0A183EA3"/>
    <w:rsid w:val="0A2006DF"/>
    <w:rsid w:val="0A207013"/>
    <w:rsid w:val="0A3F34B7"/>
    <w:rsid w:val="0A4B11BE"/>
    <w:rsid w:val="0A7B4003"/>
    <w:rsid w:val="0A7D7D7B"/>
    <w:rsid w:val="0A8E5B8D"/>
    <w:rsid w:val="0A931C81"/>
    <w:rsid w:val="0AA240FA"/>
    <w:rsid w:val="0AAC0CBB"/>
    <w:rsid w:val="0ACC0D02"/>
    <w:rsid w:val="0AD6392F"/>
    <w:rsid w:val="0AD84BD3"/>
    <w:rsid w:val="0AE941D3"/>
    <w:rsid w:val="0AF124EB"/>
    <w:rsid w:val="0AFA761E"/>
    <w:rsid w:val="0B1061C6"/>
    <w:rsid w:val="0B246449"/>
    <w:rsid w:val="0B2B08D5"/>
    <w:rsid w:val="0B3A2110"/>
    <w:rsid w:val="0B896BF3"/>
    <w:rsid w:val="0B9874FD"/>
    <w:rsid w:val="0BA35012"/>
    <w:rsid w:val="0BB825ED"/>
    <w:rsid w:val="0BB93035"/>
    <w:rsid w:val="0BC0647C"/>
    <w:rsid w:val="0BD7624B"/>
    <w:rsid w:val="0BE51536"/>
    <w:rsid w:val="0BF26817"/>
    <w:rsid w:val="0C2164EF"/>
    <w:rsid w:val="0C22464A"/>
    <w:rsid w:val="0C2B72AE"/>
    <w:rsid w:val="0C3A50BE"/>
    <w:rsid w:val="0C486A95"/>
    <w:rsid w:val="0C517E31"/>
    <w:rsid w:val="0C6222A3"/>
    <w:rsid w:val="0C623EAC"/>
    <w:rsid w:val="0C946488"/>
    <w:rsid w:val="0CAB3827"/>
    <w:rsid w:val="0CAD24AF"/>
    <w:rsid w:val="0CB27F34"/>
    <w:rsid w:val="0CC0286A"/>
    <w:rsid w:val="0CD403F5"/>
    <w:rsid w:val="0D0D3F93"/>
    <w:rsid w:val="0D12389F"/>
    <w:rsid w:val="0D197B03"/>
    <w:rsid w:val="0D2820B7"/>
    <w:rsid w:val="0D2B5BA2"/>
    <w:rsid w:val="0D2F6875"/>
    <w:rsid w:val="0D33523D"/>
    <w:rsid w:val="0D5B6D69"/>
    <w:rsid w:val="0D662EE5"/>
    <w:rsid w:val="0D6A3AE7"/>
    <w:rsid w:val="0D860EC5"/>
    <w:rsid w:val="0D9339BE"/>
    <w:rsid w:val="0D991370"/>
    <w:rsid w:val="0D9E6A67"/>
    <w:rsid w:val="0D9F0DC4"/>
    <w:rsid w:val="0DA07FC9"/>
    <w:rsid w:val="0DAE46EF"/>
    <w:rsid w:val="0DC02AA1"/>
    <w:rsid w:val="0DDE695A"/>
    <w:rsid w:val="0DF73A5B"/>
    <w:rsid w:val="0E164CA8"/>
    <w:rsid w:val="0E231949"/>
    <w:rsid w:val="0E2D072E"/>
    <w:rsid w:val="0E3B295D"/>
    <w:rsid w:val="0E442E52"/>
    <w:rsid w:val="0E47249B"/>
    <w:rsid w:val="0E551882"/>
    <w:rsid w:val="0E5C239D"/>
    <w:rsid w:val="0E7306EC"/>
    <w:rsid w:val="0E963048"/>
    <w:rsid w:val="0EAD7E50"/>
    <w:rsid w:val="0EB254B2"/>
    <w:rsid w:val="0EB567A2"/>
    <w:rsid w:val="0ED91C40"/>
    <w:rsid w:val="0EE44C60"/>
    <w:rsid w:val="0EFB3F5D"/>
    <w:rsid w:val="0F041CC7"/>
    <w:rsid w:val="0F042317"/>
    <w:rsid w:val="0F072534"/>
    <w:rsid w:val="0F1209F8"/>
    <w:rsid w:val="0F291CCA"/>
    <w:rsid w:val="0F4C19DA"/>
    <w:rsid w:val="0F4C7D05"/>
    <w:rsid w:val="0F4F31AF"/>
    <w:rsid w:val="0F5F17BD"/>
    <w:rsid w:val="0F6B0BDE"/>
    <w:rsid w:val="0F7A0C10"/>
    <w:rsid w:val="0F7E014D"/>
    <w:rsid w:val="0F90531D"/>
    <w:rsid w:val="0F9219CD"/>
    <w:rsid w:val="0FAD64B5"/>
    <w:rsid w:val="0FB21FD4"/>
    <w:rsid w:val="0FFF5930"/>
    <w:rsid w:val="100814DF"/>
    <w:rsid w:val="1018536D"/>
    <w:rsid w:val="101F1086"/>
    <w:rsid w:val="105454A3"/>
    <w:rsid w:val="106A4FF5"/>
    <w:rsid w:val="108E33C3"/>
    <w:rsid w:val="10A265EF"/>
    <w:rsid w:val="10EC4A0F"/>
    <w:rsid w:val="10F22C15"/>
    <w:rsid w:val="10FB7C4C"/>
    <w:rsid w:val="1100110B"/>
    <w:rsid w:val="11156FC6"/>
    <w:rsid w:val="11485B0D"/>
    <w:rsid w:val="114C7209"/>
    <w:rsid w:val="114D3805"/>
    <w:rsid w:val="114E5D2F"/>
    <w:rsid w:val="1154158B"/>
    <w:rsid w:val="11551A52"/>
    <w:rsid w:val="11677BA5"/>
    <w:rsid w:val="116E11C2"/>
    <w:rsid w:val="117076B2"/>
    <w:rsid w:val="11895B68"/>
    <w:rsid w:val="119E6579"/>
    <w:rsid w:val="11D435DD"/>
    <w:rsid w:val="11DA3C43"/>
    <w:rsid w:val="11E15B8A"/>
    <w:rsid w:val="11E903EC"/>
    <w:rsid w:val="11EC57E6"/>
    <w:rsid w:val="11EC72FE"/>
    <w:rsid w:val="11F35990"/>
    <w:rsid w:val="11FD0C42"/>
    <w:rsid w:val="1220326C"/>
    <w:rsid w:val="123A67B6"/>
    <w:rsid w:val="125515DD"/>
    <w:rsid w:val="125670E6"/>
    <w:rsid w:val="125E1A9C"/>
    <w:rsid w:val="126252A6"/>
    <w:rsid w:val="12717304"/>
    <w:rsid w:val="1276289F"/>
    <w:rsid w:val="1288522D"/>
    <w:rsid w:val="129D6A95"/>
    <w:rsid w:val="12AF4046"/>
    <w:rsid w:val="12B74046"/>
    <w:rsid w:val="12CE506D"/>
    <w:rsid w:val="12D036D1"/>
    <w:rsid w:val="12F158AE"/>
    <w:rsid w:val="12F65490"/>
    <w:rsid w:val="12F73D2A"/>
    <w:rsid w:val="12F919F4"/>
    <w:rsid w:val="12F9698E"/>
    <w:rsid w:val="13112273"/>
    <w:rsid w:val="131C7C5D"/>
    <w:rsid w:val="13511DF6"/>
    <w:rsid w:val="1359610F"/>
    <w:rsid w:val="138B4634"/>
    <w:rsid w:val="138F1214"/>
    <w:rsid w:val="139B2C71"/>
    <w:rsid w:val="13B768FB"/>
    <w:rsid w:val="13BF412F"/>
    <w:rsid w:val="13C00A21"/>
    <w:rsid w:val="13D101C7"/>
    <w:rsid w:val="13DE24CF"/>
    <w:rsid w:val="1400440E"/>
    <w:rsid w:val="14005579"/>
    <w:rsid w:val="142669A3"/>
    <w:rsid w:val="142B5D9F"/>
    <w:rsid w:val="14301CC2"/>
    <w:rsid w:val="143108FD"/>
    <w:rsid w:val="143805F9"/>
    <w:rsid w:val="144729D8"/>
    <w:rsid w:val="147A44EB"/>
    <w:rsid w:val="148530C5"/>
    <w:rsid w:val="148E78CB"/>
    <w:rsid w:val="149841A6"/>
    <w:rsid w:val="149F4D92"/>
    <w:rsid w:val="14A13E6D"/>
    <w:rsid w:val="14AB614D"/>
    <w:rsid w:val="14B96C2B"/>
    <w:rsid w:val="15067DFC"/>
    <w:rsid w:val="15181495"/>
    <w:rsid w:val="153870BF"/>
    <w:rsid w:val="153C129A"/>
    <w:rsid w:val="15436E45"/>
    <w:rsid w:val="154871D8"/>
    <w:rsid w:val="15507C7E"/>
    <w:rsid w:val="1557566D"/>
    <w:rsid w:val="15664AEF"/>
    <w:rsid w:val="158E23E1"/>
    <w:rsid w:val="159D7EA6"/>
    <w:rsid w:val="159F1BF9"/>
    <w:rsid w:val="15A00DC2"/>
    <w:rsid w:val="15B71B1D"/>
    <w:rsid w:val="15E63361"/>
    <w:rsid w:val="15F739F3"/>
    <w:rsid w:val="160B0227"/>
    <w:rsid w:val="166971D4"/>
    <w:rsid w:val="16746D6F"/>
    <w:rsid w:val="16864176"/>
    <w:rsid w:val="16B34B25"/>
    <w:rsid w:val="16DF3B6C"/>
    <w:rsid w:val="16E04880"/>
    <w:rsid w:val="16F86032"/>
    <w:rsid w:val="16FE2244"/>
    <w:rsid w:val="17081A7A"/>
    <w:rsid w:val="17092996"/>
    <w:rsid w:val="17292C0C"/>
    <w:rsid w:val="176F50FE"/>
    <w:rsid w:val="178E091D"/>
    <w:rsid w:val="17D10049"/>
    <w:rsid w:val="17D75109"/>
    <w:rsid w:val="17DD0B49"/>
    <w:rsid w:val="17F1563C"/>
    <w:rsid w:val="17F23C73"/>
    <w:rsid w:val="17FF0351"/>
    <w:rsid w:val="180F3B80"/>
    <w:rsid w:val="181207D6"/>
    <w:rsid w:val="181B1411"/>
    <w:rsid w:val="181C1400"/>
    <w:rsid w:val="18223BBF"/>
    <w:rsid w:val="18406E44"/>
    <w:rsid w:val="185C1918"/>
    <w:rsid w:val="187A3B4C"/>
    <w:rsid w:val="187F2395"/>
    <w:rsid w:val="1880349D"/>
    <w:rsid w:val="18A24E51"/>
    <w:rsid w:val="18BD142C"/>
    <w:rsid w:val="18BD60C6"/>
    <w:rsid w:val="18D435BC"/>
    <w:rsid w:val="18E261BC"/>
    <w:rsid w:val="18E6320F"/>
    <w:rsid w:val="190050D9"/>
    <w:rsid w:val="19193365"/>
    <w:rsid w:val="19261639"/>
    <w:rsid w:val="195D5C0E"/>
    <w:rsid w:val="19B116AD"/>
    <w:rsid w:val="19B17485"/>
    <w:rsid w:val="19B64CC2"/>
    <w:rsid w:val="19BA69A5"/>
    <w:rsid w:val="19CC487B"/>
    <w:rsid w:val="19DF6D3F"/>
    <w:rsid w:val="19E24459"/>
    <w:rsid w:val="19E56DD6"/>
    <w:rsid w:val="19E75211"/>
    <w:rsid w:val="19EF2451"/>
    <w:rsid w:val="1A176F08"/>
    <w:rsid w:val="1A194A1B"/>
    <w:rsid w:val="1A305FF4"/>
    <w:rsid w:val="1A3D7EBE"/>
    <w:rsid w:val="1A4353A0"/>
    <w:rsid w:val="1A557489"/>
    <w:rsid w:val="1A89451A"/>
    <w:rsid w:val="1AF45443"/>
    <w:rsid w:val="1B075A0C"/>
    <w:rsid w:val="1B1813A5"/>
    <w:rsid w:val="1B1C7DC9"/>
    <w:rsid w:val="1B4A6BB9"/>
    <w:rsid w:val="1B67066F"/>
    <w:rsid w:val="1B6E7E94"/>
    <w:rsid w:val="1B7229E4"/>
    <w:rsid w:val="1B7A5EC7"/>
    <w:rsid w:val="1B8E5EC0"/>
    <w:rsid w:val="1BBE47DE"/>
    <w:rsid w:val="1BC10D01"/>
    <w:rsid w:val="1BC8403B"/>
    <w:rsid w:val="1C181A96"/>
    <w:rsid w:val="1C2613A8"/>
    <w:rsid w:val="1C2B5715"/>
    <w:rsid w:val="1C477E44"/>
    <w:rsid w:val="1C623DEF"/>
    <w:rsid w:val="1C7272F1"/>
    <w:rsid w:val="1C834048"/>
    <w:rsid w:val="1C9B22E2"/>
    <w:rsid w:val="1CA53B30"/>
    <w:rsid w:val="1CB33990"/>
    <w:rsid w:val="1CBE72D2"/>
    <w:rsid w:val="1CC26829"/>
    <w:rsid w:val="1CCA1C29"/>
    <w:rsid w:val="1CCC29D8"/>
    <w:rsid w:val="1CD75EC7"/>
    <w:rsid w:val="1CDC3A7F"/>
    <w:rsid w:val="1CF6260F"/>
    <w:rsid w:val="1CF83AEA"/>
    <w:rsid w:val="1CF911FC"/>
    <w:rsid w:val="1CFC0FD3"/>
    <w:rsid w:val="1CFF7A9C"/>
    <w:rsid w:val="1D21751F"/>
    <w:rsid w:val="1D34223E"/>
    <w:rsid w:val="1D617214"/>
    <w:rsid w:val="1D6231E6"/>
    <w:rsid w:val="1D681B82"/>
    <w:rsid w:val="1D6914D5"/>
    <w:rsid w:val="1D7C7A22"/>
    <w:rsid w:val="1D7E09CF"/>
    <w:rsid w:val="1D9F1A69"/>
    <w:rsid w:val="1DB15833"/>
    <w:rsid w:val="1DB50BD0"/>
    <w:rsid w:val="1DBE7C4D"/>
    <w:rsid w:val="1DD7388B"/>
    <w:rsid w:val="1DE41480"/>
    <w:rsid w:val="1E2139B7"/>
    <w:rsid w:val="1E4B053E"/>
    <w:rsid w:val="1E6E5F01"/>
    <w:rsid w:val="1E7A14A8"/>
    <w:rsid w:val="1E7F32B0"/>
    <w:rsid w:val="1EA77665"/>
    <w:rsid w:val="1EBA058B"/>
    <w:rsid w:val="1EBB622E"/>
    <w:rsid w:val="1EBD6B3E"/>
    <w:rsid w:val="1ED17F52"/>
    <w:rsid w:val="1EDD751C"/>
    <w:rsid w:val="1EE170B7"/>
    <w:rsid w:val="1EEA13A6"/>
    <w:rsid w:val="1EEB392A"/>
    <w:rsid w:val="1EFE64E9"/>
    <w:rsid w:val="1F2629A0"/>
    <w:rsid w:val="1F6207D0"/>
    <w:rsid w:val="1FA53BA4"/>
    <w:rsid w:val="1FCA360B"/>
    <w:rsid w:val="1FE1627D"/>
    <w:rsid w:val="1FEA603B"/>
    <w:rsid w:val="20075478"/>
    <w:rsid w:val="20084133"/>
    <w:rsid w:val="20133D98"/>
    <w:rsid w:val="20226856"/>
    <w:rsid w:val="20293E2F"/>
    <w:rsid w:val="20686E43"/>
    <w:rsid w:val="206E3E8E"/>
    <w:rsid w:val="207224C8"/>
    <w:rsid w:val="2076639A"/>
    <w:rsid w:val="2093114F"/>
    <w:rsid w:val="209B57AA"/>
    <w:rsid w:val="20A121FD"/>
    <w:rsid w:val="20C20004"/>
    <w:rsid w:val="20C66F34"/>
    <w:rsid w:val="20D83D6E"/>
    <w:rsid w:val="20DE5531"/>
    <w:rsid w:val="20E1180E"/>
    <w:rsid w:val="20EA6084"/>
    <w:rsid w:val="20F01139"/>
    <w:rsid w:val="20F1461D"/>
    <w:rsid w:val="211641D5"/>
    <w:rsid w:val="212B522B"/>
    <w:rsid w:val="213F6312"/>
    <w:rsid w:val="21736537"/>
    <w:rsid w:val="217E2000"/>
    <w:rsid w:val="21977807"/>
    <w:rsid w:val="219A6D4B"/>
    <w:rsid w:val="21AD461A"/>
    <w:rsid w:val="21B30D9B"/>
    <w:rsid w:val="21B32189"/>
    <w:rsid w:val="21C2735E"/>
    <w:rsid w:val="21E57FA3"/>
    <w:rsid w:val="21F302D6"/>
    <w:rsid w:val="21FB5A74"/>
    <w:rsid w:val="220C5A69"/>
    <w:rsid w:val="221C441E"/>
    <w:rsid w:val="22372B2D"/>
    <w:rsid w:val="226650A3"/>
    <w:rsid w:val="22677BAA"/>
    <w:rsid w:val="226827C0"/>
    <w:rsid w:val="227C6EFF"/>
    <w:rsid w:val="22942795"/>
    <w:rsid w:val="22A10D06"/>
    <w:rsid w:val="22B665A5"/>
    <w:rsid w:val="22B66C9F"/>
    <w:rsid w:val="22BA17FB"/>
    <w:rsid w:val="22C925E0"/>
    <w:rsid w:val="22D217AE"/>
    <w:rsid w:val="22D84291"/>
    <w:rsid w:val="22E46F4A"/>
    <w:rsid w:val="22E82DE7"/>
    <w:rsid w:val="22F20159"/>
    <w:rsid w:val="22F65426"/>
    <w:rsid w:val="23005537"/>
    <w:rsid w:val="231A3C9A"/>
    <w:rsid w:val="23251857"/>
    <w:rsid w:val="232C54A8"/>
    <w:rsid w:val="233C2C53"/>
    <w:rsid w:val="23486890"/>
    <w:rsid w:val="236F1F61"/>
    <w:rsid w:val="237561DC"/>
    <w:rsid w:val="23962B82"/>
    <w:rsid w:val="23AB4CDF"/>
    <w:rsid w:val="23C37A75"/>
    <w:rsid w:val="240404D0"/>
    <w:rsid w:val="24147336"/>
    <w:rsid w:val="24220F3E"/>
    <w:rsid w:val="24233491"/>
    <w:rsid w:val="2423604B"/>
    <w:rsid w:val="242713B5"/>
    <w:rsid w:val="24311EAA"/>
    <w:rsid w:val="243A3F7E"/>
    <w:rsid w:val="24436391"/>
    <w:rsid w:val="2450121E"/>
    <w:rsid w:val="246F4781"/>
    <w:rsid w:val="247A4C56"/>
    <w:rsid w:val="24816262"/>
    <w:rsid w:val="2487622C"/>
    <w:rsid w:val="24951BD0"/>
    <w:rsid w:val="24973094"/>
    <w:rsid w:val="24AD6D9A"/>
    <w:rsid w:val="24D84198"/>
    <w:rsid w:val="24E52AD8"/>
    <w:rsid w:val="24E85B0E"/>
    <w:rsid w:val="25015F9F"/>
    <w:rsid w:val="250A6267"/>
    <w:rsid w:val="251418FC"/>
    <w:rsid w:val="254925FD"/>
    <w:rsid w:val="255249D2"/>
    <w:rsid w:val="25555158"/>
    <w:rsid w:val="256C0CC0"/>
    <w:rsid w:val="25712B23"/>
    <w:rsid w:val="25951FC5"/>
    <w:rsid w:val="25A22934"/>
    <w:rsid w:val="25A845B3"/>
    <w:rsid w:val="25B34D67"/>
    <w:rsid w:val="25EB71B7"/>
    <w:rsid w:val="260715C7"/>
    <w:rsid w:val="26154215"/>
    <w:rsid w:val="261A0BE6"/>
    <w:rsid w:val="26207C03"/>
    <w:rsid w:val="26215F4F"/>
    <w:rsid w:val="26385E8A"/>
    <w:rsid w:val="263C7691"/>
    <w:rsid w:val="265E2776"/>
    <w:rsid w:val="26666FDC"/>
    <w:rsid w:val="266F3CA4"/>
    <w:rsid w:val="26706683"/>
    <w:rsid w:val="26963D4E"/>
    <w:rsid w:val="26AB763C"/>
    <w:rsid w:val="26B267E7"/>
    <w:rsid w:val="26D794B7"/>
    <w:rsid w:val="26DC4E6A"/>
    <w:rsid w:val="26DE174A"/>
    <w:rsid w:val="26E23E65"/>
    <w:rsid w:val="26F131DC"/>
    <w:rsid w:val="26F65310"/>
    <w:rsid w:val="27052D05"/>
    <w:rsid w:val="27082804"/>
    <w:rsid w:val="270832AE"/>
    <w:rsid w:val="27343A60"/>
    <w:rsid w:val="27357F9F"/>
    <w:rsid w:val="27421CD9"/>
    <w:rsid w:val="274B46FE"/>
    <w:rsid w:val="275163C0"/>
    <w:rsid w:val="275E35BF"/>
    <w:rsid w:val="275F617F"/>
    <w:rsid w:val="27A24E6D"/>
    <w:rsid w:val="27A4553F"/>
    <w:rsid w:val="27CA7E10"/>
    <w:rsid w:val="27D11037"/>
    <w:rsid w:val="27D35135"/>
    <w:rsid w:val="27DD1D93"/>
    <w:rsid w:val="27EF1935"/>
    <w:rsid w:val="27FD299F"/>
    <w:rsid w:val="280A1B75"/>
    <w:rsid w:val="280D512F"/>
    <w:rsid w:val="28257458"/>
    <w:rsid w:val="283962F8"/>
    <w:rsid w:val="284E28FF"/>
    <w:rsid w:val="285D6583"/>
    <w:rsid w:val="287A36F4"/>
    <w:rsid w:val="287F6F5C"/>
    <w:rsid w:val="288458E7"/>
    <w:rsid w:val="28A27A9C"/>
    <w:rsid w:val="28A33A20"/>
    <w:rsid w:val="28A47F17"/>
    <w:rsid w:val="28A53B3C"/>
    <w:rsid w:val="28A95D87"/>
    <w:rsid w:val="28F16309"/>
    <w:rsid w:val="28FE6071"/>
    <w:rsid w:val="290212C1"/>
    <w:rsid w:val="290D5ED8"/>
    <w:rsid w:val="2941789D"/>
    <w:rsid w:val="29485358"/>
    <w:rsid w:val="296535F5"/>
    <w:rsid w:val="29656DCE"/>
    <w:rsid w:val="29722140"/>
    <w:rsid w:val="298B4B23"/>
    <w:rsid w:val="29AD63FD"/>
    <w:rsid w:val="29B71FDB"/>
    <w:rsid w:val="29C04EE3"/>
    <w:rsid w:val="29CF18DD"/>
    <w:rsid w:val="29D65D23"/>
    <w:rsid w:val="29D875FE"/>
    <w:rsid w:val="29FE44DD"/>
    <w:rsid w:val="2A1169E3"/>
    <w:rsid w:val="2A194E5D"/>
    <w:rsid w:val="2A21554B"/>
    <w:rsid w:val="2A2B7C21"/>
    <w:rsid w:val="2A594BC2"/>
    <w:rsid w:val="2A5A558B"/>
    <w:rsid w:val="2A9F7561"/>
    <w:rsid w:val="2AA90FA0"/>
    <w:rsid w:val="2AB103DC"/>
    <w:rsid w:val="2AB31CE2"/>
    <w:rsid w:val="2AB47391"/>
    <w:rsid w:val="2AB55266"/>
    <w:rsid w:val="2AD11ED2"/>
    <w:rsid w:val="2AF000D8"/>
    <w:rsid w:val="2B3C2B7F"/>
    <w:rsid w:val="2B487382"/>
    <w:rsid w:val="2B552F60"/>
    <w:rsid w:val="2B5D3585"/>
    <w:rsid w:val="2B7841A6"/>
    <w:rsid w:val="2BB367B9"/>
    <w:rsid w:val="2BB62D59"/>
    <w:rsid w:val="2BC277C3"/>
    <w:rsid w:val="2BEC2B5B"/>
    <w:rsid w:val="2C13380B"/>
    <w:rsid w:val="2C184D47"/>
    <w:rsid w:val="2C796A89"/>
    <w:rsid w:val="2C7C10B6"/>
    <w:rsid w:val="2CA44826"/>
    <w:rsid w:val="2CAD0DF5"/>
    <w:rsid w:val="2CB204A3"/>
    <w:rsid w:val="2CBD3A96"/>
    <w:rsid w:val="2CC74339"/>
    <w:rsid w:val="2CCC23F7"/>
    <w:rsid w:val="2CCE1414"/>
    <w:rsid w:val="2CF93ABF"/>
    <w:rsid w:val="2D1E27A3"/>
    <w:rsid w:val="2D1E560F"/>
    <w:rsid w:val="2D2D342B"/>
    <w:rsid w:val="2D394FF5"/>
    <w:rsid w:val="2D766528"/>
    <w:rsid w:val="2D797435"/>
    <w:rsid w:val="2D917516"/>
    <w:rsid w:val="2D957F46"/>
    <w:rsid w:val="2DF50B51"/>
    <w:rsid w:val="2E107461"/>
    <w:rsid w:val="2E3C58A6"/>
    <w:rsid w:val="2E530C6F"/>
    <w:rsid w:val="2E6111A5"/>
    <w:rsid w:val="2E671D49"/>
    <w:rsid w:val="2E6A704D"/>
    <w:rsid w:val="2E6C0B54"/>
    <w:rsid w:val="2E7A444E"/>
    <w:rsid w:val="2E8A6255"/>
    <w:rsid w:val="2E8B21B7"/>
    <w:rsid w:val="2EB8596B"/>
    <w:rsid w:val="2EC4391B"/>
    <w:rsid w:val="2EC8145A"/>
    <w:rsid w:val="2EE35F25"/>
    <w:rsid w:val="2EFFF29C"/>
    <w:rsid w:val="2F01691D"/>
    <w:rsid w:val="2F0B1048"/>
    <w:rsid w:val="2F132DA3"/>
    <w:rsid w:val="2F141AAA"/>
    <w:rsid w:val="2F57653D"/>
    <w:rsid w:val="2F875074"/>
    <w:rsid w:val="2FCA4353"/>
    <w:rsid w:val="2FE55D75"/>
    <w:rsid w:val="2FF23F99"/>
    <w:rsid w:val="2FF43D8C"/>
    <w:rsid w:val="2FFD0E93"/>
    <w:rsid w:val="2FFF3277"/>
    <w:rsid w:val="30236367"/>
    <w:rsid w:val="30331BC6"/>
    <w:rsid w:val="303E7E03"/>
    <w:rsid w:val="30405AEB"/>
    <w:rsid w:val="304A182B"/>
    <w:rsid w:val="30700C52"/>
    <w:rsid w:val="30743700"/>
    <w:rsid w:val="30757C00"/>
    <w:rsid w:val="30782C0F"/>
    <w:rsid w:val="307D5D65"/>
    <w:rsid w:val="308C7F8A"/>
    <w:rsid w:val="30B34CE3"/>
    <w:rsid w:val="30CB1C83"/>
    <w:rsid w:val="30ED2830"/>
    <w:rsid w:val="30EF3F09"/>
    <w:rsid w:val="310743D8"/>
    <w:rsid w:val="310757AC"/>
    <w:rsid w:val="3112096E"/>
    <w:rsid w:val="312B49E8"/>
    <w:rsid w:val="315A2315"/>
    <w:rsid w:val="316B2857"/>
    <w:rsid w:val="31832D29"/>
    <w:rsid w:val="31997196"/>
    <w:rsid w:val="319D5339"/>
    <w:rsid w:val="319F2F47"/>
    <w:rsid w:val="31B2277E"/>
    <w:rsid w:val="31D20CDE"/>
    <w:rsid w:val="31F37E23"/>
    <w:rsid w:val="31FE689A"/>
    <w:rsid w:val="3212662E"/>
    <w:rsid w:val="32223DC6"/>
    <w:rsid w:val="32236BAB"/>
    <w:rsid w:val="325A02A1"/>
    <w:rsid w:val="32614EB1"/>
    <w:rsid w:val="326756D4"/>
    <w:rsid w:val="328472F9"/>
    <w:rsid w:val="329032EF"/>
    <w:rsid w:val="329970EF"/>
    <w:rsid w:val="32AE0B6A"/>
    <w:rsid w:val="32B0196B"/>
    <w:rsid w:val="32B35AAA"/>
    <w:rsid w:val="32D743C4"/>
    <w:rsid w:val="32D77E81"/>
    <w:rsid w:val="32F81DE5"/>
    <w:rsid w:val="32FD11AA"/>
    <w:rsid w:val="330F3777"/>
    <w:rsid w:val="33135210"/>
    <w:rsid w:val="3326373F"/>
    <w:rsid w:val="334459AC"/>
    <w:rsid w:val="335222DF"/>
    <w:rsid w:val="335E2E13"/>
    <w:rsid w:val="33605869"/>
    <w:rsid w:val="33705A64"/>
    <w:rsid w:val="338E32D5"/>
    <w:rsid w:val="33A055AF"/>
    <w:rsid w:val="33A51E80"/>
    <w:rsid w:val="33E16D1D"/>
    <w:rsid w:val="33E424B9"/>
    <w:rsid w:val="33EE589E"/>
    <w:rsid w:val="340329A9"/>
    <w:rsid w:val="340D7B12"/>
    <w:rsid w:val="341E2B5D"/>
    <w:rsid w:val="342645AD"/>
    <w:rsid w:val="34280C93"/>
    <w:rsid w:val="342B057B"/>
    <w:rsid w:val="34335C8F"/>
    <w:rsid w:val="344964E6"/>
    <w:rsid w:val="344D7F0F"/>
    <w:rsid w:val="345968B4"/>
    <w:rsid w:val="34617CD8"/>
    <w:rsid w:val="346317C9"/>
    <w:rsid w:val="346A286F"/>
    <w:rsid w:val="346C1C91"/>
    <w:rsid w:val="34753860"/>
    <w:rsid w:val="348A1163"/>
    <w:rsid w:val="34A42225"/>
    <w:rsid w:val="34A61339"/>
    <w:rsid w:val="34AF4725"/>
    <w:rsid w:val="34C74165"/>
    <w:rsid w:val="34CC3006"/>
    <w:rsid w:val="34F3793E"/>
    <w:rsid w:val="34FA09EA"/>
    <w:rsid w:val="35183AD1"/>
    <w:rsid w:val="354B5D9D"/>
    <w:rsid w:val="35506C87"/>
    <w:rsid w:val="35563115"/>
    <w:rsid w:val="35574E9C"/>
    <w:rsid w:val="35580207"/>
    <w:rsid w:val="35681367"/>
    <w:rsid w:val="35712E34"/>
    <w:rsid w:val="35832558"/>
    <w:rsid w:val="359305B1"/>
    <w:rsid w:val="35966E67"/>
    <w:rsid w:val="35A973C7"/>
    <w:rsid w:val="35ED793B"/>
    <w:rsid w:val="35F06F52"/>
    <w:rsid w:val="35F84740"/>
    <w:rsid w:val="36145188"/>
    <w:rsid w:val="36383125"/>
    <w:rsid w:val="365E28A7"/>
    <w:rsid w:val="366C082D"/>
    <w:rsid w:val="368816D2"/>
    <w:rsid w:val="368C388A"/>
    <w:rsid w:val="36C00E6C"/>
    <w:rsid w:val="36C90DD1"/>
    <w:rsid w:val="36D81883"/>
    <w:rsid w:val="36E301EE"/>
    <w:rsid w:val="36E45865"/>
    <w:rsid w:val="36EF2646"/>
    <w:rsid w:val="36F275DD"/>
    <w:rsid w:val="36F55D23"/>
    <w:rsid w:val="37031C33"/>
    <w:rsid w:val="372A4537"/>
    <w:rsid w:val="372F5A7F"/>
    <w:rsid w:val="374634AB"/>
    <w:rsid w:val="374E4A35"/>
    <w:rsid w:val="37543CF6"/>
    <w:rsid w:val="3767308A"/>
    <w:rsid w:val="37704489"/>
    <w:rsid w:val="37710026"/>
    <w:rsid w:val="37925427"/>
    <w:rsid w:val="37950157"/>
    <w:rsid w:val="379E3BB9"/>
    <w:rsid w:val="37A01319"/>
    <w:rsid w:val="37A55DCC"/>
    <w:rsid w:val="37C075FB"/>
    <w:rsid w:val="37C430C4"/>
    <w:rsid w:val="37CA04FF"/>
    <w:rsid w:val="37D30771"/>
    <w:rsid w:val="37E3512E"/>
    <w:rsid w:val="37EC0BB8"/>
    <w:rsid w:val="38133A2A"/>
    <w:rsid w:val="382F75E3"/>
    <w:rsid w:val="38371ACC"/>
    <w:rsid w:val="38665479"/>
    <w:rsid w:val="389205E6"/>
    <w:rsid w:val="38A748FD"/>
    <w:rsid w:val="38D53666"/>
    <w:rsid w:val="38E70932"/>
    <w:rsid w:val="38EC77CA"/>
    <w:rsid w:val="38FF39F5"/>
    <w:rsid w:val="390C261A"/>
    <w:rsid w:val="39330F26"/>
    <w:rsid w:val="394C68A5"/>
    <w:rsid w:val="3952462B"/>
    <w:rsid w:val="395E479A"/>
    <w:rsid w:val="39675804"/>
    <w:rsid w:val="3988749C"/>
    <w:rsid w:val="398A60A0"/>
    <w:rsid w:val="39A36C2D"/>
    <w:rsid w:val="39AA29B9"/>
    <w:rsid w:val="39AE63D1"/>
    <w:rsid w:val="39D7D99B"/>
    <w:rsid w:val="39E71AEC"/>
    <w:rsid w:val="39F00587"/>
    <w:rsid w:val="39F5707E"/>
    <w:rsid w:val="39F60058"/>
    <w:rsid w:val="3A081016"/>
    <w:rsid w:val="3A086314"/>
    <w:rsid w:val="3A104089"/>
    <w:rsid w:val="3A190FBF"/>
    <w:rsid w:val="3A1A692D"/>
    <w:rsid w:val="3A2B31D2"/>
    <w:rsid w:val="3A43383A"/>
    <w:rsid w:val="3A8217DE"/>
    <w:rsid w:val="3A822B01"/>
    <w:rsid w:val="3A8D375B"/>
    <w:rsid w:val="3AB8426E"/>
    <w:rsid w:val="3ACF765C"/>
    <w:rsid w:val="3AD278CD"/>
    <w:rsid w:val="3ADE5721"/>
    <w:rsid w:val="3AFA4BE5"/>
    <w:rsid w:val="3B196D9D"/>
    <w:rsid w:val="3B2A44B8"/>
    <w:rsid w:val="3B2B6476"/>
    <w:rsid w:val="3B4E386F"/>
    <w:rsid w:val="3BA0301A"/>
    <w:rsid w:val="3BAF3CA2"/>
    <w:rsid w:val="3BBC038E"/>
    <w:rsid w:val="3BC419C2"/>
    <w:rsid w:val="3BF72351"/>
    <w:rsid w:val="3BFE3F02"/>
    <w:rsid w:val="3C2972FD"/>
    <w:rsid w:val="3C3261E8"/>
    <w:rsid w:val="3C524EFE"/>
    <w:rsid w:val="3C5B4444"/>
    <w:rsid w:val="3C687D45"/>
    <w:rsid w:val="3C852047"/>
    <w:rsid w:val="3CA13116"/>
    <w:rsid w:val="3CA925AE"/>
    <w:rsid w:val="3CC13485"/>
    <w:rsid w:val="3CCF4FA4"/>
    <w:rsid w:val="3CF37102"/>
    <w:rsid w:val="3CF41710"/>
    <w:rsid w:val="3CF877AB"/>
    <w:rsid w:val="3D306CB2"/>
    <w:rsid w:val="3D32729D"/>
    <w:rsid w:val="3D3D44F8"/>
    <w:rsid w:val="3D485E54"/>
    <w:rsid w:val="3D62504C"/>
    <w:rsid w:val="3D667959"/>
    <w:rsid w:val="3D6C3AFB"/>
    <w:rsid w:val="3D8230F2"/>
    <w:rsid w:val="3D886E2C"/>
    <w:rsid w:val="3D9A6B04"/>
    <w:rsid w:val="3DAA5519"/>
    <w:rsid w:val="3DC413E8"/>
    <w:rsid w:val="3DC47E99"/>
    <w:rsid w:val="3DCA34BB"/>
    <w:rsid w:val="3DD83D60"/>
    <w:rsid w:val="3DEE7764"/>
    <w:rsid w:val="3E044CAE"/>
    <w:rsid w:val="3E12201C"/>
    <w:rsid w:val="3E427218"/>
    <w:rsid w:val="3E460E59"/>
    <w:rsid w:val="3E6519FE"/>
    <w:rsid w:val="3E8F30B5"/>
    <w:rsid w:val="3E962C89"/>
    <w:rsid w:val="3E9A3E28"/>
    <w:rsid w:val="3E9D9EE9"/>
    <w:rsid w:val="3EA27573"/>
    <w:rsid w:val="3EA72ABE"/>
    <w:rsid w:val="3EAD4174"/>
    <w:rsid w:val="3EAD7F9C"/>
    <w:rsid w:val="3EB32892"/>
    <w:rsid w:val="3EBC3336"/>
    <w:rsid w:val="3EDD4EC2"/>
    <w:rsid w:val="3EDE79C6"/>
    <w:rsid w:val="3EF60080"/>
    <w:rsid w:val="3EF63FC3"/>
    <w:rsid w:val="3EF65530"/>
    <w:rsid w:val="3EFEC654"/>
    <w:rsid w:val="3F064AE9"/>
    <w:rsid w:val="3F3B0C43"/>
    <w:rsid w:val="3F4C62B0"/>
    <w:rsid w:val="3F585F31"/>
    <w:rsid w:val="3F68374E"/>
    <w:rsid w:val="3F6A4BE4"/>
    <w:rsid w:val="3F7279F0"/>
    <w:rsid w:val="3F7C65CA"/>
    <w:rsid w:val="3F7F0FB6"/>
    <w:rsid w:val="3F8D4D6D"/>
    <w:rsid w:val="3F9717D1"/>
    <w:rsid w:val="3F9B13A5"/>
    <w:rsid w:val="3FAE6EE5"/>
    <w:rsid w:val="3FB2485B"/>
    <w:rsid w:val="3FBD3AE8"/>
    <w:rsid w:val="3FEE166B"/>
    <w:rsid w:val="3FF3B4A0"/>
    <w:rsid w:val="40094D2F"/>
    <w:rsid w:val="401364B0"/>
    <w:rsid w:val="402A34B8"/>
    <w:rsid w:val="402C4889"/>
    <w:rsid w:val="40360CD1"/>
    <w:rsid w:val="40361D66"/>
    <w:rsid w:val="4040634D"/>
    <w:rsid w:val="404C1EBB"/>
    <w:rsid w:val="405214DD"/>
    <w:rsid w:val="406060C3"/>
    <w:rsid w:val="40613E30"/>
    <w:rsid w:val="40736573"/>
    <w:rsid w:val="407D7357"/>
    <w:rsid w:val="40860A30"/>
    <w:rsid w:val="408D0A8F"/>
    <w:rsid w:val="409B4A07"/>
    <w:rsid w:val="40B66A75"/>
    <w:rsid w:val="40BF6E39"/>
    <w:rsid w:val="40C25B7F"/>
    <w:rsid w:val="40C73A02"/>
    <w:rsid w:val="40E02BC9"/>
    <w:rsid w:val="40F66678"/>
    <w:rsid w:val="40FA12EB"/>
    <w:rsid w:val="41012622"/>
    <w:rsid w:val="410A16AB"/>
    <w:rsid w:val="410E1C56"/>
    <w:rsid w:val="4120577A"/>
    <w:rsid w:val="41216643"/>
    <w:rsid w:val="415516E1"/>
    <w:rsid w:val="41603084"/>
    <w:rsid w:val="41686388"/>
    <w:rsid w:val="416C142E"/>
    <w:rsid w:val="4196333B"/>
    <w:rsid w:val="41E677EA"/>
    <w:rsid w:val="41F61C18"/>
    <w:rsid w:val="41FD121E"/>
    <w:rsid w:val="42117A10"/>
    <w:rsid w:val="421A7627"/>
    <w:rsid w:val="4233112B"/>
    <w:rsid w:val="42401E98"/>
    <w:rsid w:val="42474F8A"/>
    <w:rsid w:val="42872311"/>
    <w:rsid w:val="428B5762"/>
    <w:rsid w:val="429F3B64"/>
    <w:rsid w:val="42B64F1C"/>
    <w:rsid w:val="42D47C2B"/>
    <w:rsid w:val="42DA32B5"/>
    <w:rsid w:val="42DA71E0"/>
    <w:rsid w:val="42FB45E4"/>
    <w:rsid w:val="430360E7"/>
    <w:rsid w:val="4307713D"/>
    <w:rsid w:val="43224E10"/>
    <w:rsid w:val="433543AC"/>
    <w:rsid w:val="43420FE8"/>
    <w:rsid w:val="434513F0"/>
    <w:rsid w:val="435B3D49"/>
    <w:rsid w:val="43606D1A"/>
    <w:rsid w:val="43702851"/>
    <w:rsid w:val="437269BA"/>
    <w:rsid w:val="437C3B10"/>
    <w:rsid w:val="437F3C65"/>
    <w:rsid w:val="43B34232"/>
    <w:rsid w:val="43CA4F48"/>
    <w:rsid w:val="43D113E3"/>
    <w:rsid w:val="43FE78B1"/>
    <w:rsid w:val="440A7CA0"/>
    <w:rsid w:val="441F3AB4"/>
    <w:rsid w:val="4424604A"/>
    <w:rsid w:val="442967DE"/>
    <w:rsid w:val="44337301"/>
    <w:rsid w:val="445014AB"/>
    <w:rsid w:val="446846DD"/>
    <w:rsid w:val="44A71C84"/>
    <w:rsid w:val="44CE660D"/>
    <w:rsid w:val="44DE510D"/>
    <w:rsid w:val="44E94F7E"/>
    <w:rsid w:val="44EE4DF6"/>
    <w:rsid w:val="44F103C7"/>
    <w:rsid w:val="44FD725C"/>
    <w:rsid w:val="452D47A4"/>
    <w:rsid w:val="4545710C"/>
    <w:rsid w:val="454C3E11"/>
    <w:rsid w:val="454F0B76"/>
    <w:rsid w:val="45795008"/>
    <w:rsid w:val="4579514B"/>
    <w:rsid w:val="457B7234"/>
    <w:rsid w:val="457E2BBE"/>
    <w:rsid w:val="457F72E8"/>
    <w:rsid w:val="458305C9"/>
    <w:rsid w:val="459F05CE"/>
    <w:rsid w:val="45D72674"/>
    <w:rsid w:val="45DE083B"/>
    <w:rsid w:val="45E076C0"/>
    <w:rsid w:val="45F36067"/>
    <w:rsid w:val="460C0745"/>
    <w:rsid w:val="463122D8"/>
    <w:rsid w:val="463144E5"/>
    <w:rsid w:val="4632053D"/>
    <w:rsid w:val="46577675"/>
    <w:rsid w:val="4662415A"/>
    <w:rsid w:val="4662498C"/>
    <w:rsid w:val="46641814"/>
    <w:rsid w:val="466E26B2"/>
    <w:rsid w:val="468425B0"/>
    <w:rsid w:val="46A022D9"/>
    <w:rsid w:val="46A9554B"/>
    <w:rsid w:val="46AF05B5"/>
    <w:rsid w:val="46B04A59"/>
    <w:rsid w:val="46B21457"/>
    <w:rsid w:val="46B411EC"/>
    <w:rsid w:val="46BE1A6C"/>
    <w:rsid w:val="46BE6647"/>
    <w:rsid w:val="46D0431B"/>
    <w:rsid w:val="46D35FF3"/>
    <w:rsid w:val="46EE3897"/>
    <w:rsid w:val="47140585"/>
    <w:rsid w:val="471B3499"/>
    <w:rsid w:val="4724337C"/>
    <w:rsid w:val="4730142A"/>
    <w:rsid w:val="476870E2"/>
    <w:rsid w:val="478A0CA0"/>
    <w:rsid w:val="478E4BD2"/>
    <w:rsid w:val="47C848F5"/>
    <w:rsid w:val="47D84DCE"/>
    <w:rsid w:val="47DD756D"/>
    <w:rsid w:val="48037A8A"/>
    <w:rsid w:val="48057880"/>
    <w:rsid w:val="48150BC3"/>
    <w:rsid w:val="48377D23"/>
    <w:rsid w:val="48435459"/>
    <w:rsid w:val="486634EE"/>
    <w:rsid w:val="48807890"/>
    <w:rsid w:val="48991F9B"/>
    <w:rsid w:val="48A64B98"/>
    <w:rsid w:val="48A71804"/>
    <w:rsid w:val="48B30830"/>
    <w:rsid w:val="48BC156D"/>
    <w:rsid w:val="48DF62C3"/>
    <w:rsid w:val="48EA3B26"/>
    <w:rsid w:val="48F765BE"/>
    <w:rsid w:val="490445F2"/>
    <w:rsid w:val="49137521"/>
    <w:rsid w:val="49320F23"/>
    <w:rsid w:val="493A087A"/>
    <w:rsid w:val="494646D5"/>
    <w:rsid w:val="495279EA"/>
    <w:rsid w:val="49831FB1"/>
    <w:rsid w:val="49A10911"/>
    <w:rsid w:val="49CA61CE"/>
    <w:rsid w:val="49DD73AE"/>
    <w:rsid w:val="49DE686B"/>
    <w:rsid w:val="49F72751"/>
    <w:rsid w:val="49F95BD6"/>
    <w:rsid w:val="4A0C7375"/>
    <w:rsid w:val="4A194AA5"/>
    <w:rsid w:val="4A2710F3"/>
    <w:rsid w:val="4A2B3C78"/>
    <w:rsid w:val="4A4915FD"/>
    <w:rsid w:val="4A4934DE"/>
    <w:rsid w:val="4A4D25BF"/>
    <w:rsid w:val="4A5E47CC"/>
    <w:rsid w:val="4A6E0EB3"/>
    <w:rsid w:val="4A9106FD"/>
    <w:rsid w:val="4AA73240"/>
    <w:rsid w:val="4AB72272"/>
    <w:rsid w:val="4AC63E7C"/>
    <w:rsid w:val="4AD703A4"/>
    <w:rsid w:val="4B305E1B"/>
    <w:rsid w:val="4B4705F4"/>
    <w:rsid w:val="4B4B6AFE"/>
    <w:rsid w:val="4B5D2E40"/>
    <w:rsid w:val="4B602D44"/>
    <w:rsid w:val="4B700850"/>
    <w:rsid w:val="4B842010"/>
    <w:rsid w:val="4B956C94"/>
    <w:rsid w:val="4BB92D8E"/>
    <w:rsid w:val="4BBB7216"/>
    <w:rsid w:val="4BD07B58"/>
    <w:rsid w:val="4BE87BA5"/>
    <w:rsid w:val="4C155F10"/>
    <w:rsid w:val="4C2F7851"/>
    <w:rsid w:val="4C3176AB"/>
    <w:rsid w:val="4C324162"/>
    <w:rsid w:val="4C3C12ED"/>
    <w:rsid w:val="4C415DC1"/>
    <w:rsid w:val="4C571AC7"/>
    <w:rsid w:val="4C6E278E"/>
    <w:rsid w:val="4C853E3C"/>
    <w:rsid w:val="4CA744BC"/>
    <w:rsid w:val="4CA92D12"/>
    <w:rsid w:val="4CA95F3B"/>
    <w:rsid w:val="4CCA607B"/>
    <w:rsid w:val="4CCF550D"/>
    <w:rsid w:val="4CE45067"/>
    <w:rsid w:val="4CFF538B"/>
    <w:rsid w:val="4D1216E3"/>
    <w:rsid w:val="4D2A4B22"/>
    <w:rsid w:val="4D471EEE"/>
    <w:rsid w:val="4D4D7800"/>
    <w:rsid w:val="4D6A2865"/>
    <w:rsid w:val="4D7251FF"/>
    <w:rsid w:val="4D7757D0"/>
    <w:rsid w:val="4DDB4948"/>
    <w:rsid w:val="4DE50C0B"/>
    <w:rsid w:val="4DF831B6"/>
    <w:rsid w:val="4E11105D"/>
    <w:rsid w:val="4E1276A7"/>
    <w:rsid w:val="4E16225A"/>
    <w:rsid w:val="4E253AB8"/>
    <w:rsid w:val="4E32142E"/>
    <w:rsid w:val="4E4011FA"/>
    <w:rsid w:val="4E461EDE"/>
    <w:rsid w:val="4E472C92"/>
    <w:rsid w:val="4E4A3EC7"/>
    <w:rsid w:val="4E4D2BD1"/>
    <w:rsid w:val="4E635437"/>
    <w:rsid w:val="4E7312E2"/>
    <w:rsid w:val="4E824D97"/>
    <w:rsid w:val="4E83548F"/>
    <w:rsid w:val="4E9D5C2D"/>
    <w:rsid w:val="4EA4244B"/>
    <w:rsid w:val="4EBA57C1"/>
    <w:rsid w:val="4EC8768D"/>
    <w:rsid w:val="4EEB58EF"/>
    <w:rsid w:val="4EF77EA5"/>
    <w:rsid w:val="4EFC68C1"/>
    <w:rsid w:val="4EFE6975"/>
    <w:rsid w:val="4F047E0A"/>
    <w:rsid w:val="4F3F0B4A"/>
    <w:rsid w:val="4F477F24"/>
    <w:rsid w:val="4FA91AAC"/>
    <w:rsid w:val="4FBD0FF5"/>
    <w:rsid w:val="4FC854D7"/>
    <w:rsid w:val="4FF794E7"/>
    <w:rsid w:val="50033E4B"/>
    <w:rsid w:val="50142DE1"/>
    <w:rsid w:val="5015687B"/>
    <w:rsid w:val="501926CA"/>
    <w:rsid w:val="503109FF"/>
    <w:rsid w:val="503E7F87"/>
    <w:rsid w:val="504544C8"/>
    <w:rsid w:val="50565FB2"/>
    <w:rsid w:val="505E3D68"/>
    <w:rsid w:val="505F4DFA"/>
    <w:rsid w:val="505F5918"/>
    <w:rsid w:val="506F5953"/>
    <w:rsid w:val="507A0E74"/>
    <w:rsid w:val="50A218B6"/>
    <w:rsid w:val="50C2531E"/>
    <w:rsid w:val="50D13748"/>
    <w:rsid w:val="50D43A3A"/>
    <w:rsid w:val="510A120A"/>
    <w:rsid w:val="512F1364"/>
    <w:rsid w:val="51426BF5"/>
    <w:rsid w:val="516A440A"/>
    <w:rsid w:val="51B053DC"/>
    <w:rsid w:val="51BA5A6F"/>
    <w:rsid w:val="51C42E16"/>
    <w:rsid w:val="51E5538B"/>
    <w:rsid w:val="520D6221"/>
    <w:rsid w:val="52153B9A"/>
    <w:rsid w:val="5244074B"/>
    <w:rsid w:val="525351F4"/>
    <w:rsid w:val="525A6FBC"/>
    <w:rsid w:val="526C0997"/>
    <w:rsid w:val="5277467D"/>
    <w:rsid w:val="52855A65"/>
    <w:rsid w:val="52E11882"/>
    <w:rsid w:val="52E44E05"/>
    <w:rsid w:val="530B071F"/>
    <w:rsid w:val="53121BFC"/>
    <w:rsid w:val="53311AB3"/>
    <w:rsid w:val="53317F44"/>
    <w:rsid w:val="533D33D1"/>
    <w:rsid w:val="53511F1B"/>
    <w:rsid w:val="5353295D"/>
    <w:rsid w:val="53670B33"/>
    <w:rsid w:val="537735FB"/>
    <w:rsid w:val="53775B6A"/>
    <w:rsid w:val="53803D07"/>
    <w:rsid w:val="538F5737"/>
    <w:rsid w:val="53BF5847"/>
    <w:rsid w:val="53CA0B91"/>
    <w:rsid w:val="53D43855"/>
    <w:rsid w:val="53D6214F"/>
    <w:rsid w:val="53EE1101"/>
    <w:rsid w:val="53FC4E8E"/>
    <w:rsid w:val="53FF0DCE"/>
    <w:rsid w:val="54111ADD"/>
    <w:rsid w:val="541717DC"/>
    <w:rsid w:val="54271D5C"/>
    <w:rsid w:val="5427740E"/>
    <w:rsid w:val="542B571F"/>
    <w:rsid w:val="54976AA9"/>
    <w:rsid w:val="549A3F89"/>
    <w:rsid w:val="54A022DD"/>
    <w:rsid w:val="54AA7049"/>
    <w:rsid w:val="54B95421"/>
    <w:rsid w:val="54CF639A"/>
    <w:rsid w:val="54DE0134"/>
    <w:rsid w:val="54F40211"/>
    <w:rsid w:val="54FC0026"/>
    <w:rsid w:val="55192735"/>
    <w:rsid w:val="552F56E3"/>
    <w:rsid w:val="553C46BA"/>
    <w:rsid w:val="55485688"/>
    <w:rsid w:val="55494082"/>
    <w:rsid w:val="555B3FA7"/>
    <w:rsid w:val="555C2F6B"/>
    <w:rsid w:val="555F54CC"/>
    <w:rsid w:val="557D5B60"/>
    <w:rsid w:val="55806EC2"/>
    <w:rsid w:val="55834A19"/>
    <w:rsid w:val="559B40B8"/>
    <w:rsid w:val="559D43FA"/>
    <w:rsid w:val="55AC59CE"/>
    <w:rsid w:val="55CF743F"/>
    <w:rsid w:val="55F27046"/>
    <w:rsid w:val="55F526C6"/>
    <w:rsid w:val="56066DC9"/>
    <w:rsid w:val="560B2337"/>
    <w:rsid w:val="561A7286"/>
    <w:rsid w:val="561A7CC7"/>
    <w:rsid w:val="564E1228"/>
    <w:rsid w:val="567B681C"/>
    <w:rsid w:val="56A6131D"/>
    <w:rsid w:val="56A82B00"/>
    <w:rsid w:val="56B77BC4"/>
    <w:rsid w:val="56BC5AD0"/>
    <w:rsid w:val="56D00C68"/>
    <w:rsid w:val="56EB60FD"/>
    <w:rsid w:val="57022BD1"/>
    <w:rsid w:val="57212B27"/>
    <w:rsid w:val="572809C2"/>
    <w:rsid w:val="57480C4D"/>
    <w:rsid w:val="574C27F3"/>
    <w:rsid w:val="57746065"/>
    <w:rsid w:val="577952E4"/>
    <w:rsid w:val="577E025B"/>
    <w:rsid w:val="57895A45"/>
    <w:rsid w:val="579D6934"/>
    <w:rsid w:val="57A16858"/>
    <w:rsid w:val="57B30CDA"/>
    <w:rsid w:val="57C5313B"/>
    <w:rsid w:val="57D807D4"/>
    <w:rsid w:val="57EA7969"/>
    <w:rsid w:val="57F740F4"/>
    <w:rsid w:val="57FA3D86"/>
    <w:rsid w:val="582B2191"/>
    <w:rsid w:val="58466FCB"/>
    <w:rsid w:val="58750691"/>
    <w:rsid w:val="589A78E5"/>
    <w:rsid w:val="58AB575D"/>
    <w:rsid w:val="58AD0DF8"/>
    <w:rsid w:val="58BC728D"/>
    <w:rsid w:val="58BD4DB3"/>
    <w:rsid w:val="58D22E69"/>
    <w:rsid w:val="58DD0763"/>
    <w:rsid w:val="58EA22FF"/>
    <w:rsid w:val="58EB59C1"/>
    <w:rsid w:val="59266203"/>
    <w:rsid w:val="59372DB8"/>
    <w:rsid w:val="59400210"/>
    <w:rsid w:val="59445F91"/>
    <w:rsid w:val="596A4F3B"/>
    <w:rsid w:val="59815208"/>
    <w:rsid w:val="5993057B"/>
    <w:rsid w:val="59A43D8B"/>
    <w:rsid w:val="59A64B68"/>
    <w:rsid w:val="59F001A4"/>
    <w:rsid w:val="5A1E2DE7"/>
    <w:rsid w:val="5A20427A"/>
    <w:rsid w:val="5A331DE9"/>
    <w:rsid w:val="5A3612C1"/>
    <w:rsid w:val="5A395FB6"/>
    <w:rsid w:val="5A436A2D"/>
    <w:rsid w:val="5A4C49F3"/>
    <w:rsid w:val="5A751DEA"/>
    <w:rsid w:val="5A7600BD"/>
    <w:rsid w:val="5A9833A8"/>
    <w:rsid w:val="5AAC047B"/>
    <w:rsid w:val="5ABD6F71"/>
    <w:rsid w:val="5AC95404"/>
    <w:rsid w:val="5AD91258"/>
    <w:rsid w:val="5B0531ED"/>
    <w:rsid w:val="5B0A066E"/>
    <w:rsid w:val="5B123FA7"/>
    <w:rsid w:val="5B1D0885"/>
    <w:rsid w:val="5B2630E4"/>
    <w:rsid w:val="5B3E4BE8"/>
    <w:rsid w:val="5B5E18A4"/>
    <w:rsid w:val="5B613C0E"/>
    <w:rsid w:val="5B955E96"/>
    <w:rsid w:val="5B9B3675"/>
    <w:rsid w:val="5BA26571"/>
    <w:rsid w:val="5BCA6564"/>
    <w:rsid w:val="5BD66D67"/>
    <w:rsid w:val="5BF7311F"/>
    <w:rsid w:val="5BFE7E52"/>
    <w:rsid w:val="5C0D4B2D"/>
    <w:rsid w:val="5C107D40"/>
    <w:rsid w:val="5C1D1988"/>
    <w:rsid w:val="5C1E3775"/>
    <w:rsid w:val="5C381264"/>
    <w:rsid w:val="5C5060E9"/>
    <w:rsid w:val="5C5E6BE8"/>
    <w:rsid w:val="5C672644"/>
    <w:rsid w:val="5C8132C7"/>
    <w:rsid w:val="5C891B7C"/>
    <w:rsid w:val="5CA23A25"/>
    <w:rsid w:val="5CA72002"/>
    <w:rsid w:val="5CBC5AAE"/>
    <w:rsid w:val="5CC26330"/>
    <w:rsid w:val="5CD67F41"/>
    <w:rsid w:val="5CDF760E"/>
    <w:rsid w:val="5CE07ABA"/>
    <w:rsid w:val="5CE94F34"/>
    <w:rsid w:val="5CF00F5E"/>
    <w:rsid w:val="5D017C51"/>
    <w:rsid w:val="5D0631CD"/>
    <w:rsid w:val="5D4165A3"/>
    <w:rsid w:val="5D463591"/>
    <w:rsid w:val="5D4F2A78"/>
    <w:rsid w:val="5D570A59"/>
    <w:rsid w:val="5D792AE4"/>
    <w:rsid w:val="5D8660BC"/>
    <w:rsid w:val="5DC25C67"/>
    <w:rsid w:val="5DC723E9"/>
    <w:rsid w:val="5DCA711D"/>
    <w:rsid w:val="5DD97571"/>
    <w:rsid w:val="5DDA1D04"/>
    <w:rsid w:val="5DE22BD1"/>
    <w:rsid w:val="5E101ABB"/>
    <w:rsid w:val="5E2F58D3"/>
    <w:rsid w:val="5E5A06FD"/>
    <w:rsid w:val="5E8A56FD"/>
    <w:rsid w:val="5E8E5228"/>
    <w:rsid w:val="5E9342EC"/>
    <w:rsid w:val="5EA27CF7"/>
    <w:rsid w:val="5EBC3C1E"/>
    <w:rsid w:val="5EEE45E3"/>
    <w:rsid w:val="5EF17565"/>
    <w:rsid w:val="5EF32CEC"/>
    <w:rsid w:val="5F370702"/>
    <w:rsid w:val="5F3815EE"/>
    <w:rsid w:val="5F4E6765"/>
    <w:rsid w:val="5F5C32D6"/>
    <w:rsid w:val="5F633A13"/>
    <w:rsid w:val="5FB10E83"/>
    <w:rsid w:val="5FC36F77"/>
    <w:rsid w:val="5FDC6467"/>
    <w:rsid w:val="5FF45F8E"/>
    <w:rsid w:val="5FFD96AC"/>
    <w:rsid w:val="5FFF2CC0"/>
    <w:rsid w:val="600E788A"/>
    <w:rsid w:val="60173C67"/>
    <w:rsid w:val="602003FB"/>
    <w:rsid w:val="60206354"/>
    <w:rsid w:val="603911C4"/>
    <w:rsid w:val="604130CF"/>
    <w:rsid w:val="60572C99"/>
    <w:rsid w:val="60663C94"/>
    <w:rsid w:val="60790B0B"/>
    <w:rsid w:val="60794FD4"/>
    <w:rsid w:val="607B7A2E"/>
    <w:rsid w:val="60814FEF"/>
    <w:rsid w:val="60946411"/>
    <w:rsid w:val="60AE4E89"/>
    <w:rsid w:val="60CD4AC4"/>
    <w:rsid w:val="60D32F5A"/>
    <w:rsid w:val="61001CE1"/>
    <w:rsid w:val="610E2B4C"/>
    <w:rsid w:val="613B39A0"/>
    <w:rsid w:val="613E3956"/>
    <w:rsid w:val="6151253D"/>
    <w:rsid w:val="617F0AF7"/>
    <w:rsid w:val="618D5C6B"/>
    <w:rsid w:val="619945D7"/>
    <w:rsid w:val="61C210E3"/>
    <w:rsid w:val="61C24BFD"/>
    <w:rsid w:val="61DE43D4"/>
    <w:rsid w:val="61E06967"/>
    <w:rsid w:val="61ED083B"/>
    <w:rsid w:val="61FB2295"/>
    <w:rsid w:val="62184EFE"/>
    <w:rsid w:val="622F0AD0"/>
    <w:rsid w:val="623151CA"/>
    <w:rsid w:val="624216A0"/>
    <w:rsid w:val="624B45C0"/>
    <w:rsid w:val="626343A0"/>
    <w:rsid w:val="626736F9"/>
    <w:rsid w:val="626B4082"/>
    <w:rsid w:val="626B6B00"/>
    <w:rsid w:val="628E1BE9"/>
    <w:rsid w:val="62A3326C"/>
    <w:rsid w:val="62C126EC"/>
    <w:rsid w:val="62CF1703"/>
    <w:rsid w:val="62D06FF9"/>
    <w:rsid w:val="62D358FF"/>
    <w:rsid w:val="62D765EB"/>
    <w:rsid w:val="62E16861"/>
    <w:rsid w:val="636B22CC"/>
    <w:rsid w:val="636C198B"/>
    <w:rsid w:val="63B31127"/>
    <w:rsid w:val="63B65AC7"/>
    <w:rsid w:val="63D7428B"/>
    <w:rsid w:val="64002DAD"/>
    <w:rsid w:val="640C4C0D"/>
    <w:rsid w:val="643B5584"/>
    <w:rsid w:val="64491489"/>
    <w:rsid w:val="64550596"/>
    <w:rsid w:val="645830D7"/>
    <w:rsid w:val="64675414"/>
    <w:rsid w:val="64692E08"/>
    <w:rsid w:val="646D58E0"/>
    <w:rsid w:val="647258C3"/>
    <w:rsid w:val="64745FD6"/>
    <w:rsid w:val="64763CBE"/>
    <w:rsid w:val="647F336D"/>
    <w:rsid w:val="647F41B9"/>
    <w:rsid w:val="648F3CAE"/>
    <w:rsid w:val="648F5856"/>
    <w:rsid w:val="64AA2E73"/>
    <w:rsid w:val="64AC63B8"/>
    <w:rsid w:val="64B8434A"/>
    <w:rsid w:val="64BD6867"/>
    <w:rsid w:val="64C5008F"/>
    <w:rsid w:val="64C71494"/>
    <w:rsid w:val="64E8446E"/>
    <w:rsid w:val="64E959FD"/>
    <w:rsid w:val="64F9CCE6"/>
    <w:rsid w:val="651B5828"/>
    <w:rsid w:val="6530087B"/>
    <w:rsid w:val="65376B47"/>
    <w:rsid w:val="654042F5"/>
    <w:rsid w:val="657370B6"/>
    <w:rsid w:val="65784102"/>
    <w:rsid w:val="65AB2B63"/>
    <w:rsid w:val="65E44DFA"/>
    <w:rsid w:val="65E63B9C"/>
    <w:rsid w:val="65F66C79"/>
    <w:rsid w:val="65FE7073"/>
    <w:rsid w:val="660447CA"/>
    <w:rsid w:val="662B5A52"/>
    <w:rsid w:val="665622BC"/>
    <w:rsid w:val="66653739"/>
    <w:rsid w:val="666C4EE6"/>
    <w:rsid w:val="66792487"/>
    <w:rsid w:val="66DC322E"/>
    <w:rsid w:val="66E50537"/>
    <w:rsid w:val="66ED2CA0"/>
    <w:rsid w:val="66F722EC"/>
    <w:rsid w:val="66FB0FDC"/>
    <w:rsid w:val="66FC5AFF"/>
    <w:rsid w:val="6709462E"/>
    <w:rsid w:val="67307199"/>
    <w:rsid w:val="6777196F"/>
    <w:rsid w:val="67825F62"/>
    <w:rsid w:val="678A1ED0"/>
    <w:rsid w:val="67AB61F8"/>
    <w:rsid w:val="67BA7741"/>
    <w:rsid w:val="67C26160"/>
    <w:rsid w:val="67E6170C"/>
    <w:rsid w:val="67ED1BBE"/>
    <w:rsid w:val="67ED7463"/>
    <w:rsid w:val="67F94179"/>
    <w:rsid w:val="67FD51CC"/>
    <w:rsid w:val="680D0CA5"/>
    <w:rsid w:val="684D7F02"/>
    <w:rsid w:val="686C7F9F"/>
    <w:rsid w:val="68A45648"/>
    <w:rsid w:val="68A5668C"/>
    <w:rsid w:val="68BD44C2"/>
    <w:rsid w:val="68C424BD"/>
    <w:rsid w:val="68C56F81"/>
    <w:rsid w:val="68C7438B"/>
    <w:rsid w:val="68D27297"/>
    <w:rsid w:val="68F21A6E"/>
    <w:rsid w:val="68F42855"/>
    <w:rsid w:val="6911241F"/>
    <w:rsid w:val="691427CE"/>
    <w:rsid w:val="69232A11"/>
    <w:rsid w:val="694209CA"/>
    <w:rsid w:val="69586B5E"/>
    <w:rsid w:val="69925D1F"/>
    <w:rsid w:val="69B34C58"/>
    <w:rsid w:val="69B55D5F"/>
    <w:rsid w:val="69B67115"/>
    <w:rsid w:val="69B82DF4"/>
    <w:rsid w:val="69DA0EE9"/>
    <w:rsid w:val="69EF53B4"/>
    <w:rsid w:val="69FB8724"/>
    <w:rsid w:val="6A126DD2"/>
    <w:rsid w:val="6A2B4273"/>
    <w:rsid w:val="6A420E56"/>
    <w:rsid w:val="6A7A00D0"/>
    <w:rsid w:val="6A924E32"/>
    <w:rsid w:val="6A94008C"/>
    <w:rsid w:val="6AC635A8"/>
    <w:rsid w:val="6AC83B0F"/>
    <w:rsid w:val="6ADA17F5"/>
    <w:rsid w:val="6AE60947"/>
    <w:rsid w:val="6AEF6EB8"/>
    <w:rsid w:val="6AFD0629"/>
    <w:rsid w:val="6AFD7E4E"/>
    <w:rsid w:val="6B08439F"/>
    <w:rsid w:val="6B0B374F"/>
    <w:rsid w:val="6B0E6D92"/>
    <w:rsid w:val="6B17074E"/>
    <w:rsid w:val="6B1F0CCB"/>
    <w:rsid w:val="6B285847"/>
    <w:rsid w:val="6B345364"/>
    <w:rsid w:val="6B5F1CFB"/>
    <w:rsid w:val="6B6234E5"/>
    <w:rsid w:val="6B711708"/>
    <w:rsid w:val="6B980A95"/>
    <w:rsid w:val="6BA67A32"/>
    <w:rsid w:val="6BBD11F5"/>
    <w:rsid w:val="6BCE1834"/>
    <w:rsid w:val="6BD12800"/>
    <w:rsid w:val="6BD55290"/>
    <w:rsid w:val="6C022DB1"/>
    <w:rsid w:val="6C046B2A"/>
    <w:rsid w:val="6C172034"/>
    <w:rsid w:val="6C1B1096"/>
    <w:rsid w:val="6C5E02FC"/>
    <w:rsid w:val="6C611966"/>
    <w:rsid w:val="6C721812"/>
    <w:rsid w:val="6C8B0F52"/>
    <w:rsid w:val="6C996570"/>
    <w:rsid w:val="6CC73E80"/>
    <w:rsid w:val="6CDD0DD0"/>
    <w:rsid w:val="6CFA7DB1"/>
    <w:rsid w:val="6CFF6CC3"/>
    <w:rsid w:val="6D0127E4"/>
    <w:rsid w:val="6D135E16"/>
    <w:rsid w:val="6D144063"/>
    <w:rsid w:val="6D1C168A"/>
    <w:rsid w:val="6D2154B9"/>
    <w:rsid w:val="6D3057F5"/>
    <w:rsid w:val="6D347A31"/>
    <w:rsid w:val="6D3668DD"/>
    <w:rsid w:val="6D471CAB"/>
    <w:rsid w:val="6D70425D"/>
    <w:rsid w:val="6D986796"/>
    <w:rsid w:val="6DAC0977"/>
    <w:rsid w:val="6DB941BD"/>
    <w:rsid w:val="6DC60F63"/>
    <w:rsid w:val="6DED6545"/>
    <w:rsid w:val="6DF11063"/>
    <w:rsid w:val="6E327B70"/>
    <w:rsid w:val="6E3B32BE"/>
    <w:rsid w:val="6E4C770B"/>
    <w:rsid w:val="6E5F1098"/>
    <w:rsid w:val="6E604AF0"/>
    <w:rsid w:val="6E6F2793"/>
    <w:rsid w:val="6E6F371A"/>
    <w:rsid w:val="6E703D8E"/>
    <w:rsid w:val="6E7F1EDE"/>
    <w:rsid w:val="6E84323D"/>
    <w:rsid w:val="6E8468DA"/>
    <w:rsid w:val="6E942A76"/>
    <w:rsid w:val="6EA41FA2"/>
    <w:rsid w:val="6EB14DA4"/>
    <w:rsid w:val="6EB44AD4"/>
    <w:rsid w:val="6EBA69C8"/>
    <w:rsid w:val="6EC97FD4"/>
    <w:rsid w:val="6EFD7974"/>
    <w:rsid w:val="6F265009"/>
    <w:rsid w:val="6F313FE8"/>
    <w:rsid w:val="6F381CAC"/>
    <w:rsid w:val="6F6128C1"/>
    <w:rsid w:val="6F723264"/>
    <w:rsid w:val="6F8A4EC4"/>
    <w:rsid w:val="6F9C6902"/>
    <w:rsid w:val="6F9E6156"/>
    <w:rsid w:val="6FA06B69"/>
    <w:rsid w:val="6FA0729C"/>
    <w:rsid w:val="6FBC0412"/>
    <w:rsid w:val="6FF73654"/>
    <w:rsid w:val="70032138"/>
    <w:rsid w:val="700975B8"/>
    <w:rsid w:val="70100CA2"/>
    <w:rsid w:val="70393572"/>
    <w:rsid w:val="706E27A1"/>
    <w:rsid w:val="706F0977"/>
    <w:rsid w:val="707263F3"/>
    <w:rsid w:val="70A24D48"/>
    <w:rsid w:val="70B07280"/>
    <w:rsid w:val="70BA64EF"/>
    <w:rsid w:val="70C42D2B"/>
    <w:rsid w:val="70C900DF"/>
    <w:rsid w:val="70F80524"/>
    <w:rsid w:val="70F81F73"/>
    <w:rsid w:val="71095E95"/>
    <w:rsid w:val="710A2419"/>
    <w:rsid w:val="710E65A0"/>
    <w:rsid w:val="71124D16"/>
    <w:rsid w:val="71326D32"/>
    <w:rsid w:val="71347EB1"/>
    <w:rsid w:val="71453598"/>
    <w:rsid w:val="714C2CD0"/>
    <w:rsid w:val="715A596A"/>
    <w:rsid w:val="717C247D"/>
    <w:rsid w:val="717F26E4"/>
    <w:rsid w:val="71816B8E"/>
    <w:rsid w:val="71832D29"/>
    <w:rsid w:val="71907818"/>
    <w:rsid w:val="71B252F9"/>
    <w:rsid w:val="71DE7E1D"/>
    <w:rsid w:val="71E931C6"/>
    <w:rsid w:val="71E95916"/>
    <w:rsid w:val="71EB1F0E"/>
    <w:rsid w:val="71F96FCA"/>
    <w:rsid w:val="72002D3E"/>
    <w:rsid w:val="7203413E"/>
    <w:rsid w:val="72191ED0"/>
    <w:rsid w:val="721C3014"/>
    <w:rsid w:val="721D0BFB"/>
    <w:rsid w:val="7250588C"/>
    <w:rsid w:val="72612D72"/>
    <w:rsid w:val="726F5278"/>
    <w:rsid w:val="727E786A"/>
    <w:rsid w:val="72813EF1"/>
    <w:rsid w:val="72887FD4"/>
    <w:rsid w:val="72BD0544"/>
    <w:rsid w:val="72C0472D"/>
    <w:rsid w:val="72CB03A1"/>
    <w:rsid w:val="72D11D5C"/>
    <w:rsid w:val="72DC3720"/>
    <w:rsid w:val="72DC4121"/>
    <w:rsid w:val="72E4193A"/>
    <w:rsid w:val="72E85DAD"/>
    <w:rsid w:val="72ED783A"/>
    <w:rsid w:val="73025D8D"/>
    <w:rsid w:val="73133AF6"/>
    <w:rsid w:val="731A1794"/>
    <w:rsid w:val="732303D9"/>
    <w:rsid w:val="7344428A"/>
    <w:rsid w:val="73454BD7"/>
    <w:rsid w:val="734979C3"/>
    <w:rsid w:val="73532CC9"/>
    <w:rsid w:val="735C549D"/>
    <w:rsid w:val="736F7373"/>
    <w:rsid w:val="73866EC6"/>
    <w:rsid w:val="73890FDE"/>
    <w:rsid w:val="738F6C61"/>
    <w:rsid w:val="73C278BA"/>
    <w:rsid w:val="73C56338"/>
    <w:rsid w:val="73CA0D8F"/>
    <w:rsid w:val="73D223F2"/>
    <w:rsid w:val="73D73D11"/>
    <w:rsid w:val="73E95EE8"/>
    <w:rsid w:val="74080799"/>
    <w:rsid w:val="744975DD"/>
    <w:rsid w:val="745052E7"/>
    <w:rsid w:val="74610332"/>
    <w:rsid w:val="746242BC"/>
    <w:rsid w:val="746920A5"/>
    <w:rsid w:val="74AD6F4A"/>
    <w:rsid w:val="74AE06FF"/>
    <w:rsid w:val="74CB1EDB"/>
    <w:rsid w:val="74DE73F5"/>
    <w:rsid w:val="750E239F"/>
    <w:rsid w:val="7517095A"/>
    <w:rsid w:val="751E77AF"/>
    <w:rsid w:val="75702156"/>
    <w:rsid w:val="757A6A57"/>
    <w:rsid w:val="75C3090A"/>
    <w:rsid w:val="75D07F8B"/>
    <w:rsid w:val="75EE5669"/>
    <w:rsid w:val="76397F86"/>
    <w:rsid w:val="768F6EF4"/>
    <w:rsid w:val="76957051"/>
    <w:rsid w:val="76B5566B"/>
    <w:rsid w:val="76B85CD6"/>
    <w:rsid w:val="76BD4232"/>
    <w:rsid w:val="76C10199"/>
    <w:rsid w:val="76C57BCB"/>
    <w:rsid w:val="76D474B3"/>
    <w:rsid w:val="76D65839"/>
    <w:rsid w:val="76EF6DD7"/>
    <w:rsid w:val="76F927CD"/>
    <w:rsid w:val="772F78A5"/>
    <w:rsid w:val="773B2934"/>
    <w:rsid w:val="773E064E"/>
    <w:rsid w:val="774A751F"/>
    <w:rsid w:val="774E1211"/>
    <w:rsid w:val="775C313C"/>
    <w:rsid w:val="7767181A"/>
    <w:rsid w:val="776C177B"/>
    <w:rsid w:val="777B71D8"/>
    <w:rsid w:val="777D3E1A"/>
    <w:rsid w:val="77842F01"/>
    <w:rsid w:val="77843F46"/>
    <w:rsid w:val="778B00FF"/>
    <w:rsid w:val="77A54D53"/>
    <w:rsid w:val="77AB25AD"/>
    <w:rsid w:val="77BC8912"/>
    <w:rsid w:val="77BF8C4B"/>
    <w:rsid w:val="77C71F54"/>
    <w:rsid w:val="77D75F2B"/>
    <w:rsid w:val="77FC6767"/>
    <w:rsid w:val="781A0BEC"/>
    <w:rsid w:val="78202415"/>
    <w:rsid w:val="78213FC9"/>
    <w:rsid w:val="78572B59"/>
    <w:rsid w:val="786D5A56"/>
    <w:rsid w:val="78701D9C"/>
    <w:rsid w:val="787F0053"/>
    <w:rsid w:val="78CE1DD7"/>
    <w:rsid w:val="78F9F6D3"/>
    <w:rsid w:val="78FA0671"/>
    <w:rsid w:val="7933186F"/>
    <w:rsid w:val="79393B8B"/>
    <w:rsid w:val="793A634F"/>
    <w:rsid w:val="7963357E"/>
    <w:rsid w:val="797A5A56"/>
    <w:rsid w:val="798635EB"/>
    <w:rsid w:val="79A5750A"/>
    <w:rsid w:val="79C020A2"/>
    <w:rsid w:val="79C63670"/>
    <w:rsid w:val="79C93160"/>
    <w:rsid w:val="79CF368F"/>
    <w:rsid w:val="79EB2FD6"/>
    <w:rsid w:val="79ECAB6F"/>
    <w:rsid w:val="79ED0DA8"/>
    <w:rsid w:val="7A0C1011"/>
    <w:rsid w:val="7A0E7A81"/>
    <w:rsid w:val="7A17211E"/>
    <w:rsid w:val="7A321CDB"/>
    <w:rsid w:val="7A4B626B"/>
    <w:rsid w:val="7A567B6E"/>
    <w:rsid w:val="7A673253"/>
    <w:rsid w:val="7A6E32C8"/>
    <w:rsid w:val="7AA5772A"/>
    <w:rsid w:val="7AB0113D"/>
    <w:rsid w:val="7AC900CF"/>
    <w:rsid w:val="7AD63D87"/>
    <w:rsid w:val="7B0501C8"/>
    <w:rsid w:val="7B052FBD"/>
    <w:rsid w:val="7B2F54B5"/>
    <w:rsid w:val="7B48416D"/>
    <w:rsid w:val="7B560A24"/>
    <w:rsid w:val="7B5A5A6C"/>
    <w:rsid w:val="7B5C250E"/>
    <w:rsid w:val="7B5C3BBA"/>
    <w:rsid w:val="7B63305F"/>
    <w:rsid w:val="7B6D0F87"/>
    <w:rsid w:val="7B72691F"/>
    <w:rsid w:val="7B783FD8"/>
    <w:rsid w:val="7B8E6410"/>
    <w:rsid w:val="7B9A3DB8"/>
    <w:rsid w:val="7BA113AB"/>
    <w:rsid w:val="7BA67BFD"/>
    <w:rsid w:val="7BAC4AE8"/>
    <w:rsid w:val="7BCA7AEB"/>
    <w:rsid w:val="7BD52290"/>
    <w:rsid w:val="7BD568A0"/>
    <w:rsid w:val="7BDD65D1"/>
    <w:rsid w:val="7BE22960"/>
    <w:rsid w:val="7BF20E1E"/>
    <w:rsid w:val="7BFA6AF7"/>
    <w:rsid w:val="7BFDD5DC"/>
    <w:rsid w:val="7BFF70BE"/>
    <w:rsid w:val="7C120F4C"/>
    <w:rsid w:val="7C1B29E5"/>
    <w:rsid w:val="7C5728ED"/>
    <w:rsid w:val="7C574A54"/>
    <w:rsid w:val="7C686BCF"/>
    <w:rsid w:val="7C9408F4"/>
    <w:rsid w:val="7C947A56"/>
    <w:rsid w:val="7CB364F6"/>
    <w:rsid w:val="7CB83597"/>
    <w:rsid w:val="7CB90CC2"/>
    <w:rsid w:val="7CBB1486"/>
    <w:rsid w:val="7CC752E0"/>
    <w:rsid w:val="7CFB2CE9"/>
    <w:rsid w:val="7CFBCE9D"/>
    <w:rsid w:val="7D0C34C4"/>
    <w:rsid w:val="7D16582B"/>
    <w:rsid w:val="7D1E71EA"/>
    <w:rsid w:val="7D212CA5"/>
    <w:rsid w:val="7D255EE2"/>
    <w:rsid w:val="7D26D855"/>
    <w:rsid w:val="7D293184"/>
    <w:rsid w:val="7D2B742D"/>
    <w:rsid w:val="7D4B3EE6"/>
    <w:rsid w:val="7D6112EF"/>
    <w:rsid w:val="7D68620F"/>
    <w:rsid w:val="7D69777E"/>
    <w:rsid w:val="7D6FB106"/>
    <w:rsid w:val="7D752C5B"/>
    <w:rsid w:val="7D927DC0"/>
    <w:rsid w:val="7DA03DB7"/>
    <w:rsid w:val="7DB34706"/>
    <w:rsid w:val="7DC86E40"/>
    <w:rsid w:val="7DF2712A"/>
    <w:rsid w:val="7E110D76"/>
    <w:rsid w:val="7E1A0A9F"/>
    <w:rsid w:val="7E2327E1"/>
    <w:rsid w:val="7E3C401A"/>
    <w:rsid w:val="7E641213"/>
    <w:rsid w:val="7EA7EB6C"/>
    <w:rsid w:val="7EAD3628"/>
    <w:rsid w:val="7EB859C9"/>
    <w:rsid w:val="7ECB4935"/>
    <w:rsid w:val="7EDF5FFC"/>
    <w:rsid w:val="7EE33139"/>
    <w:rsid w:val="7EE43A06"/>
    <w:rsid w:val="7EEBD690"/>
    <w:rsid w:val="7EF34773"/>
    <w:rsid w:val="7EF931C4"/>
    <w:rsid w:val="7F0D08DC"/>
    <w:rsid w:val="7F173D26"/>
    <w:rsid w:val="7F452CF4"/>
    <w:rsid w:val="7F457705"/>
    <w:rsid w:val="7F5D0B46"/>
    <w:rsid w:val="7F666017"/>
    <w:rsid w:val="7F6FBE70"/>
    <w:rsid w:val="7F714EE5"/>
    <w:rsid w:val="7F765549"/>
    <w:rsid w:val="7F7F2734"/>
    <w:rsid w:val="7F9B10FB"/>
    <w:rsid w:val="7FA63F96"/>
    <w:rsid w:val="7FAF312E"/>
    <w:rsid w:val="7FB9287C"/>
    <w:rsid w:val="7FC32F20"/>
    <w:rsid w:val="7FCC47FD"/>
    <w:rsid w:val="7FD31973"/>
    <w:rsid w:val="7FD6A6B9"/>
    <w:rsid w:val="7FD926CB"/>
    <w:rsid w:val="7FE15B01"/>
    <w:rsid w:val="7FFB1B6E"/>
    <w:rsid w:val="AE6F756E"/>
    <w:rsid w:val="B4BF59EA"/>
    <w:rsid w:val="C6F5E4F8"/>
    <w:rsid w:val="DCA7CB02"/>
    <w:rsid w:val="DCE705B6"/>
    <w:rsid w:val="DE35E862"/>
    <w:rsid w:val="DF77D5E2"/>
    <w:rsid w:val="DFE64E7C"/>
    <w:rsid w:val="DFED91AF"/>
    <w:rsid w:val="F76F081C"/>
    <w:rsid w:val="F79F21F1"/>
    <w:rsid w:val="F7B3F097"/>
    <w:rsid w:val="F7BF1B7E"/>
    <w:rsid w:val="F7E80245"/>
    <w:rsid w:val="FBB70564"/>
    <w:rsid w:val="FC35CAB4"/>
    <w:rsid w:val="FFBBCCEE"/>
    <w:rsid w:val="FFBF25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autoRedefine/>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4"/>
    <w:autoRedefine/>
    <w:qFormat/>
    <w:uiPriority w:val="0"/>
    <w:pPr>
      <w:spacing w:after="120"/>
    </w:pPr>
    <w:rPr>
      <w:kern w:val="0"/>
      <w:sz w:val="20"/>
    </w:rPr>
  </w:style>
  <w:style w:type="paragraph" w:styleId="11">
    <w:name w:val="toc 7"/>
    <w:basedOn w:val="1"/>
    <w:next w:val="1"/>
    <w:autoRedefine/>
    <w:qFormat/>
    <w:uiPriority w:val="39"/>
    <w:pPr>
      <w:ind w:left="1260"/>
      <w:jc w:val="left"/>
    </w:pPr>
    <w:rPr>
      <w:rFonts w:ascii="Calibri" w:hAnsi="Calibri"/>
      <w:sz w:val="18"/>
      <w:szCs w:val="18"/>
    </w:rPr>
  </w:style>
  <w:style w:type="paragraph" w:styleId="12">
    <w:name w:val="table of authorities"/>
    <w:basedOn w:val="1"/>
    <w:next w:val="1"/>
    <w:autoRedefine/>
    <w:qFormat/>
    <w:uiPriority w:val="99"/>
    <w:pPr>
      <w:ind w:left="420" w:leftChars="200"/>
    </w:pPr>
  </w:style>
  <w:style w:type="paragraph" w:styleId="13">
    <w:name w:val="Normal Indent"/>
    <w:basedOn w:val="1"/>
    <w:link w:val="68"/>
    <w:autoRedefine/>
    <w:qFormat/>
    <w:uiPriority w:val="0"/>
    <w:pPr>
      <w:ind w:firstLine="420" w:firstLineChars="200"/>
    </w:pPr>
  </w:style>
  <w:style w:type="paragraph" w:styleId="14">
    <w:name w:val="Document Map"/>
    <w:basedOn w:val="1"/>
    <w:link w:val="75"/>
    <w:autoRedefine/>
    <w:qFormat/>
    <w:uiPriority w:val="0"/>
    <w:pPr>
      <w:shd w:val="clear" w:color="auto" w:fill="000080"/>
    </w:pPr>
    <w:rPr>
      <w:kern w:val="0"/>
      <w:sz w:val="20"/>
    </w:rPr>
  </w:style>
  <w:style w:type="paragraph" w:styleId="15">
    <w:name w:val="annotation text"/>
    <w:basedOn w:val="1"/>
    <w:link w:val="57"/>
    <w:autoRedefine/>
    <w:unhideWhenUsed/>
    <w:qFormat/>
    <w:uiPriority w:val="99"/>
    <w:pPr>
      <w:jc w:val="left"/>
    </w:pPr>
    <w:rPr>
      <w:kern w:val="0"/>
      <w:sz w:val="20"/>
    </w:rPr>
  </w:style>
  <w:style w:type="paragraph" w:styleId="16">
    <w:name w:val="Body Text 3"/>
    <w:basedOn w:val="1"/>
    <w:link w:val="61"/>
    <w:autoRedefine/>
    <w:qFormat/>
    <w:uiPriority w:val="0"/>
    <w:rPr>
      <w:rFonts w:ascii="宋体"/>
      <w:kern w:val="0"/>
      <w:sz w:val="24"/>
      <w:szCs w:val="20"/>
    </w:rPr>
  </w:style>
  <w:style w:type="paragraph" w:styleId="17">
    <w:name w:val="Body Text Indent"/>
    <w:basedOn w:val="1"/>
    <w:next w:val="1"/>
    <w:link w:val="74"/>
    <w:autoRedefine/>
    <w:qFormat/>
    <w:uiPriority w:val="0"/>
    <w:pPr>
      <w:spacing w:after="120"/>
      <w:ind w:left="420" w:leftChars="200"/>
    </w:pPr>
    <w:rPr>
      <w:kern w:val="0"/>
      <w:sz w:val="20"/>
    </w:rPr>
  </w:style>
  <w:style w:type="paragraph" w:styleId="18">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autoRedefine/>
    <w:qFormat/>
    <w:uiPriority w:val="39"/>
    <w:pPr>
      <w:ind w:left="840"/>
      <w:jc w:val="left"/>
    </w:pPr>
    <w:rPr>
      <w:rFonts w:ascii="Calibri" w:hAnsi="Calibri"/>
      <w:sz w:val="18"/>
      <w:szCs w:val="18"/>
    </w:rPr>
  </w:style>
  <w:style w:type="paragraph" w:styleId="20">
    <w:name w:val="toc 3"/>
    <w:basedOn w:val="1"/>
    <w:next w:val="1"/>
    <w:autoRedefine/>
    <w:qFormat/>
    <w:uiPriority w:val="39"/>
    <w:pPr>
      <w:ind w:left="420"/>
      <w:jc w:val="left"/>
    </w:pPr>
    <w:rPr>
      <w:rFonts w:ascii="Calibri" w:hAnsi="Calibri"/>
      <w:i/>
      <w:iCs/>
      <w:sz w:val="20"/>
      <w:szCs w:val="20"/>
    </w:rPr>
  </w:style>
  <w:style w:type="paragraph" w:styleId="21">
    <w:name w:val="Plain Text"/>
    <w:basedOn w:val="1"/>
    <w:link w:val="97"/>
    <w:autoRedefine/>
    <w:qFormat/>
    <w:uiPriority w:val="99"/>
    <w:rPr>
      <w:rFonts w:ascii="Courier New" w:hAnsi="Courier New"/>
      <w:kern w:val="0"/>
      <w:sz w:val="20"/>
      <w:szCs w:val="20"/>
    </w:rPr>
  </w:style>
  <w:style w:type="paragraph" w:styleId="22">
    <w:name w:val="toc 8"/>
    <w:basedOn w:val="1"/>
    <w:next w:val="1"/>
    <w:autoRedefine/>
    <w:qFormat/>
    <w:uiPriority w:val="39"/>
    <w:pPr>
      <w:ind w:left="1470"/>
      <w:jc w:val="left"/>
    </w:pPr>
    <w:rPr>
      <w:rFonts w:ascii="Calibri" w:hAnsi="Calibri"/>
      <w:sz w:val="18"/>
      <w:szCs w:val="18"/>
    </w:rPr>
  </w:style>
  <w:style w:type="paragraph" w:styleId="23">
    <w:name w:val="Date"/>
    <w:basedOn w:val="1"/>
    <w:next w:val="1"/>
    <w:link w:val="81"/>
    <w:autoRedefine/>
    <w:qFormat/>
    <w:uiPriority w:val="0"/>
    <w:rPr>
      <w:kern w:val="0"/>
      <w:sz w:val="24"/>
      <w:szCs w:val="20"/>
    </w:rPr>
  </w:style>
  <w:style w:type="paragraph" w:styleId="24">
    <w:name w:val="Body Text Indent 2"/>
    <w:basedOn w:val="1"/>
    <w:autoRedefine/>
    <w:qFormat/>
    <w:uiPriority w:val="0"/>
    <w:pPr>
      <w:spacing w:after="120" w:line="480" w:lineRule="auto"/>
      <w:ind w:left="420" w:leftChars="200"/>
    </w:pPr>
  </w:style>
  <w:style w:type="paragraph" w:styleId="25">
    <w:name w:val="Balloon Text"/>
    <w:basedOn w:val="1"/>
    <w:link w:val="79"/>
    <w:autoRedefine/>
    <w:qFormat/>
    <w:uiPriority w:val="0"/>
    <w:rPr>
      <w:kern w:val="0"/>
      <w:sz w:val="18"/>
      <w:szCs w:val="18"/>
    </w:rPr>
  </w:style>
  <w:style w:type="paragraph" w:styleId="26">
    <w:name w:val="footer"/>
    <w:basedOn w:val="1"/>
    <w:link w:val="93"/>
    <w:autoRedefine/>
    <w:qFormat/>
    <w:uiPriority w:val="99"/>
    <w:pPr>
      <w:tabs>
        <w:tab w:val="center" w:pos="4153"/>
        <w:tab w:val="right" w:pos="8306"/>
      </w:tabs>
      <w:snapToGrid w:val="0"/>
      <w:jc w:val="left"/>
    </w:pPr>
    <w:rPr>
      <w:kern w:val="0"/>
      <w:sz w:val="18"/>
      <w:szCs w:val="18"/>
    </w:rPr>
  </w:style>
  <w:style w:type="paragraph" w:styleId="27">
    <w:name w:val="header"/>
    <w:basedOn w:val="1"/>
    <w:link w:val="7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autoRedefine/>
    <w:qFormat/>
    <w:uiPriority w:val="39"/>
    <w:pPr>
      <w:spacing w:before="120" w:after="120"/>
      <w:jc w:val="left"/>
    </w:pPr>
    <w:rPr>
      <w:rFonts w:ascii="Calibri" w:hAnsi="Calibri"/>
      <w:b/>
      <w:bCs/>
      <w:caps/>
      <w:sz w:val="20"/>
      <w:szCs w:val="20"/>
    </w:rPr>
  </w:style>
  <w:style w:type="paragraph" w:styleId="29">
    <w:name w:val="toc 4"/>
    <w:basedOn w:val="1"/>
    <w:next w:val="1"/>
    <w:autoRedefine/>
    <w:qFormat/>
    <w:uiPriority w:val="39"/>
    <w:pPr>
      <w:ind w:left="630"/>
      <w:jc w:val="left"/>
    </w:pPr>
    <w:rPr>
      <w:rFonts w:ascii="Calibri" w:hAnsi="Calibri"/>
      <w:sz w:val="18"/>
      <w:szCs w:val="18"/>
    </w:rPr>
  </w:style>
  <w:style w:type="paragraph" w:styleId="30">
    <w:name w:val="footnote text"/>
    <w:basedOn w:val="1"/>
    <w:link w:val="65"/>
    <w:autoRedefine/>
    <w:qFormat/>
    <w:uiPriority w:val="0"/>
    <w:rPr>
      <w:kern w:val="0"/>
      <w:sz w:val="20"/>
      <w:szCs w:val="20"/>
    </w:rPr>
  </w:style>
  <w:style w:type="paragraph" w:styleId="31">
    <w:name w:val="toc 6"/>
    <w:basedOn w:val="1"/>
    <w:next w:val="1"/>
    <w:autoRedefine/>
    <w:qFormat/>
    <w:uiPriority w:val="39"/>
    <w:pPr>
      <w:ind w:left="1050"/>
      <w:jc w:val="left"/>
    </w:pPr>
    <w:rPr>
      <w:rFonts w:ascii="Calibri" w:hAnsi="Calibri"/>
      <w:sz w:val="18"/>
      <w:szCs w:val="18"/>
    </w:rPr>
  </w:style>
  <w:style w:type="paragraph" w:styleId="32">
    <w:name w:val="Body Text Indent 3"/>
    <w:basedOn w:val="1"/>
    <w:link w:val="85"/>
    <w:autoRedefine/>
    <w:qFormat/>
    <w:uiPriority w:val="0"/>
    <w:pPr>
      <w:spacing w:after="120"/>
      <w:ind w:left="420" w:leftChars="200"/>
    </w:pPr>
    <w:rPr>
      <w:kern w:val="0"/>
      <w:sz w:val="16"/>
      <w:szCs w:val="16"/>
    </w:rPr>
  </w:style>
  <w:style w:type="paragraph" w:styleId="33">
    <w:name w:val="table of figures"/>
    <w:basedOn w:val="1"/>
    <w:next w:val="1"/>
    <w:autoRedefine/>
    <w:qFormat/>
    <w:uiPriority w:val="0"/>
    <w:pPr>
      <w:ind w:left="200" w:leftChars="200" w:hanging="200" w:hangingChars="200"/>
    </w:pPr>
  </w:style>
  <w:style w:type="paragraph" w:styleId="34">
    <w:name w:val="toc 2"/>
    <w:basedOn w:val="1"/>
    <w:next w:val="1"/>
    <w:autoRedefine/>
    <w:qFormat/>
    <w:uiPriority w:val="39"/>
    <w:pPr>
      <w:ind w:left="210"/>
      <w:jc w:val="left"/>
    </w:pPr>
    <w:rPr>
      <w:rFonts w:ascii="Calibri" w:hAnsi="Calibri"/>
      <w:smallCaps/>
      <w:sz w:val="20"/>
      <w:szCs w:val="20"/>
    </w:rPr>
  </w:style>
  <w:style w:type="paragraph" w:styleId="35">
    <w:name w:val="toc 9"/>
    <w:basedOn w:val="1"/>
    <w:next w:val="1"/>
    <w:autoRedefine/>
    <w:qFormat/>
    <w:uiPriority w:val="39"/>
    <w:pPr>
      <w:ind w:left="1680"/>
      <w:jc w:val="left"/>
    </w:pPr>
    <w:rPr>
      <w:rFonts w:ascii="Calibri" w:hAnsi="Calibri"/>
      <w:sz w:val="18"/>
      <w:szCs w:val="18"/>
    </w:rPr>
  </w:style>
  <w:style w:type="paragraph" w:styleId="36">
    <w:name w:val="HTML Preformatted"/>
    <w:basedOn w:val="1"/>
    <w:link w:val="9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semiHidden/>
    <w:qFormat/>
    <w:uiPriority w:val="0"/>
    <w:pPr>
      <w:spacing w:line="360" w:lineRule="auto"/>
      <w:jc w:val="center"/>
    </w:pPr>
    <w:rPr>
      <w:rFonts w:ascii="宋体" w:hAnsi="Arial" w:cs="Arial"/>
      <w:b/>
      <w:color w:val="000000"/>
      <w:sz w:val="24"/>
    </w:rPr>
  </w:style>
  <w:style w:type="paragraph" w:styleId="39">
    <w:name w:val="Title"/>
    <w:basedOn w:val="1"/>
    <w:link w:val="78"/>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autoRedefine/>
    <w:qFormat/>
    <w:uiPriority w:val="0"/>
    <w:rPr>
      <w:b/>
      <w:bCs/>
    </w:rPr>
  </w:style>
  <w:style w:type="paragraph" w:styleId="41">
    <w:name w:val="Body Text First Indent"/>
    <w:basedOn w:val="2"/>
    <w:autoRedefine/>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autoRedefine/>
    <w:unhideWhenUsed/>
    <w:qFormat/>
    <w:uiPriority w:val="0"/>
    <w:pPr>
      <w:ind w:firstLine="420"/>
    </w:pPr>
  </w:style>
  <w:style w:type="table" w:styleId="44">
    <w:name w:val="Table Grid"/>
    <w:basedOn w:val="43"/>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autoRedefine/>
    <w:qFormat/>
    <w:uiPriority w:val="0"/>
  </w:style>
  <w:style w:type="character" w:styleId="48">
    <w:name w:val="FollowedHyperlink"/>
    <w:basedOn w:val="45"/>
    <w:autoRedefine/>
    <w:qFormat/>
    <w:uiPriority w:val="0"/>
    <w:rPr>
      <w:rFonts w:hint="default" w:ascii="Arial" w:hAnsi="Arial" w:eastAsia="Arial" w:cs="Arial"/>
      <w:color w:val="333333"/>
      <w:sz w:val="21"/>
      <w:szCs w:val="21"/>
      <w:u w:val="none"/>
    </w:rPr>
  </w:style>
  <w:style w:type="character" w:styleId="49">
    <w:name w:val="Hyperlink"/>
    <w:basedOn w:val="45"/>
    <w:autoRedefine/>
    <w:qFormat/>
    <w:uiPriority w:val="99"/>
    <w:rPr>
      <w:rFonts w:ascii="Arial" w:hAnsi="Arial" w:eastAsia="Arial" w:cs="Arial"/>
      <w:color w:val="333333"/>
      <w:sz w:val="21"/>
      <w:szCs w:val="21"/>
      <w:u w:val="none"/>
    </w:rPr>
  </w:style>
  <w:style w:type="character" w:styleId="50">
    <w:name w:val="annotation reference"/>
    <w:autoRedefine/>
    <w:qFormat/>
    <w:uiPriority w:val="0"/>
    <w:rPr>
      <w:sz w:val="21"/>
      <w:szCs w:val="21"/>
    </w:rPr>
  </w:style>
  <w:style w:type="character" w:styleId="51">
    <w:name w:val="footnote reference"/>
    <w:autoRedefine/>
    <w:qFormat/>
    <w:uiPriority w:val="0"/>
    <w:rPr>
      <w:vertAlign w:val="superscript"/>
    </w:rPr>
  </w:style>
  <w:style w:type="character" w:customStyle="1" w:styleId="52">
    <w:name w:val="apple-style-span"/>
    <w:autoRedefine/>
    <w:qFormat/>
    <w:uiPriority w:val="0"/>
    <w:rPr>
      <w:rFonts w:ascii="Verdana" w:hAnsi="Verdana" w:eastAsia="宋体"/>
      <w:sz w:val="21"/>
      <w:lang w:val="en-US" w:eastAsia="en-US" w:bidi="ar-SA"/>
    </w:rPr>
  </w:style>
  <w:style w:type="character" w:customStyle="1" w:styleId="53">
    <w:name w:val="正文文本 3 Char1"/>
    <w:autoRedefine/>
    <w:semiHidden/>
    <w:qFormat/>
    <w:uiPriority w:val="99"/>
    <w:rPr>
      <w:rFonts w:ascii="Times New Roman" w:hAnsi="Times New Roman" w:eastAsia="宋体" w:cs="Times New Roman"/>
      <w:sz w:val="16"/>
      <w:szCs w:val="16"/>
    </w:rPr>
  </w:style>
  <w:style w:type="character" w:customStyle="1" w:styleId="54">
    <w:name w:val="样式 宋体"/>
    <w:autoRedefine/>
    <w:qFormat/>
    <w:uiPriority w:val="0"/>
    <w:rPr>
      <w:rFonts w:ascii="Times New Roman" w:hAnsi="Times New Roman" w:eastAsia="宋体"/>
      <w:sz w:val="21"/>
    </w:rPr>
  </w:style>
  <w:style w:type="character" w:customStyle="1" w:styleId="55">
    <w:name w:val="正文文本 (2) + 9.5 pt"/>
    <w:autoRedefine/>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autoRedefine/>
    <w:qFormat/>
    <w:uiPriority w:val="0"/>
    <w:rPr>
      <w:rFonts w:ascii="Times New Roman" w:hAnsi="Times New Roman" w:eastAsia="宋体" w:cs="Times New Roman"/>
      <w:b/>
      <w:bCs/>
      <w:sz w:val="32"/>
      <w:szCs w:val="32"/>
    </w:rPr>
  </w:style>
  <w:style w:type="character" w:customStyle="1" w:styleId="57">
    <w:name w:val="批注文字 字符"/>
    <w:link w:val="15"/>
    <w:autoRedefine/>
    <w:semiHidden/>
    <w:qFormat/>
    <w:uiPriority w:val="99"/>
    <w:rPr>
      <w:rFonts w:ascii="Times New Roman" w:hAnsi="Times New Roman" w:eastAsia="宋体" w:cs="Times New Roman"/>
      <w:szCs w:val="24"/>
    </w:rPr>
  </w:style>
  <w:style w:type="character" w:customStyle="1" w:styleId="58">
    <w:name w:val="标题 6 字符"/>
    <w:link w:val="7"/>
    <w:autoRedefine/>
    <w:qFormat/>
    <w:uiPriority w:val="0"/>
    <w:rPr>
      <w:rFonts w:ascii="Arial" w:hAnsi="Arial" w:eastAsia="黑体" w:cs="Times New Roman"/>
      <w:b/>
      <w:bCs/>
      <w:kern w:val="0"/>
      <w:sz w:val="24"/>
      <w:szCs w:val="24"/>
    </w:rPr>
  </w:style>
  <w:style w:type="character" w:customStyle="1" w:styleId="59">
    <w:name w:val="Char Char8"/>
    <w:autoRedefine/>
    <w:qFormat/>
    <w:uiPriority w:val="0"/>
    <w:rPr>
      <w:rFonts w:ascii="Arial" w:hAnsi="Arial" w:eastAsia="黑体"/>
      <w:b/>
      <w:bCs/>
      <w:kern w:val="2"/>
      <w:sz w:val="32"/>
      <w:szCs w:val="32"/>
      <w:lang w:val="en-US" w:eastAsia="zh-CN" w:bidi="ar-SA"/>
    </w:rPr>
  </w:style>
  <w:style w:type="character" w:customStyle="1" w:styleId="60">
    <w:name w:val="脚注文本 Char1"/>
    <w:autoRedefine/>
    <w:semiHidden/>
    <w:qFormat/>
    <w:uiPriority w:val="99"/>
    <w:rPr>
      <w:rFonts w:ascii="Times New Roman" w:hAnsi="Times New Roman" w:eastAsia="宋体" w:cs="Times New Roman"/>
      <w:sz w:val="18"/>
      <w:szCs w:val="18"/>
    </w:rPr>
  </w:style>
  <w:style w:type="character" w:customStyle="1" w:styleId="61">
    <w:name w:val="正文文本 3 字符"/>
    <w:link w:val="16"/>
    <w:autoRedefine/>
    <w:qFormat/>
    <w:uiPriority w:val="0"/>
    <w:rPr>
      <w:rFonts w:ascii="宋体"/>
      <w:sz w:val="24"/>
    </w:rPr>
  </w:style>
  <w:style w:type="character" w:customStyle="1" w:styleId="62">
    <w:name w:val="页脚 Char1"/>
    <w:autoRedefine/>
    <w:semiHidden/>
    <w:qFormat/>
    <w:uiPriority w:val="99"/>
    <w:rPr>
      <w:rFonts w:ascii="Times New Roman" w:hAnsi="Times New Roman" w:eastAsia="宋体" w:cs="Times New Roman"/>
      <w:sz w:val="18"/>
      <w:szCs w:val="18"/>
    </w:rPr>
  </w:style>
  <w:style w:type="character" w:customStyle="1" w:styleId="63">
    <w:name w:val="标题 Char1"/>
    <w:autoRedefine/>
    <w:qFormat/>
    <w:uiPriority w:val="10"/>
    <w:rPr>
      <w:rFonts w:ascii="Calibri Light" w:hAnsi="Calibri Light" w:eastAsia="宋体" w:cs="Times New Roman"/>
      <w:b/>
      <w:bCs/>
      <w:sz w:val="32"/>
      <w:szCs w:val="32"/>
    </w:rPr>
  </w:style>
  <w:style w:type="character" w:customStyle="1" w:styleId="64">
    <w:name w:val="正文文本 字符"/>
    <w:link w:val="2"/>
    <w:autoRedefine/>
    <w:qFormat/>
    <w:uiPriority w:val="0"/>
    <w:rPr>
      <w:rFonts w:eastAsia="宋体"/>
      <w:szCs w:val="24"/>
    </w:rPr>
  </w:style>
  <w:style w:type="character" w:customStyle="1" w:styleId="65">
    <w:name w:val="脚注文本 字符"/>
    <w:link w:val="30"/>
    <w:autoRedefine/>
    <w:qFormat/>
    <w:uiPriority w:val="0"/>
    <w:rPr>
      <w:rFonts w:eastAsia="宋体"/>
    </w:rPr>
  </w:style>
  <w:style w:type="character" w:customStyle="1" w:styleId="66">
    <w:name w:val="纯文本 Char1"/>
    <w:autoRedefine/>
    <w:semiHidden/>
    <w:qFormat/>
    <w:uiPriority w:val="99"/>
    <w:rPr>
      <w:rFonts w:ascii="宋体" w:hAnsi="Courier New" w:eastAsia="宋体" w:cs="Courier New"/>
      <w:szCs w:val="21"/>
    </w:rPr>
  </w:style>
  <w:style w:type="character" w:customStyle="1" w:styleId="67">
    <w:name w:val="批注主题 字符"/>
    <w:link w:val="40"/>
    <w:autoRedefine/>
    <w:qFormat/>
    <w:uiPriority w:val="0"/>
    <w:rPr>
      <w:rFonts w:ascii="Times New Roman" w:hAnsi="Times New Roman" w:eastAsia="宋体" w:cs="Times New Roman"/>
      <w:b/>
      <w:bCs/>
      <w:szCs w:val="24"/>
    </w:rPr>
  </w:style>
  <w:style w:type="character" w:customStyle="1" w:styleId="68">
    <w:name w:val="正文缩进 字符"/>
    <w:link w:val="13"/>
    <w:autoRedefine/>
    <w:qFormat/>
    <w:locked/>
    <w:uiPriority w:val="0"/>
    <w:rPr>
      <w:kern w:val="2"/>
      <w:sz w:val="21"/>
      <w:szCs w:val="24"/>
    </w:rPr>
  </w:style>
  <w:style w:type="character" w:customStyle="1" w:styleId="69">
    <w:name w:val="font11"/>
    <w:autoRedefine/>
    <w:qFormat/>
    <w:uiPriority w:val="0"/>
    <w:rPr>
      <w:rFonts w:hint="default" w:ascii="Times New Roman" w:hAnsi="Times New Roman" w:cs="Times New Roman"/>
      <w:color w:val="000000"/>
      <w:sz w:val="22"/>
      <w:szCs w:val="22"/>
      <w:u w:val="none"/>
    </w:rPr>
  </w:style>
  <w:style w:type="character" w:customStyle="1" w:styleId="70">
    <w:name w:val="font01"/>
    <w:autoRedefine/>
    <w:qFormat/>
    <w:uiPriority w:val="0"/>
    <w:rPr>
      <w:rFonts w:hint="eastAsia" w:ascii="宋体" w:hAnsi="宋体" w:eastAsia="宋体" w:cs="宋体"/>
      <w:color w:val="000000"/>
      <w:sz w:val="22"/>
      <w:szCs w:val="22"/>
      <w:u w:val="none"/>
    </w:rPr>
  </w:style>
  <w:style w:type="character" w:customStyle="1" w:styleId="71">
    <w:name w:val="页眉 字符"/>
    <w:link w:val="27"/>
    <w:autoRedefine/>
    <w:qFormat/>
    <w:uiPriority w:val="0"/>
    <w:rPr>
      <w:rFonts w:ascii="Times New Roman" w:hAnsi="Times New Roman" w:eastAsia="宋体" w:cs="Times New Roman"/>
      <w:sz w:val="18"/>
      <w:szCs w:val="18"/>
    </w:rPr>
  </w:style>
  <w:style w:type="character" w:customStyle="1" w:styleId="72">
    <w:name w:val="标题 9 字符"/>
    <w:link w:val="10"/>
    <w:autoRedefine/>
    <w:qFormat/>
    <w:uiPriority w:val="0"/>
    <w:rPr>
      <w:rFonts w:ascii="Arial" w:hAnsi="Arial" w:eastAsia="黑体" w:cs="Times New Roman"/>
      <w:kern w:val="0"/>
      <w:szCs w:val="21"/>
    </w:rPr>
  </w:style>
  <w:style w:type="character" w:customStyle="1" w:styleId="73">
    <w:name w:val="标题 2 Char1"/>
    <w:autoRedefine/>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autoRedefine/>
    <w:qFormat/>
    <w:uiPriority w:val="0"/>
    <w:rPr>
      <w:szCs w:val="24"/>
    </w:rPr>
  </w:style>
  <w:style w:type="character" w:customStyle="1" w:styleId="75">
    <w:name w:val="文档结构图 字符"/>
    <w:link w:val="14"/>
    <w:autoRedefine/>
    <w:qFormat/>
    <w:uiPriority w:val="0"/>
    <w:rPr>
      <w:rFonts w:ascii="Times New Roman" w:hAnsi="Times New Roman" w:eastAsia="宋体" w:cs="Times New Roman"/>
      <w:szCs w:val="24"/>
      <w:shd w:val="clear" w:color="auto" w:fill="000080"/>
    </w:rPr>
  </w:style>
  <w:style w:type="character" w:customStyle="1" w:styleId="76">
    <w:name w:val="font161"/>
    <w:autoRedefine/>
    <w:qFormat/>
    <w:uiPriority w:val="0"/>
    <w:rPr>
      <w:b/>
      <w:bCs/>
      <w:sz w:val="32"/>
      <w:szCs w:val="32"/>
    </w:rPr>
  </w:style>
  <w:style w:type="character" w:customStyle="1" w:styleId="77">
    <w:name w:val="标题 2 字符"/>
    <w:link w:val="4"/>
    <w:autoRedefine/>
    <w:qFormat/>
    <w:uiPriority w:val="0"/>
    <w:rPr>
      <w:rFonts w:ascii="Arial" w:hAnsi="Arial" w:eastAsia="黑体" w:cs="Times New Roman"/>
      <w:b/>
      <w:bCs/>
      <w:sz w:val="32"/>
      <w:szCs w:val="32"/>
    </w:rPr>
  </w:style>
  <w:style w:type="character" w:customStyle="1" w:styleId="78">
    <w:name w:val="标题 字符"/>
    <w:link w:val="39"/>
    <w:autoRedefine/>
    <w:qFormat/>
    <w:uiPriority w:val="0"/>
    <w:rPr>
      <w:rFonts w:ascii="Arial" w:hAnsi="Arial"/>
      <w:b/>
      <w:sz w:val="32"/>
    </w:rPr>
  </w:style>
  <w:style w:type="character" w:customStyle="1" w:styleId="79">
    <w:name w:val="批注框文本 字符"/>
    <w:link w:val="25"/>
    <w:autoRedefine/>
    <w:qFormat/>
    <w:uiPriority w:val="0"/>
    <w:rPr>
      <w:rFonts w:ascii="Times New Roman" w:hAnsi="Times New Roman" w:eastAsia="宋体" w:cs="Times New Roman"/>
      <w:sz w:val="18"/>
      <w:szCs w:val="18"/>
    </w:rPr>
  </w:style>
  <w:style w:type="character" w:customStyle="1" w:styleId="80">
    <w:name w:val="标题 8 字符"/>
    <w:link w:val="9"/>
    <w:autoRedefine/>
    <w:qFormat/>
    <w:uiPriority w:val="0"/>
    <w:rPr>
      <w:rFonts w:ascii="Arial" w:hAnsi="Arial" w:eastAsia="黑体" w:cs="Times New Roman"/>
      <w:kern w:val="0"/>
      <w:sz w:val="24"/>
      <w:szCs w:val="24"/>
    </w:rPr>
  </w:style>
  <w:style w:type="character" w:customStyle="1" w:styleId="81">
    <w:name w:val="日期 字符"/>
    <w:link w:val="23"/>
    <w:autoRedefine/>
    <w:qFormat/>
    <w:uiPriority w:val="0"/>
    <w:rPr>
      <w:rFonts w:ascii="Times New Roman" w:hAnsi="Times New Roman" w:eastAsia="宋体" w:cs="Times New Roman"/>
      <w:sz w:val="24"/>
      <w:szCs w:val="20"/>
    </w:rPr>
  </w:style>
  <w:style w:type="character" w:customStyle="1" w:styleId="82">
    <w:name w:val="标题 1 字符"/>
    <w:link w:val="3"/>
    <w:autoRedefine/>
    <w:qFormat/>
    <w:uiPriority w:val="0"/>
    <w:rPr>
      <w:rFonts w:ascii="Times New Roman" w:hAnsi="Times New Roman" w:eastAsia="宋体" w:cs="Times New Roman"/>
      <w:b/>
      <w:bCs/>
      <w:kern w:val="44"/>
      <w:sz w:val="44"/>
      <w:szCs w:val="44"/>
    </w:rPr>
  </w:style>
  <w:style w:type="character" w:customStyle="1" w:styleId="83">
    <w:name w:val="招标节 Char"/>
    <w:link w:val="84"/>
    <w:autoRedefine/>
    <w:qFormat/>
    <w:locked/>
    <w:uiPriority w:val="0"/>
    <w:rPr>
      <w:b/>
      <w:sz w:val="24"/>
      <w:szCs w:val="24"/>
    </w:rPr>
  </w:style>
  <w:style w:type="paragraph" w:customStyle="1" w:styleId="84">
    <w:name w:val="招标节"/>
    <w:basedOn w:val="1"/>
    <w:next w:val="1"/>
    <w:link w:val="83"/>
    <w:autoRedefine/>
    <w:qFormat/>
    <w:uiPriority w:val="0"/>
    <w:pPr>
      <w:spacing w:beforeLines="50" w:afterLines="50"/>
      <w:outlineLvl w:val="1"/>
    </w:pPr>
    <w:rPr>
      <w:b/>
      <w:kern w:val="0"/>
      <w:sz w:val="24"/>
    </w:rPr>
  </w:style>
  <w:style w:type="character" w:customStyle="1" w:styleId="85">
    <w:name w:val="正文文本缩进 3 字符"/>
    <w:link w:val="32"/>
    <w:autoRedefine/>
    <w:qFormat/>
    <w:uiPriority w:val="0"/>
    <w:rPr>
      <w:rFonts w:ascii="Times New Roman" w:hAnsi="Times New Roman" w:eastAsia="宋体" w:cs="Times New Roman"/>
      <w:sz w:val="16"/>
      <w:szCs w:val="16"/>
    </w:rPr>
  </w:style>
  <w:style w:type="character" w:customStyle="1" w:styleId="86">
    <w:name w:val="tpc_content1"/>
    <w:autoRedefine/>
    <w:qFormat/>
    <w:uiPriority w:val="0"/>
    <w:rPr>
      <w:sz w:val="20"/>
      <w:szCs w:val="20"/>
    </w:rPr>
  </w:style>
  <w:style w:type="character" w:customStyle="1" w:styleId="87">
    <w:name w:val="Char Char"/>
    <w:autoRedefine/>
    <w:qFormat/>
    <w:uiPriority w:val="0"/>
    <w:rPr>
      <w:rFonts w:ascii="Arial" w:hAnsi="Arial" w:eastAsia="黑体"/>
      <w:b/>
      <w:bCs/>
      <w:kern w:val="2"/>
      <w:sz w:val="32"/>
      <w:szCs w:val="32"/>
      <w:lang w:val="en-US" w:eastAsia="zh-CN" w:bidi="ar-SA"/>
    </w:rPr>
  </w:style>
  <w:style w:type="character" w:customStyle="1" w:styleId="88">
    <w:name w:val="正文文本 Char1"/>
    <w:autoRedefine/>
    <w:semiHidden/>
    <w:qFormat/>
    <w:uiPriority w:val="99"/>
    <w:rPr>
      <w:rFonts w:ascii="Times New Roman" w:hAnsi="Times New Roman" w:eastAsia="宋体" w:cs="Times New Roman"/>
      <w:szCs w:val="24"/>
    </w:rPr>
  </w:style>
  <w:style w:type="character" w:customStyle="1" w:styleId="89">
    <w:name w:val="Char Char2"/>
    <w:autoRedefine/>
    <w:qFormat/>
    <w:uiPriority w:val="0"/>
    <w:rPr>
      <w:rFonts w:eastAsia="宋体"/>
      <w:kern w:val="2"/>
      <w:sz w:val="21"/>
      <w:szCs w:val="24"/>
      <w:lang w:val="en-US" w:eastAsia="zh-CN" w:bidi="ar-SA"/>
    </w:rPr>
  </w:style>
  <w:style w:type="character" w:customStyle="1" w:styleId="90">
    <w:name w:val="apple-converted-space"/>
    <w:autoRedefine/>
    <w:qFormat/>
    <w:uiPriority w:val="0"/>
  </w:style>
  <w:style w:type="character" w:customStyle="1" w:styleId="91">
    <w:name w:val="标题 4 字符"/>
    <w:link w:val="6"/>
    <w:autoRedefine/>
    <w:qFormat/>
    <w:uiPriority w:val="0"/>
    <w:rPr>
      <w:rFonts w:ascii="Arial" w:hAnsi="Arial" w:eastAsia="黑体" w:cs="Times New Roman"/>
      <w:b/>
      <w:bCs/>
      <w:sz w:val="28"/>
      <w:szCs w:val="28"/>
    </w:rPr>
  </w:style>
  <w:style w:type="character" w:customStyle="1" w:styleId="92">
    <w:name w:val="正文文本缩进 Char1"/>
    <w:autoRedefine/>
    <w:semiHidden/>
    <w:qFormat/>
    <w:uiPriority w:val="99"/>
    <w:rPr>
      <w:rFonts w:ascii="Times New Roman" w:hAnsi="Times New Roman" w:eastAsia="宋体" w:cs="Times New Roman"/>
      <w:szCs w:val="24"/>
    </w:rPr>
  </w:style>
  <w:style w:type="character" w:customStyle="1" w:styleId="93">
    <w:name w:val="页脚 字符"/>
    <w:link w:val="26"/>
    <w:autoRedefine/>
    <w:qFormat/>
    <w:uiPriority w:val="99"/>
    <w:rPr>
      <w:sz w:val="18"/>
      <w:szCs w:val="18"/>
    </w:rPr>
  </w:style>
  <w:style w:type="character" w:customStyle="1" w:styleId="94">
    <w:name w:val="Char Char7"/>
    <w:autoRedefine/>
    <w:qFormat/>
    <w:uiPriority w:val="0"/>
    <w:rPr>
      <w:rFonts w:ascii="Arial" w:hAnsi="Arial" w:eastAsia="黑体"/>
      <w:b/>
      <w:bCs/>
      <w:kern w:val="2"/>
      <w:sz w:val="32"/>
      <w:szCs w:val="32"/>
      <w:lang w:val="en-US" w:eastAsia="zh-CN" w:bidi="ar-SA"/>
    </w:rPr>
  </w:style>
  <w:style w:type="character" w:customStyle="1" w:styleId="95">
    <w:name w:val="HTML 预设格式 字符"/>
    <w:link w:val="36"/>
    <w:autoRedefine/>
    <w:qFormat/>
    <w:uiPriority w:val="0"/>
    <w:rPr>
      <w:rFonts w:ascii="微软雅黑" w:hAnsi="微软雅黑" w:eastAsia="微软雅黑" w:cs="Times New Roman"/>
      <w:kern w:val="0"/>
      <w:sz w:val="24"/>
      <w:szCs w:val="24"/>
    </w:rPr>
  </w:style>
  <w:style w:type="character" w:customStyle="1" w:styleId="96">
    <w:name w:val="批注文字 Char"/>
    <w:autoRedefine/>
    <w:qFormat/>
    <w:uiPriority w:val="0"/>
    <w:rPr>
      <w:rFonts w:eastAsia="宋体"/>
      <w:kern w:val="2"/>
      <w:sz w:val="21"/>
      <w:szCs w:val="24"/>
      <w:lang w:val="en-US" w:eastAsia="zh-CN" w:bidi="ar-SA"/>
    </w:rPr>
  </w:style>
  <w:style w:type="character" w:customStyle="1" w:styleId="97">
    <w:name w:val="纯文本 字符"/>
    <w:link w:val="21"/>
    <w:autoRedefine/>
    <w:qFormat/>
    <w:uiPriority w:val="99"/>
    <w:rPr>
      <w:rFonts w:ascii="Courier New" w:hAnsi="Courier New"/>
    </w:rPr>
  </w:style>
  <w:style w:type="character" w:customStyle="1" w:styleId="98">
    <w:name w:val="标题 7 字符"/>
    <w:link w:val="8"/>
    <w:autoRedefine/>
    <w:qFormat/>
    <w:uiPriority w:val="0"/>
    <w:rPr>
      <w:rFonts w:ascii="Times New Roman" w:hAnsi="Times New Roman" w:eastAsia="宋体" w:cs="Times New Roman"/>
      <w:b/>
      <w:bCs/>
      <w:kern w:val="0"/>
      <w:sz w:val="24"/>
      <w:szCs w:val="24"/>
    </w:rPr>
  </w:style>
  <w:style w:type="paragraph" w:customStyle="1" w:styleId="99">
    <w:name w:val="样式4"/>
    <w:basedOn w:val="5"/>
    <w:autoRedefine/>
    <w:qFormat/>
    <w:uiPriority w:val="0"/>
    <w:rPr>
      <w:rFonts w:eastAsia="Arial"/>
    </w:rPr>
  </w:style>
  <w:style w:type="paragraph" w:customStyle="1" w:styleId="100">
    <w:name w:val="Normal_9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autoRedefine/>
    <w:qFormat/>
    <w:uiPriority w:val="0"/>
    <w:pPr>
      <w:widowControl/>
      <w:spacing w:before="100" w:beforeAutospacing="1" w:after="100" w:afterAutospacing="1"/>
      <w:jc w:val="left"/>
    </w:pPr>
    <w:rPr>
      <w:kern w:val="0"/>
      <w:sz w:val="28"/>
      <w:szCs w:val="28"/>
    </w:rPr>
  </w:style>
  <w:style w:type="paragraph" w:customStyle="1" w:styleId="103">
    <w:name w:val="Normal_5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autoRedefine/>
    <w:qFormat/>
    <w:uiPriority w:val="0"/>
    <w:rPr>
      <w:rFonts w:eastAsia="Arial"/>
    </w:rPr>
  </w:style>
  <w:style w:type="paragraph" w:customStyle="1" w:styleId="106">
    <w:name w:val="Normal_25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autoRedefine/>
    <w:qFormat/>
    <w:uiPriority w:val="0"/>
    <w:pPr>
      <w:tabs>
        <w:tab w:val="left" w:pos="360"/>
      </w:tabs>
    </w:pPr>
    <w:rPr>
      <w:sz w:val="24"/>
    </w:rPr>
  </w:style>
  <w:style w:type="paragraph" w:customStyle="1" w:styleId="109">
    <w:name w:val="Normal_9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autoRedefine/>
    <w:qFormat/>
    <w:uiPriority w:val="0"/>
    <w:pPr>
      <w:jc w:val="center"/>
      <w:textAlignment w:val="center"/>
    </w:pPr>
    <w:rPr>
      <w:rFonts w:ascii="华文细黑" w:hAnsi="华文细黑"/>
      <w:kern w:val="0"/>
      <w:szCs w:val="20"/>
    </w:rPr>
  </w:style>
  <w:style w:type="paragraph" w:customStyle="1" w:styleId="111">
    <w:name w:val="Normal_5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autoRedefine/>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autoRedefine/>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autoRedefine/>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autoRedefine/>
    <w:qFormat/>
    <w:uiPriority w:val="0"/>
  </w:style>
  <w:style w:type="paragraph" w:customStyle="1" w:styleId="127">
    <w:name w:val="Normal_5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autoRedefine/>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autoRedefine/>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autoRedefine/>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autoRedefine/>
    <w:qFormat/>
    <w:uiPriority w:val="0"/>
    <w:rPr>
      <w:rFonts w:eastAsia="Arial"/>
    </w:rPr>
  </w:style>
  <w:style w:type="paragraph" w:customStyle="1" w:styleId="134">
    <w:name w:val="Normal_9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autoRedefine/>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autoRedefine/>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autoRedefine/>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autoRedefine/>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autoRedefine/>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autoRedefine/>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autoRedefine/>
    <w:qFormat/>
    <w:uiPriority w:val="99"/>
    <w:pPr>
      <w:ind w:firstLine="420" w:firstLineChars="200"/>
    </w:pPr>
  </w:style>
  <w:style w:type="paragraph" w:customStyle="1" w:styleId="155">
    <w:name w:val="Normal_4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autoRedefine/>
    <w:qFormat/>
    <w:uiPriority w:val="0"/>
    <w:pPr>
      <w:adjustRightInd w:val="0"/>
      <w:spacing w:line="420" w:lineRule="atLeast"/>
      <w:jc w:val="left"/>
      <w:textAlignment w:val="baseline"/>
    </w:pPr>
    <w:rPr>
      <w:kern w:val="0"/>
      <w:szCs w:val="20"/>
    </w:rPr>
  </w:style>
  <w:style w:type="paragraph" w:customStyle="1" w:styleId="157">
    <w:name w:val="须知内容"/>
    <w:autoRedefine/>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autoRedefine/>
    <w:qFormat/>
    <w:uiPriority w:val="0"/>
  </w:style>
  <w:style w:type="character" w:customStyle="1" w:styleId="159">
    <w:name w:val="after"/>
    <w:basedOn w:val="45"/>
    <w:autoRedefine/>
    <w:qFormat/>
    <w:uiPriority w:val="0"/>
    <w:rPr>
      <w:bdr w:val="dashed" w:color="auto" w:sz="48" w:space="0"/>
    </w:rPr>
  </w:style>
  <w:style w:type="character" w:customStyle="1" w:styleId="160">
    <w:name w:val="before"/>
    <w:basedOn w:val="45"/>
    <w:autoRedefine/>
    <w:qFormat/>
    <w:uiPriority w:val="0"/>
    <w:rPr>
      <w:bdr w:val="single" w:color="auto" w:sz="48" w:space="0"/>
    </w:rPr>
  </w:style>
  <w:style w:type="character" w:customStyle="1" w:styleId="161">
    <w:name w:val="hover48"/>
    <w:basedOn w:val="45"/>
    <w:autoRedefine/>
    <w:qFormat/>
    <w:uiPriority w:val="0"/>
    <w:rPr>
      <w:shd w:val="clear" w:color="auto" w:fill="346AC3"/>
    </w:rPr>
  </w:style>
  <w:style w:type="character" w:customStyle="1" w:styleId="162">
    <w:name w:val="hover49"/>
    <w:basedOn w:val="45"/>
    <w:autoRedefine/>
    <w:qFormat/>
    <w:uiPriority w:val="0"/>
  </w:style>
  <w:style w:type="character" w:customStyle="1" w:styleId="163">
    <w:name w:val="hover50"/>
    <w:basedOn w:val="45"/>
    <w:autoRedefine/>
    <w:qFormat/>
    <w:uiPriority w:val="0"/>
    <w:rPr>
      <w:color w:val="4285F4"/>
      <w:u w:val="none"/>
    </w:rPr>
  </w:style>
  <w:style w:type="character" w:customStyle="1" w:styleId="164">
    <w:name w:val="hover51"/>
    <w:basedOn w:val="45"/>
    <w:autoRedefine/>
    <w:qFormat/>
    <w:uiPriority w:val="0"/>
    <w:rPr>
      <w:color w:val="4285F4"/>
    </w:rPr>
  </w:style>
  <w:style w:type="character" w:customStyle="1" w:styleId="165">
    <w:name w:val="hover52"/>
    <w:basedOn w:val="45"/>
    <w:autoRedefine/>
    <w:qFormat/>
    <w:uiPriority w:val="0"/>
    <w:rPr>
      <w:color w:val="1A85D7"/>
    </w:rPr>
  </w:style>
  <w:style w:type="character" w:customStyle="1" w:styleId="166">
    <w:name w:val="credit"/>
    <w:basedOn w:val="45"/>
    <w:autoRedefine/>
    <w:qFormat/>
    <w:uiPriority w:val="0"/>
    <w:rPr>
      <w:sz w:val="18"/>
      <w:szCs w:val="18"/>
    </w:rPr>
  </w:style>
  <w:style w:type="character" w:customStyle="1" w:styleId="167">
    <w:name w:val="first-child"/>
    <w:basedOn w:val="45"/>
    <w:autoRedefine/>
    <w:qFormat/>
    <w:uiPriority w:val="0"/>
  </w:style>
  <w:style w:type="paragraph" w:customStyle="1" w:styleId="168">
    <w:name w:val="Table Paragraph"/>
    <w:basedOn w:val="1"/>
    <w:autoRedefine/>
    <w:qFormat/>
    <w:uiPriority w:val="1"/>
  </w:style>
  <w:style w:type="table" w:customStyle="1" w:styleId="169">
    <w:name w:val="Table Normal"/>
    <w:autoRedefine/>
    <w:semiHidden/>
    <w:unhideWhenUsed/>
    <w:qFormat/>
    <w:uiPriority w:val="2"/>
    <w:tblPr>
      <w:tblCellMar>
        <w:top w:w="0" w:type="dxa"/>
        <w:left w:w="0" w:type="dxa"/>
        <w:bottom w:w="0" w:type="dxa"/>
        <w:right w:w="0" w:type="dxa"/>
      </w:tblCellMar>
    </w:tblPr>
  </w:style>
  <w:style w:type="paragraph" w:customStyle="1" w:styleId="170">
    <w:name w:val="*正文"/>
    <w:basedOn w:val="1"/>
    <w:qFormat/>
    <w:uiPriority w:val="0"/>
    <w:pPr>
      <w:widowControl/>
      <w:ind w:firstLine="200" w:firstLineChars="200"/>
    </w:pPr>
    <w:rPr>
      <w:rFonts w:ascii="仿宋_GB2312" w:eastAsia="仿宋_GB2312" w:cstheme="minorBidi"/>
      <w:sz w:val="24"/>
      <w:szCs w:val="28"/>
    </w:rPr>
  </w:style>
  <w:style w:type="paragraph" w:customStyle="1" w:styleId="171">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39</Pages>
  <Words>16215</Words>
  <Characters>17092</Characters>
  <Lines>1</Lines>
  <Paragraphs>1</Paragraphs>
  <TotalTime>12</TotalTime>
  <ScaleCrop>false</ScaleCrop>
  <LinksUpToDate>false</LinksUpToDate>
  <CharactersWithSpaces>18079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2020-05-02T16:16:00Z</dcterms:created>
  <dc:creator>陈桂兰</dc:creator>
  <cp:lastModifiedBy>Kevin</cp:lastModifiedBy>
  <cp:lastPrinted>2022-06-10T02:10:00Z</cp:lastPrinted>
  <dcterms:modified xsi:type="dcterms:W3CDTF">2024-08-02T02:04:30Z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