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cs="宋体"/>
          <w:b/>
          <w:sz w:val="32"/>
          <w:szCs w:val="32"/>
          <w:highlight w:val="none"/>
        </w:rPr>
      </w:pPr>
    </w:p>
    <w:p>
      <w:pPr>
        <w:jc w:val="center"/>
        <w:rPr>
          <w:rFonts w:hint="eastAsia" w:ascii="宋体" w:hAnsi="宋体" w:eastAsia="宋体" w:cs="宋体"/>
          <w:b/>
          <w:sz w:val="32"/>
          <w:szCs w:val="32"/>
          <w:highlight w:val="none"/>
          <w:lang w:val="en-US" w:eastAsia="zh-CN"/>
        </w:rPr>
      </w:pPr>
      <w:r>
        <w:rPr>
          <w:rFonts w:hint="eastAsia" w:ascii="宋体" w:hAnsi="宋体" w:cs="宋体"/>
          <w:b/>
          <w:sz w:val="32"/>
          <w:szCs w:val="32"/>
          <w:highlight w:val="none"/>
        </w:rPr>
        <w:t>项目名称：</w:t>
      </w:r>
      <w:r>
        <w:rPr>
          <w:rFonts w:hint="eastAsia" w:ascii="宋体" w:hAnsi="宋体" w:cs="宋体"/>
          <w:b/>
          <w:sz w:val="32"/>
          <w:szCs w:val="32"/>
          <w:highlight w:val="none"/>
          <w:lang w:eastAsia="zh-CN"/>
        </w:rPr>
        <w:t>机电工程施工总承包二级资质申报咨询服务</w:t>
      </w:r>
    </w:p>
    <w:p>
      <w:pPr>
        <w:rPr>
          <w:rFonts w:ascii="宋体" w:hAnsi="宋体" w:cs="宋体"/>
          <w:sz w:val="28"/>
          <w:szCs w:val="28"/>
          <w:highlight w:val="none"/>
        </w:rPr>
      </w:pPr>
    </w:p>
    <w:p>
      <w:pPr>
        <w:jc w:val="center"/>
        <w:rPr>
          <w:rFonts w:ascii="宋体" w:hAnsi="宋体" w:cs="宋体"/>
          <w:b/>
          <w:sz w:val="48"/>
          <w:szCs w:val="48"/>
          <w:highlight w:val="none"/>
        </w:rPr>
      </w:pPr>
      <w:r>
        <w:rPr>
          <w:rFonts w:hint="eastAsia" w:ascii="宋体" w:hAnsi="宋体" w:cs="宋体"/>
          <w:b/>
          <w:sz w:val="48"/>
          <w:szCs w:val="48"/>
          <w:highlight w:val="none"/>
        </w:rPr>
        <w:t>竞</w:t>
      </w:r>
    </w:p>
    <w:p>
      <w:pPr>
        <w:jc w:val="center"/>
        <w:rPr>
          <w:rFonts w:ascii="宋体" w:hAnsi="宋体" w:cs="宋体"/>
          <w:b/>
          <w:sz w:val="48"/>
          <w:szCs w:val="48"/>
          <w:highlight w:val="none"/>
        </w:rPr>
      </w:pPr>
    </w:p>
    <w:p>
      <w:pPr>
        <w:jc w:val="center"/>
        <w:rPr>
          <w:rFonts w:ascii="宋体" w:hAnsi="宋体" w:cs="宋体"/>
          <w:b/>
          <w:sz w:val="48"/>
          <w:szCs w:val="48"/>
          <w:highlight w:val="none"/>
        </w:rPr>
      </w:pPr>
      <w:r>
        <w:rPr>
          <w:rFonts w:hint="eastAsia" w:ascii="宋体" w:hAnsi="宋体" w:cs="宋体"/>
          <w:b/>
          <w:sz w:val="48"/>
          <w:szCs w:val="48"/>
          <w:highlight w:val="none"/>
        </w:rPr>
        <w:t>争</w:t>
      </w:r>
    </w:p>
    <w:p>
      <w:pPr>
        <w:jc w:val="center"/>
        <w:rPr>
          <w:rFonts w:ascii="宋体" w:hAnsi="宋体" w:cs="宋体"/>
          <w:b/>
          <w:sz w:val="48"/>
          <w:szCs w:val="48"/>
          <w:highlight w:val="none"/>
        </w:rPr>
      </w:pPr>
    </w:p>
    <w:p>
      <w:pPr>
        <w:jc w:val="center"/>
        <w:rPr>
          <w:rFonts w:ascii="宋体" w:hAnsi="宋体" w:cs="宋体"/>
          <w:b/>
          <w:sz w:val="48"/>
          <w:szCs w:val="48"/>
          <w:highlight w:val="none"/>
        </w:rPr>
      </w:pPr>
      <w:r>
        <w:rPr>
          <w:rFonts w:hint="eastAsia" w:ascii="宋体" w:hAnsi="宋体" w:cs="宋体"/>
          <w:b/>
          <w:sz w:val="48"/>
          <w:szCs w:val="48"/>
          <w:highlight w:val="none"/>
        </w:rPr>
        <w:t>性</w:t>
      </w:r>
    </w:p>
    <w:p>
      <w:pPr>
        <w:jc w:val="center"/>
        <w:rPr>
          <w:rFonts w:ascii="宋体" w:hAnsi="宋体" w:cs="宋体"/>
          <w:b/>
          <w:sz w:val="48"/>
          <w:szCs w:val="48"/>
          <w:highlight w:val="none"/>
        </w:rPr>
      </w:pPr>
    </w:p>
    <w:p>
      <w:pPr>
        <w:jc w:val="center"/>
        <w:rPr>
          <w:rFonts w:ascii="宋体" w:hAnsi="宋体" w:cs="宋体"/>
          <w:b/>
          <w:sz w:val="48"/>
          <w:szCs w:val="48"/>
          <w:highlight w:val="none"/>
        </w:rPr>
      </w:pPr>
      <w:r>
        <w:rPr>
          <w:rFonts w:hint="eastAsia" w:ascii="宋体" w:hAnsi="宋体" w:cs="宋体"/>
          <w:b/>
          <w:sz w:val="48"/>
          <w:szCs w:val="48"/>
          <w:highlight w:val="none"/>
        </w:rPr>
        <w:t>比</w:t>
      </w:r>
    </w:p>
    <w:p>
      <w:pPr>
        <w:jc w:val="center"/>
        <w:rPr>
          <w:rFonts w:ascii="宋体" w:hAnsi="宋体" w:cs="宋体"/>
          <w:b/>
          <w:sz w:val="48"/>
          <w:szCs w:val="48"/>
          <w:highlight w:val="none"/>
        </w:rPr>
      </w:pPr>
    </w:p>
    <w:p>
      <w:pPr>
        <w:jc w:val="center"/>
        <w:rPr>
          <w:rFonts w:ascii="宋体" w:hAnsi="宋体" w:cs="宋体"/>
          <w:b/>
          <w:sz w:val="48"/>
          <w:szCs w:val="48"/>
          <w:highlight w:val="none"/>
        </w:rPr>
      </w:pPr>
      <w:r>
        <w:rPr>
          <w:rFonts w:hint="eastAsia" w:ascii="宋体" w:hAnsi="宋体" w:cs="宋体"/>
          <w:b/>
          <w:sz w:val="48"/>
          <w:szCs w:val="48"/>
          <w:highlight w:val="none"/>
        </w:rPr>
        <w:t>选</w:t>
      </w:r>
    </w:p>
    <w:p>
      <w:pPr>
        <w:jc w:val="center"/>
        <w:rPr>
          <w:rFonts w:ascii="宋体" w:hAnsi="宋体" w:cs="宋体"/>
          <w:b/>
          <w:sz w:val="48"/>
          <w:szCs w:val="48"/>
          <w:highlight w:val="none"/>
        </w:rPr>
      </w:pPr>
    </w:p>
    <w:p>
      <w:pPr>
        <w:jc w:val="center"/>
        <w:rPr>
          <w:rFonts w:ascii="宋体" w:hAnsi="宋体" w:cs="宋体"/>
          <w:b/>
          <w:sz w:val="48"/>
          <w:szCs w:val="48"/>
          <w:highlight w:val="none"/>
        </w:rPr>
      </w:pPr>
      <w:r>
        <w:rPr>
          <w:rFonts w:hint="eastAsia" w:ascii="宋体" w:hAnsi="宋体" w:cs="宋体"/>
          <w:b/>
          <w:sz w:val="48"/>
          <w:szCs w:val="48"/>
          <w:highlight w:val="none"/>
        </w:rPr>
        <w:t>文</w:t>
      </w:r>
    </w:p>
    <w:p>
      <w:pPr>
        <w:jc w:val="center"/>
        <w:rPr>
          <w:rFonts w:ascii="宋体" w:hAnsi="宋体" w:cs="宋体"/>
          <w:b/>
          <w:sz w:val="48"/>
          <w:szCs w:val="48"/>
          <w:highlight w:val="none"/>
        </w:rPr>
      </w:pPr>
    </w:p>
    <w:p>
      <w:pPr>
        <w:jc w:val="center"/>
        <w:rPr>
          <w:rFonts w:ascii="宋体" w:hAnsi="宋体" w:cs="宋体"/>
          <w:b/>
          <w:sz w:val="96"/>
          <w:szCs w:val="72"/>
          <w:highlight w:val="none"/>
        </w:rPr>
      </w:pPr>
      <w:r>
        <w:rPr>
          <w:rFonts w:hint="eastAsia" w:ascii="宋体" w:hAnsi="宋体" w:cs="宋体"/>
          <w:b/>
          <w:sz w:val="48"/>
          <w:szCs w:val="48"/>
          <w:highlight w:val="none"/>
        </w:rPr>
        <w:t>件</w:t>
      </w: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rPr>
          <w:highlight w:val="none"/>
        </w:rPr>
      </w:pPr>
    </w:p>
    <w:p>
      <w:pPr>
        <w:rPr>
          <w:highlight w:val="none"/>
        </w:rPr>
      </w:pPr>
    </w:p>
    <w:p>
      <w:pPr>
        <w:jc w:val="center"/>
        <w:rPr>
          <w:rFonts w:ascii="宋体" w:hAnsi="宋体" w:cs="宋体"/>
          <w:b/>
          <w:sz w:val="28"/>
          <w:szCs w:val="28"/>
          <w:highlight w:val="none"/>
        </w:rPr>
      </w:pPr>
      <w:r>
        <w:rPr>
          <w:rFonts w:hint="eastAsia" w:ascii="宋体" w:hAnsi="宋体" w:cs="宋体"/>
          <w:b/>
          <w:sz w:val="28"/>
          <w:szCs w:val="28"/>
          <w:highlight w:val="none"/>
        </w:rPr>
        <w:t>采购人：重庆首讯科技股份有限公司</w:t>
      </w:r>
    </w:p>
    <w:p>
      <w:pPr>
        <w:jc w:val="center"/>
        <w:rPr>
          <w:rFonts w:ascii="宋体" w:hAnsi="宋体" w:cs="宋体"/>
          <w:b/>
          <w:sz w:val="28"/>
          <w:szCs w:val="28"/>
          <w:highlight w:val="none"/>
        </w:rPr>
      </w:pPr>
      <w:r>
        <w:rPr>
          <w:rFonts w:hint="eastAsia" w:ascii="宋体" w:hAnsi="宋体" w:cs="宋体"/>
          <w:b/>
          <w:sz w:val="28"/>
          <w:szCs w:val="28"/>
          <w:highlight w:val="none"/>
          <w:u w:val="single"/>
        </w:rPr>
        <w:t>202</w:t>
      </w:r>
      <w:r>
        <w:rPr>
          <w:rFonts w:hint="eastAsia" w:ascii="宋体" w:hAnsi="宋体" w:cs="宋体"/>
          <w:b/>
          <w:sz w:val="28"/>
          <w:szCs w:val="28"/>
          <w:highlight w:val="none"/>
          <w:u w:val="single"/>
          <w:lang w:val="en-US" w:eastAsia="zh-CN"/>
        </w:rPr>
        <w:t>4</w:t>
      </w:r>
      <w:r>
        <w:rPr>
          <w:rFonts w:hint="eastAsia" w:ascii="宋体" w:hAnsi="宋体" w:cs="宋体"/>
          <w:b/>
          <w:sz w:val="28"/>
          <w:szCs w:val="28"/>
          <w:highlight w:val="none"/>
        </w:rPr>
        <w:t>年</w:t>
      </w:r>
      <w:r>
        <w:rPr>
          <w:rFonts w:hint="eastAsia" w:ascii="宋体" w:hAnsi="宋体" w:cs="宋体"/>
          <w:b/>
          <w:sz w:val="28"/>
          <w:szCs w:val="28"/>
          <w:highlight w:val="none"/>
          <w:u w:val="single"/>
          <w:lang w:val="en-US" w:eastAsia="zh-CN"/>
        </w:rPr>
        <w:t>8</w:t>
      </w:r>
      <w:r>
        <w:rPr>
          <w:rFonts w:hint="eastAsia" w:ascii="宋体" w:hAnsi="宋体" w:cs="宋体"/>
          <w:b/>
          <w:sz w:val="28"/>
          <w:szCs w:val="28"/>
          <w:highlight w:val="none"/>
        </w:rPr>
        <w:t>月</w:t>
      </w:r>
    </w:p>
    <w:p>
      <w:pPr>
        <w:pStyle w:val="28"/>
        <w:jc w:val="center"/>
        <w:rPr>
          <w:rFonts w:ascii="宋体" w:hAnsi="宋体" w:cs="宋体"/>
          <w:szCs w:val="21"/>
          <w:highlight w:val="none"/>
        </w:rPr>
      </w:pPr>
      <w:r>
        <w:rPr>
          <w:highlight w:val="none"/>
        </w:rPr>
        <w:br w:type="page"/>
      </w:r>
      <w:bookmarkStart w:id="0" w:name="_Toc507428442"/>
      <w:bookmarkStart w:id="1" w:name="_Toc246996898"/>
      <w:bookmarkStart w:id="2" w:name="_Toc247085669"/>
      <w:bookmarkStart w:id="3" w:name="_Toc507319889"/>
      <w:bookmarkStart w:id="4" w:name="_Toc296602400"/>
      <w:r>
        <w:rPr>
          <w:rFonts w:hint="eastAsia" w:ascii="宋体" w:hAnsi="宋体" w:cs="宋体"/>
          <w:b w:val="0"/>
          <w:sz w:val="32"/>
          <w:highlight w:val="none"/>
        </w:rPr>
        <w:t>目   录</w:t>
      </w:r>
      <w:bookmarkEnd w:id="0"/>
      <w:bookmarkEnd w:id="1"/>
      <w:bookmarkEnd w:id="2"/>
      <w:bookmarkEnd w:id="3"/>
      <w:bookmarkEnd w:id="4"/>
    </w:p>
    <w:p>
      <w:pPr>
        <w:pStyle w:val="28"/>
        <w:tabs>
          <w:tab w:val="right" w:leader="dot" w:pos="9638"/>
        </w:tabs>
        <w:rPr>
          <w:highlight w:val="none"/>
        </w:rPr>
      </w:pPr>
      <w:r>
        <w:rPr>
          <w:rFonts w:hint="eastAsia" w:ascii="宋体" w:hAnsi="宋体" w:cs="宋体"/>
          <w:b w:val="0"/>
          <w:bCs w:val="0"/>
          <w:caps w:val="0"/>
          <w:highlight w:val="none"/>
        </w:rPr>
        <w:fldChar w:fldCharType="begin"/>
      </w:r>
      <w:r>
        <w:rPr>
          <w:rFonts w:hint="eastAsia" w:ascii="宋体" w:hAnsi="宋体" w:cs="宋体"/>
          <w:b w:val="0"/>
          <w:bCs w:val="0"/>
          <w:caps w:val="0"/>
          <w:highlight w:val="none"/>
        </w:rPr>
        <w:instrText xml:space="preserve"> TOC \o "1-2" \h \z \u </w:instrText>
      </w:r>
      <w:r>
        <w:rPr>
          <w:rFonts w:hint="eastAsia" w:ascii="宋体" w:hAnsi="宋体" w:cs="宋体"/>
          <w:b w:val="0"/>
          <w:bCs w:val="0"/>
          <w:caps w:val="0"/>
          <w:highlight w:val="none"/>
        </w:rPr>
        <w:fldChar w:fldCharType="separate"/>
      </w:r>
      <w:r>
        <w:rPr>
          <w:rFonts w:hint="eastAsia" w:ascii="宋体" w:hAnsi="宋体" w:cs="宋体"/>
          <w:bCs w:val="0"/>
          <w:caps w:val="0"/>
          <w:highlight w:val="none"/>
        </w:rPr>
        <w:fldChar w:fldCharType="begin"/>
      </w:r>
      <w:r>
        <w:rPr>
          <w:rFonts w:hint="eastAsia" w:ascii="宋体" w:hAnsi="宋体" w:cs="宋体"/>
          <w:bCs w:val="0"/>
          <w:caps w:val="0"/>
          <w:highlight w:val="none"/>
        </w:rPr>
        <w:instrText xml:space="preserve"> HYPERLINK \l _Toc18378 </w:instrText>
      </w:r>
      <w:r>
        <w:rPr>
          <w:rFonts w:hint="eastAsia" w:ascii="宋体" w:hAnsi="宋体" w:cs="宋体"/>
          <w:bCs w:val="0"/>
          <w:caps w:val="0"/>
          <w:highlight w:val="none"/>
        </w:rPr>
        <w:fldChar w:fldCharType="separate"/>
      </w:r>
      <w:r>
        <w:rPr>
          <w:rFonts w:hint="eastAsia" w:ascii="宋体" w:hAnsi="宋体" w:cs="宋体"/>
          <w:highlight w:val="none"/>
        </w:rPr>
        <w:t>第一章 比选公告</w:t>
      </w:r>
      <w:r>
        <w:rPr>
          <w:highlight w:val="none"/>
        </w:rPr>
        <w:tab/>
      </w:r>
      <w:r>
        <w:rPr>
          <w:highlight w:val="none"/>
        </w:rPr>
        <w:fldChar w:fldCharType="begin"/>
      </w:r>
      <w:r>
        <w:rPr>
          <w:highlight w:val="none"/>
        </w:rPr>
        <w:instrText xml:space="preserve"> PAGEREF _Toc18378 \h </w:instrText>
      </w:r>
      <w:r>
        <w:rPr>
          <w:highlight w:val="none"/>
        </w:rPr>
        <w:fldChar w:fldCharType="separate"/>
      </w:r>
      <w:r>
        <w:rPr>
          <w:highlight w:val="none"/>
        </w:rPr>
        <w:t>1</w:t>
      </w:r>
      <w:r>
        <w:rPr>
          <w:highlight w:val="none"/>
        </w:rPr>
        <w:fldChar w:fldCharType="end"/>
      </w:r>
      <w:r>
        <w:rPr>
          <w:rFonts w:hint="eastAsia" w:ascii="宋体" w:hAnsi="宋体" w:cs="宋体"/>
          <w:bCs w:val="0"/>
          <w:caps w:val="0"/>
          <w:highlight w:val="none"/>
        </w:rPr>
        <w:fldChar w:fldCharType="end"/>
      </w:r>
    </w:p>
    <w:p>
      <w:pPr>
        <w:pStyle w:val="28"/>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_Toc29948 </w:instrText>
      </w:r>
      <w:r>
        <w:rPr>
          <w:rFonts w:hint="eastAsia" w:ascii="宋体" w:hAnsi="宋体" w:cs="宋体"/>
          <w:bCs/>
          <w:caps/>
          <w:highlight w:val="none"/>
        </w:rPr>
        <w:fldChar w:fldCharType="separate"/>
      </w:r>
      <w:r>
        <w:rPr>
          <w:rFonts w:hint="eastAsia" w:ascii="宋体" w:hAnsi="宋体" w:cs="宋体"/>
          <w:highlight w:val="none"/>
        </w:rPr>
        <w:t>第二章 报价人须知</w:t>
      </w:r>
      <w:r>
        <w:rPr>
          <w:highlight w:val="none"/>
        </w:rPr>
        <w:tab/>
      </w:r>
      <w:r>
        <w:rPr>
          <w:highlight w:val="none"/>
        </w:rPr>
        <w:fldChar w:fldCharType="begin"/>
      </w:r>
      <w:r>
        <w:rPr>
          <w:highlight w:val="none"/>
        </w:rPr>
        <w:instrText xml:space="preserve"> PAGEREF _Toc29948 \h </w:instrText>
      </w:r>
      <w:r>
        <w:rPr>
          <w:highlight w:val="none"/>
        </w:rPr>
        <w:fldChar w:fldCharType="separate"/>
      </w:r>
      <w:r>
        <w:rPr>
          <w:highlight w:val="none"/>
        </w:rPr>
        <w:t>3</w:t>
      </w:r>
      <w:r>
        <w:rPr>
          <w:highlight w:val="none"/>
        </w:rPr>
        <w:fldChar w:fldCharType="end"/>
      </w:r>
      <w:r>
        <w:rPr>
          <w:rFonts w:hint="eastAsia" w:ascii="宋体" w:hAnsi="宋体" w:cs="宋体"/>
          <w:bCs/>
          <w:caps/>
          <w:highlight w:val="none"/>
        </w:rPr>
        <w:fldChar w:fldCharType="end"/>
      </w:r>
    </w:p>
    <w:p>
      <w:pPr>
        <w:pStyle w:val="28"/>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_Toc32070 </w:instrText>
      </w:r>
      <w:r>
        <w:rPr>
          <w:rFonts w:hint="eastAsia" w:ascii="宋体" w:hAnsi="宋体" w:cs="宋体"/>
          <w:bCs/>
          <w:caps/>
          <w:highlight w:val="none"/>
        </w:rPr>
        <w:fldChar w:fldCharType="separate"/>
      </w:r>
      <w:r>
        <w:rPr>
          <w:rFonts w:hint="eastAsia"/>
          <w:highlight w:val="none"/>
        </w:rPr>
        <w:t xml:space="preserve">第三章 </w:t>
      </w:r>
      <w:r>
        <w:rPr>
          <w:rFonts w:hint="eastAsia" w:ascii="宋体" w:hAnsi="宋体" w:cs="宋体"/>
          <w:highlight w:val="none"/>
        </w:rPr>
        <w:t>评标办法（综合评估法）</w:t>
      </w:r>
      <w:r>
        <w:rPr>
          <w:highlight w:val="none"/>
        </w:rPr>
        <w:tab/>
      </w:r>
      <w:r>
        <w:rPr>
          <w:highlight w:val="none"/>
        </w:rPr>
        <w:fldChar w:fldCharType="begin"/>
      </w:r>
      <w:r>
        <w:rPr>
          <w:highlight w:val="none"/>
        </w:rPr>
        <w:instrText xml:space="preserve"> PAGEREF _Toc32070 \h </w:instrText>
      </w:r>
      <w:r>
        <w:rPr>
          <w:highlight w:val="none"/>
        </w:rPr>
        <w:fldChar w:fldCharType="separate"/>
      </w:r>
      <w:r>
        <w:rPr>
          <w:highlight w:val="none"/>
        </w:rPr>
        <w:t>8</w:t>
      </w:r>
      <w:r>
        <w:rPr>
          <w:highlight w:val="none"/>
        </w:rPr>
        <w:fldChar w:fldCharType="end"/>
      </w:r>
      <w:r>
        <w:rPr>
          <w:rFonts w:hint="eastAsia" w:ascii="宋体" w:hAnsi="宋体" w:cs="宋体"/>
          <w:bCs/>
          <w:caps/>
          <w:highlight w:val="none"/>
        </w:rPr>
        <w:fldChar w:fldCharType="end"/>
      </w:r>
    </w:p>
    <w:p>
      <w:pPr>
        <w:pStyle w:val="28"/>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_Toc32568 </w:instrText>
      </w:r>
      <w:r>
        <w:rPr>
          <w:rFonts w:hint="eastAsia" w:ascii="宋体" w:hAnsi="宋体" w:cs="宋体"/>
          <w:bCs/>
          <w:caps/>
          <w:highlight w:val="none"/>
        </w:rPr>
        <w:fldChar w:fldCharType="separate"/>
      </w:r>
      <w:r>
        <w:rPr>
          <w:rFonts w:hint="eastAsia"/>
          <w:bCs/>
          <w:highlight w:val="none"/>
        </w:rPr>
        <w:t>第四章 报价说明</w:t>
      </w:r>
      <w:r>
        <w:rPr>
          <w:highlight w:val="none"/>
        </w:rPr>
        <w:tab/>
      </w:r>
      <w:r>
        <w:rPr>
          <w:highlight w:val="none"/>
        </w:rPr>
        <w:fldChar w:fldCharType="begin"/>
      </w:r>
      <w:r>
        <w:rPr>
          <w:highlight w:val="none"/>
        </w:rPr>
        <w:instrText xml:space="preserve"> PAGEREF _Toc32568 \h </w:instrText>
      </w:r>
      <w:r>
        <w:rPr>
          <w:highlight w:val="none"/>
        </w:rPr>
        <w:fldChar w:fldCharType="separate"/>
      </w:r>
      <w:r>
        <w:rPr>
          <w:highlight w:val="none"/>
        </w:rPr>
        <w:t>14</w:t>
      </w:r>
      <w:r>
        <w:rPr>
          <w:highlight w:val="none"/>
        </w:rPr>
        <w:fldChar w:fldCharType="end"/>
      </w:r>
      <w:r>
        <w:rPr>
          <w:rFonts w:hint="eastAsia" w:ascii="宋体" w:hAnsi="宋体" w:cs="宋体"/>
          <w:bCs/>
          <w:caps/>
          <w:highlight w:val="none"/>
        </w:rPr>
        <w:fldChar w:fldCharType="end"/>
      </w:r>
    </w:p>
    <w:p>
      <w:pPr>
        <w:pStyle w:val="28"/>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_Toc10838 </w:instrText>
      </w:r>
      <w:r>
        <w:rPr>
          <w:rFonts w:hint="eastAsia" w:ascii="宋体" w:hAnsi="宋体" w:cs="宋体"/>
          <w:bCs/>
          <w:caps/>
          <w:highlight w:val="none"/>
        </w:rPr>
        <w:fldChar w:fldCharType="separate"/>
      </w:r>
      <w:r>
        <w:rPr>
          <w:rFonts w:hint="eastAsia" w:ascii="宋体" w:hAnsi="宋体" w:cs="宋体"/>
          <w:highlight w:val="none"/>
        </w:rPr>
        <w:t xml:space="preserve">第五章  </w:t>
      </w:r>
      <w:r>
        <w:rPr>
          <w:rFonts w:hint="eastAsia" w:ascii="宋体" w:hAnsi="宋体" w:cs="宋体"/>
          <w:highlight w:val="none"/>
          <w:lang w:val="en-US" w:eastAsia="zh-CN"/>
        </w:rPr>
        <w:t>服务</w:t>
      </w:r>
      <w:r>
        <w:rPr>
          <w:rFonts w:hint="eastAsia" w:ascii="宋体" w:hAnsi="宋体" w:cs="宋体"/>
          <w:highlight w:val="none"/>
        </w:rPr>
        <w:t>清单</w:t>
      </w:r>
      <w:r>
        <w:rPr>
          <w:highlight w:val="none"/>
        </w:rPr>
        <w:tab/>
      </w:r>
      <w:r>
        <w:rPr>
          <w:highlight w:val="none"/>
        </w:rPr>
        <w:fldChar w:fldCharType="begin"/>
      </w:r>
      <w:r>
        <w:rPr>
          <w:highlight w:val="none"/>
        </w:rPr>
        <w:instrText xml:space="preserve"> PAGEREF _Toc10838 \h </w:instrText>
      </w:r>
      <w:r>
        <w:rPr>
          <w:highlight w:val="none"/>
        </w:rPr>
        <w:fldChar w:fldCharType="separate"/>
      </w:r>
      <w:r>
        <w:rPr>
          <w:highlight w:val="none"/>
        </w:rPr>
        <w:t>15</w:t>
      </w:r>
      <w:r>
        <w:rPr>
          <w:highlight w:val="none"/>
        </w:rPr>
        <w:fldChar w:fldCharType="end"/>
      </w:r>
      <w:r>
        <w:rPr>
          <w:rFonts w:hint="eastAsia" w:ascii="宋体" w:hAnsi="宋体" w:cs="宋体"/>
          <w:bCs/>
          <w:caps/>
          <w:highlight w:val="none"/>
        </w:rPr>
        <w:fldChar w:fldCharType="end"/>
      </w:r>
    </w:p>
    <w:p>
      <w:pPr>
        <w:pStyle w:val="28"/>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_Toc2064 </w:instrText>
      </w:r>
      <w:r>
        <w:rPr>
          <w:rFonts w:hint="eastAsia" w:ascii="宋体" w:hAnsi="宋体" w:cs="宋体"/>
          <w:bCs/>
          <w:caps/>
          <w:highlight w:val="none"/>
        </w:rPr>
        <w:fldChar w:fldCharType="separate"/>
      </w:r>
      <w:r>
        <w:rPr>
          <w:rFonts w:hint="eastAsia" w:ascii="宋体" w:hAnsi="宋体" w:cs="宋体"/>
          <w:highlight w:val="none"/>
        </w:rPr>
        <w:t>第六章  图  纸</w:t>
      </w:r>
      <w:r>
        <w:rPr>
          <w:highlight w:val="none"/>
        </w:rPr>
        <w:tab/>
      </w:r>
      <w:r>
        <w:rPr>
          <w:highlight w:val="none"/>
        </w:rPr>
        <w:fldChar w:fldCharType="begin"/>
      </w:r>
      <w:r>
        <w:rPr>
          <w:highlight w:val="none"/>
        </w:rPr>
        <w:instrText xml:space="preserve"> PAGEREF _Toc2064 \h </w:instrText>
      </w:r>
      <w:r>
        <w:rPr>
          <w:highlight w:val="none"/>
        </w:rPr>
        <w:fldChar w:fldCharType="separate"/>
      </w:r>
      <w:r>
        <w:rPr>
          <w:highlight w:val="none"/>
        </w:rPr>
        <w:t>20</w:t>
      </w:r>
      <w:r>
        <w:rPr>
          <w:highlight w:val="none"/>
        </w:rPr>
        <w:fldChar w:fldCharType="end"/>
      </w:r>
      <w:r>
        <w:rPr>
          <w:rFonts w:hint="eastAsia" w:ascii="宋体" w:hAnsi="宋体" w:cs="宋体"/>
          <w:bCs/>
          <w:caps/>
          <w:highlight w:val="none"/>
        </w:rPr>
        <w:fldChar w:fldCharType="end"/>
      </w:r>
    </w:p>
    <w:p>
      <w:pPr>
        <w:pStyle w:val="28"/>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_Toc15316 </w:instrText>
      </w:r>
      <w:r>
        <w:rPr>
          <w:rFonts w:hint="eastAsia" w:ascii="宋体" w:hAnsi="宋体" w:cs="宋体"/>
          <w:bCs/>
          <w:caps/>
          <w:highlight w:val="none"/>
        </w:rPr>
        <w:fldChar w:fldCharType="separate"/>
      </w:r>
      <w:r>
        <w:rPr>
          <w:rFonts w:hint="eastAsia" w:ascii="宋体" w:hAnsi="宋体" w:cs="宋体"/>
          <w:highlight w:val="none"/>
        </w:rPr>
        <w:t>第七章  技术标准和工作要求</w:t>
      </w:r>
      <w:r>
        <w:rPr>
          <w:highlight w:val="none"/>
        </w:rPr>
        <w:tab/>
      </w:r>
      <w:r>
        <w:rPr>
          <w:highlight w:val="none"/>
        </w:rPr>
        <w:fldChar w:fldCharType="begin"/>
      </w:r>
      <w:r>
        <w:rPr>
          <w:highlight w:val="none"/>
        </w:rPr>
        <w:instrText xml:space="preserve"> PAGEREF _Toc15316 \h </w:instrText>
      </w:r>
      <w:r>
        <w:rPr>
          <w:highlight w:val="none"/>
        </w:rPr>
        <w:fldChar w:fldCharType="separate"/>
      </w:r>
      <w:r>
        <w:rPr>
          <w:highlight w:val="none"/>
        </w:rPr>
        <w:t>21</w:t>
      </w:r>
      <w:r>
        <w:rPr>
          <w:highlight w:val="none"/>
        </w:rPr>
        <w:fldChar w:fldCharType="end"/>
      </w:r>
      <w:r>
        <w:rPr>
          <w:rFonts w:hint="eastAsia" w:ascii="宋体" w:hAnsi="宋体" w:cs="宋体"/>
          <w:bCs/>
          <w:caps/>
          <w:highlight w:val="none"/>
        </w:rPr>
        <w:fldChar w:fldCharType="end"/>
      </w:r>
    </w:p>
    <w:p>
      <w:pPr>
        <w:pStyle w:val="28"/>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_Toc15140 </w:instrText>
      </w:r>
      <w:r>
        <w:rPr>
          <w:rFonts w:hint="eastAsia" w:ascii="宋体" w:hAnsi="宋体" w:cs="宋体"/>
          <w:bCs/>
          <w:caps/>
          <w:highlight w:val="none"/>
        </w:rPr>
        <w:fldChar w:fldCharType="separate"/>
      </w:r>
      <w:r>
        <w:rPr>
          <w:rFonts w:hint="eastAsia" w:ascii="宋体" w:hAnsi="宋体" w:cs="宋体"/>
          <w:highlight w:val="none"/>
        </w:rPr>
        <w:t>第八章  合同范本</w:t>
      </w:r>
      <w:r>
        <w:rPr>
          <w:highlight w:val="none"/>
        </w:rPr>
        <w:tab/>
      </w:r>
      <w:r>
        <w:rPr>
          <w:highlight w:val="none"/>
        </w:rPr>
        <w:fldChar w:fldCharType="begin"/>
      </w:r>
      <w:r>
        <w:rPr>
          <w:highlight w:val="none"/>
        </w:rPr>
        <w:instrText xml:space="preserve"> PAGEREF _Toc15140 \h </w:instrText>
      </w:r>
      <w:r>
        <w:rPr>
          <w:highlight w:val="none"/>
        </w:rPr>
        <w:fldChar w:fldCharType="separate"/>
      </w:r>
      <w:r>
        <w:rPr>
          <w:highlight w:val="none"/>
        </w:rPr>
        <w:t>22</w:t>
      </w:r>
      <w:r>
        <w:rPr>
          <w:highlight w:val="none"/>
        </w:rPr>
        <w:fldChar w:fldCharType="end"/>
      </w:r>
      <w:r>
        <w:rPr>
          <w:rFonts w:hint="eastAsia" w:ascii="宋体" w:hAnsi="宋体" w:cs="宋体"/>
          <w:bCs/>
          <w:caps/>
          <w:highlight w:val="none"/>
        </w:rPr>
        <w:fldChar w:fldCharType="end"/>
      </w:r>
    </w:p>
    <w:p>
      <w:pPr>
        <w:pStyle w:val="28"/>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_Toc10514 </w:instrText>
      </w:r>
      <w:r>
        <w:rPr>
          <w:rFonts w:hint="eastAsia" w:ascii="宋体" w:hAnsi="宋体" w:cs="宋体"/>
          <w:bCs/>
          <w:caps/>
          <w:highlight w:val="none"/>
        </w:rPr>
        <w:fldChar w:fldCharType="separate"/>
      </w:r>
      <w:r>
        <w:rPr>
          <w:rFonts w:hint="eastAsia" w:ascii="宋体" w:hAnsi="宋体" w:cs="宋体"/>
          <w:highlight w:val="none"/>
        </w:rPr>
        <w:t>第</w:t>
      </w:r>
      <w:r>
        <w:rPr>
          <w:rFonts w:hint="eastAsia" w:ascii="宋体" w:hAnsi="宋体" w:cs="宋体"/>
          <w:highlight w:val="none"/>
          <w:lang w:val="en-US" w:eastAsia="zh-CN"/>
        </w:rPr>
        <w:t>九</w:t>
      </w:r>
      <w:r>
        <w:rPr>
          <w:rFonts w:hint="eastAsia" w:ascii="宋体" w:hAnsi="宋体" w:cs="宋体"/>
          <w:highlight w:val="none"/>
        </w:rPr>
        <w:t>章  竞争性比选响应文件格式</w:t>
      </w:r>
      <w:r>
        <w:rPr>
          <w:highlight w:val="none"/>
        </w:rPr>
        <w:tab/>
      </w:r>
      <w:r>
        <w:rPr>
          <w:highlight w:val="none"/>
        </w:rPr>
        <w:fldChar w:fldCharType="begin"/>
      </w:r>
      <w:r>
        <w:rPr>
          <w:highlight w:val="none"/>
        </w:rPr>
        <w:instrText xml:space="preserve"> PAGEREF _Toc10514 \h </w:instrText>
      </w:r>
      <w:r>
        <w:rPr>
          <w:highlight w:val="none"/>
        </w:rPr>
        <w:fldChar w:fldCharType="separate"/>
      </w:r>
      <w:r>
        <w:rPr>
          <w:highlight w:val="none"/>
        </w:rPr>
        <w:t>23</w:t>
      </w:r>
      <w:r>
        <w:rPr>
          <w:highlight w:val="none"/>
        </w:rPr>
        <w:fldChar w:fldCharType="end"/>
      </w:r>
      <w:r>
        <w:rPr>
          <w:rFonts w:hint="eastAsia" w:ascii="宋体" w:hAnsi="宋体" w:cs="宋体"/>
          <w:bCs/>
          <w:caps/>
          <w:highlight w:val="none"/>
        </w:rPr>
        <w:fldChar w:fldCharType="end"/>
      </w:r>
    </w:p>
    <w:p>
      <w:pPr>
        <w:pStyle w:val="34"/>
        <w:tabs>
          <w:tab w:val="right" w:leader="dot" w:pos="9628"/>
        </w:tabs>
        <w:ind w:left="0"/>
        <w:rPr>
          <w:rFonts w:ascii="宋体" w:hAnsi="宋体" w:cs="宋体"/>
          <w:b/>
          <w:bCs/>
          <w:caps/>
          <w:highlight w:val="none"/>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rFonts w:hint="eastAsia" w:ascii="宋体" w:hAnsi="宋体" w:cs="宋体"/>
          <w:bCs/>
          <w:caps/>
          <w:highlight w:val="none"/>
        </w:rPr>
        <w:fldChar w:fldCharType="end"/>
      </w:r>
    </w:p>
    <w:p>
      <w:pPr>
        <w:pStyle w:val="3"/>
        <w:spacing w:before="0" w:after="0" w:line="360" w:lineRule="auto"/>
        <w:jc w:val="center"/>
        <w:rPr>
          <w:rFonts w:ascii="宋体" w:hAnsi="宋体" w:cs="宋体"/>
          <w:highlight w:val="none"/>
        </w:rPr>
      </w:pPr>
      <w:bookmarkStart w:id="5" w:name="_Toc144974479"/>
      <w:bookmarkStart w:id="6" w:name="_Toc246996157"/>
      <w:bookmarkStart w:id="7" w:name="_Toc246996900"/>
      <w:bookmarkStart w:id="8" w:name="_Toc507319890"/>
      <w:bookmarkStart w:id="9" w:name="_Toc247085671"/>
      <w:bookmarkStart w:id="10" w:name="_Toc2000404"/>
      <w:bookmarkStart w:id="11" w:name="_Toc247096243"/>
      <w:bookmarkStart w:id="12" w:name="_Toc152045511"/>
      <w:bookmarkStart w:id="13" w:name="_Toc179632527"/>
      <w:bookmarkStart w:id="14" w:name="_Toc152042287"/>
      <w:bookmarkStart w:id="15" w:name="_Toc18378"/>
      <w:r>
        <w:rPr>
          <w:rFonts w:hint="eastAsia" w:ascii="宋体" w:hAnsi="宋体" w:cs="宋体"/>
          <w:highlight w:val="none"/>
        </w:rPr>
        <w:t xml:space="preserve">第一章 </w:t>
      </w:r>
      <w:bookmarkEnd w:id="5"/>
      <w:bookmarkEnd w:id="6"/>
      <w:bookmarkEnd w:id="7"/>
      <w:bookmarkEnd w:id="8"/>
      <w:bookmarkEnd w:id="9"/>
      <w:bookmarkEnd w:id="10"/>
      <w:bookmarkEnd w:id="11"/>
      <w:bookmarkEnd w:id="12"/>
      <w:bookmarkEnd w:id="13"/>
      <w:bookmarkEnd w:id="14"/>
      <w:r>
        <w:rPr>
          <w:rFonts w:hint="eastAsia" w:ascii="宋体" w:hAnsi="宋体" w:cs="宋体"/>
          <w:highlight w:val="none"/>
        </w:rPr>
        <w:t>比选公告</w:t>
      </w:r>
      <w:bookmarkEnd w:id="15"/>
    </w:p>
    <w:p>
      <w:pPr>
        <w:spacing w:line="440" w:lineRule="exact"/>
        <w:jc w:val="center"/>
        <w:rPr>
          <w:rFonts w:ascii="宋体" w:hAnsi="宋体" w:cs="宋体"/>
          <w:b/>
          <w:sz w:val="28"/>
          <w:szCs w:val="28"/>
          <w:highlight w:val="none"/>
        </w:rPr>
      </w:pPr>
      <w:bookmarkStart w:id="16" w:name="OLE_LINK2"/>
      <w:bookmarkStart w:id="17" w:name="OLE_LINK3"/>
    </w:p>
    <w:p>
      <w:pPr>
        <w:pStyle w:val="4"/>
        <w:spacing w:before="0" w:after="0" w:line="360" w:lineRule="auto"/>
        <w:rPr>
          <w:rFonts w:ascii="宋体" w:hAnsi="宋体" w:eastAsia="宋体" w:cs="宋体"/>
          <w:highlight w:val="none"/>
        </w:rPr>
      </w:pPr>
      <w:bookmarkStart w:id="18" w:name="_Toc246996901"/>
      <w:bookmarkStart w:id="19" w:name="_Toc11329213"/>
      <w:bookmarkStart w:id="20" w:name="_Toc10076"/>
      <w:bookmarkStart w:id="21" w:name="_Toc247085672"/>
      <w:bookmarkStart w:id="22" w:name="_Toc179632528"/>
      <w:bookmarkStart w:id="23" w:name="_Toc24874"/>
      <w:bookmarkStart w:id="24" w:name="_Toc246996158"/>
      <w:bookmarkStart w:id="25" w:name="_Toc30430"/>
      <w:bookmarkStart w:id="26" w:name="_Toc152045512"/>
      <w:bookmarkStart w:id="27" w:name="_Toc144974480"/>
      <w:bookmarkStart w:id="28" w:name="_Toc507319891"/>
      <w:bookmarkStart w:id="29" w:name="_Toc152042288"/>
      <w:bookmarkStart w:id="30" w:name="_Toc6549"/>
      <w:r>
        <w:rPr>
          <w:rFonts w:hint="eastAsia" w:ascii="宋体" w:hAnsi="宋体" w:eastAsia="宋体" w:cs="宋体"/>
          <w:highlight w:val="none"/>
        </w:rPr>
        <w:t>1. 比选条件</w:t>
      </w:r>
      <w:bookmarkEnd w:id="18"/>
      <w:bookmarkEnd w:id="19"/>
      <w:bookmarkEnd w:id="20"/>
      <w:bookmarkEnd w:id="21"/>
      <w:bookmarkEnd w:id="22"/>
      <w:bookmarkEnd w:id="23"/>
      <w:bookmarkEnd w:id="24"/>
      <w:bookmarkEnd w:id="25"/>
      <w:bookmarkEnd w:id="26"/>
      <w:bookmarkEnd w:id="27"/>
      <w:bookmarkEnd w:id="28"/>
      <w:bookmarkEnd w:id="29"/>
      <w:bookmarkEnd w:id="30"/>
    </w:p>
    <w:p>
      <w:pPr>
        <w:spacing w:line="400" w:lineRule="exact"/>
        <w:rPr>
          <w:rFonts w:ascii="宋体" w:hAnsi="宋体" w:cs="宋体"/>
          <w:szCs w:val="21"/>
          <w:highlight w:val="none"/>
        </w:rPr>
      </w:pPr>
      <w:r>
        <w:rPr>
          <w:rFonts w:hint="eastAsia" w:ascii="宋体" w:hAnsi="宋体" w:cs="宋体"/>
          <w:szCs w:val="21"/>
          <w:highlight w:val="none"/>
        </w:rPr>
        <w:t>　　本竞争性比选项目</w:t>
      </w:r>
      <w:r>
        <w:rPr>
          <w:rFonts w:hint="eastAsia" w:ascii="宋体" w:hAnsi="宋体" w:cs="宋体"/>
          <w:szCs w:val="21"/>
          <w:highlight w:val="none"/>
          <w:u w:val="single"/>
          <w:lang w:val="en-US" w:eastAsia="zh-CN"/>
        </w:rPr>
        <w:t>机电工程施工总承包二级资质申报咨询服务</w:t>
      </w:r>
      <w:r>
        <w:rPr>
          <w:rFonts w:hint="eastAsia" w:ascii="宋体" w:hAnsi="宋体" w:cs="宋体"/>
          <w:szCs w:val="21"/>
          <w:highlight w:val="none"/>
        </w:rPr>
        <w:t>，采购人为</w:t>
      </w:r>
      <w:r>
        <w:rPr>
          <w:rFonts w:hint="eastAsia" w:ascii="宋体" w:hAnsi="宋体" w:cs="宋体"/>
          <w:szCs w:val="21"/>
          <w:highlight w:val="none"/>
          <w:u w:val="single"/>
        </w:rPr>
        <w:t xml:space="preserve"> 重庆首讯科技股份有限公司 </w:t>
      </w:r>
      <w:r>
        <w:rPr>
          <w:rFonts w:hint="eastAsia" w:ascii="宋体" w:hAnsi="宋体" w:cs="宋体"/>
          <w:szCs w:val="21"/>
          <w:highlight w:val="none"/>
        </w:rPr>
        <w:t>，该项目已具备比选条件，现对该项目进行竞争性比选。</w:t>
      </w:r>
    </w:p>
    <w:p>
      <w:pPr>
        <w:pStyle w:val="4"/>
        <w:spacing w:before="120" w:after="0" w:line="360" w:lineRule="auto"/>
        <w:rPr>
          <w:rFonts w:ascii="宋体" w:hAnsi="宋体" w:eastAsia="宋体" w:cs="宋体"/>
          <w:highlight w:val="none"/>
        </w:rPr>
      </w:pPr>
      <w:bookmarkStart w:id="31" w:name="_Toc246996902"/>
      <w:bookmarkStart w:id="32" w:name="_Toc152042289"/>
      <w:bookmarkStart w:id="33" w:name="_Toc18109"/>
      <w:bookmarkStart w:id="34" w:name="_Toc179632529"/>
      <w:bookmarkStart w:id="35" w:name="_Toc10952"/>
      <w:bookmarkStart w:id="36" w:name="_Toc11329214"/>
      <w:bookmarkStart w:id="37" w:name="_Toc152045513"/>
      <w:bookmarkStart w:id="38" w:name="_Toc246996159"/>
      <w:bookmarkStart w:id="39" w:name="_Toc13546"/>
      <w:bookmarkStart w:id="40" w:name="_Toc247085673"/>
      <w:bookmarkStart w:id="41" w:name="_Toc21343"/>
      <w:bookmarkStart w:id="42" w:name="_Toc507319892"/>
      <w:bookmarkStart w:id="43" w:name="_Toc144974481"/>
      <w:r>
        <w:rPr>
          <w:rFonts w:hint="eastAsia" w:ascii="宋体" w:hAnsi="宋体" w:eastAsia="宋体" w:cs="宋体"/>
          <w:highlight w:val="none"/>
        </w:rPr>
        <w:t>2. 项目概况与比选范围</w:t>
      </w:r>
      <w:bookmarkEnd w:id="31"/>
      <w:bookmarkEnd w:id="32"/>
      <w:bookmarkEnd w:id="33"/>
      <w:bookmarkEnd w:id="34"/>
      <w:bookmarkEnd w:id="35"/>
      <w:bookmarkEnd w:id="36"/>
      <w:bookmarkEnd w:id="37"/>
      <w:bookmarkEnd w:id="38"/>
      <w:bookmarkEnd w:id="39"/>
      <w:bookmarkEnd w:id="40"/>
      <w:bookmarkEnd w:id="41"/>
      <w:bookmarkEnd w:id="42"/>
      <w:bookmarkEnd w:id="43"/>
    </w:p>
    <w:p>
      <w:pPr>
        <w:pStyle w:val="13"/>
        <w:adjustRightInd w:val="0"/>
        <w:spacing w:line="400" w:lineRule="exact"/>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bookmarkStart w:id="44" w:name="_Toc446247226"/>
      <w:r>
        <w:rPr>
          <w:rFonts w:hint="eastAsia" w:ascii="宋体" w:hAnsi="宋体" w:cs="宋体"/>
          <w:szCs w:val="21"/>
          <w:highlight w:val="none"/>
        </w:rPr>
        <w:t xml:space="preserve">2.1 </w:t>
      </w: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项目地点：</w:t>
      </w:r>
      <w:bookmarkEnd w:id="44"/>
      <w:r>
        <w:rPr>
          <w:rFonts w:hint="eastAsia" w:ascii="宋体" w:hAnsi="宋体" w:cs="宋体"/>
          <w:color w:val="000000" w:themeColor="text1"/>
          <w:lang w:val="en-US" w:eastAsia="zh-CN"/>
          <w14:textFill>
            <w14:solidFill>
              <w14:schemeClr w14:val="tx1"/>
            </w14:solidFill>
          </w14:textFill>
        </w:rPr>
        <w:t>重庆首讯科技股份</w:t>
      </w: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有限公司。</w:t>
      </w:r>
    </w:p>
    <w:p>
      <w:pPr>
        <w:pStyle w:val="13"/>
        <w:numPr>
          <w:ilvl w:val="0"/>
          <w:numId w:val="0"/>
        </w:numPr>
        <w:adjustRightInd w:val="0"/>
        <w:spacing w:line="400" w:lineRule="exact"/>
        <w:ind w:firstLine="420" w:firstLineChars="200"/>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2.2 项目概况：2024年</w:t>
      </w:r>
      <w:r>
        <w:rPr>
          <w:rFonts w:hint="eastAsia" w:ascii="宋体" w:hAnsi="宋体" w:cs="宋体"/>
          <w:color w:val="000000" w:themeColor="text1"/>
          <w:kern w:val="2"/>
          <w:sz w:val="21"/>
          <w:szCs w:val="24"/>
          <w:highlight w:val="none"/>
          <w:lang w:val="en-US" w:eastAsia="zh-CN" w:bidi="ar-SA"/>
          <w14:textFill>
            <w14:solidFill>
              <w14:schemeClr w14:val="tx1"/>
            </w14:solidFill>
          </w14:textFill>
        </w:rPr>
        <w:t>机电工程施工总承包二级资质申报咨询服务</w:t>
      </w: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，主要为选择一家咨询单位进行机电工程施工总承包二级资质的咨询服务，直至我司领取主管部门核发的资质证书为止。。</w:t>
      </w:r>
    </w:p>
    <w:p>
      <w:pPr>
        <w:keepNext w:val="0"/>
        <w:keepLines w:val="0"/>
        <w:widowControl w:val="0"/>
        <w:suppressLineNumbers w:val="0"/>
        <w:adjustRightInd w:val="0"/>
        <w:spacing w:before="0" w:beforeAutospacing="0" w:after="0" w:afterAutospacing="0" w:line="520" w:lineRule="exact"/>
        <w:ind w:left="0" w:right="0" w:firstLine="420" w:firstLineChars="200"/>
        <w:jc w:val="both"/>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lang w:val="en-US" w:eastAsia="zh-CN"/>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highlight w:val="none"/>
          <w:lang w:val="en-US" w:eastAsia="zh-CN"/>
          <w14:textFill>
            <w14:solidFill>
              <w14:schemeClr w14:val="tx1"/>
            </w14:solidFill>
          </w14:textFill>
        </w:rPr>
        <w:t>采购预计金额：40万元。</w:t>
      </w:r>
    </w:p>
    <w:p>
      <w:pPr>
        <w:pStyle w:val="13"/>
        <w:adjustRightInd w:val="0"/>
        <w:spacing w:line="400" w:lineRule="exact"/>
        <w:rPr>
          <w:rFonts w:hint="eastAsia" w:ascii="宋体" w:hAnsi="宋体" w:cs="宋体"/>
          <w:szCs w:val="21"/>
          <w:highlight w:val="none"/>
          <w:lang w:val="en-US" w:eastAsia="zh-CN"/>
        </w:rPr>
      </w:pPr>
      <w:r>
        <w:rPr>
          <w:rFonts w:hint="eastAsia" w:ascii="宋体" w:hAnsi="宋体" w:cs="宋体"/>
          <w:highlight w:val="none"/>
        </w:rPr>
        <w:t>2.3 比选范围：</w:t>
      </w:r>
      <w:r>
        <w:rPr>
          <w:rFonts w:hint="eastAsia" w:ascii="宋体" w:hAnsi="宋体" w:cs="宋体"/>
          <w:highlight w:val="none"/>
          <w:lang w:val="en-US" w:eastAsia="zh-CN"/>
        </w:rPr>
        <w:t>主要为公司进行机电工程施工总承包二级资质的咨询服务，主要包括推荐申报机电工程施工总承包二级资质所需技术负责人以及2名专业工程师（具体要求详见第二章第18点）和1名建筑专业二级建造师、申办方案编制、资料收集及整理、修订，申办资料汇总、送审，与资质审批主管部门沟通协调促进资质顺利获取，直至采购人领取主管部门核发的机电工程施工总承包二级资质证书为止</w:t>
      </w:r>
      <w:r>
        <w:rPr>
          <w:rFonts w:hint="eastAsia" w:ascii="宋体" w:hAnsi="宋体" w:cs="宋体"/>
          <w:szCs w:val="21"/>
          <w:highlight w:val="none"/>
          <w:lang w:val="en-US" w:eastAsia="zh-CN"/>
        </w:rPr>
        <w:t>。</w:t>
      </w:r>
    </w:p>
    <w:p>
      <w:pPr>
        <w:spacing w:line="400" w:lineRule="exact"/>
        <w:ind w:firstLine="420" w:firstLineChars="200"/>
        <w:rPr>
          <w:rFonts w:hint="eastAsia" w:ascii="宋体" w:hAnsi="宋体" w:eastAsia="宋体" w:cs="宋体"/>
          <w:b w:val="0"/>
          <w:bCs w:val="0"/>
          <w:kern w:val="2"/>
          <w:sz w:val="21"/>
          <w:szCs w:val="24"/>
          <w:highlight w:val="none"/>
          <w:lang w:val="en-US" w:eastAsia="zh-CN" w:bidi="ar-SA"/>
        </w:rPr>
      </w:pPr>
      <w:r>
        <w:rPr>
          <w:rFonts w:hint="eastAsia" w:ascii="宋体" w:hAnsi="宋体" w:cs="宋体"/>
          <w:b w:val="0"/>
          <w:bCs w:val="0"/>
          <w:highlight w:val="none"/>
        </w:rPr>
        <w:t>2.4</w:t>
      </w:r>
      <w:r>
        <w:rPr>
          <w:rFonts w:hint="eastAsia" w:ascii="宋体" w:hAnsi="宋体" w:eastAsia="宋体" w:cs="宋体"/>
          <w:b w:val="0"/>
          <w:bCs w:val="0"/>
          <w:kern w:val="2"/>
          <w:sz w:val="21"/>
          <w:szCs w:val="24"/>
          <w:highlight w:val="none"/>
          <w:lang w:val="en-US" w:eastAsia="zh-CN" w:bidi="ar-SA"/>
        </w:rPr>
        <w:t xml:space="preserve"> </w:t>
      </w:r>
      <w:r>
        <w:rPr>
          <w:rFonts w:hint="eastAsia" w:ascii="宋体" w:hAnsi="宋体" w:cs="宋体"/>
          <w:b w:val="0"/>
          <w:bCs w:val="0"/>
          <w:kern w:val="2"/>
          <w:sz w:val="21"/>
          <w:szCs w:val="24"/>
          <w:highlight w:val="none"/>
          <w:lang w:val="en-US" w:eastAsia="zh-CN" w:bidi="ar-SA"/>
        </w:rPr>
        <w:t>工期要求：预计服务期限为2024年9月10日至2024年11月31日</w:t>
      </w:r>
      <w:r>
        <w:rPr>
          <w:rFonts w:hint="eastAsia" w:ascii="宋体" w:hAnsi="宋体" w:eastAsia="宋体" w:cs="宋体"/>
          <w:b w:val="0"/>
          <w:bCs w:val="0"/>
          <w:kern w:val="2"/>
          <w:sz w:val="21"/>
          <w:szCs w:val="24"/>
          <w:highlight w:val="none"/>
          <w:lang w:val="en-US" w:eastAsia="zh-CN" w:bidi="ar-SA"/>
        </w:rPr>
        <w:t>。</w:t>
      </w:r>
    </w:p>
    <w:p>
      <w:pPr>
        <w:spacing w:line="400" w:lineRule="exact"/>
        <w:ind w:firstLine="420" w:firstLineChars="200"/>
        <w:rPr>
          <w:rFonts w:hint="default" w:ascii="宋体" w:hAnsi="宋体" w:eastAsia="宋体" w:cs="宋体"/>
          <w:b/>
          <w:bCs/>
          <w:highlight w:val="none"/>
          <w:lang w:val="en-US" w:eastAsia="zh-CN"/>
        </w:rPr>
      </w:pPr>
      <w:r>
        <w:rPr>
          <w:rFonts w:hint="eastAsia" w:ascii="宋体" w:hAnsi="宋体" w:cs="宋体"/>
          <w:b w:val="0"/>
          <w:bCs w:val="0"/>
          <w:kern w:val="2"/>
          <w:sz w:val="21"/>
          <w:szCs w:val="24"/>
          <w:highlight w:val="none"/>
          <w:lang w:val="en-US" w:eastAsia="zh-CN" w:bidi="ar-SA"/>
        </w:rPr>
        <w:t>2.5 标段划分：本项目划分为一个标段。</w:t>
      </w:r>
    </w:p>
    <w:p>
      <w:pPr>
        <w:pStyle w:val="4"/>
        <w:spacing w:before="120" w:after="0" w:line="360" w:lineRule="auto"/>
        <w:rPr>
          <w:rFonts w:ascii="宋体" w:hAnsi="宋体" w:eastAsia="宋体" w:cs="宋体"/>
          <w:highlight w:val="none"/>
        </w:rPr>
      </w:pPr>
      <w:bookmarkStart w:id="45" w:name="_Toc152045514"/>
      <w:bookmarkStart w:id="46" w:name="_Toc11329215"/>
      <w:bookmarkStart w:id="47" w:name="_Toc507319893"/>
      <w:bookmarkStart w:id="48" w:name="_Toc7065"/>
      <w:bookmarkStart w:id="49" w:name="_Toc144974482"/>
      <w:bookmarkStart w:id="50" w:name="_Toc30356"/>
      <w:bookmarkStart w:id="51" w:name="_Toc152042290"/>
      <w:bookmarkStart w:id="52" w:name="_Toc247085674"/>
      <w:bookmarkStart w:id="53" w:name="_Toc10171"/>
      <w:bookmarkStart w:id="54" w:name="_Toc179632530"/>
      <w:bookmarkStart w:id="55" w:name="_Toc11874"/>
      <w:bookmarkStart w:id="56" w:name="_Toc246996160"/>
      <w:bookmarkStart w:id="57" w:name="_Toc246996903"/>
      <w:r>
        <w:rPr>
          <w:rFonts w:hint="eastAsia" w:ascii="宋体" w:hAnsi="宋体" w:eastAsia="宋体" w:cs="宋体"/>
          <w:highlight w:val="none"/>
        </w:rPr>
        <w:t>3. 报价人资格要求</w:t>
      </w:r>
      <w:bookmarkEnd w:id="45"/>
      <w:bookmarkEnd w:id="46"/>
      <w:bookmarkEnd w:id="47"/>
      <w:bookmarkEnd w:id="48"/>
      <w:bookmarkEnd w:id="49"/>
      <w:bookmarkEnd w:id="50"/>
      <w:bookmarkEnd w:id="51"/>
      <w:bookmarkEnd w:id="52"/>
      <w:bookmarkEnd w:id="53"/>
      <w:bookmarkEnd w:id="54"/>
      <w:bookmarkEnd w:id="55"/>
      <w:bookmarkEnd w:id="56"/>
      <w:bookmarkEnd w:id="57"/>
    </w:p>
    <w:p>
      <w:pPr>
        <w:pStyle w:val="13"/>
        <w:adjustRightInd w:val="0"/>
        <w:spacing w:line="400" w:lineRule="exact"/>
        <w:rPr>
          <w:rFonts w:hint="eastAsia" w:ascii="宋体" w:hAnsi="宋体" w:cs="宋体"/>
          <w:highlight w:val="none"/>
          <w:lang w:val="en-US" w:eastAsia="zh-CN"/>
        </w:rPr>
      </w:pPr>
      <w:bookmarkStart w:id="58" w:name="_Toc246996904"/>
      <w:bookmarkStart w:id="59" w:name="_Toc179632531"/>
      <w:bookmarkStart w:id="60" w:name="_Toc152045515"/>
      <w:bookmarkStart w:id="61" w:name="_Toc247085675"/>
      <w:bookmarkStart w:id="62" w:name="_Toc144974483"/>
      <w:bookmarkStart w:id="63" w:name="_Toc152042291"/>
      <w:bookmarkStart w:id="64" w:name="_Toc246996161"/>
      <w:r>
        <w:rPr>
          <w:rFonts w:hint="eastAsia" w:ascii="宋体" w:hAnsi="宋体" w:cs="宋体"/>
          <w:highlight w:val="none"/>
          <w:lang w:val="en-US" w:eastAsia="zh-CN"/>
        </w:rPr>
        <w:t>3.1 资质要求：</w:t>
      </w:r>
    </w:p>
    <w:p>
      <w:pPr>
        <w:pStyle w:val="13"/>
        <w:adjustRightInd w:val="0"/>
        <w:spacing w:line="400" w:lineRule="exact"/>
        <w:rPr>
          <w:rFonts w:hint="eastAsia" w:ascii="宋体" w:hAnsi="宋体" w:cs="宋体"/>
          <w:highlight w:val="none"/>
          <w:lang w:val="en-US" w:eastAsia="zh-CN"/>
        </w:rPr>
      </w:pPr>
      <w:r>
        <w:rPr>
          <w:rFonts w:hint="eastAsia" w:ascii="宋体" w:hAnsi="宋体" w:cs="宋体"/>
          <w:highlight w:val="none"/>
          <w:lang w:val="en-US" w:eastAsia="zh-CN"/>
        </w:rPr>
        <w:t>（1）具备独立法人资格，具有有效的营业执照；</w:t>
      </w:r>
    </w:p>
    <w:p>
      <w:pPr>
        <w:pStyle w:val="13"/>
        <w:adjustRightInd w:val="0"/>
        <w:spacing w:line="400" w:lineRule="exact"/>
        <w:rPr>
          <w:rFonts w:hint="eastAsia" w:ascii="宋体" w:hAnsi="宋体" w:eastAsia="宋体" w:cs="宋体"/>
          <w:highlight w:val="yellow"/>
          <w:lang w:val="en-US" w:eastAsia="zh-CN"/>
        </w:rPr>
      </w:pPr>
      <w:r>
        <w:rPr>
          <w:rFonts w:hint="eastAsia" w:ascii="宋体" w:hAnsi="宋体" w:eastAsia="宋体" w:cs="宋体"/>
          <w:highlight w:val="none"/>
          <w:lang w:val="en-US" w:eastAsia="zh-CN"/>
        </w:rPr>
        <w:t>3.2 业绩要求：</w:t>
      </w:r>
      <w:r>
        <w:rPr>
          <w:rFonts w:hint="eastAsia" w:ascii="宋体" w:hAnsi="宋体" w:cs="宋体"/>
          <w:highlight w:val="none"/>
          <w:lang w:val="en-US" w:eastAsia="zh-CN"/>
        </w:rPr>
        <w:t>报价人在2021年1月1日至报价截止日期（以合同签订时间为准）至少独立完成一项合同金额不低于20万元的中国境内企业资质办理咨询服务合作案例。（合同签订时间为准，提供申报成功的证书和官网证书查询信息截图）</w:t>
      </w:r>
      <w:r>
        <w:rPr>
          <w:rFonts w:hint="eastAsia" w:ascii="宋体" w:hAnsi="宋体" w:eastAsia="宋体" w:cs="宋体"/>
          <w:highlight w:val="none"/>
          <w:lang w:val="en-US" w:eastAsia="zh-CN"/>
        </w:rPr>
        <w:t>。</w:t>
      </w:r>
    </w:p>
    <w:p>
      <w:pPr>
        <w:pStyle w:val="13"/>
        <w:adjustRightInd w:val="0"/>
        <w:spacing w:line="400" w:lineRule="exact"/>
        <w:rPr>
          <w:rFonts w:hint="eastAsia" w:ascii="宋体" w:hAnsi="宋体" w:eastAsia="宋体" w:cs="宋体"/>
          <w:highlight w:val="none"/>
          <w:lang w:val="en-US" w:eastAsia="zh-CN"/>
        </w:rPr>
      </w:pPr>
      <w:r>
        <w:rPr>
          <w:rFonts w:hint="eastAsia" w:ascii="宋体" w:hAnsi="宋体" w:eastAsia="宋体" w:cs="宋体"/>
          <w:highlight w:val="none"/>
          <w:lang w:val="en-US" w:eastAsia="zh-CN"/>
        </w:rPr>
        <w:t>3.3 信誉要求：在国家企业信用信息公示系统（http://www.gsxt.gov.cn/）中未被列入严重违法失信企业名单（黑名单）信息；在“信用中国”网站（http://www.creditchina.gov.cn/）中未被列入失信惩戒执行人名单。</w:t>
      </w:r>
    </w:p>
    <w:p>
      <w:pPr>
        <w:pStyle w:val="13"/>
        <w:adjustRightInd w:val="0"/>
        <w:spacing w:line="400" w:lineRule="exact"/>
        <w:rPr>
          <w:rFonts w:hint="eastAsia" w:ascii="宋体" w:hAnsi="宋体" w:eastAsia="宋体" w:cs="宋体"/>
          <w:highlight w:val="none"/>
          <w:lang w:val="en-US" w:eastAsia="zh-CN"/>
        </w:rPr>
      </w:pPr>
      <w:r>
        <w:rPr>
          <w:rFonts w:hint="eastAsia" w:ascii="宋体" w:hAnsi="宋体" w:eastAsia="宋体" w:cs="宋体"/>
          <w:highlight w:val="none"/>
          <w:lang w:val="en-US" w:eastAsia="zh-CN"/>
        </w:rPr>
        <w:t>3.4 报价人须提供采购人要求的所有资质要求、业绩要求、信誉要求的复印件并加盖单位鲜公章。</w:t>
      </w:r>
    </w:p>
    <w:p>
      <w:pPr>
        <w:pStyle w:val="13"/>
        <w:adjustRightInd w:val="0"/>
        <w:spacing w:line="400" w:lineRule="exact"/>
        <w:rPr>
          <w:rFonts w:hint="eastAsia" w:ascii="宋体" w:hAnsi="宋体" w:eastAsia="宋体" w:cs="宋体"/>
          <w:highlight w:val="none"/>
          <w:lang w:val="en-US" w:eastAsia="zh-CN"/>
        </w:rPr>
      </w:pPr>
      <w:r>
        <w:rPr>
          <w:rFonts w:hint="eastAsia" w:ascii="宋体" w:hAnsi="宋体" w:eastAsia="宋体" w:cs="宋体"/>
          <w:highlight w:val="none"/>
          <w:lang w:val="en-US" w:eastAsia="zh-CN"/>
        </w:rPr>
        <w:t>3.5 本次比选不接受联合体报价。</w:t>
      </w:r>
    </w:p>
    <w:p>
      <w:pPr>
        <w:pStyle w:val="13"/>
        <w:adjustRightInd w:val="0"/>
        <w:spacing w:line="400" w:lineRule="exact"/>
        <w:rPr>
          <w:rFonts w:hint="eastAsia" w:ascii="宋体" w:hAnsi="宋体" w:eastAsia="宋体" w:cs="宋体"/>
          <w:highlight w:val="none"/>
          <w:lang w:val="en-US" w:eastAsia="zh-CN"/>
        </w:rPr>
      </w:pPr>
      <w:r>
        <w:rPr>
          <w:rFonts w:hint="eastAsia" w:ascii="宋体" w:hAnsi="宋体" w:eastAsia="宋体" w:cs="宋体"/>
          <w:highlight w:val="none"/>
          <w:lang w:val="en-US" w:eastAsia="zh-CN"/>
        </w:rPr>
        <w:t>3.6 单位负责人为同一人或者存在控股、管理关系的不同单位，不得同时参加本项目报价，否则均按无效报价处理。</w:t>
      </w:r>
    </w:p>
    <w:p>
      <w:pPr>
        <w:pStyle w:val="4"/>
        <w:spacing w:before="120" w:after="0" w:line="360" w:lineRule="auto"/>
        <w:rPr>
          <w:rFonts w:hint="default" w:ascii="宋体" w:hAnsi="宋体" w:eastAsia="宋体" w:cs="宋体"/>
          <w:color w:val="000000" w:themeColor="text1"/>
          <w:highlight w:val="none"/>
          <w:lang w:val="en-US" w:eastAsia="zh-CN"/>
          <w14:textFill>
            <w14:solidFill>
              <w14:schemeClr w14:val="tx1"/>
            </w14:solidFill>
          </w14:textFill>
        </w:rPr>
      </w:pPr>
      <w:bookmarkStart w:id="65" w:name="_Toc9941"/>
      <w:r>
        <w:rPr>
          <w:rFonts w:hint="eastAsia" w:ascii="宋体" w:hAnsi="宋体" w:eastAsia="宋体" w:cs="宋体"/>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color w:val="000000" w:themeColor="text1"/>
          <w:highlight w:val="none"/>
          <w:lang w:val="en-US" w:eastAsia="zh-CN"/>
          <w14:textFill>
            <w14:solidFill>
              <w14:schemeClr w14:val="tx1"/>
            </w14:solidFill>
          </w14:textFill>
        </w:rPr>
        <w:t>评标办法</w:t>
      </w:r>
      <w:bookmarkEnd w:id="65"/>
    </w:p>
    <w:p>
      <w:pPr>
        <w:pStyle w:val="13"/>
        <w:adjustRightInd w:val="0"/>
        <w:spacing w:line="400" w:lineRule="exact"/>
        <w:rPr>
          <w:rFonts w:hint="default" w:ascii="宋体" w:hAnsi="宋体" w:eastAsia="宋体" w:cs="宋体"/>
          <w:highlight w:val="none"/>
          <w:lang w:val="en-US" w:eastAsia="zh-CN"/>
        </w:rPr>
      </w:pPr>
      <w:r>
        <w:rPr>
          <w:rFonts w:hint="eastAsia" w:ascii="宋体" w:hAnsi="宋体" w:eastAsia="宋体" w:cs="宋体"/>
          <w:highlight w:val="none"/>
          <w:lang w:val="en-US" w:eastAsia="zh-CN"/>
        </w:rPr>
        <w:t>本项目采用</w:t>
      </w:r>
      <w:r>
        <w:rPr>
          <w:rFonts w:hint="eastAsia" w:ascii="宋体" w:hAnsi="宋体" w:cs="宋体"/>
          <w:highlight w:val="none"/>
          <w:lang w:val="en-US" w:eastAsia="zh-CN"/>
        </w:rPr>
        <w:t>综合评估法</w:t>
      </w:r>
      <w:r>
        <w:rPr>
          <w:rFonts w:hint="eastAsia" w:ascii="宋体" w:hAnsi="宋体" w:eastAsia="宋体" w:cs="宋体"/>
          <w:highlight w:val="none"/>
          <w:lang w:val="en-US" w:eastAsia="zh-CN"/>
        </w:rPr>
        <w:t>。</w:t>
      </w:r>
    </w:p>
    <w:p>
      <w:pPr>
        <w:pStyle w:val="4"/>
        <w:spacing w:before="120" w:after="0" w:line="400" w:lineRule="exact"/>
        <w:rPr>
          <w:rFonts w:ascii="宋体" w:hAnsi="宋体" w:eastAsia="宋体" w:cs="宋体"/>
          <w:highlight w:val="none"/>
        </w:rPr>
      </w:pPr>
      <w:bookmarkStart w:id="66" w:name="_Toc12460"/>
      <w:bookmarkStart w:id="67" w:name="_Toc14361"/>
      <w:bookmarkStart w:id="68" w:name="_Toc11329216"/>
      <w:bookmarkStart w:id="69" w:name="_Toc25619"/>
      <w:bookmarkStart w:id="70" w:name="_Toc20441"/>
      <w:bookmarkStart w:id="71" w:name="_Toc507319894"/>
      <w:r>
        <w:rPr>
          <w:rFonts w:hint="eastAsia" w:ascii="宋体" w:hAnsi="宋体" w:eastAsia="宋体" w:cs="宋体"/>
          <w:highlight w:val="none"/>
          <w:lang w:val="en-US" w:eastAsia="zh-CN"/>
        </w:rPr>
        <w:t>5</w:t>
      </w:r>
      <w:r>
        <w:rPr>
          <w:rFonts w:hint="eastAsia" w:ascii="宋体" w:hAnsi="宋体" w:eastAsia="宋体" w:cs="宋体"/>
          <w:highlight w:val="none"/>
        </w:rPr>
        <w:t>. 比选文件的获取</w:t>
      </w:r>
      <w:bookmarkEnd w:id="58"/>
      <w:bookmarkEnd w:id="59"/>
      <w:bookmarkEnd w:id="60"/>
      <w:bookmarkEnd w:id="61"/>
      <w:bookmarkEnd w:id="62"/>
      <w:bookmarkEnd w:id="63"/>
      <w:bookmarkEnd w:id="64"/>
      <w:bookmarkEnd w:id="66"/>
      <w:bookmarkEnd w:id="67"/>
      <w:bookmarkEnd w:id="68"/>
      <w:bookmarkEnd w:id="69"/>
      <w:bookmarkEnd w:id="70"/>
      <w:bookmarkEnd w:id="71"/>
    </w:p>
    <w:p>
      <w:pPr>
        <w:pStyle w:val="13"/>
        <w:adjustRightInd w:val="0"/>
        <w:spacing w:line="400" w:lineRule="exact"/>
        <w:rPr>
          <w:rFonts w:hint="eastAsia" w:ascii="宋体" w:hAnsi="宋体" w:eastAsia="宋体" w:cs="宋体"/>
          <w:highlight w:val="none"/>
          <w:lang w:val="en-US" w:eastAsia="zh-CN"/>
        </w:rPr>
      </w:pPr>
      <w:bookmarkStart w:id="72" w:name="_Toc11329217"/>
      <w:bookmarkStart w:id="73" w:name="_Toc246996905"/>
      <w:bookmarkStart w:id="74" w:name="_Toc507319895"/>
      <w:bookmarkStart w:id="75" w:name="_Toc152045516"/>
      <w:bookmarkStart w:id="76" w:name="_Toc179632532"/>
      <w:bookmarkStart w:id="77" w:name="_Toc246996162"/>
      <w:bookmarkStart w:id="78" w:name="_Toc144974484"/>
      <w:bookmarkStart w:id="79" w:name="_Toc152042292"/>
      <w:bookmarkStart w:id="80" w:name="_Toc247085676"/>
      <w:bookmarkStart w:id="81" w:name="_Toc31493"/>
      <w:bookmarkStart w:id="82" w:name="_Toc16686"/>
      <w:bookmarkStart w:id="83" w:name="_Toc9131"/>
      <w:r>
        <w:rPr>
          <w:rFonts w:hint="eastAsia" w:ascii="宋体" w:hAnsi="宋体" w:eastAsia="宋体" w:cs="宋体"/>
          <w:highlight w:val="none"/>
          <w:lang w:val="en-US" w:eastAsia="zh-CN"/>
        </w:rPr>
        <w:t>凡愿意参加的潜在报价人，在202</w:t>
      </w:r>
      <w:r>
        <w:rPr>
          <w:rFonts w:hint="eastAsia" w:ascii="宋体" w:hAnsi="宋体" w:cs="宋体"/>
          <w:highlight w:val="none"/>
          <w:lang w:val="en-US" w:eastAsia="zh-CN"/>
        </w:rPr>
        <w:t>4</w:t>
      </w:r>
      <w:r>
        <w:rPr>
          <w:rFonts w:hint="eastAsia" w:ascii="宋体" w:hAnsi="宋体" w:eastAsia="宋体" w:cs="宋体"/>
          <w:highlight w:val="none"/>
          <w:lang w:val="en-US" w:eastAsia="zh-CN"/>
        </w:rPr>
        <w:t>年</w:t>
      </w:r>
      <w:r>
        <w:rPr>
          <w:rFonts w:hint="eastAsia" w:ascii="宋体" w:hAnsi="宋体" w:cs="宋体"/>
          <w:highlight w:val="none"/>
          <w:lang w:val="en-US" w:eastAsia="zh-CN"/>
        </w:rPr>
        <w:t>8</w:t>
      </w:r>
      <w:r>
        <w:rPr>
          <w:rFonts w:hint="eastAsia" w:ascii="宋体" w:hAnsi="宋体" w:eastAsia="宋体" w:cs="宋体"/>
          <w:highlight w:val="none"/>
          <w:lang w:val="en-US" w:eastAsia="zh-CN"/>
        </w:rPr>
        <w:t>月</w:t>
      </w:r>
      <w:r>
        <w:rPr>
          <w:rFonts w:hint="eastAsia" w:ascii="宋体" w:hAnsi="宋体" w:cs="宋体"/>
          <w:highlight w:val="none"/>
          <w:lang w:val="en-US" w:eastAsia="zh-CN"/>
        </w:rPr>
        <w:t>30</w:t>
      </w:r>
      <w:r>
        <w:rPr>
          <w:rFonts w:hint="eastAsia" w:ascii="宋体" w:hAnsi="宋体" w:eastAsia="宋体" w:cs="宋体"/>
          <w:highlight w:val="none"/>
          <w:lang w:val="en-US" w:eastAsia="zh-CN"/>
        </w:rPr>
        <w:t>日上午10:00</w:t>
      </w:r>
      <w:r>
        <w:rPr>
          <w:rFonts w:hint="eastAsia" w:ascii="宋体" w:hAnsi="宋体" w:cs="宋体"/>
        </w:rPr>
        <w:t>前在重庆高速集团官网</w:t>
      </w:r>
      <w:r>
        <w:rPr>
          <w:rFonts w:hint="eastAsia" w:ascii="宋体" w:hAnsi="宋体" w:cs="宋体"/>
          <w:lang w:val="en-US" w:eastAsia="zh-CN"/>
        </w:rPr>
        <w:t>（</w:t>
      </w:r>
      <w:r>
        <w:rPr>
          <w:rFonts w:hint="eastAsia" w:ascii="宋体" w:hAnsi="宋体" w:eastAsia="宋体" w:cs="宋体"/>
          <w:highlight w:val="none"/>
          <w:lang w:val="en-US" w:eastAsia="zh-CN"/>
        </w:rPr>
        <w:t>https://www.cegc.com.cn/html/col1810480.html</w:t>
      </w:r>
      <w:r>
        <w:rPr>
          <w:rFonts w:hint="eastAsia" w:ascii="宋体" w:hAnsi="宋体" w:cs="宋体"/>
          <w:lang w:val="en-US" w:eastAsia="zh-CN"/>
        </w:rPr>
        <w:t>）上</w:t>
      </w:r>
      <w:r>
        <w:rPr>
          <w:rFonts w:hint="eastAsia" w:ascii="宋体" w:hAnsi="宋体" w:cs="宋体"/>
        </w:rPr>
        <w:t>获取竞争性比选文件，各报价人应随时关注网上发布的竞争性比选文件答疑、补遗、澄清等文件内容，不管报价人是否下载，均视为已知晓竞争性比选文件的全部内容和有关事宜</w:t>
      </w:r>
      <w:r>
        <w:rPr>
          <w:rFonts w:hint="eastAsia" w:ascii="宋体" w:hAnsi="宋体" w:cs="宋体"/>
          <w:lang w:eastAsia="zh-CN"/>
        </w:rPr>
        <w:t>。</w:t>
      </w:r>
    </w:p>
    <w:p>
      <w:pPr>
        <w:pStyle w:val="4"/>
        <w:spacing w:before="120" w:after="0" w:line="400" w:lineRule="exact"/>
        <w:rPr>
          <w:rFonts w:ascii="宋体" w:hAnsi="宋体" w:eastAsia="宋体" w:cs="宋体"/>
          <w:highlight w:val="none"/>
        </w:rPr>
      </w:pPr>
      <w:bookmarkStart w:id="84" w:name="_Toc6883"/>
      <w:r>
        <w:rPr>
          <w:rFonts w:hint="eastAsia" w:ascii="宋体" w:hAnsi="宋体" w:eastAsia="宋体" w:cs="宋体"/>
          <w:highlight w:val="none"/>
          <w:lang w:val="en-US" w:eastAsia="zh-CN"/>
        </w:rPr>
        <w:t>6</w:t>
      </w:r>
      <w:r>
        <w:rPr>
          <w:rFonts w:hint="eastAsia" w:ascii="宋体" w:hAnsi="宋体" w:eastAsia="宋体" w:cs="宋体"/>
          <w:highlight w:val="none"/>
        </w:rPr>
        <w:t>. 竞争性比选响应文件的递交</w:t>
      </w:r>
      <w:bookmarkEnd w:id="72"/>
      <w:bookmarkEnd w:id="73"/>
      <w:bookmarkEnd w:id="74"/>
      <w:bookmarkEnd w:id="75"/>
      <w:bookmarkEnd w:id="76"/>
      <w:bookmarkEnd w:id="77"/>
      <w:bookmarkEnd w:id="78"/>
      <w:bookmarkEnd w:id="79"/>
      <w:bookmarkEnd w:id="80"/>
      <w:r>
        <w:rPr>
          <w:rFonts w:hint="eastAsia" w:ascii="宋体" w:hAnsi="宋体" w:eastAsia="宋体" w:cs="宋体"/>
          <w:highlight w:val="none"/>
        </w:rPr>
        <w:t>及相关事宜</w:t>
      </w:r>
      <w:bookmarkEnd w:id="81"/>
      <w:bookmarkEnd w:id="82"/>
      <w:bookmarkEnd w:id="83"/>
      <w:bookmarkEnd w:id="84"/>
    </w:p>
    <w:p>
      <w:pPr>
        <w:pStyle w:val="13"/>
        <w:adjustRightInd w:val="0"/>
        <w:spacing w:line="400" w:lineRule="exact"/>
        <w:rPr>
          <w:rFonts w:hint="eastAsia" w:ascii="宋体" w:hAnsi="宋体" w:eastAsia="宋体" w:cs="宋体"/>
          <w:highlight w:val="none"/>
          <w:lang w:val="en-US" w:eastAsia="zh-CN"/>
        </w:rPr>
      </w:pPr>
      <w:bookmarkStart w:id="85" w:name="_Toc179632534"/>
      <w:bookmarkStart w:id="86" w:name="_Toc246996164"/>
      <w:bookmarkStart w:id="87" w:name="_Toc246996907"/>
      <w:bookmarkStart w:id="88" w:name="_Toc11329219"/>
      <w:bookmarkStart w:id="89" w:name="_Toc247085678"/>
      <w:bookmarkStart w:id="90" w:name="_Toc144974485"/>
      <w:bookmarkStart w:id="91" w:name="_Toc152045517"/>
      <w:bookmarkStart w:id="92" w:name="_Toc393"/>
      <w:bookmarkStart w:id="93" w:name="_Toc18402"/>
      <w:bookmarkStart w:id="94" w:name="_Toc21615"/>
      <w:bookmarkStart w:id="95" w:name="_Toc152042293"/>
      <w:bookmarkStart w:id="96" w:name="_Toc507319897"/>
      <w:r>
        <w:rPr>
          <w:rFonts w:hint="eastAsia" w:ascii="宋体" w:hAnsi="宋体" w:eastAsia="宋体" w:cs="宋体"/>
          <w:highlight w:val="none"/>
          <w:lang w:val="en-US" w:eastAsia="zh-CN"/>
        </w:rPr>
        <w:t>6.1报价截止时间和开标时间：202</w:t>
      </w:r>
      <w:r>
        <w:rPr>
          <w:rFonts w:hint="eastAsia" w:ascii="宋体" w:hAnsi="宋体" w:cs="宋体"/>
          <w:highlight w:val="none"/>
          <w:lang w:val="en-US" w:eastAsia="zh-CN"/>
        </w:rPr>
        <w:t>4</w:t>
      </w:r>
      <w:r>
        <w:rPr>
          <w:rFonts w:hint="eastAsia" w:ascii="宋体" w:hAnsi="宋体" w:eastAsia="宋体" w:cs="宋体"/>
          <w:highlight w:val="none"/>
          <w:lang w:val="en-US" w:eastAsia="zh-CN"/>
        </w:rPr>
        <w:t>年</w:t>
      </w:r>
      <w:r>
        <w:rPr>
          <w:rFonts w:hint="eastAsia" w:ascii="宋体" w:hAnsi="宋体" w:cs="宋体"/>
          <w:highlight w:val="none"/>
          <w:lang w:val="en-US" w:eastAsia="zh-CN"/>
        </w:rPr>
        <w:t>8</w:t>
      </w:r>
      <w:r>
        <w:rPr>
          <w:rFonts w:hint="eastAsia" w:ascii="宋体" w:hAnsi="宋体" w:eastAsia="宋体" w:cs="宋体"/>
          <w:highlight w:val="none"/>
          <w:lang w:val="en-US" w:eastAsia="zh-CN"/>
        </w:rPr>
        <w:t>月</w:t>
      </w:r>
      <w:r>
        <w:rPr>
          <w:rFonts w:hint="eastAsia" w:ascii="宋体" w:hAnsi="宋体" w:cs="宋体"/>
          <w:highlight w:val="none"/>
          <w:lang w:val="en-US" w:eastAsia="zh-CN"/>
        </w:rPr>
        <w:t>30</w:t>
      </w:r>
      <w:r>
        <w:rPr>
          <w:rFonts w:hint="eastAsia" w:ascii="宋体" w:hAnsi="宋体" w:eastAsia="宋体" w:cs="宋体"/>
          <w:highlight w:val="none"/>
          <w:lang w:val="en-US" w:eastAsia="zh-CN"/>
        </w:rPr>
        <w:t>日上午10时00分（北京时间）。</w:t>
      </w:r>
    </w:p>
    <w:p>
      <w:pPr>
        <w:pStyle w:val="13"/>
        <w:adjustRightInd w:val="0"/>
        <w:spacing w:line="400" w:lineRule="exact"/>
        <w:rPr>
          <w:rFonts w:hint="default" w:ascii="宋体" w:hAnsi="宋体" w:eastAsia="宋体" w:cs="宋体"/>
          <w:highlight w:val="none"/>
          <w:lang w:val="en-US" w:eastAsia="zh-CN"/>
        </w:rPr>
      </w:pPr>
      <w:r>
        <w:rPr>
          <w:rFonts w:hint="eastAsia" w:ascii="宋体" w:hAnsi="宋体" w:eastAsia="宋体" w:cs="宋体"/>
          <w:highlight w:val="none"/>
          <w:lang w:val="en-US" w:eastAsia="zh-CN"/>
        </w:rPr>
        <w:t>6</w:t>
      </w:r>
      <w:r>
        <w:rPr>
          <w:rFonts w:hint="default" w:ascii="宋体" w:hAnsi="宋体" w:eastAsia="宋体" w:cs="宋体"/>
          <w:highlight w:val="none"/>
          <w:lang w:val="en-US" w:eastAsia="zh-CN"/>
        </w:rPr>
        <w:t>.</w:t>
      </w:r>
      <w:r>
        <w:rPr>
          <w:rFonts w:hint="eastAsia" w:ascii="宋体" w:hAnsi="宋体" w:eastAsia="宋体" w:cs="宋体"/>
          <w:highlight w:val="none"/>
          <w:lang w:val="en-US" w:eastAsia="zh-CN"/>
        </w:rPr>
        <w:t>2</w:t>
      </w:r>
      <w:r>
        <w:rPr>
          <w:rFonts w:hint="default" w:ascii="宋体" w:hAnsi="宋体" w:eastAsia="宋体" w:cs="宋体"/>
          <w:highlight w:val="none"/>
          <w:lang w:val="en-US" w:eastAsia="zh-CN"/>
        </w:rPr>
        <w:t xml:space="preserve"> 报价的递交方式：现场递交或邮寄，若采用现场递交方式须在报价截止当天将文件送达并参与现场开标；若采用邮寄方式需在报价截止时间之前将响应文件邮寄到达递交地址，并按要求进行密封，否则采购人有权拒收，采用邮寄方式的报价人默认认可采购人的开标结果，不得由此提出任何质疑。</w:t>
      </w:r>
    </w:p>
    <w:p>
      <w:pPr>
        <w:pStyle w:val="13"/>
        <w:adjustRightInd w:val="0"/>
        <w:spacing w:line="400" w:lineRule="exact"/>
        <w:rPr>
          <w:rFonts w:hint="default" w:ascii="宋体" w:hAnsi="宋体" w:eastAsia="宋体" w:cs="宋体"/>
          <w:highlight w:val="none"/>
          <w:lang w:val="en-US" w:eastAsia="zh-CN"/>
        </w:rPr>
      </w:pPr>
      <w:r>
        <w:rPr>
          <w:rFonts w:hint="eastAsia" w:ascii="宋体" w:hAnsi="宋体" w:eastAsia="宋体" w:cs="宋体"/>
          <w:highlight w:val="none"/>
          <w:lang w:val="en-US" w:eastAsia="zh-CN"/>
        </w:rPr>
        <w:t>6</w:t>
      </w:r>
      <w:r>
        <w:rPr>
          <w:rFonts w:hint="default" w:ascii="宋体" w:hAnsi="宋体" w:eastAsia="宋体" w:cs="宋体"/>
          <w:highlight w:val="none"/>
          <w:lang w:val="en-US" w:eastAsia="zh-CN"/>
        </w:rPr>
        <w:t>.3 递交地址：重庆市渝北区新南路52号东界龙湖</w:t>
      </w:r>
      <w:r>
        <w:rPr>
          <w:rFonts w:hint="eastAsia" w:ascii="宋体" w:hAnsi="宋体" w:cs="宋体"/>
          <w:highlight w:val="none"/>
          <w:lang w:val="en-US" w:eastAsia="zh-CN"/>
        </w:rPr>
        <w:t>一</w:t>
      </w:r>
      <w:r>
        <w:rPr>
          <w:rFonts w:hint="default" w:ascii="宋体" w:hAnsi="宋体" w:eastAsia="宋体" w:cs="宋体"/>
          <w:highlight w:val="none"/>
          <w:lang w:val="en-US" w:eastAsia="zh-CN"/>
        </w:rPr>
        <w:t>楼。</w:t>
      </w:r>
    </w:p>
    <w:p>
      <w:pPr>
        <w:pStyle w:val="13"/>
        <w:adjustRightInd w:val="0"/>
        <w:spacing w:line="400" w:lineRule="exact"/>
        <w:rPr>
          <w:rFonts w:hint="default" w:ascii="宋体" w:hAnsi="宋体" w:eastAsia="宋体" w:cs="宋体"/>
          <w:highlight w:val="none"/>
          <w:lang w:val="en-US" w:eastAsia="zh-CN"/>
        </w:rPr>
      </w:pPr>
      <w:r>
        <w:rPr>
          <w:rFonts w:hint="eastAsia" w:ascii="宋体" w:hAnsi="宋体" w:eastAsia="宋体" w:cs="宋体"/>
          <w:highlight w:val="none"/>
          <w:lang w:val="en-US" w:eastAsia="zh-CN"/>
        </w:rPr>
        <w:t>6</w:t>
      </w:r>
      <w:r>
        <w:rPr>
          <w:rFonts w:hint="default" w:ascii="宋体" w:hAnsi="宋体" w:eastAsia="宋体" w:cs="宋体"/>
          <w:highlight w:val="none"/>
          <w:lang w:val="en-US" w:eastAsia="zh-CN"/>
        </w:rPr>
        <w:t>.4 逾期送达，或未送达指定地点，或未密封的竞争性比选响应文件，采购人不予受理。</w:t>
      </w:r>
    </w:p>
    <w:p>
      <w:pPr>
        <w:pStyle w:val="13"/>
        <w:adjustRightInd w:val="0"/>
        <w:spacing w:line="400" w:lineRule="exact"/>
        <w:rPr>
          <w:rFonts w:hint="eastAsia" w:ascii="宋体" w:hAnsi="宋体" w:eastAsia="宋体" w:cs="宋体"/>
          <w:highlight w:val="none"/>
          <w:lang w:val="en-US" w:eastAsia="zh-CN"/>
        </w:rPr>
      </w:pPr>
      <w:r>
        <w:rPr>
          <w:rFonts w:hint="eastAsia" w:ascii="宋体" w:hAnsi="宋体" w:eastAsia="宋体" w:cs="宋体"/>
          <w:highlight w:val="none"/>
          <w:lang w:val="en-US" w:eastAsia="zh-CN"/>
        </w:rPr>
        <w:t>6.5采购人不组织</w:t>
      </w:r>
      <w:r>
        <w:rPr>
          <w:rFonts w:hint="eastAsia" w:ascii="宋体" w:hAnsi="宋体" w:cs="宋体"/>
          <w:highlight w:val="none"/>
          <w:lang w:val="en-US" w:eastAsia="zh-CN"/>
        </w:rPr>
        <w:t>项目</w:t>
      </w:r>
      <w:r>
        <w:rPr>
          <w:rFonts w:hint="eastAsia" w:ascii="宋体" w:hAnsi="宋体" w:eastAsia="宋体" w:cs="宋体"/>
          <w:highlight w:val="none"/>
          <w:lang w:val="en-US" w:eastAsia="zh-CN"/>
        </w:rPr>
        <w:t>现场踏勘，不召开报价预备会。</w:t>
      </w:r>
    </w:p>
    <w:p>
      <w:pPr>
        <w:pStyle w:val="4"/>
        <w:spacing w:before="120" w:after="0" w:line="400" w:lineRule="exact"/>
        <w:rPr>
          <w:rFonts w:ascii="宋体" w:hAnsi="宋体" w:eastAsia="宋体" w:cs="宋体"/>
          <w:highlight w:val="none"/>
        </w:rPr>
      </w:pPr>
      <w:bookmarkStart w:id="97" w:name="_Toc12272"/>
      <w:r>
        <w:rPr>
          <w:rFonts w:hint="eastAsia" w:ascii="宋体" w:hAnsi="宋体" w:eastAsia="宋体" w:cs="宋体"/>
          <w:highlight w:val="none"/>
          <w:lang w:val="en-US" w:eastAsia="zh-CN"/>
        </w:rPr>
        <w:t>7</w:t>
      </w:r>
      <w:r>
        <w:rPr>
          <w:rFonts w:hint="eastAsia" w:ascii="宋体" w:hAnsi="宋体" w:eastAsia="宋体" w:cs="宋体"/>
          <w:highlight w:val="none"/>
        </w:rPr>
        <w:t>. 联系方式</w:t>
      </w:r>
      <w:bookmarkEnd w:id="85"/>
      <w:bookmarkEnd w:id="86"/>
      <w:bookmarkEnd w:id="87"/>
      <w:bookmarkEnd w:id="88"/>
      <w:bookmarkEnd w:id="89"/>
      <w:bookmarkEnd w:id="90"/>
      <w:bookmarkEnd w:id="91"/>
      <w:bookmarkEnd w:id="92"/>
      <w:bookmarkEnd w:id="93"/>
      <w:bookmarkEnd w:id="94"/>
      <w:bookmarkEnd w:id="95"/>
      <w:bookmarkEnd w:id="96"/>
      <w:bookmarkEnd w:id="97"/>
    </w:p>
    <w:tbl>
      <w:tblPr>
        <w:tblStyle w:val="43"/>
        <w:tblW w:w="9388" w:type="dxa"/>
        <w:tblInd w:w="0" w:type="dxa"/>
        <w:tblLayout w:type="fixed"/>
        <w:tblCellMar>
          <w:top w:w="0" w:type="dxa"/>
          <w:left w:w="108" w:type="dxa"/>
          <w:bottom w:w="0" w:type="dxa"/>
          <w:right w:w="108" w:type="dxa"/>
        </w:tblCellMar>
      </w:tblPr>
      <w:tblGrid>
        <w:gridCol w:w="9388"/>
      </w:tblGrid>
      <w:tr>
        <w:tblPrEx>
          <w:tblCellMar>
            <w:top w:w="0" w:type="dxa"/>
            <w:left w:w="108" w:type="dxa"/>
            <w:bottom w:w="0" w:type="dxa"/>
            <w:right w:w="108" w:type="dxa"/>
          </w:tblCellMar>
        </w:tblPrEx>
        <w:trPr>
          <w:trHeight w:val="470" w:hRule="atLeast"/>
        </w:trPr>
        <w:tc>
          <w:tcPr>
            <w:tcW w:w="9388" w:type="dxa"/>
            <w:vAlign w:val="center"/>
          </w:tcPr>
          <w:p>
            <w:pPr>
              <w:pStyle w:val="102"/>
              <w:spacing w:before="0" w:beforeAutospacing="0" w:after="0" w:afterAutospacing="0" w:line="400" w:lineRule="exact"/>
              <w:ind w:firstLine="420" w:firstLineChars="200"/>
              <w:jc w:val="both"/>
              <w:rPr>
                <w:rFonts w:ascii="宋体" w:hAnsi="宋体" w:cs="宋体"/>
                <w:kern w:val="2"/>
                <w:sz w:val="21"/>
                <w:szCs w:val="21"/>
                <w:highlight w:val="none"/>
              </w:rPr>
            </w:pPr>
            <w:r>
              <w:rPr>
                <w:rFonts w:hint="eastAsia" w:ascii="宋体" w:hAnsi="宋体" w:cs="宋体"/>
                <w:kern w:val="2"/>
                <w:sz w:val="21"/>
                <w:szCs w:val="21"/>
                <w:highlight w:val="none"/>
              </w:rPr>
              <w:t>采购人：重庆首讯科技股份有限公司</w:t>
            </w:r>
          </w:p>
        </w:tc>
      </w:tr>
      <w:tr>
        <w:tblPrEx>
          <w:tblCellMar>
            <w:top w:w="0" w:type="dxa"/>
            <w:left w:w="108" w:type="dxa"/>
            <w:bottom w:w="0" w:type="dxa"/>
            <w:right w:w="108" w:type="dxa"/>
          </w:tblCellMar>
        </w:tblPrEx>
        <w:trPr>
          <w:trHeight w:val="461" w:hRule="atLeast"/>
        </w:trPr>
        <w:tc>
          <w:tcPr>
            <w:tcW w:w="9388" w:type="dxa"/>
            <w:vAlign w:val="center"/>
          </w:tcPr>
          <w:p>
            <w:pPr>
              <w:keepNext w:val="0"/>
              <w:keepLines w:val="0"/>
              <w:widowControl w:val="0"/>
              <w:suppressLineNumbers w:val="0"/>
              <w:topLinePunct/>
              <w:spacing w:before="0" w:beforeAutospacing="0" w:after="0" w:afterAutospacing="0" w:line="400" w:lineRule="exact"/>
              <w:ind w:left="1050" w:leftChars="200" w:right="0" w:hanging="630" w:hangingChars="300"/>
              <w:jc w:val="both"/>
              <w:rPr>
                <w:rFonts w:hint="default" w:ascii="宋体" w:hAnsi="宋体" w:cs="宋体"/>
                <w:szCs w:val="21"/>
                <w:highlight w:val="none"/>
                <w:lang w:val="en-US"/>
              </w:rPr>
            </w:pPr>
            <w:r>
              <w:rPr>
                <w:rFonts w:hint="eastAsia" w:ascii="宋体" w:hAnsi="宋体" w:cs="宋体"/>
                <w:szCs w:val="21"/>
                <w:highlight w:val="none"/>
              </w:rPr>
              <w:t>地址：</w:t>
            </w:r>
            <w:r>
              <w:rPr>
                <w:rFonts w:hint="eastAsia" w:ascii="宋体" w:hAnsi="宋体" w:cs="宋体"/>
                <w:szCs w:val="21"/>
                <w:highlight w:val="none"/>
                <w:lang w:val="en-US" w:eastAsia="zh-CN"/>
              </w:rPr>
              <w:t>重庆市渝北区新南路52号东界龙湖三楼</w:t>
            </w:r>
          </w:p>
        </w:tc>
      </w:tr>
      <w:tr>
        <w:tblPrEx>
          <w:tblCellMar>
            <w:top w:w="0" w:type="dxa"/>
            <w:left w:w="108" w:type="dxa"/>
            <w:bottom w:w="0" w:type="dxa"/>
            <w:right w:w="108" w:type="dxa"/>
          </w:tblCellMar>
        </w:tblPrEx>
        <w:trPr>
          <w:trHeight w:val="405" w:hRule="atLeast"/>
        </w:trPr>
        <w:tc>
          <w:tcPr>
            <w:tcW w:w="9388" w:type="dxa"/>
            <w:vAlign w:val="center"/>
          </w:tcPr>
          <w:p>
            <w:pPr>
              <w:topLinePunct/>
              <w:spacing w:line="420" w:lineRule="exact"/>
              <w:ind w:firstLine="420" w:firstLineChars="200"/>
              <w:rPr>
                <w:rFonts w:hint="default" w:eastAsia="宋体"/>
                <w:highlight w:val="none"/>
                <w:lang w:val="en-US" w:eastAsia="zh-CN"/>
              </w:rPr>
            </w:pPr>
            <w:r>
              <w:rPr>
                <w:rFonts w:hint="eastAsia" w:ascii="宋体" w:hAnsi="宋体" w:cs="宋体"/>
                <w:szCs w:val="21"/>
                <w:highlight w:val="none"/>
              </w:rPr>
              <w:t>商务联系人：</w:t>
            </w:r>
            <w:r>
              <w:rPr>
                <w:rFonts w:hint="eastAsia" w:ascii="宋体" w:hAnsi="宋体" w:cs="宋体"/>
                <w:szCs w:val="21"/>
                <w:highlight w:val="none"/>
                <w:lang w:val="en-US" w:eastAsia="zh-CN"/>
              </w:rPr>
              <w:t>刘</w:t>
            </w:r>
            <w:r>
              <w:rPr>
                <w:rFonts w:hint="eastAsia" w:ascii="宋体" w:hAnsi="宋体" w:cs="宋体"/>
                <w:szCs w:val="21"/>
                <w:highlight w:val="none"/>
              </w:rPr>
              <w:t>老师  电 话：</w:t>
            </w:r>
            <w:r>
              <w:rPr>
                <w:rFonts w:hint="eastAsia" w:ascii="宋体" w:hAnsi="宋体" w:cs="宋体"/>
                <w:szCs w:val="21"/>
                <w:highlight w:val="none"/>
                <w:lang w:val="en-US" w:eastAsia="zh-CN"/>
              </w:rPr>
              <w:t>18623655450</w:t>
            </w:r>
          </w:p>
        </w:tc>
      </w:tr>
      <w:tr>
        <w:tblPrEx>
          <w:tblCellMar>
            <w:top w:w="0" w:type="dxa"/>
            <w:left w:w="108" w:type="dxa"/>
            <w:bottom w:w="0" w:type="dxa"/>
            <w:right w:w="108" w:type="dxa"/>
          </w:tblCellMar>
        </w:tblPrEx>
        <w:trPr>
          <w:trHeight w:val="405" w:hRule="atLeast"/>
        </w:trPr>
        <w:tc>
          <w:tcPr>
            <w:tcW w:w="9388" w:type="dxa"/>
            <w:vAlign w:val="center"/>
          </w:tcPr>
          <w:p>
            <w:pPr>
              <w:topLinePunct/>
              <w:spacing w:line="420" w:lineRule="exact"/>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 xml:space="preserve">技术联系人：赵老师  </w:t>
            </w:r>
            <w:r>
              <w:rPr>
                <w:rFonts w:hint="eastAsia" w:ascii="宋体" w:hAnsi="宋体" w:cs="宋体"/>
                <w:szCs w:val="21"/>
                <w:highlight w:val="none"/>
              </w:rPr>
              <w:t>电 话：18623041812</w:t>
            </w:r>
          </w:p>
        </w:tc>
      </w:tr>
    </w:tbl>
    <w:p>
      <w:pPr>
        <w:rPr>
          <w:highlight w:val="none"/>
        </w:rPr>
      </w:pPr>
    </w:p>
    <w:p>
      <w:pPr>
        <w:pStyle w:val="28"/>
        <w:rPr>
          <w:highlight w:val="none"/>
        </w:rPr>
      </w:pPr>
    </w:p>
    <w:p>
      <w:pPr>
        <w:rPr>
          <w:highlight w:val="none"/>
        </w:rPr>
      </w:pPr>
    </w:p>
    <w:p>
      <w:pPr>
        <w:pStyle w:val="12"/>
        <w:rPr>
          <w:highlight w:val="none"/>
        </w:rPr>
      </w:pPr>
    </w:p>
    <w:p>
      <w:pPr>
        <w:rPr>
          <w:highlight w:val="none"/>
        </w:rPr>
      </w:pPr>
    </w:p>
    <w:p>
      <w:pPr>
        <w:pStyle w:val="2"/>
        <w:rPr>
          <w:highlight w:val="none"/>
        </w:rPr>
      </w:pPr>
    </w:p>
    <w:p>
      <w:pPr>
        <w:rPr>
          <w:highlight w:val="none"/>
        </w:rPr>
      </w:pPr>
    </w:p>
    <w:p>
      <w:pPr>
        <w:pStyle w:val="2"/>
      </w:pPr>
    </w:p>
    <w:p/>
    <w:p>
      <w:pPr>
        <w:pStyle w:val="2"/>
      </w:pPr>
    </w:p>
    <w:p/>
    <w:p>
      <w:pPr>
        <w:pStyle w:val="2"/>
      </w:pPr>
    </w:p>
    <w:p>
      <w:pPr>
        <w:rPr>
          <w:highlight w:val="none"/>
        </w:rPr>
      </w:pPr>
    </w:p>
    <w:bookmarkEnd w:id="16"/>
    <w:bookmarkEnd w:id="17"/>
    <w:p>
      <w:pPr>
        <w:pStyle w:val="3"/>
        <w:spacing w:before="0" w:after="0" w:line="360" w:lineRule="auto"/>
        <w:jc w:val="center"/>
        <w:rPr>
          <w:rFonts w:ascii="宋体" w:hAnsi="宋体" w:cs="宋体"/>
          <w:highlight w:val="none"/>
        </w:rPr>
      </w:pPr>
      <w:bookmarkStart w:id="98" w:name="_Toc152045527"/>
      <w:bookmarkStart w:id="99" w:name="_Toc2000405"/>
      <w:bookmarkStart w:id="100" w:name="_Toc246996173"/>
      <w:bookmarkStart w:id="101" w:name="_Toc247085687"/>
      <w:bookmarkStart w:id="102" w:name="_Toc246996916"/>
      <w:bookmarkStart w:id="103" w:name="_Toc179632544"/>
      <w:bookmarkStart w:id="104" w:name="_Toc144974495"/>
      <w:bookmarkStart w:id="105" w:name="_Toc29948"/>
      <w:bookmarkStart w:id="106" w:name="_Toc507319898"/>
      <w:bookmarkStart w:id="107" w:name="_Toc152042303"/>
      <w:r>
        <w:rPr>
          <w:rFonts w:hint="eastAsia" w:ascii="宋体" w:hAnsi="宋体" w:cs="宋体"/>
          <w:highlight w:val="none"/>
        </w:rPr>
        <w:t>第二章 报价人须知</w:t>
      </w:r>
      <w:bookmarkEnd w:id="98"/>
      <w:bookmarkEnd w:id="99"/>
      <w:bookmarkEnd w:id="100"/>
      <w:bookmarkEnd w:id="101"/>
      <w:bookmarkEnd w:id="102"/>
      <w:bookmarkEnd w:id="103"/>
      <w:bookmarkEnd w:id="104"/>
      <w:bookmarkEnd w:id="105"/>
      <w:bookmarkEnd w:id="106"/>
      <w:bookmarkEnd w:id="107"/>
    </w:p>
    <w:p>
      <w:pPr>
        <w:rPr>
          <w:highlight w:val="none"/>
        </w:rPr>
      </w:pPr>
    </w:p>
    <w:tbl>
      <w:tblPr>
        <w:tblStyle w:val="43"/>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7"/>
        <w:gridCol w:w="2092"/>
        <w:gridCol w:w="7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blHeader/>
          <w:jc w:val="center"/>
        </w:trPr>
        <w:tc>
          <w:tcPr>
            <w:tcW w:w="349" w:type="pct"/>
            <w:vAlign w:val="center"/>
          </w:tcPr>
          <w:p>
            <w:pPr>
              <w:spacing w:line="400" w:lineRule="exact"/>
              <w:jc w:val="center"/>
              <w:rPr>
                <w:rFonts w:ascii="宋体" w:hAnsi="宋体" w:cs="宋体"/>
                <w:b/>
                <w:kern w:val="0"/>
                <w:szCs w:val="21"/>
                <w:highlight w:val="none"/>
              </w:rPr>
            </w:pPr>
            <w:bookmarkStart w:id="108" w:name="_Toc326760840"/>
            <w:r>
              <w:rPr>
                <w:rFonts w:hint="eastAsia" w:ascii="宋体" w:hAnsi="宋体" w:cs="宋体"/>
                <w:b/>
                <w:kern w:val="0"/>
                <w:szCs w:val="21"/>
                <w:highlight w:val="none"/>
              </w:rPr>
              <w:t>序号</w:t>
            </w:r>
          </w:p>
        </w:tc>
        <w:tc>
          <w:tcPr>
            <w:tcW w:w="1062" w:type="pct"/>
            <w:vAlign w:val="center"/>
          </w:tcPr>
          <w:p>
            <w:pPr>
              <w:spacing w:line="400" w:lineRule="exact"/>
              <w:jc w:val="center"/>
              <w:rPr>
                <w:rFonts w:ascii="宋体" w:hAnsi="宋体" w:cs="宋体"/>
                <w:b/>
                <w:kern w:val="0"/>
                <w:szCs w:val="21"/>
                <w:highlight w:val="none"/>
              </w:rPr>
            </w:pPr>
            <w:r>
              <w:rPr>
                <w:rFonts w:hint="eastAsia" w:ascii="宋体" w:hAnsi="宋体" w:cs="宋体"/>
                <w:b/>
                <w:kern w:val="0"/>
                <w:szCs w:val="21"/>
                <w:highlight w:val="none"/>
              </w:rPr>
              <w:t>条款名称</w:t>
            </w:r>
          </w:p>
        </w:tc>
        <w:tc>
          <w:tcPr>
            <w:tcW w:w="3588" w:type="pct"/>
            <w:vAlign w:val="center"/>
          </w:tcPr>
          <w:p>
            <w:pPr>
              <w:spacing w:line="400" w:lineRule="exact"/>
              <w:ind w:firstLine="422" w:firstLineChars="200"/>
              <w:jc w:val="center"/>
              <w:rPr>
                <w:rFonts w:ascii="宋体" w:hAnsi="宋体" w:cs="宋体"/>
                <w:b/>
                <w:kern w:val="0"/>
                <w:szCs w:val="21"/>
                <w:highlight w:val="none"/>
              </w:rPr>
            </w:pPr>
            <w:r>
              <w:rPr>
                <w:rFonts w:hint="eastAsia" w:ascii="宋体" w:hAnsi="宋体" w:cs="宋体"/>
                <w:b/>
                <w:kern w:val="0"/>
                <w:szCs w:val="21"/>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349" w:type="pct"/>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w:t>
            </w:r>
          </w:p>
        </w:tc>
        <w:tc>
          <w:tcPr>
            <w:tcW w:w="1062" w:type="pct"/>
            <w:vAlign w:val="center"/>
          </w:tcPr>
          <w:p>
            <w:pPr>
              <w:ind w:left="420"/>
              <w:rPr>
                <w:rFonts w:ascii="宋体" w:hAnsi="宋体" w:cs="宋体"/>
                <w:szCs w:val="21"/>
                <w:highlight w:val="none"/>
                <w:shd w:val="clear" w:color="auto" w:fill="FFFFFF"/>
              </w:rPr>
            </w:pPr>
            <w:r>
              <w:rPr>
                <w:rFonts w:hint="eastAsia" w:ascii="宋体" w:hAnsi="宋体" w:cs="宋体"/>
                <w:szCs w:val="21"/>
                <w:highlight w:val="none"/>
                <w:shd w:val="clear" w:color="auto" w:fill="FFFFFF"/>
              </w:rPr>
              <w:t>采购人</w:t>
            </w:r>
          </w:p>
        </w:tc>
        <w:tc>
          <w:tcPr>
            <w:tcW w:w="3588" w:type="pct"/>
            <w:vAlign w:val="center"/>
          </w:tcPr>
          <w:p>
            <w:pPr>
              <w:ind w:left="420"/>
              <w:rPr>
                <w:rFonts w:ascii="宋体" w:hAnsi="宋体" w:cs="宋体"/>
                <w:szCs w:val="21"/>
                <w:highlight w:val="none"/>
                <w:shd w:val="clear" w:color="auto" w:fill="FFFFFF"/>
              </w:rPr>
            </w:pPr>
            <w:r>
              <w:rPr>
                <w:rFonts w:hint="eastAsia" w:ascii="宋体" w:hAnsi="宋体" w:cs="宋体"/>
                <w:szCs w:val="21"/>
                <w:highlight w:val="none"/>
                <w:shd w:val="clear" w:color="auto" w:fill="FFFFFF"/>
              </w:rPr>
              <w:t>采购人：重庆首讯科技股份有限公司</w:t>
            </w:r>
          </w:p>
          <w:p>
            <w:pPr>
              <w:ind w:left="420"/>
              <w:rPr>
                <w:rFonts w:hint="eastAsia" w:ascii="宋体" w:hAnsi="宋体" w:eastAsia="宋体" w:cs="宋体"/>
                <w:szCs w:val="21"/>
                <w:highlight w:val="none"/>
                <w:shd w:val="clear" w:color="auto" w:fill="FFFFFF"/>
                <w:lang w:eastAsia="zh-CN"/>
              </w:rPr>
            </w:pPr>
            <w:r>
              <w:rPr>
                <w:rFonts w:hint="eastAsia" w:ascii="宋体" w:hAnsi="宋体" w:cs="宋体"/>
                <w:szCs w:val="21"/>
                <w:highlight w:val="none"/>
                <w:shd w:val="clear" w:color="auto" w:fill="FFFFFF"/>
              </w:rPr>
              <w:t>地  址：</w:t>
            </w:r>
            <w:r>
              <w:rPr>
                <w:rFonts w:hint="eastAsia" w:ascii="宋体" w:hAnsi="宋体" w:cs="宋体"/>
                <w:szCs w:val="21"/>
                <w:highlight w:val="none"/>
                <w:lang w:val="en-US" w:eastAsia="zh-CN"/>
              </w:rPr>
              <w:t>重庆市渝北区新南路52号东界龙湖三楼</w:t>
            </w:r>
          </w:p>
          <w:p>
            <w:pPr>
              <w:ind w:left="420"/>
              <w:rPr>
                <w:rFonts w:ascii="宋体" w:hAnsi="宋体" w:cs="宋体"/>
                <w:szCs w:val="21"/>
                <w:highlight w:val="none"/>
                <w:shd w:val="clear" w:color="auto" w:fill="FFFFFF"/>
              </w:rPr>
            </w:pPr>
            <w:r>
              <w:rPr>
                <w:rFonts w:hint="eastAsia" w:ascii="宋体" w:hAnsi="宋体" w:cs="宋体"/>
                <w:szCs w:val="21"/>
                <w:highlight w:val="none"/>
                <w:shd w:val="clear" w:color="auto" w:fill="FFFFFF"/>
              </w:rPr>
              <w:t>联系人：</w:t>
            </w:r>
            <w:r>
              <w:rPr>
                <w:rFonts w:hint="eastAsia" w:ascii="宋体" w:hAnsi="宋体" w:cs="宋体"/>
                <w:szCs w:val="21"/>
                <w:highlight w:val="none"/>
                <w:shd w:val="clear" w:color="auto" w:fill="FFFFFF"/>
                <w:lang w:val="en-US" w:eastAsia="zh-CN"/>
              </w:rPr>
              <w:t>刘</w:t>
            </w:r>
            <w:r>
              <w:rPr>
                <w:rFonts w:hint="eastAsia" w:ascii="宋体" w:hAnsi="宋体" w:cs="宋体"/>
                <w:szCs w:val="21"/>
                <w:highlight w:val="none"/>
                <w:shd w:val="clear" w:color="auto" w:fill="FFFFFF"/>
              </w:rPr>
              <w:t>老师</w:t>
            </w:r>
          </w:p>
          <w:p>
            <w:pPr>
              <w:ind w:left="420"/>
              <w:rPr>
                <w:rFonts w:hint="default" w:eastAsia="宋体"/>
                <w:highlight w:val="none"/>
                <w:lang w:val="en-US" w:eastAsia="zh-CN"/>
              </w:rPr>
            </w:pPr>
            <w:r>
              <w:rPr>
                <w:rFonts w:hint="eastAsia" w:ascii="宋体" w:hAnsi="宋体" w:cs="宋体"/>
                <w:szCs w:val="21"/>
                <w:highlight w:val="none"/>
                <w:shd w:val="clear" w:color="auto" w:fill="FFFFFF"/>
              </w:rPr>
              <w:t>电  话：</w:t>
            </w:r>
            <w:r>
              <w:rPr>
                <w:rFonts w:hint="eastAsia" w:ascii="宋体" w:hAnsi="宋体" w:cs="宋体"/>
                <w:szCs w:val="21"/>
                <w:highlight w:val="none"/>
                <w:shd w:val="clear" w:color="auto" w:fill="FFFFFF"/>
                <w:lang w:val="en-US" w:eastAsia="zh-CN"/>
              </w:rPr>
              <w:t>18623655450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49" w:type="pct"/>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2</w:t>
            </w:r>
          </w:p>
        </w:tc>
        <w:tc>
          <w:tcPr>
            <w:tcW w:w="1062" w:type="pct"/>
            <w:vAlign w:val="center"/>
          </w:tcPr>
          <w:p>
            <w:pPr>
              <w:ind w:left="420"/>
              <w:rPr>
                <w:rFonts w:ascii="宋体" w:hAnsi="宋体" w:cs="宋体"/>
                <w:szCs w:val="21"/>
                <w:highlight w:val="none"/>
                <w:shd w:val="clear" w:color="auto" w:fill="FFFFFF"/>
              </w:rPr>
            </w:pPr>
            <w:r>
              <w:rPr>
                <w:rFonts w:hint="eastAsia" w:ascii="宋体" w:hAnsi="宋体" w:cs="宋体"/>
                <w:szCs w:val="21"/>
                <w:highlight w:val="none"/>
                <w:shd w:val="clear" w:color="auto" w:fill="FFFFFF"/>
              </w:rPr>
              <w:t>项目名称</w:t>
            </w:r>
          </w:p>
        </w:tc>
        <w:tc>
          <w:tcPr>
            <w:tcW w:w="3588" w:type="pct"/>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lang w:val="en-US" w:eastAsia="zh-CN"/>
              </w:rPr>
              <w:t>机电工程施工总承包二级资质申报咨询服务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349" w:type="pct"/>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3</w:t>
            </w:r>
          </w:p>
        </w:tc>
        <w:tc>
          <w:tcPr>
            <w:tcW w:w="1062" w:type="pct"/>
            <w:vAlign w:val="center"/>
          </w:tcPr>
          <w:p>
            <w:pPr>
              <w:ind w:left="420"/>
              <w:rPr>
                <w:rFonts w:ascii="宋体" w:hAnsi="宋体" w:cs="宋体"/>
                <w:szCs w:val="21"/>
                <w:highlight w:val="none"/>
                <w:shd w:val="clear" w:color="auto" w:fill="FFFFFF"/>
              </w:rPr>
            </w:pPr>
            <w:r>
              <w:rPr>
                <w:rFonts w:hint="eastAsia" w:ascii="宋体" w:hAnsi="宋体" w:cs="宋体"/>
                <w:szCs w:val="21"/>
                <w:highlight w:val="none"/>
                <w:shd w:val="clear" w:color="auto" w:fill="FFFFFF"/>
              </w:rPr>
              <w:t>项目地点</w:t>
            </w:r>
          </w:p>
        </w:tc>
        <w:tc>
          <w:tcPr>
            <w:tcW w:w="3588" w:type="pct"/>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349" w:type="pct"/>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4</w:t>
            </w:r>
          </w:p>
        </w:tc>
        <w:tc>
          <w:tcPr>
            <w:tcW w:w="1062" w:type="pct"/>
            <w:vAlign w:val="center"/>
          </w:tcPr>
          <w:p>
            <w:pPr>
              <w:ind w:left="420"/>
              <w:rPr>
                <w:rFonts w:ascii="宋体" w:hAnsi="宋体" w:cs="宋体"/>
                <w:szCs w:val="21"/>
                <w:highlight w:val="none"/>
                <w:shd w:val="clear" w:color="auto" w:fill="FFFFFF"/>
              </w:rPr>
            </w:pPr>
            <w:r>
              <w:rPr>
                <w:rFonts w:hint="eastAsia" w:ascii="宋体" w:hAnsi="宋体" w:cs="宋体"/>
                <w:szCs w:val="21"/>
                <w:highlight w:val="none"/>
                <w:shd w:val="clear" w:color="auto" w:fill="FFFFFF"/>
              </w:rPr>
              <w:t>比选范围</w:t>
            </w:r>
          </w:p>
        </w:tc>
        <w:tc>
          <w:tcPr>
            <w:tcW w:w="3588" w:type="pct"/>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szCs w:val="21"/>
                <w:highlight w:val="none"/>
              </w:rPr>
            </w:pPr>
            <w:r>
              <w:rPr>
                <w:rFonts w:hint="eastAsia" w:ascii="宋体" w:hAnsi="宋体" w:cs="宋体"/>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9" w:type="pct"/>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5</w:t>
            </w:r>
          </w:p>
        </w:tc>
        <w:tc>
          <w:tcPr>
            <w:tcW w:w="1062" w:type="pct"/>
            <w:vAlign w:val="center"/>
          </w:tcPr>
          <w:p>
            <w:pPr>
              <w:ind w:left="420"/>
              <w:rPr>
                <w:rFonts w:ascii="宋体" w:hAnsi="宋体" w:cs="宋体"/>
                <w:szCs w:val="21"/>
                <w:highlight w:val="none"/>
                <w:shd w:val="clear" w:color="auto" w:fill="FFFFFF"/>
              </w:rPr>
            </w:pPr>
            <w:r>
              <w:rPr>
                <w:rFonts w:hint="eastAsia" w:ascii="宋体" w:hAnsi="宋体" w:cs="宋体"/>
                <w:szCs w:val="21"/>
                <w:highlight w:val="none"/>
                <w:shd w:val="clear" w:color="auto" w:fill="FFFFFF"/>
              </w:rPr>
              <w:t>工期要求</w:t>
            </w:r>
          </w:p>
        </w:tc>
        <w:tc>
          <w:tcPr>
            <w:tcW w:w="3588" w:type="pct"/>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kern w:val="10"/>
                <w:szCs w:val="21"/>
                <w:highlight w:val="none"/>
              </w:rPr>
            </w:pPr>
            <w:r>
              <w:rPr>
                <w:rFonts w:hint="eastAsia" w:ascii="宋体" w:hAnsi="宋体" w:cs="宋体"/>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349" w:type="pct"/>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6</w:t>
            </w:r>
          </w:p>
        </w:tc>
        <w:tc>
          <w:tcPr>
            <w:tcW w:w="1062" w:type="pct"/>
            <w:vAlign w:val="center"/>
          </w:tcPr>
          <w:p>
            <w:pPr>
              <w:ind w:left="420"/>
              <w:rPr>
                <w:rFonts w:ascii="宋体" w:hAnsi="宋体" w:cs="宋体"/>
                <w:szCs w:val="21"/>
                <w:highlight w:val="none"/>
                <w:shd w:val="clear" w:color="auto" w:fill="FFFFFF"/>
              </w:rPr>
            </w:pPr>
            <w:r>
              <w:rPr>
                <w:rFonts w:hint="eastAsia" w:ascii="宋体" w:hAnsi="宋体" w:cs="宋体"/>
                <w:szCs w:val="21"/>
                <w:highlight w:val="none"/>
                <w:shd w:val="clear" w:color="auto" w:fill="FFFFFF"/>
              </w:rPr>
              <w:t>质量要求</w:t>
            </w:r>
          </w:p>
        </w:tc>
        <w:tc>
          <w:tcPr>
            <w:tcW w:w="3588" w:type="pct"/>
          </w:tcPr>
          <w:p>
            <w:pPr>
              <w:spacing w:line="400" w:lineRule="exact"/>
              <w:ind w:firstLine="420" w:firstLineChars="200"/>
              <w:rPr>
                <w:rFonts w:ascii="宋体" w:hAnsi="宋体" w:cs="宋体"/>
                <w:kern w:val="0"/>
                <w:szCs w:val="21"/>
                <w:highlight w:val="none"/>
              </w:rPr>
            </w:pPr>
            <w:r>
              <w:rPr>
                <w:rFonts w:hint="eastAsia" w:ascii="宋体" w:hAnsi="宋体" w:cs="宋体"/>
                <w:szCs w:val="21"/>
                <w:highlight w:val="none"/>
              </w:rPr>
              <w:t>达到国家和地方现行有关质量标准和比选文件第七章技术标准和工作要求，并且一次性验收合格。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349" w:type="pct"/>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7</w:t>
            </w:r>
          </w:p>
        </w:tc>
        <w:tc>
          <w:tcPr>
            <w:tcW w:w="1062" w:type="pct"/>
            <w:vAlign w:val="center"/>
          </w:tcPr>
          <w:p>
            <w:pPr>
              <w:ind w:left="420"/>
              <w:rPr>
                <w:rFonts w:ascii="宋体" w:hAnsi="宋体" w:cs="宋体"/>
                <w:szCs w:val="21"/>
                <w:highlight w:val="none"/>
                <w:shd w:val="clear" w:color="auto" w:fill="FFFFFF"/>
              </w:rPr>
            </w:pPr>
            <w:r>
              <w:rPr>
                <w:rFonts w:hint="eastAsia" w:ascii="宋体" w:hAnsi="宋体" w:cs="宋体"/>
                <w:szCs w:val="21"/>
                <w:highlight w:val="none"/>
                <w:shd w:val="clear" w:color="auto" w:fill="FFFFFF"/>
              </w:rPr>
              <w:t>安全目标</w:t>
            </w:r>
          </w:p>
        </w:tc>
        <w:tc>
          <w:tcPr>
            <w:tcW w:w="3588" w:type="pct"/>
          </w:tcPr>
          <w:p>
            <w:pPr>
              <w:spacing w:line="400" w:lineRule="exact"/>
              <w:ind w:firstLine="420" w:firstLineChars="200"/>
              <w:rPr>
                <w:rFonts w:ascii="宋体" w:hAnsi="宋体" w:cs="宋体"/>
                <w:szCs w:val="21"/>
                <w:highlight w:val="none"/>
              </w:rPr>
            </w:pPr>
            <w:r>
              <w:rPr>
                <w:rFonts w:hint="eastAsia" w:ascii="宋体" w:hAnsi="宋体" w:cs="宋体"/>
                <w:szCs w:val="21"/>
                <w:highlight w:val="none"/>
                <w:lang w:val="en-US" w:eastAsia="zh-CN"/>
              </w:rPr>
              <w:t>/</w:t>
            </w:r>
            <w:r>
              <w:rPr>
                <w:rFonts w:hint="eastAsia" w:ascii="宋体" w:hAnsi="宋体" w:cs="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349" w:type="pct"/>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8</w:t>
            </w:r>
          </w:p>
        </w:tc>
        <w:tc>
          <w:tcPr>
            <w:tcW w:w="1062" w:type="pct"/>
            <w:vAlign w:val="center"/>
          </w:tcPr>
          <w:p>
            <w:pPr>
              <w:jc w:val="center"/>
              <w:rPr>
                <w:rFonts w:ascii="宋体" w:hAnsi="宋体" w:cs="宋体"/>
                <w:szCs w:val="21"/>
                <w:highlight w:val="none"/>
                <w:shd w:val="clear" w:color="auto" w:fill="FFFFFF"/>
              </w:rPr>
            </w:pPr>
            <w:r>
              <w:rPr>
                <w:rFonts w:hint="eastAsia" w:ascii="宋体" w:hAnsi="宋体" w:cs="宋体"/>
                <w:szCs w:val="21"/>
                <w:highlight w:val="none"/>
                <w:shd w:val="clear" w:color="auto" w:fill="FFFFFF"/>
              </w:rPr>
              <w:t>报价人资质条件、能力与信誉</w:t>
            </w:r>
          </w:p>
        </w:tc>
        <w:tc>
          <w:tcPr>
            <w:tcW w:w="3588" w:type="pct"/>
            <w:vAlign w:val="center"/>
          </w:tcPr>
          <w:p>
            <w:pPr>
              <w:numPr>
                <w:ilvl w:val="0"/>
                <w:numId w:val="2"/>
              </w:numPr>
              <w:spacing w:line="400" w:lineRule="exact"/>
              <w:ind w:firstLine="420" w:firstLineChars="200"/>
              <w:rPr>
                <w:highlight w:val="none"/>
              </w:rPr>
            </w:pPr>
            <w:r>
              <w:rPr>
                <w:rFonts w:hint="eastAsia" w:ascii="宋体" w:hAnsi="宋体" w:cs="宋体"/>
                <w:szCs w:val="21"/>
                <w:highlight w:val="none"/>
              </w:rPr>
              <w:t>资质条件：见比选公告3.1</w:t>
            </w:r>
          </w:p>
          <w:p>
            <w:pPr>
              <w:spacing w:line="40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w:t>
            </w:r>
            <w:r>
              <w:rPr>
                <w:rFonts w:hint="eastAsia" w:ascii="宋体" w:hAnsi="宋体" w:cs="宋体"/>
                <w:szCs w:val="21"/>
                <w:highlight w:val="none"/>
                <w:lang w:val="en-US" w:eastAsia="zh-CN"/>
              </w:rPr>
              <w:t>2</w:t>
            </w:r>
            <w:r>
              <w:rPr>
                <w:rFonts w:hint="eastAsia" w:ascii="宋体" w:hAnsi="宋体" w:cs="宋体"/>
                <w:szCs w:val="21"/>
                <w:highlight w:val="none"/>
              </w:rPr>
              <w:t>）业绩要求：见比选公告3.</w:t>
            </w:r>
            <w:r>
              <w:rPr>
                <w:rFonts w:hint="eastAsia" w:ascii="宋体" w:hAnsi="宋体" w:cs="宋体"/>
                <w:szCs w:val="21"/>
                <w:highlight w:val="none"/>
                <w:lang w:val="en-US" w:eastAsia="zh-CN"/>
              </w:rPr>
              <w:t>2</w:t>
            </w:r>
          </w:p>
          <w:p>
            <w:pPr>
              <w:spacing w:line="40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）信誉要求：见比选公告3.</w:t>
            </w:r>
            <w:r>
              <w:rPr>
                <w:rFonts w:hint="eastAsia" w:ascii="宋体" w:hAnsi="宋体" w:cs="宋体"/>
                <w:szCs w:val="21"/>
                <w:highlight w:val="none"/>
                <w:lang w:val="en-US" w:eastAsia="zh-CN"/>
              </w:rPr>
              <w:t>3</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4</w:t>
            </w:r>
            <w:r>
              <w:rPr>
                <w:rFonts w:hint="eastAsia" w:ascii="宋体" w:hAnsi="宋体" w:cs="宋体"/>
                <w:szCs w:val="21"/>
                <w:highlight w:val="none"/>
              </w:rPr>
              <w:t>）项目主要人员要求：见附录1</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5</w:t>
            </w:r>
            <w:r>
              <w:rPr>
                <w:rFonts w:hint="eastAsia" w:ascii="宋体" w:hAnsi="宋体" w:cs="宋体"/>
                <w:szCs w:val="21"/>
                <w:highlight w:val="none"/>
              </w:rPr>
              <w:t>）其他要求：见附录2、见附录3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349" w:type="pct"/>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9</w:t>
            </w:r>
          </w:p>
        </w:tc>
        <w:tc>
          <w:tcPr>
            <w:tcW w:w="1062" w:type="pct"/>
            <w:vAlign w:val="center"/>
          </w:tcPr>
          <w:p>
            <w:pPr>
              <w:ind w:left="420"/>
              <w:rPr>
                <w:rFonts w:ascii="宋体" w:hAnsi="宋体" w:cs="宋体"/>
                <w:szCs w:val="21"/>
                <w:highlight w:val="none"/>
                <w:shd w:val="clear" w:color="auto" w:fill="FFFFFF"/>
              </w:rPr>
            </w:pPr>
            <w:r>
              <w:rPr>
                <w:rFonts w:hint="eastAsia" w:ascii="宋体" w:hAnsi="宋体" w:cs="宋体"/>
                <w:szCs w:val="21"/>
                <w:highlight w:val="none"/>
                <w:shd w:val="clear" w:color="auto" w:fill="FFFFFF"/>
              </w:rPr>
              <w:t>是否接受</w:t>
            </w:r>
          </w:p>
          <w:p>
            <w:pPr>
              <w:ind w:left="420"/>
              <w:rPr>
                <w:rFonts w:ascii="宋体" w:hAnsi="宋体" w:cs="宋体"/>
                <w:szCs w:val="21"/>
                <w:highlight w:val="none"/>
                <w:shd w:val="clear" w:color="auto" w:fill="FFFFFF"/>
              </w:rPr>
            </w:pPr>
            <w:r>
              <w:rPr>
                <w:rFonts w:hint="eastAsia" w:ascii="宋体" w:hAnsi="宋体" w:cs="宋体"/>
                <w:szCs w:val="21"/>
                <w:highlight w:val="none"/>
                <w:shd w:val="clear" w:color="auto" w:fill="FFFFFF"/>
              </w:rPr>
              <w:t>联合体报价</w:t>
            </w:r>
          </w:p>
        </w:tc>
        <w:tc>
          <w:tcPr>
            <w:tcW w:w="3588" w:type="pct"/>
            <w:vAlign w:val="center"/>
          </w:tcPr>
          <w:p>
            <w:pPr>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349" w:type="pct"/>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10</w:t>
            </w:r>
          </w:p>
        </w:tc>
        <w:tc>
          <w:tcPr>
            <w:tcW w:w="1062" w:type="pct"/>
            <w:vAlign w:val="center"/>
          </w:tcPr>
          <w:p>
            <w:pPr>
              <w:ind w:left="420"/>
              <w:rPr>
                <w:rFonts w:ascii="宋体" w:hAnsi="宋体" w:cs="宋体"/>
                <w:szCs w:val="21"/>
                <w:highlight w:val="none"/>
                <w:shd w:val="clear" w:color="auto" w:fill="FFFFFF"/>
              </w:rPr>
            </w:pPr>
            <w:r>
              <w:rPr>
                <w:rFonts w:hint="eastAsia" w:ascii="宋体" w:hAnsi="宋体" w:cs="宋体"/>
                <w:szCs w:val="21"/>
                <w:highlight w:val="none"/>
                <w:shd w:val="clear" w:color="auto" w:fill="FFFFFF"/>
              </w:rPr>
              <w:t>踏勘现场</w:t>
            </w:r>
          </w:p>
        </w:tc>
        <w:tc>
          <w:tcPr>
            <w:tcW w:w="3588" w:type="pct"/>
            <w:vAlign w:val="center"/>
          </w:tcPr>
          <w:p>
            <w:pPr>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不组织，由各报价人根据需要自行完成现场踏勘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349" w:type="pct"/>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11</w:t>
            </w:r>
          </w:p>
        </w:tc>
        <w:tc>
          <w:tcPr>
            <w:tcW w:w="1062" w:type="pct"/>
            <w:vAlign w:val="center"/>
          </w:tcPr>
          <w:p>
            <w:pPr>
              <w:ind w:left="420"/>
              <w:rPr>
                <w:rFonts w:ascii="宋体" w:hAnsi="宋体" w:cs="宋体"/>
                <w:szCs w:val="21"/>
                <w:highlight w:val="none"/>
                <w:shd w:val="clear" w:color="auto" w:fill="FFFFFF"/>
              </w:rPr>
            </w:pPr>
            <w:r>
              <w:rPr>
                <w:rFonts w:hint="eastAsia" w:ascii="宋体" w:hAnsi="宋体" w:cs="宋体"/>
                <w:szCs w:val="21"/>
                <w:highlight w:val="none"/>
                <w:shd w:val="clear" w:color="auto" w:fill="FFFFFF"/>
              </w:rPr>
              <w:t>分包</w:t>
            </w:r>
          </w:p>
        </w:tc>
        <w:tc>
          <w:tcPr>
            <w:tcW w:w="3588" w:type="pct"/>
            <w:vAlign w:val="center"/>
          </w:tcPr>
          <w:p>
            <w:pPr>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349" w:type="pct"/>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12</w:t>
            </w:r>
          </w:p>
        </w:tc>
        <w:tc>
          <w:tcPr>
            <w:tcW w:w="1062" w:type="pct"/>
            <w:vAlign w:val="center"/>
          </w:tcPr>
          <w:p>
            <w:pPr>
              <w:ind w:left="420"/>
              <w:rPr>
                <w:rFonts w:ascii="宋体" w:hAnsi="宋体" w:cs="宋体"/>
                <w:szCs w:val="21"/>
                <w:highlight w:val="none"/>
                <w:shd w:val="clear" w:color="auto" w:fill="FFFFFF"/>
              </w:rPr>
            </w:pPr>
            <w:r>
              <w:rPr>
                <w:rFonts w:hint="eastAsia" w:ascii="宋体" w:hAnsi="宋体" w:cs="宋体"/>
                <w:szCs w:val="21"/>
                <w:highlight w:val="none"/>
                <w:shd w:val="clear" w:color="auto" w:fill="FFFFFF"/>
              </w:rPr>
              <w:t>偏差</w:t>
            </w:r>
          </w:p>
        </w:tc>
        <w:tc>
          <w:tcPr>
            <w:tcW w:w="3588" w:type="pct"/>
            <w:vAlign w:val="center"/>
          </w:tcPr>
          <w:p>
            <w:pPr>
              <w:spacing w:line="400" w:lineRule="exact"/>
              <w:ind w:firstLine="422" w:firstLineChars="200"/>
              <w:rPr>
                <w:rFonts w:ascii="宋体" w:hAnsi="宋体" w:cs="宋体"/>
                <w:kern w:val="0"/>
                <w:szCs w:val="21"/>
                <w:highlight w:val="none"/>
              </w:rPr>
            </w:pPr>
            <w:r>
              <w:rPr>
                <w:rFonts w:hint="eastAsia" w:ascii="宋体" w:hAnsi="宋体" w:cs="宋体"/>
                <w:b/>
                <w:kern w:val="0"/>
                <w:szCs w:val="21"/>
                <w:highlight w:val="none"/>
              </w:rPr>
              <w:t>不允许负偏差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349" w:type="pct"/>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13</w:t>
            </w:r>
          </w:p>
        </w:tc>
        <w:tc>
          <w:tcPr>
            <w:tcW w:w="1062" w:type="pct"/>
            <w:vAlign w:val="center"/>
          </w:tcPr>
          <w:p>
            <w:pPr>
              <w:jc w:val="center"/>
              <w:rPr>
                <w:rFonts w:ascii="宋体" w:hAnsi="宋体" w:cs="宋体"/>
                <w:szCs w:val="21"/>
                <w:highlight w:val="none"/>
                <w:shd w:val="clear" w:color="auto" w:fill="FFFFFF"/>
              </w:rPr>
            </w:pPr>
            <w:r>
              <w:rPr>
                <w:rFonts w:hint="eastAsia" w:ascii="宋体" w:hAnsi="宋体" w:cs="宋体"/>
                <w:szCs w:val="21"/>
                <w:highlight w:val="none"/>
                <w:shd w:val="clear" w:color="auto" w:fill="FFFFFF"/>
              </w:rPr>
              <w:t>构成比选文件的其他材料</w:t>
            </w:r>
          </w:p>
        </w:tc>
        <w:tc>
          <w:tcPr>
            <w:tcW w:w="3588" w:type="pct"/>
            <w:vAlign w:val="center"/>
          </w:tcPr>
          <w:p>
            <w:pPr>
              <w:spacing w:line="440" w:lineRule="exact"/>
              <w:ind w:firstLine="420" w:firstLineChars="200"/>
              <w:rPr>
                <w:rFonts w:ascii="宋体" w:hAnsi="宋体" w:cs="宋体"/>
                <w:szCs w:val="21"/>
                <w:highlight w:val="none"/>
              </w:rPr>
            </w:pPr>
            <w:r>
              <w:rPr>
                <w:rFonts w:hint="eastAsia" w:ascii="宋体" w:hAnsi="宋体" w:cs="宋体"/>
                <w:szCs w:val="21"/>
                <w:highlight w:val="none"/>
              </w:rPr>
              <w:t>采购人发布的图纸、补遗书、答疑、澄清、最高限价通知等附件。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349" w:type="pct"/>
            <w:vAlign w:val="center"/>
          </w:tcPr>
          <w:p>
            <w:pPr>
              <w:spacing w:line="400" w:lineRule="exact"/>
              <w:jc w:val="center"/>
              <w:rPr>
                <w:rFonts w:ascii="宋体" w:hAnsi="宋体" w:cs="宋体"/>
                <w:kern w:val="0"/>
                <w:szCs w:val="21"/>
                <w:highlight w:val="none"/>
              </w:rPr>
            </w:pPr>
            <w:bookmarkStart w:id="109" w:name="_Hlt227984024"/>
            <w:bookmarkEnd w:id="109"/>
            <w:r>
              <w:rPr>
                <w:rFonts w:hint="eastAsia" w:ascii="宋体" w:hAnsi="宋体" w:cs="宋体"/>
                <w:kern w:val="0"/>
                <w:szCs w:val="21"/>
                <w:highlight w:val="none"/>
              </w:rPr>
              <w:t>14</w:t>
            </w:r>
          </w:p>
        </w:tc>
        <w:tc>
          <w:tcPr>
            <w:tcW w:w="1062" w:type="pct"/>
            <w:vAlign w:val="center"/>
          </w:tcPr>
          <w:p>
            <w:pPr>
              <w:rPr>
                <w:rFonts w:ascii="宋体" w:hAnsi="宋体" w:cs="宋体"/>
                <w:szCs w:val="21"/>
                <w:highlight w:val="none"/>
                <w:shd w:val="clear" w:color="auto" w:fill="FFFFFF"/>
              </w:rPr>
            </w:pPr>
            <w:r>
              <w:rPr>
                <w:rFonts w:hint="eastAsia" w:ascii="宋体" w:hAnsi="宋体" w:cs="宋体"/>
                <w:szCs w:val="21"/>
                <w:highlight w:val="none"/>
                <w:shd w:val="clear" w:color="auto" w:fill="FFFFFF"/>
              </w:rPr>
              <w:t>构成竞争性比选响应文件的其他材料</w:t>
            </w:r>
          </w:p>
        </w:tc>
        <w:tc>
          <w:tcPr>
            <w:tcW w:w="3588" w:type="pct"/>
            <w:vAlign w:val="center"/>
          </w:tcPr>
          <w:p>
            <w:pPr>
              <w:pStyle w:val="149"/>
              <w:spacing w:before="72" w:line="400" w:lineRule="exact"/>
              <w:ind w:firstLine="420" w:firstLineChars="200"/>
              <w:jc w:val="both"/>
              <w:rPr>
                <w:rFonts w:hAnsi="宋体"/>
                <w:color w:val="auto"/>
                <w:sz w:val="21"/>
                <w:szCs w:val="21"/>
                <w:highlight w:val="none"/>
              </w:rPr>
            </w:pPr>
            <w:r>
              <w:rPr>
                <w:rFonts w:hint="eastAsia" w:hAnsi="宋体"/>
                <w:color w:val="auto"/>
                <w:sz w:val="21"/>
                <w:szCs w:val="21"/>
                <w:highlight w:val="none"/>
              </w:rPr>
              <w:t>报价人书面澄清或补正，但不得改变竞争性比选响应文件实质。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349" w:type="pct"/>
            <w:tcBorders>
              <w:bottom w:val="single" w:color="auto" w:sz="4" w:space="0"/>
            </w:tcBorders>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15</w:t>
            </w:r>
          </w:p>
        </w:tc>
        <w:tc>
          <w:tcPr>
            <w:tcW w:w="1062" w:type="pct"/>
            <w:tcBorders>
              <w:bottom w:val="single" w:color="auto" w:sz="4" w:space="0"/>
            </w:tcBorders>
            <w:vAlign w:val="center"/>
          </w:tcPr>
          <w:p>
            <w:pPr>
              <w:jc w:val="center"/>
              <w:rPr>
                <w:rFonts w:ascii="宋体" w:hAnsi="宋体" w:cs="宋体"/>
                <w:szCs w:val="21"/>
                <w:highlight w:val="none"/>
                <w:shd w:val="clear" w:color="auto" w:fill="FFFFFF"/>
              </w:rPr>
            </w:pPr>
            <w:r>
              <w:rPr>
                <w:rFonts w:hint="eastAsia" w:ascii="宋体" w:hAnsi="宋体" w:cs="宋体"/>
                <w:szCs w:val="21"/>
                <w:highlight w:val="none"/>
                <w:shd w:val="clear" w:color="auto" w:fill="FFFFFF"/>
              </w:rPr>
              <w:t>工程量清单的填写方式</w:t>
            </w:r>
          </w:p>
        </w:tc>
        <w:tc>
          <w:tcPr>
            <w:tcW w:w="3588" w:type="pct"/>
            <w:tcBorders>
              <w:bottom w:val="single" w:color="auto" w:sz="4" w:space="0"/>
            </w:tcBorders>
          </w:tcPr>
          <w:p>
            <w:pPr>
              <w:spacing w:line="400" w:lineRule="exact"/>
              <w:ind w:firstLine="420" w:firstLineChars="200"/>
              <w:jc w:val="left"/>
              <w:rPr>
                <w:rFonts w:ascii="宋体" w:hAnsi="宋体" w:cs="宋体"/>
                <w:szCs w:val="21"/>
                <w:highlight w:val="none"/>
              </w:rPr>
            </w:pPr>
            <w:r>
              <w:rPr>
                <w:rFonts w:hint="eastAsia" w:ascii="宋体" w:hAnsi="宋体" w:cs="宋体"/>
                <w:highlight w:val="none"/>
              </w:rPr>
              <w:t>报价人按照采购人提供的工程量清单填写工程量清单</w:t>
            </w:r>
          </w:p>
          <w:p>
            <w:pPr>
              <w:spacing w:line="400" w:lineRule="exact"/>
              <w:ind w:firstLine="422" w:firstLineChars="200"/>
              <w:rPr>
                <w:rFonts w:ascii="宋体" w:hAnsi="宋体" w:cs="宋体"/>
                <w:b/>
                <w:szCs w:val="21"/>
                <w:highlight w:val="none"/>
              </w:rPr>
            </w:pPr>
            <w:r>
              <w:rPr>
                <w:rFonts w:hint="eastAsia" w:ascii="宋体" w:hAnsi="宋体" w:cs="宋体"/>
                <w:b/>
                <w:szCs w:val="21"/>
                <w:highlight w:val="none"/>
              </w:rPr>
              <w:t>综合单价取小数点后两位，小数点后第三位四舍五入。</w:t>
            </w:r>
          </w:p>
          <w:p>
            <w:pPr>
              <w:spacing w:line="400" w:lineRule="exact"/>
              <w:ind w:firstLine="422" w:firstLineChars="200"/>
              <w:rPr>
                <w:rFonts w:ascii="宋体" w:hAnsi="宋体" w:cs="宋体"/>
                <w:szCs w:val="21"/>
                <w:highlight w:val="none"/>
              </w:rPr>
            </w:pPr>
            <w:r>
              <w:rPr>
                <w:rFonts w:hint="eastAsia" w:ascii="宋体" w:hAnsi="宋体" w:cs="宋体"/>
                <w:b/>
                <w:bCs/>
                <w:szCs w:val="21"/>
                <w:highlight w:val="none"/>
              </w:rPr>
              <w:t>本项目工程量清单及说明随比选文件一并发布，详见附件。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49" w:type="pct"/>
            <w:tcBorders>
              <w:bottom w:val="single" w:color="auto" w:sz="4" w:space="0"/>
            </w:tcBorders>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16</w:t>
            </w:r>
          </w:p>
        </w:tc>
        <w:tc>
          <w:tcPr>
            <w:tcW w:w="1062" w:type="pct"/>
            <w:tcBorders>
              <w:bottom w:val="single" w:color="auto" w:sz="4" w:space="0"/>
            </w:tcBorders>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最高投标限价</w:t>
            </w:r>
          </w:p>
        </w:tc>
        <w:tc>
          <w:tcPr>
            <w:tcW w:w="3588" w:type="pct"/>
            <w:tcBorders>
              <w:bottom w:val="single" w:color="auto" w:sz="4" w:space="0"/>
            </w:tcBorders>
          </w:tcPr>
          <w:p>
            <w:pPr>
              <w:spacing w:line="400" w:lineRule="exact"/>
              <w:ind w:firstLine="422" w:firstLineChars="200"/>
              <w:rPr>
                <w:rFonts w:ascii="宋体" w:hAnsi="宋体" w:cs="宋体"/>
                <w:b/>
                <w:bCs/>
                <w:kern w:val="0"/>
                <w:szCs w:val="21"/>
                <w:highlight w:val="none"/>
              </w:rPr>
            </w:pPr>
            <w:r>
              <w:rPr>
                <w:rFonts w:hint="eastAsia" w:ascii="宋体" w:hAnsi="宋体"/>
                <w:b/>
                <w:bCs/>
                <w:szCs w:val="21"/>
                <w:highlight w:val="none"/>
                <w:lang w:val="en-US" w:eastAsia="zh-CN"/>
              </w:rPr>
              <w:t>机电工程施工总承包二级资质申报咨询服务</w:t>
            </w:r>
            <w:r>
              <w:rPr>
                <w:rFonts w:hint="eastAsia" w:ascii="宋体" w:hAnsi="宋体"/>
                <w:b/>
                <w:bCs/>
                <w:szCs w:val="21"/>
                <w:highlight w:val="none"/>
              </w:rPr>
              <w:t>最高限价338000</w:t>
            </w:r>
            <w:r>
              <w:rPr>
                <w:rFonts w:hint="eastAsia" w:ascii="宋体" w:hAnsi="宋体"/>
                <w:b/>
                <w:bCs/>
                <w:szCs w:val="21"/>
                <w:highlight w:val="none"/>
                <w:lang w:val="en-US" w:eastAsia="zh-CN"/>
              </w:rPr>
              <w:t>.00</w:t>
            </w:r>
            <w:r>
              <w:rPr>
                <w:rFonts w:hint="eastAsia" w:ascii="宋体" w:hAnsi="宋体"/>
                <w:b/>
                <w:bCs/>
                <w:szCs w:val="21"/>
                <w:highlight w:val="none"/>
              </w:rPr>
              <w:t>元。</w:t>
            </w:r>
            <w:r>
              <w:rPr>
                <w:rFonts w:hint="eastAsia" w:ascii="宋体" w:hAnsi="宋体" w:cs="宋体"/>
                <w:b/>
                <w:color w:val="auto"/>
                <w:szCs w:val="21"/>
                <w:highlight w:val="none"/>
              </w:rPr>
              <w:t>报价人报价不得高于采购人发布的最高限价，否则其竞争性比选响应文件视为重大偏差，竞争性比选响应文件将按否决报价处理。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349" w:type="pct"/>
            <w:tcBorders>
              <w:bottom w:val="single" w:color="auto" w:sz="4" w:space="0"/>
            </w:tcBorders>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17</w:t>
            </w:r>
          </w:p>
        </w:tc>
        <w:tc>
          <w:tcPr>
            <w:tcW w:w="1062" w:type="pct"/>
            <w:tcBorders>
              <w:bottom w:val="single" w:color="auto" w:sz="4" w:space="0"/>
            </w:tcBorders>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合同支付办法</w:t>
            </w:r>
          </w:p>
        </w:tc>
        <w:tc>
          <w:tcPr>
            <w:tcW w:w="3588" w:type="pct"/>
            <w:tcBorders>
              <w:bottom w:val="single" w:color="auto" w:sz="4" w:space="0"/>
            </w:tcBorders>
          </w:tcPr>
          <w:p>
            <w:pPr>
              <w:spacing w:line="440" w:lineRule="exact"/>
              <w:ind w:firstLine="420" w:firstLineChars="200"/>
              <w:rPr>
                <w:rFonts w:hint="eastAsia" w:ascii="宋体" w:hAnsi="宋体" w:eastAsia="宋体" w:cs="宋体"/>
                <w:szCs w:val="21"/>
                <w:highlight w:val="none"/>
                <w:lang w:val="en-US" w:eastAsia="zh-CN"/>
              </w:rPr>
            </w:pPr>
            <w:bookmarkStart w:id="110" w:name="_Hlk132637631"/>
            <w:r>
              <w:rPr>
                <w:rFonts w:hint="eastAsia" w:ascii="宋体" w:hAnsi="宋体" w:cs="宋体"/>
                <w:szCs w:val="21"/>
                <w:highlight w:val="none"/>
                <w:lang w:val="en-US" w:eastAsia="zh-CN"/>
              </w:rPr>
              <w:t>1</w:t>
            </w:r>
            <w:r>
              <w:rPr>
                <w:rFonts w:hint="eastAsia" w:ascii="宋体" w:hAnsi="宋体" w:eastAsia="宋体" w:cs="宋体"/>
                <w:szCs w:val="21"/>
                <w:highlight w:val="none"/>
                <w:lang w:val="en-US" w:eastAsia="zh-CN"/>
              </w:rPr>
              <w:t>、</w:t>
            </w:r>
            <w:bookmarkEnd w:id="110"/>
            <w:r>
              <w:rPr>
                <w:rFonts w:hint="eastAsia" w:ascii="宋体" w:hAnsi="宋体" w:eastAsia="宋体" w:cs="宋体"/>
                <w:szCs w:val="21"/>
                <w:highlight w:val="none"/>
                <w:lang w:val="en-US" w:eastAsia="zh-CN"/>
              </w:rPr>
              <w:t>乙方将机电工程施工总承包二级资质申报资料录入到重庆市住建委资质申报系统后，甲方向乙方支付合同金额的35%；</w:t>
            </w:r>
            <w:r>
              <w:rPr>
                <w:rFonts w:hint="eastAsia" w:ascii="宋体" w:hAnsi="宋体" w:eastAsia="宋体" w:cs="宋体"/>
                <w:szCs w:val="21"/>
                <w:highlight w:val="none"/>
                <w:lang w:val="en-US" w:eastAsia="zh-CN"/>
              </w:rPr>
              <w:br w:type="textWrapping"/>
            </w:r>
            <w:r>
              <w:rPr>
                <w:rFonts w:hint="eastAsia" w:ascii="宋体" w:hAnsi="宋体" w:eastAsia="宋体" w:cs="宋体"/>
                <w:szCs w:val="21"/>
                <w:highlight w:val="none"/>
                <w:lang w:val="en-US" w:eastAsia="zh-CN"/>
              </w:rPr>
              <w:t xml:space="preserve">    2、甲方机电工程施工总承包二级资质申办成功公示后，扣除乙方需支付的违约金后（如有违约情况发生），支付至合同金额的60%。</w:t>
            </w:r>
          </w:p>
          <w:p>
            <w:pPr>
              <w:spacing w:line="440" w:lineRule="exact"/>
              <w:ind w:firstLine="420" w:firstLineChars="200"/>
              <w:rPr>
                <w:rFonts w:hint="default"/>
                <w:lang w:val="en-US" w:eastAsia="zh-CN"/>
              </w:rPr>
            </w:pPr>
            <w:r>
              <w:rPr>
                <w:rFonts w:hint="eastAsia" w:ascii="宋体" w:hAnsi="宋体" w:eastAsia="宋体" w:cs="宋体"/>
                <w:szCs w:val="21"/>
                <w:highlight w:val="none"/>
                <w:lang w:val="en-US" w:eastAsia="zh-CN"/>
              </w:rPr>
              <w:t>3、甲方取得证书后，扣除乙方需支付的违约金后（如有违约情况发生），支付至合同金额的100%。</w:t>
            </w:r>
            <w:r>
              <w:rPr>
                <w:rFonts w:hint="eastAsia" w:ascii="宋体" w:hAnsi="宋体" w:eastAsia="宋体" w:cs="宋体"/>
                <w:szCs w:val="21"/>
                <w:highlight w:val="none"/>
                <w:lang w:val="en-US" w:eastAsia="zh-CN"/>
              </w:rPr>
              <w:br w:type="textWrapping"/>
            </w:r>
            <w:r>
              <w:rPr>
                <w:rFonts w:hint="eastAsia" w:ascii="宋体" w:hAnsi="宋体" w:eastAsia="宋体" w:cs="宋体"/>
                <w:szCs w:val="21"/>
                <w:highlight w:val="none"/>
                <w:lang w:val="en-US" w:eastAsia="zh-CN"/>
              </w:rPr>
              <w:t xml:space="preserve">    4、乙方应于甲方每次付款（预付款外除）前提供等额增值税专用发票给甲方。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349" w:type="pct"/>
            <w:tcBorders>
              <w:bottom w:val="single" w:color="auto" w:sz="4" w:space="0"/>
            </w:tcBorders>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18</w:t>
            </w:r>
          </w:p>
        </w:tc>
        <w:tc>
          <w:tcPr>
            <w:tcW w:w="1062" w:type="pct"/>
            <w:tcBorders>
              <w:bottom w:val="single" w:color="auto" w:sz="4" w:space="0"/>
            </w:tcBorders>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lang w:val="en-US" w:eastAsia="zh-CN"/>
              </w:rPr>
              <w:t>甲方所需技术负责人及专业工程师的</w:t>
            </w:r>
            <w:r>
              <w:rPr>
                <w:rFonts w:hint="eastAsia" w:ascii="宋体" w:hAnsi="宋体" w:cs="宋体"/>
                <w:kern w:val="0"/>
                <w:szCs w:val="21"/>
                <w:highlight w:val="none"/>
              </w:rPr>
              <w:t>要求</w:t>
            </w:r>
          </w:p>
        </w:tc>
        <w:tc>
          <w:tcPr>
            <w:tcW w:w="3588" w:type="pct"/>
            <w:tcBorders>
              <w:bottom w:val="single" w:color="auto" w:sz="4" w:space="0"/>
            </w:tcBorders>
            <w:vAlign w:val="top"/>
          </w:tcPr>
          <w:p>
            <w:pPr>
              <w:spacing w:line="400" w:lineRule="exact"/>
              <w:ind w:firstLine="420" w:firstLineChars="200"/>
              <w:rPr>
                <w:rFonts w:hint="eastAsia" w:ascii="Times New Roman" w:hAnsi="Times New Roman" w:cs="Times New Roman"/>
                <w:color w:val="000000" w:themeColor="text1"/>
                <w:kern w:val="2"/>
                <w:sz w:val="21"/>
                <w:szCs w:val="24"/>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4"/>
                <w:lang w:val="en-US" w:eastAsia="zh-CN" w:bidi="ar-SA"/>
                <w14:textFill>
                  <w14:solidFill>
                    <w14:schemeClr w14:val="tx1"/>
                  </w14:solidFill>
                </w14:textFill>
              </w:rPr>
              <w:t>技术负责人具备以下条件：（1）具有8年以上从事工程施工技术管理工作经历，且具有机电工程相关专业高级职称或机电工程专业一级注册建造师执业资格；（2）技术负责人（或注册建造师）主持完成过本类别资质二级以上标准要求的工程业绩不少2项。</w:t>
            </w:r>
          </w:p>
          <w:p>
            <w:pPr>
              <w:spacing w:line="400" w:lineRule="exact"/>
              <w:ind w:firstLine="420" w:firstLineChars="200"/>
              <w:rPr>
                <w:rFonts w:hint="eastAsia" w:ascii="Times New Roman" w:hAnsi="Times New Roman" w:cs="Times New Roman"/>
                <w:color w:val="000000" w:themeColor="text1"/>
                <w:kern w:val="2"/>
                <w:sz w:val="21"/>
                <w:szCs w:val="24"/>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4"/>
                <w:lang w:val="en-US" w:eastAsia="zh-CN" w:bidi="ar-SA"/>
                <w14:textFill>
                  <w14:solidFill>
                    <w14:schemeClr w14:val="tx1"/>
                  </w14:solidFill>
                </w14:textFill>
              </w:rPr>
              <w:t>机电工程指：机械、电子、轻工、纺织、航天航空、船舶、兵器等工业工程的机电安装（港口与航道、水利水电、电力、矿山、冶金、石油化工、通信工程的机电安装不算）</w:t>
            </w:r>
            <w:r>
              <w:rPr>
                <w:rFonts w:hint="eastAsia" w:cs="Times New Roman"/>
                <w:color w:val="000000" w:themeColor="text1"/>
                <w:kern w:val="2"/>
                <w:sz w:val="21"/>
                <w:szCs w:val="24"/>
                <w:lang w:val="en-US" w:eastAsia="zh-CN" w:bidi="ar-SA"/>
                <w14:textFill>
                  <w14:solidFill>
                    <w14:schemeClr w14:val="tx1"/>
                  </w14:solidFill>
                </w14:textFill>
              </w:rPr>
              <w:t>。</w:t>
            </w:r>
          </w:p>
          <w:p>
            <w:pPr>
              <w:spacing w:line="400" w:lineRule="exact"/>
              <w:ind w:firstLine="420" w:firstLineChars="200"/>
              <w:rPr>
                <w:rFonts w:hint="eastAsia" w:ascii="Times New Roman" w:hAnsi="Times New Roman" w:cs="Times New Roman"/>
                <w:color w:val="000000" w:themeColor="text1"/>
                <w:kern w:val="2"/>
                <w:sz w:val="21"/>
                <w:szCs w:val="24"/>
                <w:lang w:val="en-US" w:eastAsia="zh-CN" w:bidi="ar-SA"/>
                <w14:textFill>
                  <w14:solidFill>
                    <w14:schemeClr w14:val="tx1"/>
                  </w14:solidFill>
                </w14:textFill>
              </w:rPr>
            </w:pPr>
            <w:r>
              <w:rPr>
                <w:rFonts w:hint="eastAsia" w:ascii="Times New Roman" w:hAnsi="Times New Roman" w:cs="Times New Roman"/>
                <w:color w:val="000000" w:themeColor="text1"/>
                <w:kern w:val="2"/>
                <w:sz w:val="21"/>
                <w:szCs w:val="24"/>
                <w:lang w:val="en-US" w:eastAsia="zh-CN" w:bidi="ar-SA"/>
                <w14:textFill>
                  <w14:solidFill>
                    <w14:schemeClr w14:val="tx1"/>
                  </w14:solidFill>
                </w14:textFill>
              </w:rPr>
              <w:t>专业工程师：暖通专业中级职称1名，给排水专业高级职称1名（有8年以上从事消防设施工程施工技术管理工作经历）</w:t>
            </w:r>
            <w:r>
              <w:rPr>
                <w:rFonts w:hint="eastAsia" w:cs="Times New Roman"/>
                <w:color w:val="000000" w:themeColor="text1"/>
                <w:kern w:val="2"/>
                <w:sz w:val="21"/>
                <w:szCs w:val="24"/>
                <w:lang w:val="en-US" w:eastAsia="zh-CN" w:bidi="ar-SA"/>
                <w14:textFill>
                  <w14:solidFill>
                    <w14:schemeClr w14:val="tx1"/>
                  </w14:solidFill>
                </w14:textFill>
              </w:rPr>
              <w:t>。</w:t>
            </w:r>
          </w:p>
          <w:p>
            <w:pPr>
              <w:pStyle w:val="2"/>
              <w:rPr>
                <w:rFonts w:hint="default"/>
                <w:lang w:val="en-US"/>
              </w:rPr>
            </w:pPr>
            <w:r>
              <w:rPr>
                <w:rFonts w:hint="eastAsia" w:cs="Times New Roman"/>
                <w:color w:val="000000" w:themeColor="text1"/>
                <w:kern w:val="2"/>
                <w:sz w:val="21"/>
                <w:szCs w:val="24"/>
                <w:lang w:val="en-US" w:eastAsia="zh-CN" w:bidi="ar-SA"/>
                <w14:textFill>
                  <w14:solidFill>
                    <w14:schemeClr w14:val="tx1"/>
                  </w14:solidFill>
                </w14:textFill>
              </w:rPr>
              <w:t xml:space="preserve">     二级建造师：建筑专业1名。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49" w:type="pct"/>
            <w:vAlign w:val="center"/>
          </w:tcPr>
          <w:p>
            <w:pPr>
              <w:spacing w:line="400" w:lineRule="exact"/>
              <w:jc w:val="center"/>
              <w:rPr>
                <w:rFonts w:hint="eastAsia" w:ascii="宋体" w:hAnsi="宋体" w:cs="宋体"/>
                <w:szCs w:val="21"/>
                <w:highlight w:val="none"/>
                <w:lang w:val="en-US" w:eastAsia="zh-CN"/>
              </w:rPr>
            </w:pPr>
            <w:r>
              <w:rPr>
                <w:rFonts w:hint="eastAsia" w:ascii="宋体" w:hAnsi="宋体" w:cs="宋体"/>
                <w:color w:val="000000" w:themeColor="text1"/>
                <w:kern w:val="0"/>
                <w:szCs w:val="21"/>
                <w14:textFill>
                  <w14:solidFill>
                    <w14:schemeClr w14:val="tx1"/>
                  </w14:solidFill>
                </w14:textFill>
              </w:rPr>
              <w:t>1</w:t>
            </w:r>
            <w:r>
              <w:rPr>
                <w:rFonts w:ascii="宋体" w:hAnsi="宋体" w:cs="宋体"/>
                <w:color w:val="000000" w:themeColor="text1"/>
                <w:kern w:val="0"/>
                <w:szCs w:val="21"/>
                <w14:textFill>
                  <w14:solidFill>
                    <w14:schemeClr w14:val="tx1"/>
                  </w14:solidFill>
                </w14:textFill>
              </w:rPr>
              <w:t>9</w:t>
            </w:r>
          </w:p>
        </w:tc>
        <w:tc>
          <w:tcPr>
            <w:tcW w:w="1062" w:type="pct"/>
            <w:vAlign w:val="center"/>
          </w:tcPr>
          <w:p>
            <w:pPr>
              <w:spacing w:line="400" w:lineRule="exact"/>
              <w:jc w:val="center"/>
              <w:rPr>
                <w:rFonts w:hint="eastAsia" w:ascii="宋体" w:hAnsi="宋体" w:cs="宋体"/>
                <w:szCs w:val="21"/>
                <w:highlight w:val="none"/>
              </w:rPr>
            </w:pPr>
            <w:r>
              <w:rPr>
                <w:rFonts w:hint="eastAsia" w:ascii="宋体" w:hAnsi="宋体" w:cs="宋体"/>
                <w:color w:val="000000" w:themeColor="text1"/>
                <w:szCs w:val="21"/>
                <w:lang w:val="en-US" w:eastAsia="zh-CN"/>
                <w14:textFill>
                  <w14:solidFill>
                    <w14:schemeClr w14:val="tx1"/>
                  </w14:solidFill>
                </w14:textFill>
              </w:rPr>
              <w:t>报价人须知</w:t>
            </w:r>
          </w:p>
        </w:tc>
        <w:tc>
          <w:tcPr>
            <w:tcW w:w="3588" w:type="pct"/>
            <w:vAlign w:val="top"/>
          </w:tcPr>
          <w:p>
            <w:pPr>
              <w:spacing w:line="400" w:lineRule="exact"/>
              <w:ind w:firstLine="420" w:firstLineChars="200"/>
              <w:rPr>
                <w:rFonts w:hint="eastAsia" w:ascii="宋体" w:hAnsi="宋体" w:cs="宋体"/>
                <w:highlight w:val="none"/>
              </w:rPr>
            </w:pPr>
            <w:r>
              <w:rPr>
                <w:rFonts w:hint="eastAsia"/>
                <w:color w:val="000000" w:themeColor="text1"/>
                <w:lang w:val="en-US" w:eastAsia="zh-CN"/>
                <w14:textFill>
                  <w14:solidFill>
                    <w14:schemeClr w14:val="tx1"/>
                  </w14:solidFill>
                </w14:textFill>
              </w:rPr>
              <w:t>报价人</w:t>
            </w:r>
            <w:r>
              <w:rPr>
                <w:rFonts w:hint="eastAsia"/>
                <w:color w:val="000000" w:themeColor="text1"/>
                <w14:textFill>
                  <w14:solidFill>
                    <w14:schemeClr w14:val="tx1"/>
                  </w14:solidFill>
                </w14:textFill>
              </w:rPr>
              <w:t>应认真阅读</w:t>
            </w:r>
            <w:r>
              <w:rPr>
                <w:rFonts w:hint="eastAsia"/>
                <w:color w:val="000000" w:themeColor="text1"/>
                <w:lang w:val="en-US" w:eastAsia="zh-CN"/>
                <w14:textFill>
                  <w14:solidFill>
                    <w14:schemeClr w14:val="tx1"/>
                  </w14:solidFill>
                </w14:textFill>
              </w:rPr>
              <w:t>工作内容及图纸</w:t>
            </w:r>
            <w:r>
              <w:rPr>
                <w:rFonts w:hint="eastAsia"/>
                <w:color w:val="000000" w:themeColor="text1"/>
                <w14:textFill>
                  <w14:solidFill>
                    <w14:schemeClr w14:val="tx1"/>
                  </w14:solidFill>
                </w14:textFill>
              </w:rPr>
              <w:t>后以确认在填报单价和价格之前，报出的单价和价格应被认为包括所有劳务、</w:t>
            </w:r>
            <w:r>
              <w:rPr>
                <w:rFonts w:hint="eastAsia"/>
                <w:color w:val="000000" w:themeColor="text1"/>
                <w:lang w:val="en-US" w:eastAsia="zh-CN"/>
                <w14:textFill>
                  <w14:solidFill>
                    <w14:schemeClr w14:val="tx1"/>
                  </w14:solidFill>
                </w14:textFill>
              </w:rPr>
              <w:t>服务</w:t>
            </w:r>
            <w:r>
              <w:rPr>
                <w:rFonts w:hint="eastAsia"/>
                <w:color w:val="000000" w:themeColor="text1"/>
                <w14:textFill>
                  <w14:solidFill>
                    <w14:schemeClr w14:val="tx1"/>
                  </w14:solidFill>
                </w14:textFill>
              </w:rPr>
              <w:t>、相关税率</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利润和明示或隐含的风险、保险、责任和义务。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49" w:type="pct"/>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20</w:t>
            </w:r>
          </w:p>
        </w:tc>
        <w:tc>
          <w:tcPr>
            <w:tcW w:w="1062" w:type="pct"/>
          </w:tcPr>
          <w:p>
            <w:pPr>
              <w:spacing w:line="400" w:lineRule="exact"/>
              <w:jc w:val="center"/>
              <w:rPr>
                <w:rFonts w:ascii="宋体" w:hAnsi="宋体" w:cs="宋体"/>
                <w:szCs w:val="21"/>
                <w:highlight w:val="none"/>
              </w:rPr>
            </w:pPr>
            <w:r>
              <w:rPr>
                <w:rFonts w:hint="eastAsia" w:ascii="宋体" w:hAnsi="宋体" w:cs="宋体"/>
                <w:szCs w:val="21"/>
                <w:highlight w:val="none"/>
              </w:rPr>
              <w:t>中标候选人的人数</w:t>
            </w:r>
          </w:p>
        </w:tc>
        <w:tc>
          <w:tcPr>
            <w:tcW w:w="3588" w:type="pct"/>
            <w:vAlign w:val="center"/>
          </w:tcPr>
          <w:p>
            <w:pPr>
              <w:spacing w:line="400" w:lineRule="exact"/>
              <w:ind w:firstLine="420" w:firstLineChars="200"/>
              <w:rPr>
                <w:rFonts w:ascii="宋体" w:hAnsi="宋体" w:cs="宋体"/>
                <w:highlight w:val="none"/>
              </w:rPr>
            </w:pPr>
            <w:r>
              <w:rPr>
                <w:rFonts w:hint="eastAsia" w:ascii="宋体" w:hAnsi="宋体" w:cs="宋体"/>
                <w:highlight w:val="none"/>
              </w:rPr>
              <w:t>推荐的中标候选人数：</w:t>
            </w:r>
            <w:r>
              <w:rPr>
                <w:rFonts w:hint="eastAsia" w:ascii="宋体" w:hAnsi="宋体" w:cs="宋体"/>
                <w:highlight w:val="none"/>
                <w:lang w:val="en-US" w:eastAsia="zh-CN"/>
              </w:rPr>
              <w:t>1</w:t>
            </w:r>
            <w:r>
              <w:rPr>
                <w:rFonts w:hint="eastAsia" w:ascii="宋体" w:hAnsi="宋体" w:cs="宋体"/>
                <w:highlight w:val="none"/>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49" w:type="pct"/>
            <w:vAlign w:val="center"/>
          </w:tcPr>
          <w:p>
            <w:pPr>
              <w:pStyle w:val="149"/>
              <w:spacing w:line="400" w:lineRule="exact"/>
              <w:jc w:val="center"/>
              <w:rPr>
                <w:rFonts w:hint="eastAsia" w:hAnsi="宋体" w:eastAsia="宋体"/>
                <w:color w:val="auto"/>
                <w:kern w:val="2"/>
                <w:sz w:val="21"/>
                <w:szCs w:val="21"/>
                <w:highlight w:val="none"/>
                <w:lang w:eastAsia="zh-CN"/>
              </w:rPr>
            </w:pPr>
            <w:r>
              <w:rPr>
                <w:rFonts w:hint="eastAsia" w:hAnsi="宋体"/>
                <w:color w:val="auto"/>
                <w:kern w:val="2"/>
                <w:sz w:val="21"/>
                <w:szCs w:val="21"/>
                <w:highlight w:val="none"/>
              </w:rPr>
              <w:t>2</w:t>
            </w:r>
            <w:r>
              <w:rPr>
                <w:rFonts w:hint="eastAsia" w:hAnsi="宋体"/>
                <w:color w:val="auto"/>
                <w:kern w:val="2"/>
                <w:sz w:val="21"/>
                <w:szCs w:val="21"/>
                <w:highlight w:val="none"/>
                <w:lang w:val="en-US" w:eastAsia="zh-CN"/>
              </w:rPr>
              <w:t>1</w:t>
            </w:r>
          </w:p>
        </w:tc>
        <w:tc>
          <w:tcPr>
            <w:tcW w:w="1062" w:type="pct"/>
            <w:vAlign w:val="center"/>
          </w:tcPr>
          <w:p>
            <w:pPr>
              <w:pStyle w:val="149"/>
              <w:spacing w:line="400" w:lineRule="exact"/>
              <w:jc w:val="center"/>
              <w:rPr>
                <w:rFonts w:hAnsi="宋体"/>
                <w:color w:val="auto"/>
                <w:kern w:val="2"/>
                <w:sz w:val="21"/>
                <w:szCs w:val="21"/>
                <w:highlight w:val="none"/>
              </w:rPr>
            </w:pPr>
            <w:r>
              <w:rPr>
                <w:rFonts w:hint="eastAsia" w:hAnsi="宋体"/>
                <w:color w:val="auto"/>
                <w:kern w:val="2"/>
                <w:sz w:val="21"/>
                <w:szCs w:val="21"/>
                <w:highlight w:val="none"/>
              </w:rPr>
              <w:t>保证金</w:t>
            </w:r>
          </w:p>
        </w:tc>
        <w:tc>
          <w:tcPr>
            <w:tcW w:w="3588" w:type="pct"/>
            <w:vAlign w:val="center"/>
          </w:tcPr>
          <w:p>
            <w:pPr>
              <w:spacing w:line="440" w:lineRule="exact"/>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一、投标保证金</w:t>
            </w:r>
          </w:p>
          <w:p>
            <w:pPr>
              <w:spacing w:line="440" w:lineRule="exact"/>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报价人是否提供投标保证金：</w:t>
            </w:r>
            <w:r>
              <w:rPr>
                <w:rFonts w:hint="eastAsia" w:ascii="宋体" w:hAnsi="宋体" w:eastAsia="宋体" w:cs="宋体"/>
                <w:b/>
                <w:bCs/>
                <w:szCs w:val="21"/>
                <w:highlight w:val="none"/>
                <w:lang w:val="en-US" w:eastAsia="zh-CN"/>
              </w:rPr>
              <w:t>是</w:t>
            </w:r>
          </w:p>
          <w:p>
            <w:pPr>
              <w:spacing w:line="440" w:lineRule="exact"/>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1、报价人须缴纳投标保证金</w:t>
            </w:r>
            <w:r>
              <w:rPr>
                <w:rFonts w:hint="eastAsia" w:ascii="宋体" w:hAnsi="宋体" w:eastAsia="宋体" w:cs="宋体"/>
                <w:szCs w:val="21"/>
                <w:highlight w:val="none"/>
                <w:u w:val="single"/>
                <w:lang w:val="en-US" w:eastAsia="zh-CN"/>
              </w:rPr>
              <w:t xml:space="preserve"> </w:t>
            </w:r>
            <w:r>
              <w:rPr>
                <w:rFonts w:hint="eastAsia" w:ascii="宋体" w:hAnsi="宋体" w:cs="宋体"/>
                <w:szCs w:val="21"/>
                <w:highlight w:val="none"/>
                <w:u w:val="single"/>
                <w:lang w:val="en-US" w:eastAsia="zh-CN"/>
              </w:rPr>
              <w:t>6</w:t>
            </w:r>
            <w:r>
              <w:rPr>
                <w:rFonts w:hint="eastAsia" w:ascii="宋体" w:hAnsi="宋体" w:eastAsia="宋体" w:cs="宋体"/>
                <w:szCs w:val="21"/>
                <w:highlight w:val="none"/>
                <w:u w:val="single"/>
                <w:lang w:val="en-US" w:eastAsia="zh-CN"/>
              </w:rPr>
              <w:t xml:space="preserve">000.00 </w:t>
            </w:r>
            <w:r>
              <w:rPr>
                <w:rFonts w:hint="eastAsia" w:ascii="宋体" w:hAnsi="宋体" w:eastAsia="宋体" w:cs="宋体"/>
                <w:szCs w:val="21"/>
                <w:highlight w:val="none"/>
                <w:lang w:val="en-US" w:eastAsia="zh-CN"/>
              </w:rPr>
              <w:t>元，由报价人从公司基本账户将投标保证金汇至以下指定账户：</w:t>
            </w:r>
          </w:p>
          <w:p>
            <w:pPr>
              <w:spacing w:line="440" w:lineRule="exact"/>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保证金到账截止时间：2024年</w:t>
            </w:r>
            <w:r>
              <w:rPr>
                <w:rFonts w:hint="eastAsia" w:ascii="宋体" w:hAnsi="宋体" w:cs="宋体"/>
                <w:szCs w:val="21"/>
                <w:highlight w:val="none"/>
                <w:lang w:val="en-US" w:eastAsia="zh-CN"/>
              </w:rPr>
              <w:t>8</w:t>
            </w:r>
            <w:r>
              <w:rPr>
                <w:rFonts w:hint="eastAsia" w:ascii="宋体" w:hAnsi="宋体" w:eastAsia="宋体" w:cs="宋体"/>
                <w:szCs w:val="21"/>
                <w:highlight w:val="none"/>
                <w:lang w:val="en-US" w:eastAsia="zh-CN"/>
              </w:rPr>
              <w:t>月</w:t>
            </w:r>
            <w:r>
              <w:rPr>
                <w:rFonts w:hint="eastAsia" w:ascii="宋体" w:hAnsi="宋体" w:cs="宋体"/>
                <w:szCs w:val="21"/>
                <w:highlight w:val="none"/>
                <w:lang w:val="en-US" w:eastAsia="zh-CN"/>
              </w:rPr>
              <w:t>30</w:t>
            </w:r>
            <w:r>
              <w:rPr>
                <w:rFonts w:hint="eastAsia" w:ascii="宋体" w:hAnsi="宋体" w:eastAsia="宋体" w:cs="宋体"/>
                <w:szCs w:val="21"/>
                <w:highlight w:val="none"/>
                <w:lang w:val="en-US" w:eastAsia="zh-CN"/>
              </w:rPr>
              <w:t>日上午10时00分前；</w:t>
            </w:r>
          </w:p>
          <w:p>
            <w:pPr>
              <w:spacing w:line="440" w:lineRule="exact"/>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若竞争性比选响应文件内无投标保证金缴纳凭证，采购人有权作废标处理，若投标保证金存在虚假不实情况，采购人有权作废标处理。</w:t>
            </w:r>
          </w:p>
          <w:p>
            <w:pPr>
              <w:spacing w:line="440" w:lineRule="exact"/>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若缴纳现金的，则需备注，转款备注：</w:t>
            </w:r>
            <w:r>
              <w:rPr>
                <w:rFonts w:hint="eastAsia" w:ascii="宋体" w:hAnsi="宋体" w:cs="宋体"/>
                <w:szCs w:val="21"/>
                <w:highlight w:val="none"/>
                <w:lang w:val="en-US" w:eastAsia="zh-CN"/>
              </w:rPr>
              <w:t>机电工程施工总承包二级资质申报咨询服务</w:t>
            </w:r>
            <w:r>
              <w:rPr>
                <w:rFonts w:hint="eastAsia" w:ascii="宋体" w:hAnsi="宋体" w:eastAsia="宋体" w:cs="宋体"/>
                <w:szCs w:val="21"/>
                <w:highlight w:val="none"/>
                <w:lang w:val="en-US" w:eastAsia="zh-CN"/>
              </w:rPr>
              <w:t>投标保证金</w:t>
            </w:r>
          </w:p>
          <w:p>
            <w:pPr>
              <w:spacing w:line="440" w:lineRule="exact"/>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参加第一次比选递交的投标保证金可自动延续至本次竞争性比选使用，无需重复递交。</w:t>
            </w:r>
          </w:p>
          <w:p>
            <w:pPr>
              <w:spacing w:line="440" w:lineRule="exact"/>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2、投标保证金退还方式</w:t>
            </w:r>
          </w:p>
          <w:p>
            <w:pPr>
              <w:spacing w:line="440" w:lineRule="exact"/>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为便于及时退还，报价人在递交响应文件的同时，递交本项目保证金银行回单和公司的开户许可证复印件。</w:t>
            </w:r>
          </w:p>
          <w:p>
            <w:pPr>
              <w:spacing w:line="440" w:lineRule="exact"/>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未中标报价人的投标保证金，于该项目结果公示期结束后15个工作日内无息退还至报价人基本账户。</w:t>
            </w:r>
          </w:p>
          <w:p>
            <w:pPr>
              <w:spacing w:line="440" w:lineRule="exact"/>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中标人的投标保证金，自合同签订后15个工作日内无息退还至中标人基本账户。</w:t>
            </w:r>
          </w:p>
          <w:p>
            <w:pPr>
              <w:spacing w:line="440" w:lineRule="exact"/>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3、有下列情形之一的，投标保证金将不予退还：</w:t>
            </w:r>
          </w:p>
          <w:p>
            <w:pPr>
              <w:spacing w:line="440" w:lineRule="exact"/>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（1）报价人在投标有效期内撤销投标文件；</w:t>
            </w:r>
          </w:p>
          <w:p>
            <w:pPr>
              <w:spacing w:line="440" w:lineRule="exact"/>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（2）中标人在收到中标通知书后，无正当理由不与采购人订立合同，在签订合同时向采购人提出附加条件，或者不按照招标文件要求提交履约保证金；</w:t>
            </w:r>
          </w:p>
          <w:p>
            <w:pPr>
              <w:spacing w:line="440" w:lineRule="exact"/>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（3）中标人（或拟中标人）拒不提供或者不按时提供低价风险担保（适用于经评审的最低投标价法）；</w:t>
            </w:r>
          </w:p>
          <w:p>
            <w:pPr>
              <w:spacing w:line="440" w:lineRule="exact"/>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（4）报价人被发现本次投标存在串通投标、弄虚造假、行贿等违法行为的；</w:t>
            </w:r>
          </w:p>
          <w:p>
            <w:pPr>
              <w:spacing w:line="440" w:lineRule="exact"/>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（5）发生报价人须知前附表规定的其他可以不予退还投标保证金的情形。</w:t>
            </w:r>
          </w:p>
          <w:p>
            <w:pPr>
              <w:spacing w:line="440" w:lineRule="exact"/>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二、履约保证金</w:t>
            </w:r>
          </w:p>
          <w:p>
            <w:pPr>
              <w:spacing w:line="440" w:lineRule="exact"/>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报价人是否提供履约保证金：</w:t>
            </w:r>
            <w:r>
              <w:rPr>
                <w:rFonts w:hint="eastAsia" w:ascii="宋体" w:hAnsi="宋体" w:cs="宋体"/>
                <w:b/>
                <w:bCs/>
                <w:szCs w:val="21"/>
                <w:highlight w:val="none"/>
                <w:lang w:val="en-US" w:eastAsia="zh-CN"/>
              </w:rPr>
              <w:t>否。</w:t>
            </w:r>
          </w:p>
          <w:p>
            <w:pPr>
              <w:spacing w:line="440" w:lineRule="exact"/>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1、</w:t>
            </w:r>
            <w:r>
              <w:rPr>
                <w:rFonts w:hint="default" w:ascii="宋体" w:hAnsi="宋体" w:eastAsia="宋体" w:cs="宋体"/>
                <w:szCs w:val="21"/>
                <w:highlight w:val="none"/>
                <w:lang w:val="en-US" w:eastAsia="zh-CN"/>
              </w:rPr>
              <w:t>履约担保作为本</w:t>
            </w:r>
            <w:r>
              <w:rPr>
                <w:rFonts w:hint="eastAsia" w:ascii="宋体" w:hAnsi="宋体" w:eastAsia="宋体" w:cs="宋体"/>
                <w:szCs w:val="21"/>
                <w:highlight w:val="none"/>
                <w:lang w:val="en-US" w:eastAsia="zh-CN"/>
              </w:rPr>
              <w:t>项目</w:t>
            </w:r>
            <w:r>
              <w:rPr>
                <w:rFonts w:hint="default" w:ascii="宋体" w:hAnsi="宋体" w:eastAsia="宋体" w:cs="宋体"/>
                <w:szCs w:val="21"/>
                <w:highlight w:val="none"/>
                <w:lang w:val="en-US" w:eastAsia="zh-CN"/>
              </w:rPr>
              <w:t>合同附件</w:t>
            </w:r>
            <w:r>
              <w:rPr>
                <w:rFonts w:hint="eastAsia" w:ascii="宋体" w:hAnsi="宋体" w:eastAsia="宋体" w:cs="宋体"/>
                <w:szCs w:val="21"/>
                <w:highlight w:val="none"/>
                <w:lang w:val="en-US" w:eastAsia="zh-CN"/>
              </w:rPr>
              <w:t>。</w:t>
            </w:r>
          </w:p>
          <w:p>
            <w:pPr>
              <w:spacing w:line="440" w:lineRule="exact"/>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2、履约保证金的金额：</w:t>
            </w:r>
            <w:r>
              <w:rPr>
                <w:rFonts w:hint="eastAsia" w:ascii="宋体" w:hAnsi="宋体" w:cs="宋体"/>
                <w:b/>
                <w:bCs/>
                <w:szCs w:val="21"/>
                <w:highlight w:val="none"/>
                <w:lang w:val="en-US" w:eastAsia="zh-CN"/>
              </w:rPr>
              <w:t>/</w:t>
            </w:r>
            <w:r>
              <w:rPr>
                <w:rFonts w:hint="eastAsia" w:ascii="宋体" w:hAnsi="宋体" w:eastAsia="宋体" w:cs="宋体"/>
                <w:szCs w:val="21"/>
                <w:highlight w:val="none"/>
                <w:lang w:val="en-US" w:eastAsia="zh-CN"/>
              </w:rPr>
              <w:t>。</w:t>
            </w:r>
          </w:p>
          <w:p>
            <w:pPr>
              <w:spacing w:line="440" w:lineRule="exact"/>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3、履约保证金有效期：自双方签订的合同文件生效之日起，至合同约定的工程验收完成止。</w:t>
            </w:r>
          </w:p>
          <w:p>
            <w:pPr>
              <w:spacing w:line="440" w:lineRule="exact"/>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4、履约保证金缴纳方式：现金或保函</w:t>
            </w:r>
          </w:p>
          <w:p>
            <w:pPr>
              <w:spacing w:line="440" w:lineRule="exact"/>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5、履约保证金的提交：在甲方发出中标通知书后5个工作日内，中标人向采购人提供履约保证金</w:t>
            </w:r>
            <w:r>
              <w:rPr>
                <w:rFonts w:hint="default" w:ascii="宋体" w:hAnsi="宋体" w:eastAsia="宋体" w:cs="宋体"/>
                <w:szCs w:val="21"/>
                <w:highlight w:val="none"/>
                <w:lang w:val="en-US" w:eastAsia="zh-CN"/>
              </w:rPr>
              <w:t>缴纳凭证</w:t>
            </w:r>
            <w:r>
              <w:rPr>
                <w:rFonts w:hint="eastAsia" w:ascii="宋体" w:hAnsi="宋体" w:eastAsia="宋体" w:cs="宋体"/>
                <w:szCs w:val="21"/>
                <w:highlight w:val="none"/>
                <w:lang w:val="en-US" w:eastAsia="zh-CN"/>
              </w:rPr>
              <w:t>。若缴纳现金的，则需备注，转款备注：</w:t>
            </w:r>
            <w:r>
              <w:rPr>
                <w:rFonts w:hint="eastAsia" w:ascii="宋体" w:hAnsi="宋体" w:cs="宋体"/>
                <w:szCs w:val="21"/>
                <w:highlight w:val="none"/>
                <w:lang w:val="en-US" w:eastAsia="zh-CN"/>
              </w:rPr>
              <w:t>/。</w:t>
            </w:r>
          </w:p>
          <w:p>
            <w:pPr>
              <w:spacing w:line="440" w:lineRule="exact"/>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6、若提供保函的：纸质保函的开立人应当是具有相应资格的银行、保险机构、融资担保公司，其信用资质、履约能力、担保能力、赔付流程、安全保密等应符合工程保函业务条件。纸质保函应合法合规，符合招投标行政监督部门、行业主管部门和金融监管部门的相关规定，满足招标文件约定要求。报价人对所提交的纸质投标保函的真实性、合法性、有效性负责。</w:t>
            </w:r>
          </w:p>
          <w:p>
            <w:pPr>
              <w:spacing w:line="440" w:lineRule="exact"/>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7、</w:t>
            </w:r>
            <w:r>
              <w:rPr>
                <w:rFonts w:hint="default" w:ascii="宋体" w:hAnsi="宋体" w:eastAsia="宋体" w:cs="宋体"/>
                <w:szCs w:val="21"/>
                <w:highlight w:val="none"/>
                <w:lang w:val="en-US" w:eastAsia="zh-CN"/>
              </w:rPr>
              <w:t>履约保证金退还：缴纳现金保函的，在完成合同约定的全部工作内容后28天后无息退还剩余部分。</w:t>
            </w:r>
          </w:p>
          <w:p>
            <w:pPr>
              <w:spacing w:line="440" w:lineRule="exact"/>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三、低价保证金</w:t>
            </w:r>
          </w:p>
          <w:p>
            <w:pPr>
              <w:spacing w:line="440" w:lineRule="exact"/>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1．低价风险担保：中标价低于最高限价的85%时提供，如不按时足额提供，视为中标人放弃中标，采购人有权不退还其投标保证金。</w:t>
            </w:r>
          </w:p>
          <w:p>
            <w:pPr>
              <w:spacing w:line="440" w:lineRule="exact"/>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2．中标人提供低价风险担保的形式、金额及期限：</w:t>
            </w:r>
          </w:p>
          <w:p>
            <w:pPr>
              <w:spacing w:line="440" w:lineRule="exact"/>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1）低价风险担保的形式：现金或保函或现金+保函的组合；采用保函形式的，保函必须为不可撤销、不可转让且见索即付的独立保函，保函格式详见第四章合同条款及格式附件，中标人出具保函时，不得修改“低价风险担保保函”名称，也不得对低价风险担保保函示范文本中付款条件等实质性内容进行修改，否则视为不符合招标文件规定。</w:t>
            </w:r>
          </w:p>
          <w:p>
            <w:pPr>
              <w:spacing w:line="440" w:lineRule="exact"/>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（2）低价风险担保的金额：（最高限价×85%-中标价）×3，且最高不超过最高限价的85%。</w:t>
            </w:r>
          </w:p>
          <w:p>
            <w:pPr>
              <w:spacing w:line="440" w:lineRule="exact"/>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（3）低价风险担保送达采购人的时间：从采购人中标通知书送达拟中标人之日起20个工作日内。</w:t>
            </w:r>
          </w:p>
          <w:p>
            <w:pPr>
              <w:spacing w:line="440" w:lineRule="exact"/>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4）中标人因自身原因未按中标通知书规定的时限与采购人签订合同的，其以现金形式提交低价风险担保的，采购人有权扣除其低价风险担保金并取消其中标资格；以保函形式提交低价风险担保的，采购人有权要求保函开立人支付保函担保的与低价风险担保金额等额的款项并取消中标人中标资格；中标人因自身原因未按中标通知书规定的时限与采购人签订合同，且未提交低价风险担保金或低价风险保函的，采购人有权要求中标人承担低价风险担保金等额的损失并取消中标人资格。</w:t>
            </w:r>
          </w:p>
          <w:p>
            <w:pPr>
              <w:spacing w:line="440" w:lineRule="exact"/>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（5）低价风险担保的期限：自低价风险担保生效之日起至合同设备验收证书或验收款支付函签署之日止。</w:t>
            </w:r>
          </w:p>
          <w:p>
            <w:pPr>
              <w:spacing w:line="440" w:lineRule="exact"/>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3.低价风险担保的退还时间：采用现金担保的，在现场工程师确认供货完成后28天内全额退还，合同履行期间允许乙方用符合要求的银行保函进行置换；若所供货物完全满足要求，经现场工程师确认后可在供货金额达到合同金额的一半时，可申请退还一半的低价风险担保金，剩余部分在在现场工程师确认供货完成后28天内全额退还。</w:t>
            </w:r>
          </w:p>
          <w:p>
            <w:pPr>
              <w:spacing w:line="440" w:lineRule="exact"/>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（5）低价风险担保的扣减：</w:t>
            </w:r>
          </w:p>
          <w:p>
            <w:pPr>
              <w:spacing w:line="440" w:lineRule="exact"/>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①乙方在合同履行期间，以其投标时填报的价格过低为由拒绝履行合同义务；或因其自身其他原因导致项目暂停等，给甲方造成直接经济损失且拒绝承担的，按低价风险担保金额的50～100%扣减，直至解除合同；</w:t>
            </w:r>
          </w:p>
          <w:p>
            <w:pPr>
              <w:spacing w:line="440" w:lineRule="exact"/>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②因乙方违约被解除合同的，低价风险担保将全额扣除；</w:t>
            </w:r>
          </w:p>
          <w:p>
            <w:pPr>
              <w:spacing w:line="440" w:lineRule="exact"/>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③因乙方原因导致的其他情形。</w:t>
            </w:r>
          </w:p>
          <w:p>
            <w:pPr>
              <w:spacing w:line="440" w:lineRule="exact"/>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4．采用经评审最低投标价法的项目，拟中标人或者中标人放弃中标项目，无正当理由不与采购人签订合同，在签订合同时向采购人提出附加条件或者更改合同实质性内容，或者拒不按照招标文件规定提交低价风险担保或履约担保的，取消其中标资格，投标保证金以现金形式交纳的不予退还，以保函形式递交的由保函开立人支付保函担保的与投标保证金等额的款项，给采购人造成的损失超过投标保证金数额的，拟中标人或中标人应对超过部分予以赔偿。</w:t>
            </w:r>
          </w:p>
          <w:p>
            <w:pPr>
              <w:spacing w:line="440" w:lineRule="exact"/>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备注：当中标人或拟中标人未按时提交低价风险担保，且属于可以延长低价风险担保提交期限的特殊情形时，经采购人同意，可适当延长低价风险担保的提交期限。</w:t>
            </w:r>
          </w:p>
          <w:p>
            <w:pPr>
              <w:spacing w:line="440" w:lineRule="exact"/>
              <w:ind w:firstLine="422" w:firstLineChars="200"/>
              <w:rPr>
                <w:rFonts w:hint="default" w:ascii="宋体" w:hAnsi="宋体" w:eastAsia="宋体" w:cs="宋体"/>
                <w:szCs w:val="21"/>
                <w:highlight w:val="none"/>
                <w:lang w:val="en-US" w:eastAsia="zh-CN"/>
              </w:rPr>
            </w:pPr>
            <w:r>
              <w:rPr>
                <w:rFonts w:hint="eastAsia" w:ascii="宋体" w:hAnsi="宋体" w:eastAsia="宋体" w:cs="宋体"/>
                <w:b/>
                <w:bCs/>
                <w:szCs w:val="21"/>
                <w:highlight w:val="none"/>
                <w:lang w:val="en-US" w:eastAsia="zh-CN"/>
              </w:rPr>
              <w:t>投标总报价低于最高限价85%的，报价人应在编制投标文件时，在投标函部分中递交低价风险担保提交承诺书。格式自拟</w:t>
            </w:r>
            <w:r>
              <w:rPr>
                <w:rFonts w:hint="eastAsia" w:ascii="宋体" w:hAnsi="宋体" w:eastAsia="宋体" w:cs="宋体"/>
                <w:szCs w:val="21"/>
                <w:highlight w:val="none"/>
                <w:lang w:val="en-US" w:eastAsia="zh-CN"/>
              </w:rPr>
              <w:t>。</w:t>
            </w:r>
          </w:p>
          <w:p>
            <w:pPr>
              <w:spacing w:line="440" w:lineRule="exact"/>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保证金缴纳方式及要求：报价人从企业的基本账户（开户行）在采购人规定时间内，向采购人通过电汇方式直接划付至采购人指定的保证金账户，否则，保证金无效。报价人自行考虑汇入时间风险，如同城汇入、异地汇入、跨行汇入的时间要求。</w:t>
            </w:r>
          </w:p>
          <w:p>
            <w:pPr>
              <w:spacing w:line="440" w:lineRule="exact"/>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四、采购人指定的开户银行及账号如下：</w:t>
            </w:r>
          </w:p>
          <w:p>
            <w:pPr>
              <w:spacing w:line="440" w:lineRule="exact"/>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账户名称：重庆首讯科技股份有限公司</w:t>
            </w:r>
          </w:p>
          <w:p>
            <w:pPr>
              <w:spacing w:line="440" w:lineRule="exact"/>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开户银行：兴业银行重庆分行营业部</w:t>
            </w:r>
          </w:p>
          <w:p>
            <w:pPr>
              <w:spacing w:line="440" w:lineRule="exact"/>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帐    号：3460 1010 0100 4791 14</w:t>
            </w:r>
          </w:p>
          <w:p>
            <w:pPr>
              <w:spacing w:line="440" w:lineRule="exact"/>
              <w:ind w:firstLine="422" w:firstLineChars="200"/>
              <w:rPr>
                <w:rFonts w:hAnsi="宋体" w:cs="宋体"/>
                <w:highlight w:val="none"/>
              </w:rPr>
            </w:pPr>
            <w:r>
              <w:rPr>
                <w:rFonts w:hint="eastAsia" w:ascii="宋体" w:hAnsi="宋体" w:eastAsia="宋体" w:cs="宋体"/>
                <w:b/>
                <w:bCs/>
                <w:szCs w:val="21"/>
                <w:highlight w:val="none"/>
                <w:lang w:val="en-US" w:eastAsia="zh-CN"/>
              </w:rPr>
              <w:t>注：根据采购人《合格供方库管理办法》，符合免交投标保证金及履约保证金资格的报价人，可提交经采购人审批通过并加盖采购人单位公章的《免交投标担保及履约担保审批表》代替相关投标（或履约）保证金凭证。《免交投标担保及履约担保审批表》须在有效期内，资料复印件加盖投标单位法人章并装入投标文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349" w:type="pct"/>
            <w:vAlign w:val="center"/>
          </w:tcPr>
          <w:p>
            <w:pPr>
              <w:pStyle w:val="149"/>
              <w:spacing w:line="400" w:lineRule="exact"/>
              <w:jc w:val="center"/>
              <w:rPr>
                <w:rFonts w:hint="eastAsia" w:hAnsi="宋体" w:eastAsia="宋体"/>
                <w:color w:val="auto"/>
                <w:sz w:val="21"/>
                <w:szCs w:val="21"/>
                <w:highlight w:val="none"/>
                <w:lang w:eastAsia="zh-CN"/>
              </w:rPr>
            </w:pPr>
            <w:r>
              <w:rPr>
                <w:rFonts w:hint="eastAsia" w:hAnsi="宋体"/>
                <w:color w:val="auto"/>
                <w:sz w:val="21"/>
                <w:szCs w:val="21"/>
                <w:highlight w:val="none"/>
              </w:rPr>
              <w:t>2</w:t>
            </w:r>
            <w:r>
              <w:rPr>
                <w:rFonts w:hint="eastAsia" w:hAnsi="宋体"/>
                <w:color w:val="auto"/>
                <w:sz w:val="21"/>
                <w:szCs w:val="21"/>
                <w:highlight w:val="none"/>
                <w:lang w:val="en-US" w:eastAsia="zh-CN"/>
              </w:rPr>
              <w:t>2</w:t>
            </w:r>
          </w:p>
        </w:tc>
        <w:tc>
          <w:tcPr>
            <w:tcW w:w="1062" w:type="pct"/>
            <w:vAlign w:val="center"/>
          </w:tcPr>
          <w:p>
            <w:pPr>
              <w:pStyle w:val="149"/>
              <w:spacing w:line="400" w:lineRule="exact"/>
              <w:jc w:val="center"/>
              <w:rPr>
                <w:rFonts w:hAnsi="宋体"/>
                <w:color w:val="auto"/>
                <w:sz w:val="21"/>
                <w:szCs w:val="21"/>
                <w:highlight w:val="none"/>
              </w:rPr>
            </w:pPr>
            <w:r>
              <w:rPr>
                <w:rFonts w:hint="eastAsia" w:hAnsi="宋体"/>
                <w:color w:val="auto"/>
                <w:kern w:val="2"/>
                <w:sz w:val="21"/>
                <w:szCs w:val="21"/>
                <w:highlight w:val="none"/>
              </w:rPr>
              <w:t>监督部门</w:t>
            </w:r>
          </w:p>
        </w:tc>
        <w:tc>
          <w:tcPr>
            <w:tcW w:w="3588" w:type="pct"/>
            <w:vAlign w:val="center"/>
          </w:tcPr>
          <w:p>
            <w:pPr>
              <w:pStyle w:val="149"/>
              <w:spacing w:line="400"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监督部门：重庆首讯科技股份有限公司</w:t>
            </w:r>
            <w:r>
              <w:rPr>
                <w:rFonts w:hint="eastAsia" w:hAnsi="宋体"/>
                <w:color w:val="auto"/>
                <w:kern w:val="2"/>
                <w:sz w:val="21"/>
                <w:szCs w:val="21"/>
                <w:highlight w:val="none"/>
                <w:lang w:val="en-US" w:eastAsia="zh-CN"/>
              </w:rPr>
              <w:t>合规监管</w:t>
            </w:r>
            <w:r>
              <w:rPr>
                <w:rFonts w:hint="eastAsia" w:hAnsi="宋体"/>
                <w:color w:val="auto"/>
                <w:kern w:val="2"/>
                <w:sz w:val="21"/>
                <w:szCs w:val="21"/>
                <w:highlight w:val="none"/>
              </w:rPr>
              <w:t>部</w:t>
            </w:r>
          </w:p>
          <w:p>
            <w:pPr>
              <w:pStyle w:val="149"/>
              <w:spacing w:line="400" w:lineRule="exact"/>
              <w:ind w:firstLine="420" w:firstLineChars="200"/>
              <w:rPr>
                <w:rFonts w:hint="default" w:hAnsi="宋体" w:eastAsia="宋体"/>
                <w:color w:val="auto"/>
                <w:kern w:val="2"/>
                <w:sz w:val="21"/>
                <w:szCs w:val="21"/>
                <w:highlight w:val="none"/>
                <w:lang w:val="en-US" w:eastAsia="zh-CN"/>
              </w:rPr>
            </w:pPr>
            <w:r>
              <w:rPr>
                <w:rFonts w:hint="eastAsia" w:hAnsi="宋体"/>
                <w:color w:val="auto"/>
                <w:kern w:val="2"/>
                <w:sz w:val="21"/>
                <w:szCs w:val="21"/>
                <w:highlight w:val="none"/>
              </w:rPr>
              <w:t>地    址：重庆市</w:t>
            </w:r>
            <w:r>
              <w:rPr>
                <w:rFonts w:hint="eastAsia" w:hAnsi="宋体"/>
                <w:color w:val="auto"/>
                <w:kern w:val="2"/>
                <w:sz w:val="21"/>
                <w:szCs w:val="21"/>
                <w:highlight w:val="none"/>
                <w:lang w:val="en-US" w:eastAsia="zh-CN"/>
              </w:rPr>
              <w:t>渝北区新南路52号</w:t>
            </w:r>
          </w:p>
          <w:p>
            <w:pPr>
              <w:pStyle w:val="149"/>
              <w:spacing w:line="400" w:lineRule="exact"/>
              <w:ind w:firstLine="420" w:firstLineChars="200"/>
              <w:rPr>
                <w:rFonts w:hAnsi="宋体"/>
                <w:color w:val="auto"/>
                <w:sz w:val="21"/>
                <w:szCs w:val="21"/>
                <w:highlight w:val="none"/>
              </w:rPr>
            </w:pPr>
            <w:r>
              <w:rPr>
                <w:rFonts w:hint="eastAsia" w:hAnsi="宋体"/>
                <w:color w:val="auto"/>
                <w:kern w:val="2"/>
                <w:sz w:val="21"/>
                <w:szCs w:val="21"/>
                <w:highlight w:val="none"/>
              </w:rPr>
              <w:t>电    话：</w:t>
            </w:r>
            <w:r>
              <w:rPr>
                <w:rFonts w:hint="eastAsia" w:hAnsi="宋体"/>
                <w:color w:val="auto"/>
                <w:kern w:val="2"/>
                <w:sz w:val="21"/>
                <w:szCs w:val="21"/>
                <w:highlight w:val="none"/>
                <w:lang w:val="en-US" w:eastAsia="zh-CN"/>
              </w:rPr>
              <w:t>023-63132246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349" w:type="pct"/>
            <w:vAlign w:val="center"/>
          </w:tcPr>
          <w:p>
            <w:pPr>
              <w:pStyle w:val="149"/>
              <w:spacing w:line="400" w:lineRule="exact"/>
              <w:jc w:val="center"/>
              <w:rPr>
                <w:rFonts w:hint="default" w:hAnsi="宋体" w:eastAsia="宋体"/>
                <w:color w:val="auto"/>
                <w:sz w:val="21"/>
                <w:szCs w:val="21"/>
                <w:highlight w:val="none"/>
                <w:lang w:val="en-US" w:eastAsia="zh-CN"/>
              </w:rPr>
            </w:pPr>
            <w:r>
              <w:rPr>
                <w:rFonts w:hint="eastAsia" w:hAnsi="宋体"/>
                <w:color w:val="auto"/>
                <w:sz w:val="21"/>
                <w:szCs w:val="21"/>
                <w:highlight w:val="none"/>
                <w:lang w:val="en-US" w:eastAsia="zh-CN"/>
              </w:rPr>
              <w:t>23</w:t>
            </w:r>
          </w:p>
        </w:tc>
        <w:tc>
          <w:tcPr>
            <w:tcW w:w="1062" w:type="pct"/>
            <w:vAlign w:val="center"/>
          </w:tcPr>
          <w:p>
            <w:pPr>
              <w:pStyle w:val="149"/>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hAnsi="宋体"/>
                <w:color w:val="auto"/>
                <w:kern w:val="2"/>
                <w:sz w:val="21"/>
                <w:szCs w:val="21"/>
                <w:highlight w:val="none"/>
              </w:rPr>
              <w:t>竞争性比选响应文件的递交</w:t>
            </w:r>
          </w:p>
        </w:tc>
        <w:tc>
          <w:tcPr>
            <w:tcW w:w="3588" w:type="pct"/>
            <w:vAlign w:val="center"/>
          </w:tcPr>
          <w:p>
            <w:pPr>
              <w:pStyle w:val="149"/>
              <w:spacing w:line="400"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1.报价截止时间和开标时间：</w:t>
            </w:r>
            <w:r>
              <w:rPr>
                <w:rFonts w:hint="eastAsia" w:hAnsi="宋体"/>
                <w:sz w:val="21"/>
                <w:szCs w:val="18"/>
                <w:highlight w:val="none"/>
                <w:u w:val="single"/>
              </w:rPr>
              <w:t>202</w:t>
            </w:r>
            <w:r>
              <w:rPr>
                <w:rFonts w:hint="eastAsia" w:hAnsi="宋体"/>
                <w:sz w:val="21"/>
                <w:szCs w:val="18"/>
                <w:highlight w:val="none"/>
                <w:u w:val="single"/>
                <w:lang w:val="en-US" w:eastAsia="zh-CN"/>
              </w:rPr>
              <w:t>4</w:t>
            </w:r>
            <w:r>
              <w:rPr>
                <w:rFonts w:hint="eastAsia" w:hAnsi="宋体"/>
                <w:sz w:val="21"/>
                <w:szCs w:val="18"/>
                <w:highlight w:val="none"/>
                <w:u w:val="single"/>
              </w:rPr>
              <w:t xml:space="preserve"> </w:t>
            </w:r>
            <w:r>
              <w:rPr>
                <w:rFonts w:hint="eastAsia" w:hAnsi="宋体"/>
                <w:sz w:val="21"/>
                <w:szCs w:val="18"/>
                <w:highlight w:val="none"/>
              </w:rPr>
              <w:t>年</w:t>
            </w:r>
            <w:r>
              <w:rPr>
                <w:rFonts w:hint="eastAsia" w:hAnsi="宋体"/>
                <w:sz w:val="21"/>
                <w:szCs w:val="18"/>
                <w:highlight w:val="none"/>
                <w:u w:val="single"/>
              </w:rPr>
              <w:t xml:space="preserve"> </w:t>
            </w:r>
            <w:r>
              <w:rPr>
                <w:rFonts w:hint="eastAsia" w:hAnsi="宋体"/>
                <w:sz w:val="21"/>
                <w:szCs w:val="18"/>
                <w:highlight w:val="none"/>
                <w:u w:val="single"/>
                <w:lang w:val="en-US" w:eastAsia="zh-CN"/>
              </w:rPr>
              <w:t>8</w:t>
            </w:r>
            <w:r>
              <w:rPr>
                <w:rFonts w:hint="eastAsia" w:hAnsi="宋体"/>
                <w:sz w:val="21"/>
                <w:szCs w:val="18"/>
                <w:highlight w:val="none"/>
                <w:u w:val="single"/>
              </w:rPr>
              <w:t xml:space="preserve"> </w:t>
            </w:r>
            <w:r>
              <w:rPr>
                <w:rFonts w:hint="eastAsia" w:hAnsi="宋体"/>
                <w:sz w:val="21"/>
                <w:szCs w:val="18"/>
                <w:highlight w:val="none"/>
              </w:rPr>
              <w:t>月</w:t>
            </w:r>
            <w:r>
              <w:rPr>
                <w:rFonts w:hint="eastAsia" w:hAnsi="宋体"/>
                <w:sz w:val="21"/>
                <w:szCs w:val="18"/>
                <w:highlight w:val="none"/>
                <w:u w:val="single"/>
              </w:rPr>
              <w:t xml:space="preserve"> </w:t>
            </w:r>
            <w:r>
              <w:rPr>
                <w:rFonts w:hint="eastAsia" w:hAnsi="宋体"/>
                <w:sz w:val="21"/>
                <w:szCs w:val="18"/>
                <w:highlight w:val="none"/>
                <w:u w:val="single"/>
                <w:lang w:val="en-US" w:eastAsia="zh-CN"/>
              </w:rPr>
              <w:t>30</w:t>
            </w:r>
            <w:r>
              <w:rPr>
                <w:rFonts w:hint="eastAsia" w:hAnsi="宋体"/>
                <w:sz w:val="21"/>
                <w:szCs w:val="18"/>
                <w:highlight w:val="none"/>
                <w:u w:val="single"/>
              </w:rPr>
              <w:t xml:space="preserve"> </w:t>
            </w:r>
            <w:r>
              <w:rPr>
                <w:rFonts w:hint="eastAsia" w:hAnsi="宋体"/>
                <w:sz w:val="21"/>
                <w:szCs w:val="18"/>
                <w:highlight w:val="none"/>
              </w:rPr>
              <w:t>日</w:t>
            </w:r>
            <w:r>
              <w:rPr>
                <w:rFonts w:hint="eastAsia" w:hAnsi="宋体"/>
                <w:sz w:val="21"/>
                <w:szCs w:val="18"/>
                <w:highlight w:val="none"/>
                <w:lang w:val="en-US" w:eastAsia="zh-CN"/>
              </w:rPr>
              <w:t>上</w:t>
            </w:r>
            <w:r>
              <w:rPr>
                <w:rFonts w:hint="eastAsia" w:hAnsi="宋体"/>
                <w:color w:val="auto"/>
                <w:kern w:val="2"/>
                <w:sz w:val="21"/>
                <w:szCs w:val="21"/>
                <w:highlight w:val="none"/>
              </w:rPr>
              <w:t>午1</w:t>
            </w:r>
            <w:r>
              <w:rPr>
                <w:rFonts w:hint="eastAsia" w:hAnsi="宋体"/>
                <w:color w:val="auto"/>
                <w:kern w:val="2"/>
                <w:sz w:val="21"/>
                <w:szCs w:val="21"/>
                <w:highlight w:val="none"/>
                <w:lang w:val="en-US" w:eastAsia="zh-CN"/>
              </w:rPr>
              <w:t>0</w:t>
            </w:r>
            <w:r>
              <w:rPr>
                <w:rFonts w:hint="eastAsia" w:hAnsi="宋体"/>
                <w:color w:val="auto"/>
                <w:kern w:val="2"/>
                <w:sz w:val="21"/>
                <w:szCs w:val="21"/>
                <w:highlight w:val="none"/>
              </w:rPr>
              <w:t>时 00分（北京时间）。</w:t>
            </w:r>
          </w:p>
          <w:p>
            <w:pPr>
              <w:pStyle w:val="149"/>
              <w:spacing w:line="400"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2.报价地点和开标地点：重庆首讯科技股份有限公司（重庆市渝北区新南路52号东界龙湖三楼）。</w:t>
            </w:r>
          </w:p>
          <w:p>
            <w:pPr>
              <w:pStyle w:val="149"/>
              <w:spacing w:line="400" w:lineRule="exact"/>
              <w:ind w:firstLine="420" w:firstLineChars="200"/>
              <w:rPr>
                <w:rFonts w:hint="eastAsia" w:ascii="宋体" w:hAnsi="宋体" w:eastAsia="宋体" w:cs="宋体"/>
                <w:color w:val="auto"/>
                <w:kern w:val="2"/>
                <w:sz w:val="21"/>
                <w:szCs w:val="21"/>
                <w:highlight w:val="none"/>
                <w:lang w:val="en-US" w:eastAsia="zh-CN" w:bidi="ar-SA"/>
              </w:rPr>
            </w:pPr>
            <w:r>
              <w:rPr>
                <w:rFonts w:hint="eastAsia" w:hAnsi="宋体"/>
                <w:color w:val="auto"/>
                <w:kern w:val="2"/>
                <w:sz w:val="21"/>
                <w:szCs w:val="21"/>
                <w:highlight w:val="none"/>
              </w:rPr>
              <w:t>3.逾期送达，或未送达指定地点，或未密封的竞争性比选响应文件，采购人不予受理。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349" w:type="pct"/>
            <w:vAlign w:val="center"/>
          </w:tcPr>
          <w:p>
            <w:pPr>
              <w:pStyle w:val="149"/>
              <w:spacing w:line="400" w:lineRule="exact"/>
              <w:jc w:val="center"/>
              <w:rPr>
                <w:rFonts w:hint="default" w:hAnsi="宋体" w:eastAsia="宋体"/>
                <w:color w:val="auto"/>
                <w:sz w:val="21"/>
                <w:szCs w:val="21"/>
                <w:highlight w:val="none"/>
                <w:lang w:val="en-US" w:eastAsia="zh-CN"/>
              </w:rPr>
            </w:pPr>
            <w:r>
              <w:rPr>
                <w:rFonts w:hint="eastAsia" w:hAnsi="宋体"/>
                <w:color w:val="auto"/>
                <w:sz w:val="21"/>
                <w:szCs w:val="21"/>
                <w:highlight w:val="none"/>
                <w:lang w:val="en-US" w:eastAsia="zh-CN"/>
              </w:rPr>
              <w:t>24</w:t>
            </w:r>
          </w:p>
        </w:tc>
        <w:tc>
          <w:tcPr>
            <w:tcW w:w="1062" w:type="pct"/>
            <w:vAlign w:val="center"/>
          </w:tcPr>
          <w:p>
            <w:pPr>
              <w:pStyle w:val="149"/>
              <w:spacing w:line="400" w:lineRule="exact"/>
              <w:jc w:val="center"/>
              <w:rPr>
                <w:rFonts w:hint="eastAsia" w:hAnsi="宋体"/>
                <w:color w:val="auto"/>
                <w:kern w:val="2"/>
                <w:sz w:val="21"/>
                <w:szCs w:val="21"/>
                <w:highlight w:val="none"/>
              </w:rPr>
            </w:pPr>
            <w:r>
              <w:rPr>
                <w:rFonts w:hint="eastAsia" w:hAnsi="宋体"/>
                <w:color w:val="auto"/>
                <w:kern w:val="2"/>
                <w:sz w:val="21"/>
                <w:szCs w:val="21"/>
                <w:highlight w:val="none"/>
              </w:rPr>
              <w:t>本次竞争性比选响应文件的组成</w:t>
            </w:r>
          </w:p>
        </w:tc>
        <w:tc>
          <w:tcPr>
            <w:tcW w:w="3588" w:type="pct"/>
            <w:vAlign w:val="center"/>
          </w:tcPr>
          <w:p>
            <w:pPr>
              <w:pStyle w:val="149"/>
              <w:numPr>
                <w:ilvl w:val="0"/>
                <w:numId w:val="3"/>
              </w:numPr>
              <w:spacing w:line="400" w:lineRule="exact"/>
              <w:ind w:firstLine="422" w:firstLineChars="200"/>
              <w:rPr>
                <w:rFonts w:hAnsi="宋体"/>
                <w:color w:val="auto"/>
                <w:kern w:val="2"/>
                <w:sz w:val="21"/>
                <w:szCs w:val="21"/>
                <w:highlight w:val="none"/>
              </w:rPr>
            </w:pPr>
            <w:r>
              <w:rPr>
                <w:rFonts w:hint="eastAsia" w:hAnsi="宋体"/>
                <w:b/>
                <w:bCs/>
                <w:color w:val="000000" w:themeColor="text1"/>
                <w:sz w:val="21"/>
                <w:szCs w:val="21"/>
                <w:highlight w:val="none"/>
                <w14:textFill>
                  <w14:solidFill>
                    <w14:schemeClr w14:val="tx1"/>
                  </w14:solidFill>
                </w14:textFill>
              </w:rPr>
              <w:t>竞争性比选文件需逐页加盖报价人的公章</w:t>
            </w:r>
            <w:r>
              <w:rPr>
                <w:rFonts w:hint="eastAsia" w:hAnsi="宋体"/>
                <w:color w:val="000000" w:themeColor="text1"/>
                <w:sz w:val="21"/>
                <w:szCs w:val="21"/>
                <w:highlight w:val="none"/>
                <w14:textFill>
                  <w14:solidFill>
                    <w14:schemeClr w14:val="tx1"/>
                  </w14:solidFill>
                </w14:textFill>
              </w:rPr>
              <w:t>，竞争性比选响应文件提交正本1份，副本1份，副本可为正本的复印件，竞争性比选响应文件需装订成册，</w:t>
            </w:r>
            <w:r>
              <w:rPr>
                <w:rFonts w:hint="eastAsia" w:hAnsi="宋体"/>
                <w:color w:val="auto"/>
                <w:kern w:val="2"/>
                <w:sz w:val="21"/>
                <w:szCs w:val="21"/>
                <w:highlight w:val="none"/>
              </w:rPr>
              <w:t>封面右上角需标注“正本”、“副本”加以区别，所有报价文件需密封到一个封袋中。</w:t>
            </w:r>
          </w:p>
          <w:p>
            <w:pPr>
              <w:pStyle w:val="149"/>
              <w:numPr>
                <w:ilvl w:val="0"/>
                <w:numId w:val="3"/>
              </w:numPr>
              <w:spacing w:line="400" w:lineRule="exact"/>
              <w:ind w:firstLine="420" w:firstLineChars="200"/>
              <w:rPr>
                <w:rFonts w:hAnsi="宋体"/>
                <w:color w:val="auto"/>
                <w:kern w:val="2"/>
                <w:sz w:val="21"/>
                <w:szCs w:val="21"/>
                <w:highlight w:val="none"/>
              </w:rPr>
            </w:pPr>
            <w:r>
              <w:rPr>
                <w:rFonts w:hint="eastAsia" w:hAnsi="宋体"/>
                <w:color w:val="000000" w:themeColor="text1"/>
                <w:sz w:val="21"/>
                <w:szCs w:val="21"/>
                <w:highlight w:val="none"/>
                <w14:textFill>
                  <w14:solidFill>
                    <w14:schemeClr w14:val="tx1"/>
                  </w14:solidFill>
                </w14:textFill>
              </w:rPr>
              <w:t>报价人应提供竞争性比选响应文件</w:t>
            </w:r>
            <w:r>
              <w:rPr>
                <w:rFonts w:hint="eastAsia" w:hAnsi="宋体"/>
                <w:b/>
                <w:bCs/>
                <w:color w:val="000000" w:themeColor="text1"/>
                <w:sz w:val="21"/>
                <w:szCs w:val="21"/>
                <w:highlight w:val="none"/>
                <w14:textFill>
                  <w14:solidFill>
                    <w14:schemeClr w14:val="tx1"/>
                  </w14:solidFill>
                </w14:textFill>
              </w:rPr>
              <w:t>电子文件1份</w:t>
            </w:r>
            <w:r>
              <w:rPr>
                <w:rFonts w:hint="eastAsia" w:hAnsi="宋体"/>
                <w:b/>
                <w:bCs/>
                <w:color w:val="000000" w:themeColor="text1"/>
                <w:sz w:val="21"/>
                <w:szCs w:val="21"/>
                <w:highlight w:val="none"/>
                <w:lang w:eastAsia="zh-CN"/>
                <w14:textFill>
                  <w14:solidFill>
                    <w14:schemeClr w14:val="tx1"/>
                  </w14:solidFill>
                </w14:textFill>
              </w:rPr>
              <w:t>，</w:t>
            </w:r>
            <w:r>
              <w:rPr>
                <w:rFonts w:hint="eastAsia" w:hAnsi="宋体"/>
                <w:color w:val="auto"/>
                <w:kern w:val="2"/>
                <w:sz w:val="21"/>
                <w:szCs w:val="21"/>
                <w:highlight w:val="none"/>
                <w:lang w:val="en-US" w:eastAsia="zh-CN"/>
              </w:rPr>
              <w:t>应提供竞争性比选响应文件（正本盖章版）扫描版PDF电子版本和excel版本报价清单（U盘1份，电子文件内容须包括竞争性比选响应文件全部内容）</w:t>
            </w:r>
            <w:r>
              <w:rPr>
                <w:rFonts w:hint="eastAsia" w:hAnsi="宋体"/>
                <w:color w:val="000000" w:themeColor="text1"/>
                <w:sz w:val="21"/>
                <w:szCs w:val="21"/>
                <w:highlight w:val="none"/>
                <w14:textFill>
                  <w14:solidFill>
                    <w14:schemeClr w14:val="tx1"/>
                  </w14:solidFill>
                </w14:textFill>
              </w:rPr>
              <w:t>。当电子文件与纸质版竞争性比选响应文件不一致时，以纸质版竞争性比选响应文件为准，当正本与副本不一致时，以正本为准</w:t>
            </w:r>
            <w:r>
              <w:rPr>
                <w:rFonts w:hint="eastAsia" w:hAnsi="宋体"/>
                <w:color w:val="000000" w:themeColor="text1"/>
                <w:highlight w:val="none"/>
                <w14:textFill>
                  <w14:solidFill>
                    <w14:schemeClr w14:val="tx1"/>
                  </w14:solidFill>
                </w14:textFill>
              </w:rPr>
              <w:t>。</w:t>
            </w:r>
          </w:p>
          <w:p>
            <w:pPr>
              <w:pStyle w:val="149"/>
              <w:numPr>
                <w:ilvl w:val="0"/>
                <w:numId w:val="3"/>
              </w:numPr>
              <w:spacing w:line="400" w:lineRule="exact"/>
              <w:ind w:left="0" w:leftChars="0" w:firstLine="420" w:firstLineChars="200"/>
              <w:rPr>
                <w:rFonts w:hint="eastAsia" w:hAnsi="宋体"/>
                <w:color w:val="auto"/>
                <w:kern w:val="2"/>
                <w:sz w:val="21"/>
                <w:szCs w:val="21"/>
                <w:highlight w:val="none"/>
              </w:rPr>
            </w:pPr>
            <w:r>
              <w:rPr>
                <w:rFonts w:hint="eastAsia" w:hAnsi="宋体"/>
                <w:color w:val="auto"/>
                <w:kern w:val="2"/>
                <w:sz w:val="21"/>
                <w:szCs w:val="21"/>
                <w:highlight w:val="none"/>
              </w:rPr>
              <w:t>竞争性比选响应声明书、报价函、资格要求材料、报价人认为需要提供的其他相关文件（注：以上所有文件均须逐页加盖报价人的公章）。</w:t>
            </w:r>
          </w:p>
          <w:p>
            <w:pPr>
              <w:pStyle w:val="149"/>
              <w:spacing w:line="400" w:lineRule="exact"/>
              <w:ind w:firstLine="422" w:firstLineChars="200"/>
              <w:rPr>
                <w:rFonts w:hint="eastAsia" w:hAnsi="宋体"/>
                <w:b/>
                <w:bCs/>
                <w:color w:val="auto"/>
                <w:kern w:val="2"/>
                <w:sz w:val="21"/>
                <w:szCs w:val="21"/>
                <w:highlight w:val="none"/>
                <w:lang w:val="en-US" w:eastAsia="zh-CN"/>
              </w:rPr>
            </w:pPr>
            <w:r>
              <w:rPr>
                <w:rFonts w:hint="eastAsia" w:hAnsi="宋体"/>
                <w:b/>
                <w:bCs/>
                <w:color w:val="auto"/>
                <w:kern w:val="2"/>
                <w:sz w:val="21"/>
                <w:szCs w:val="21"/>
                <w:highlight w:val="none"/>
                <w:lang w:val="en-US" w:eastAsia="zh-CN"/>
              </w:rPr>
              <w:t>3.密封要求：</w:t>
            </w:r>
          </w:p>
          <w:p>
            <w:pPr>
              <w:pStyle w:val="149"/>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竞争性比选响应文件密封到一个封袋中，在封套上写明：</w:t>
            </w:r>
          </w:p>
          <w:p>
            <w:pPr>
              <w:pStyle w:val="149"/>
              <w:numPr>
                <w:ilvl w:val="0"/>
                <w:numId w:val="0"/>
              </w:numPr>
              <w:spacing w:line="400" w:lineRule="exact"/>
              <w:ind w:firstLine="420" w:firstLineChars="200"/>
              <w:rPr>
                <w:rFonts w:hint="eastAsia" w:hAnsi="宋体"/>
                <w:color w:val="auto"/>
                <w:kern w:val="2"/>
                <w:sz w:val="21"/>
                <w:szCs w:val="21"/>
                <w:highlight w:val="none"/>
              </w:rPr>
            </w:pPr>
            <w:r>
              <w:rPr>
                <w:rFonts w:hint="eastAsia" w:hAnsi="宋体"/>
                <w:color w:val="auto"/>
                <w:kern w:val="2"/>
                <w:sz w:val="21"/>
                <w:szCs w:val="21"/>
                <w:highlight w:val="none"/>
                <w:lang w:val="en-US" w:eastAsia="zh-CN"/>
              </w:rPr>
              <w:t>机电工程施工总承包二级资质申报咨询服务竞争性比选响应文件（加盖报价人的公章）</w:t>
            </w:r>
          </w:p>
          <w:p>
            <w:pPr>
              <w:pStyle w:val="149"/>
              <w:numPr>
                <w:ilvl w:val="0"/>
                <w:numId w:val="0"/>
              </w:numPr>
              <w:spacing w:line="400" w:lineRule="exact"/>
              <w:ind w:leftChars="200"/>
              <w:rPr>
                <w:rFonts w:hint="eastAsia" w:hAnsi="宋体"/>
                <w:color w:val="auto"/>
                <w:kern w:val="2"/>
                <w:sz w:val="21"/>
                <w:szCs w:val="21"/>
                <w:highlight w:val="none"/>
              </w:rPr>
            </w:pPr>
            <w:r>
              <w:rPr>
                <w:rFonts w:hint="eastAsia" w:hAnsi="宋体"/>
                <w:color w:val="auto"/>
                <w:kern w:val="2"/>
                <w:sz w:val="21"/>
                <w:szCs w:val="21"/>
                <w:highlight w:val="none"/>
              </w:rPr>
              <w:t>在</w:t>
            </w:r>
            <w:r>
              <w:rPr>
                <w:rFonts w:hint="eastAsia" w:hAnsi="宋体"/>
                <w:color w:val="auto"/>
                <w:kern w:val="2"/>
                <w:sz w:val="21"/>
                <w:szCs w:val="21"/>
                <w:highlight w:val="none"/>
                <w:u w:val="single"/>
              </w:rPr>
              <w:t xml:space="preserve"> </w:t>
            </w:r>
            <w:r>
              <w:rPr>
                <w:rFonts w:hint="eastAsia" w:hAnsi="宋体"/>
                <w:sz w:val="21"/>
                <w:szCs w:val="18"/>
                <w:highlight w:val="none"/>
                <w:u w:val="single"/>
              </w:rPr>
              <w:t>202</w:t>
            </w:r>
            <w:r>
              <w:rPr>
                <w:rFonts w:hint="eastAsia" w:hAnsi="宋体"/>
                <w:sz w:val="21"/>
                <w:szCs w:val="18"/>
                <w:highlight w:val="none"/>
                <w:u w:val="single"/>
                <w:lang w:val="en-US" w:eastAsia="zh-CN"/>
              </w:rPr>
              <w:t>4</w:t>
            </w:r>
            <w:r>
              <w:rPr>
                <w:rFonts w:hint="eastAsia" w:hAnsi="宋体"/>
                <w:sz w:val="21"/>
                <w:szCs w:val="18"/>
                <w:highlight w:val="none"/>
                <w:u w:val="single"/>
              </w:rPr>
              <w:t xml:space="preserve"> </w:t>
            </w:r>
            <w:r>
              <w:rPr>
                <w:rFonts w:hint="eastAsia" w:hAnsi="宋体"/>
                <w:sz w:val="21"/>
                <w:szCs w:val="18"/>
                <w:highlight w:val="none"/>
              </w:rPr>
              <w:t>年</w:t>
            </w:r>
            <w:r>
              <w:rPr>
                <w:rFonts w:hint="eastAsia" w:hAnsi="宋体"/>
                <w:sz w:val="21"/>
                <w:szCs w:val="18"/>
                <w:highlight w:val="none"/>
                <w:u w:val="single"/>
              </w:rPr>
              <w:t xml:space="preserve"> </w:t>
            </w:r>
            <w:r>
              <w:rPr>
                <w:rFonts w:hint="eastAsia" w:hAnsi="宋体"/>
                <w:sz w:val="21"/>
                <w:szCs w:val="18"/>
                <w:highlight w:val="none"/>
                <w:u w:val="single"/>
                <w:lang w:val="en-US" w:eastAsia="zh-CN"/>
              </w:rPr>
              <w:t>8</w:t>
            </w:r>
            <w:r>
              <w:rPr>
                <w:rFonts w:hint="eastAsia" w:hAnsi="宋体"/>
                <w:sz w:val="21"/>
                <w:szCs w:val="18"/>
                <w:highlight w:val="none"/>
                <w:u w:val="single"/>
              </w:rPr>
              <w:t xml:space="preserve"> </w:t>
            </w:r>
            <w:r>
              <w:rPr>
                <w:rFonts w:hint="eastAsia" w:hAnsi="宋体"/>
                <w:sz w:val="21"/>
                <w:szCs w:val="18"/>
                <w:highlight w:val="none"/>
              </w:rPr>
              <w:t>月</w:t>
            </w:r>
            <w:r>
              <w:rPr>
                <w:rFonts w:hint="eastAsia" w:hAnsi="宋体"/>
                <w:sz w:val="21"/>
                <w:szCs w:val="18"/>
                <w:highlight w:val="none"/>
                <w:u w:val="single"/>
              </w:rPr>
              <w:t xml:space="preserve"> </w:t>
            </w:r>
            <w:r>
              <w:rPr>
                <w:rFonts w:hint="eastAsia" w:hAnsi="宋体"/>
                <w:sz w:val="21"/>
                <w:szCs w:val="18"/>
                <w:highlight w:val="none"/>
                <w:u w:val="single"/>
                <w:lang w:val="en-US" w:eastAsia="zh-CN"/>
              </w:rPr>
              <w:t>30</w:t>
            </w:r>
            <w:r>
              <w:rPr>
                <w:rFonts w:hAnsi="宋体"/>
                <w:sz w:val="21"/>
                <w:szCs w:val="18"/>
                <w:highlight w:val="none"/>
                <w:u w:val="single"/>
              </w:rPr>
              <w:t xml:space="preserve"> </w:t>
            </w:r>
            <w:r>
              <w:rPr>
                <w:rFonts w:hint="eastAsia" w:hAnsi="宋体"/>
                <w:sz w:val="21"/>
                <w:szCs w:val="18"/>
                <w:highlight w:val="none"/>
              </w:rPr>
              <w:t>日</w:t>
            </w:r>
            <w:r>
              <w:rPr>
                <w:rFonts w:hint="eastAsia" w:hAnsi="宋体"/>
                <w:sz w:val="21"/>
                <w:szCs w:val="18"/>
                <w:highlight w:val="none"/>
                <w:lang w:val="en-US" w:eastAsia="zh-CN"/>
              </w:rPr>
              <w:t>上</w:t>
            </w:r>
            <w:r>
              <w:rPr>
                <w:rFonts w:hint="eastAsia" w:hAnsi="宋体"/>
                <w:color w:val="auto"/>
                <w:kern w:val="2"/>
                <w:sz w:val="21"/>
                <w:szCs w:val="21"/>
                <w:highlight w:val="none"/>
              </w:rPr>
              <w:t>午1</w:t>
            </w:r>
            <w:r>
              <w:rPr>
                <w:rFonts w:hint="eastAsia" w:hAnsi="宋体"/>
                <w:color w:val="auto"/>
                <w:kern w:val="2"/>
                <w:sz w:val="21"/>
                <w:szCs w:val="21"/>
                <w:highlight w:val="none"/>
                <w:lang w:val="en-US" w:eastAsia="zh-CN"/>
              </w:rPr>
              <w:t>0</w:t>
            </w:r>
            <w:r>
              <w:rPr>
                <w:rFonts w:hint="eastAsia" w:hAnsi="宋体"/>
                <w:color w:val="auto"/>
                <w:kern w:val="2"/>
                <w:sz w:val="21"/>
                <w:szCs w:val="21"/>
                <w:highlight w:val="none"/>
              </w:rPr>
              <w:t>：00时前不得开启。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349" w:type="pct"/>
            <w:vAlign w:val="center"/>
          </w:tcPr>
          <w:p>
            <w:pPr>
              <w:pStyle w:val="149"/>
              <w:spacing w:line="400" w:lineRule="exact"/>
              <w:jc w:val="center"/>
              <w:rPr>
                <w:rFonts w:hint="default" w:hAnsi="宋体" w:eastAsia="宋体"/>
                <w:color w:val="auto"/>
                <w:sz w:val="21"/>
                <w:szCs w:val="21"/>
                <w:highlight w:val="none"/>
                <w:lang w:val="en-US" w:eastAsia="zh-CN"/>
              </w:rPr>
            </w:pPr>
            <w:r>
              <w:rPr>
                <w:rFonts w:hint="eastAsia" w:hAnsi="宋体" w:cs="宋体"/>
                <w:color w:val="auto"/>
                <w:sz w:val="21"/>
                <w:szCs w:val="21"/>
                <w:highlight w:val="none"/>
                <w:lang w:val="en-US" w:eastAsia="zh-CN" w:bidi="ar-SA"/>
              </w:rPr>
              <w:t>25</w:t>
            </w:r>
          </w:p>
        </w:tc>
        <w:tc>
          <w:tcPr>
            <w:tcW w:w="1062" w:type="pct"/>
            <w:vAlign w:val="center"/>
          </w:tcPr>
          <w:p>
            <w:pPr>
              <w:keepNext w:val="0"/>
              <w:keepLines w:val="0"/>
              <w:suppressLineNumbers w:val="0"/>
              <w:spacing w:before="0" w:beforeAutospacing="0" w:after="0" w:afterAutospacing="0" w:line="400" w:lineRule="exact"/>
              <w:ind w:left="0" w:leftChars="0" w:right="0" w:rightChars="0"/>
              <w:jc w:val="center"/>
              <w:rPr>
                <w:rFonts w:hint="eastAsia" w:hAnsi="宋体"/>
                <w:color w:val="auto"/>
                <w:kern w:val="2"/>
                <w:sz w:val="21"/>
                <w:szCs w:val="21"/>
                <w:highlight w:val="none"/>
              </w:rPr>
            </w:pPr>
            <w:r>
              <w:rPr>
                <w:rFonts w:hint="eastAsia"/>
                <w:highlight w:val="none"/>
              </w:rPr>
              <w:t>中标候选人公示</w:t>
            </w:r>
          </w:p>
        </w:tc>
        <w:tc>
          <w:tcPr>
            <w:tcW w:w="3588" w:type="pct"/>
            <w:vAlign w:val="center"/>
          </w:tcPr>
          <w:p>
            <w:pPr>
              <w:spacing w:line="400" w:lineRule="exact"/>
              <w:ind w:firstLine="420" w:firstLineChars="200"/>
              <w:rPr>
                <w:rFonts w:hint="eastAsia" w:hAnsi="宋体"/>
                <w:color w:val="auto"/>
                <w:kern w:val="2"/>
                <w:sz w:val="21"/>
                <w:szCs w:val="21"/>
                <w:highlight w:val="none"/>
              </w:rPr>
            </w:pPr>
            <w:r>
              <w:rPr>
                <w:rFonts w:hint="eastAsia"/>
                <w:highlight w:val="none"/>
              </w:rPr>
              <w:t>评标结果将在重庆高速集团官网（http://www.cegc.com.cn）上进行公示，公示期为3日。公示内容包括中标候选人名称、排序、投标报价；提出异议、投诉的渠道和方式。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349" w:type="pct"/>
            <w:vAlign w:val="center"/>
          </w:tcPr>
          <w:p>
            <w:pPr>
              <w:pStyle w:val="149"/>
              <w:spacing w:line="400" w:lineRule="exact"/>
              <w:jc w:val="center"/>
              <w:rPr>
                <w:rFonts w:hint="eastAsia" w:hAnsi="宋体"/>
                <w:color w:val="auto"/>
                <w:kern w:val="2"/>
                <w:sz w:val="21"/>
                <w:szCs w:val="21"/>
                <w:highlight w:val="none"/>
              </w:rPr>
            </w:pPr>
            <w:r>
              <w:rPr>
                <w:rFonts w:hint="eastAsia" w:hAnsi="宋体"/>
                <w:color w:val="000000" w:themeColor="text1"/>
                <w:kern w:val="2"/>
                <w:sz w:val="21"/>
                <w:szCs w:val="21"/>
                <w:highlight w:val="none"/>
                <w14:textFill>
                  <w14:solidFill>
                    <w14:schemeClr w14:val="tx1"/>
                  </w14:solidFill>
                </w14:textFill>
              </w:rPr>
              <w:t>2</w:t>
            </w:r>
            <w:r>
              <w:rPr>
                <w:rFonts w:hint="eastAsia" w:hAnsi="宋体"/>
                <w:color w:val="000000" w:themeColor="text1"/>
                <w:kern w:val="2"/>
                <w:sz w:val="21"/>
                <w:szCs w:val="21"/>
                <w:highlight w:val="none"/>
                <w:lang w:val="en-US" w:eastAsia="zh-CN"/>
                <w14:textFill>
                  <w14:solidFill>
                    <w14:schemeClr w14:val="tx1"/>
                  </w14:solidFill>
                </w14:textFill>
              </w:rPr>
              <w:t>6</w:t>
            </w:r>
          </w:p>
        </w:tc>
        <w:tc>
          <w:tcPr>
            <w:tcW w:w="4650" w:type="pct"/>
            <w:gridSpan w:val="2"/>
            <w:vAlign w:val="center"/>
          </w:tcPr>
          <w:p>
            <w:pPr>
              <w:pStyle w:val="149"/>
              <w:spacing w:line="400" w:lineRule="exact"/>
              <w:ind w:firstLine="482" w:firstLineChars="200"/>
              <w:jc w:val="center"/>
              <w:rPr>
                <w:rFonts w:hint="eastAsia" w:hAnsi="宋体"/>
                <w:sz w:val="21"/>
                <w:szCs w:val="21"/>
                <w:highlight w:val="none"/>
              </w:rPr>
            </w:pPr>
            <w:r>
              <w:rPr>
                <w:rFonts w:hAnsi="宋体"/>
                <w:b/>
                <w:bCs/>
                <w:color w:val="000000" w:themeColor="text1"/>
                <w:szCs w:val="21"/>
                <w:highlight w:val="none"/>
                <w14:textFill>
                  <w14:solidFill>
                    <w14:schemeClr w14:val="tx1"/>
                  </w14:solidFill>
                </w14:textFill>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349" w:type="pct"/>
            <w:vAlign w:val="center"/>
          </w:tcPr>
          <w:p>
            <w:pPr>
              <w:pStyle w:val="149"/>
              <w:spacing w:line="400" w:lineRule="exact"/>
              <w:jc w:val="center"/>
              <w:rPr>
                <w:rFonts w:hint="eastAsia" w:hAnsi="宋体"/>
                <w:color w:val="000000" w:themeColor="text1"/>
                <w:kern w:val="2"/>
                <w:sz w:val="21"/>
                <w:szCs w:val="21"/>
                <w:highlight w:val="none"/>
                <w14:textFill>
                  <w14:solidFill>
                    <w14:schemeClr w14:val="tx1"/>
                  </w14:solidFill>
                </w14:textFill>
              </w:rPr>
            </w:pPr>
            <w:r>
              <w:rPr>
                <w:rFonts w:hint="eastAsia" w:hAnsi="宋体"/>
                <w:color w:val="000000" w:themeColor="text1"/>
                <w:kern w:val="2"/>
                <w:sz w:val="21"/>
                <w:szCs w:val="21"/>
                <w:highlight w:val="none"/>
                <w14:textFill>
                  <w14:solidFill>
                    <w14:schemeClr w14:val="tx1"/>
                  </w14:solidFill>
                </w14:textFill>
              </w:rPr>
              <w:t>2</w:t>
            </w:r>
            <w:r>
              <w:rPr>
                <w:rFonts w:hint="eastAsia" w:hAnsi="宋体"/>
                <w:color w:val="000000" w:themeColor="text1"/>
                <w:kern w:val="2"/>
                <w:sz w:val="21"/>
                <w:szCs w:val="21"/>
                <w:highlight w:val="none"/>
                <w:lang w:val="en-US" w:eastAsia="zh-CN"/>
                <w14:textFill>
                  <w14:solidFill>
                    <w14:schemeClr w14:val="tx1"/>
                  </w14:solidFill>
                </w14:textFill>
              </w:rPr>
              <w:t>6</w:t>
            </w:r>
            <w:r>
              <w:rPr>
                <w:rFonts w:hint="eastAsia" w:hAnsi="宋体"/>
                <w:color w:val="000000" w:themeColor="text1"/>
                <w:kern w:val="2"/>
                <w:sz w:val="21"/>
                <w:szCs w:val="21"/>
                <w:highlight w:val="none"/>
                <w14:textFill>
                  <w14:solidFill>
                    <w14:schemeClr w14:val="tx1"/>
                  </w14:solidFill>
                </w14:textFill>
              </w:rPr>
              <w:t>.1</w:t>
            </w:r>
          </w:p>
        </w:tc>
        <w:tc>
          <w:tcPr>
            <w:tcW w:w="4650" w:type="pct"/>
            <w:gridSpan w:val="2"/>
            <w:vAlign w:val="center"/>
          </w:tcPr>
          <w:p>
            <w:pPr>
              <w:pStyle w:val="149"/>
              <w:spacing w:line="400" w:lineRule="exact"/>
              <w:ind w:firstLine="420" w:firstLineChars="200"/>
              <w:rPr>
                <w:rFonts w:hAnsi="宋体"/>
                <w:b/>
                <w:bCs/>
                <w:color w:val="000000" w:themeColor="text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截止竞争性比选响应文件递交时间，递交竞争性比选响应文件不足3家的不得开启竞争性比选文件。重新招标后报价人仍少于3个，按法定程序开标和评标，确定中标人。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349" w:type="pct"/>
            <w:vAlign w:val="center"/>
          </w:tcPr>
          <w:p>
            <w:pPr>
              <w:pStyle w:val="149"/>
              <w:spacing w:line="400" w:lineRule="exact"/>
              <w:jc w:val="center"/>
              <w:rPr>
                <w:rFonts w:hint="eastAsia" w:hAnsi="宋体"/>
                <w:color w:val="000000" w:themeColor="text1"/>
                <w:kern w:val="2"/>
                <w:sz w:val="21"/>
                <w:szCs w:val="21"/>
                <w:highlight w:val="none"/>
                <w14:textFill>
                  <w14:solidFill>
                    <w14:schemeClr w14:val="tx1"/>
                  </w14:solidFill>
                </w14:textFill>
              </w:rPr>
            </w:pPr>
            <w:r>
              <w:rPr>
                <w:rFonts w:hint="eastAsia" w:hAnsi="宋体"/>
                <w:color w:val="000000" w:themeColor="text1"/>
                <w:kern w:val="2"/>
                <w:sz w:val="21"/>
                <w:szCs w:val="21"/>
                <w:lang w:val="en-US" w:eastAsia="zh-CN"/>
                <w14:textFill>
                  <w14:solidFill>
                    <w14:schemeClr w14:val="tx1"/>
                  </w14:solidFill>
                </w14:textFill>
              </w:rPr>
              <w:t>26.2</w:t>
            </w:r>
          </w:p>
        </w:tc>
        <w:tc>
          <w:tcPr>
            <w:tcW w:w="4650" w:type="pct"/>
            <w:gridSpan w:val="2"/>
            <w:vAlign w:val="center"/>
          </w:tcPr>
          <w:p>
            <w:pPr>
              <w:pStyle w:val="149"/>
              <w:spacing w:line="400" w:lineRule="exact"/>
              <w:ind w:firstLine="420" w:firstLineChars="200"/>
              <w:rPr>
                <w:rFonts w:hint="eastAsia" w:hAnsi="宋体"/>
                <w:color w:val="000000" w:themeColor="text1"/>
                <w:sz w:val="21"/>
                <w:szCs w:val="21"/>
                <w:highlight w:val="none"/>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1、需提供投标保证金银行回执。</w:t>
            </w:r>
          </w:p>
        </w:tc>
      </w:tr>
      <w:bookmarkEnd w:id="108"/>
    </w:tbl>
    <w:p>
      <w:pPr>
        <w:spacing w:line="360" w:lineRule="auto"/>
        <w:jc w:val="center"/>
        <w:rPr>
          <w:rFonts w:ascii="宋体" w:hAnsi="宋体" w:cs="宋体"/>
          <w:b/>
          <w:sz w:val="28"/>
          <w:szCs w:val="28"/>
          <w:highlight w:val="none"/>
        </w:rPr>
        <w:sectPr>
          <w:footerReference r:id="rId7" w:type="default"/>
          <w:pgSz w:w="11906" w:h="16838"/>
          <w:pgMar w:top="1418" w:right="1134" w:bottom="1418" w:left="1134" w:header="851" w:footer="992" w:gutter="0"/>
          <w:pgNumType w:start="1"/>
          <w:cols w:space="720" w:num="1"/>
          <w:docGrid w:type="lines" w:linePitch="312" w:charSpace="0"/>
        </w:sectPr>
      </w:pPr>
    </w:p>
    <w:p>
      <w:pPr>
        <w:pStyle w:val="4"/>
        <w:jc w:val="center"/>
        <w:rPr>
          <w:b/>
          <w:color w:val="000000" w:themeColor="text1"/>
          <w:highlight w:val="none"/>
          <w14:textFill>
            <w14:solidFill>
              <w14:schemeClr w14:val="tx1"/>
            </w14:solidFill>
          </w14:textFill>
        </w:rPr>
      </w:pPr>
      <w:bookmarkStart w:id="111" w:name="_Toc11329222"/>
      <w:bookmarkStart w:id="112" w:name="_Toc30198"/>
      <w:bookmarkStart w:id="113" w:name="_Toc17532"/>
      <w:bookmarkStart w:id="114" w:name="_Toc11284"/>
      <w:bookmarkStart w:id="115" w:name="_Toc9520"/>
      <w:bookmarkStart w:id="116" w:name="_Toc387234996"/>
      <w:bookmarkStart w:id="117" w:name="_Toc11329227"/>
      <w:bookmarkStart w:id="118" w:name="_Toc8293"/>
      <w:bookmarkStart w:id="119" w:name="_Toc27148"/>
      <w:bookmarkStart w:id="120" w:name="_Toc21487"/>
      <w:bookmarkStart w:id="121" w:name="_Toc388534043"/>
      <w:r>
        <w:rPr>
          <w:rFonts w:hint="eastAsia" w:ascii="宋体" w:hAnsi="宋体" w:eastAsia="宋体" w:cs="宋体"/>
          <w:color w:val="000000" w:themeColor="text1"/>
          <w:sz w:val="28"/>
          <w:szCs w:val="28"/>
          <w:highlight w:val="none"/>
          <w14:textFill>
            <w14:solidFill>
              <w14:schemeClr w14:val="tx1"/>
            </w14:solidFill>
          </w14:textFill>
        </w:rPr>
        <w:t xml:space="preserve">附录1  </w:t>
      </w:r>
      <w:bookmarkEnd w:id="111"/>
      <w:bookmarkEnd w:id="112"/>
      <w:bookmarkEnd w:id="113"/>
      <w:bookmarkEnd w:id="114"/>
      <w:bookmarkStart w:id="122" w:name="_Toc27096"/>
      <w:bookmarkStart w:id="123" w:name="_Toc12773"/>
      <w:bookmarkStart w:id="124" w:name="_Toc11329226"/>
      <w:bookmarkStart w:id="125" w:name="_Toc25591"/>
      <w:r>
        <w:rPr>
          <w:rFonts w:hint="eastAsia" w:ascii="宋体" w:hAnsi="宋体" w:eastAsia="宋体" w:cs="宋体"/>
          <w:bCs w:val="0"/>
          <w:color w:val="000000" w:themeColor="text1"/>
          <w:sz w:val="28"/>
          <w:szCs w:val="28"/>
          <w:highlight w:val="none"/>
          <w14:textFill>
            <w14:solidFill>
              <w14:schemeClr w14:val="tx1"/>
            </w14:solidFill>
          </w14:textFill>
        </w:rPr>
        <w:t>资格审查文件</w:t>
      </w:r>
      <w:bookmarkEnd w:id="115"/>
      <w:bookmarkEnd w:id="122"/>
      <w:bookmarkEnd w:id="123"/>
      <w:bookmarkEnd w:id="124"/>
      <w:bookmarkEnd w:id="125"/>
      <w:r>
        <w:rPr>
          <w:rFonts w:hint="eastAsia" w:ascii="宋体" w:hAnsi="宋体" w:eastAsia="宋体" w:cs="宋体"/>
          <w:bCs w:val="0"/>
          <w:color w:val="000000" w:themeColor="text1"/>
          <w:sz w:val="28"/>
          <w:szCs w:val="28"/>
          <w:highlight w:val="none"/>
          <w14:textFill>
            <w14:solidFill>
              <w14:schemeClr w14:val="tx1"/>
            </w14:solidFill>
          </w14:textFill>
        </w:rPr>
        <w:t>（项目主要管理人员最低要求）</w:t>
      </w:r>
    </w:p>
    <w:tbl>
      <w:tblPr>
        <w:tblStyle w:val="43"/>
        <w:tblW w:w="8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1693"/>
        <w:gridCol w:w="1203"/>
        <w:gridCol w:w="5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8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rPr>
            </w:pPr>
            <w:bookmarkStart w:id="126" w:name="_Toc6945"/>
            <w:r>
              <w:rPr>
                <w:rFonts w:hint="eastAsia" w:ascii="宋体" w:hAnsi="宋体" w:cs="宋体"/>
                <w:szCs w:val="21"/>
                <w:highlight w:val="none"/>
              </w:rPr>
              <w:t>序号</w:t>
            </w:r>
          </w:p>
        </w:tc>
        <w:tc>
          <w:tcPr>
            <w:tcW w:w="16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人  员</w:t>
            </w:r>
          </w:p>
        </w:tc>
        <w:tc>
          <w:tcPr>
            <w:tcW w:w="12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数量</w:t>
            </w:r>
          </w:p>
        </w:tc>
        <w:tc>
          <w:tcPr>
            <w:tcW w:w="512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exact"/>
          <w:jc w:val="center"/>
        </w:trPr>
        <w:tc>
          <w:tcPr>
            <w:tcW w:w="8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highlight w:val="none"/>
                <w:lang w:val="en-US" w:eastAsia="zh-CN"/>
              </w:rPr>
            </w:pPr>
            <w:bookmarkStart w:id="292" w:name="_GoBack"/>
            <w:bookmarkEnd w:id="292"/>
            <w:r>
              <w:rPr>
                <w:rFonts w:hint="eastAsia" w:ascii="宋体" w:hAnsi="宋体" w:cs="宋体"/>
                <w:szCs w:val="21"/>
                <w:highlight w:val="none"/>
                <w:lang w:val="en-US" w:eastAsia="zh-CN"/>
              </w:rPr>
              <w:t>1</w:t>
            </w:r>
          </w:p>
        </w:tc>
        <w:tc>
          <w:tcPr>
            <w:tcW w:w="16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项目负责人</w:t>
            </w:r>
          </w:p>
        </w:tc>
        <w:tc>
          <w:tcPr>
            <w:tcW w:w="12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1</w:t>
            </w:r>
          </w:p>
        </w:tc>
        <w:tc>
          <w:tcPr>
            <w:tcW w:w="51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Cs w:val="21"/>
                <w:highlight w:val="none"/>
                <w:lang w:val="en-US" w:eastAsia="zh-CN"/>
              </w:rPr>
            </w:pPr>
            <w:r>
              <w:rPr>
                <w:rFonts w:hint="eastAsia" w:ascii="宋体" w:hAnsi="宋体" w:cs="宋体"/>
                <w:color w:val="auto"/>
                <w:szCs w:val="21"/>
                <w:highlight w:val="none"/>
                <w:lang w:val="en-US" w:eastAsia="zh-CN"/>
              </w:rPr>
              <w:t>/</w:t>
            </w:r>
          </w:p>
        </w:tc>
      </w:tr>
    </w:tbl>
    <w:p>
      <w:pPr>
        <w:spacing w:line="400" w:lineRule="exact"/>
        <w:jc w:val="left"/>
        <w:rPr>
          <w:rFonts w:hint="eastAsia" w:ascii="宋体" w:hAnsi="宋体" w:cs="宋体"/>
          <w:szCs w:val="21"/>
          <w:highlight w:val="none"/>
        </w:rPr>
      </w:pPr>
      <w:r>
        <w:rPr>
          <w:rFonts w:hint="eastAsia" w:ascii="宋体" w:hAnsi="宋体" w:cs="宋体"/>
          <w:szCs w:val="21"/>
          <w:highlight w:val="none"/>
        </w:rPr>
        <w:t xml:space="preserve">   </w:t>
      </w:r>
      <w:r>
        <w:rPr>
          <w:rFonts w:hint="eastAsia" w:ascii="Times New Roman" w:hAnsi="宋体" w:cs="Times New Roman"/>
          <w:b w:val="0"/>
          <w:bCs w:val="0"/>
          <w:color w:val="auto"/>
          <w:sz w:val="21"/>
          <w:szCs w:val="21"/>
          <w:highlight w:val="none"/>
          <w:lang w:val="en-US" w:eastAsia="zh-CN"/>
        </w:rPr>
        <w:t>注：需提供项目主要管理人员</w:t>
      </w:r>
      <w:r>
        <w:rPr>
          <w:rFonts w:hint="eastAsia" w:hAnsi="宋体" w:cs="Times New Roman"/>
          <w:b w:val="0"/>
          <w:bCs w:val="0"/>
          <w:color w:val="auto"/>
          <w:sz w:val="21"/>
          <w:szCs w:val="21"/>
          <w:highlight w:val="none"/>
          <w:lang w:val="en-US" w:eastAsia="zh-CN"/>
        </w:rPr>
        <w:t>名单（表格形式），</w:t>
      </w:r>
      <w:r>
        <w:rPr>
          <w:rFonts w:hint="eastAsia" w:ascii="Times New Roman" w:hAnsi="宋体" w:cs="Times New Roman"/>
          <w:b w:val="0"/>
          <w:bCs w:val="0"/>
          <w:color w:val="auto"/>
          <w:sz w:val="21"/>
          <w:szCs w:val="21"/>
          <w:highlight w:val="none"/>
          <w:lang w:val="en-US" w:eastAsia="zh-CN"/>
        </w:rPr>
        <w:t>以上人员相关资质证件</w:t>
      </w:r>
      <w:r>
        <w:rPr>
          <w:rFonts w:hint="eastAsia" w:hAnsi="宋体" w:cs="Times New Roman"/>
          <w:b w:val="0"/>
          <w:bCs w:val="0"/>
          <w:color w:val="auto"/>
          <w:sz w:val="21"/>
          <w:szCs w:val="21"/>
          <w:highlight w:val="none"/>
          <w:lang w:val="en-US" w:eastAsia="zh-CN"/>
        </w:rPr>
        <w:t>、</w:t>
      </w:r>
      <w:r>
        <w:rPr>
          <w:rFonts w:hint="eastAsia" w:ascii="Times New Roman" w:hAnsi="宋体" w:cs="Times New Roman"/>
          <w:b w:val="0"/>
          <w:bCs w:val="0"/>
          <w:color w:val="auto"/>
          <w:sz w:val="21"/>
          <w:szCs w:val="21"/>
          <w:highlight w:val="none"/>
          <w:lang w:val="en-US" w:eastAsia="zh-CN"/>
        </w:rPr>
        <w:t>身份证复印件</w:t>
      </w:r>
      <w:r>
        <w:rPr>
          <w:rFonts w:hint="eastAsia" w:hAnsi="宋体" w:cs="Times New Roman"/>
          <w:b w:val="0"/>
          <w:bCs w:val="0"/>
          <w:color w:val="auto"/>
          <w:sz w:val="21"/>
          <w:szCs w:val="21"/>
          <w:highlight w:val="none"/>
          <w:lang w:val="en-US" w:eastAsia="zh-CN"/>
        </w:rPr>
        <w:t>及由社保局出具的报价人为以上人员缴纳2024年4月至2024年6月连续三个月的养老保险证明（带有社保部门公章或社保部门的有效电子印章）</w:t>
      </w:r>
      <w:r>
        <w:rPr>
          <w:rFonts w:hint="eastAsia" w:hAnsi="宋体"/>
          <w:b w:val="0"/>
          <w:bCs w:val="0"/>
          <w:color w:val="auto"/>
          <w:sz w:val="21"/>
          <w:szCs w:val="21"/>
          <w:highlight w:val="none"/>
        </w:rPr>
        <w:t>，</w:t>
      </w:r>
      <w:r>
        <w:rPr>
          <w:rFonts w:hint="eastAsia" w:hAnsi="宋体"/>
          <w:b w:val="0"/>
          <w:bCs w:val="0"/>
          <w:color w:val="auto"/>
          <w:sz w:val="21"/>
          <w:szCs w:val="21"/>
          <w:highlight w:val="none"/>
          <w:lang w:val="en-US" w:eastAsia="zh-CN"/>
        </w:rPr>
        <w:t>并</w:t>
      </w:r>
      <w:r>
        <w:rPr>
          <w:rFonts w:hint="eastAsia" w:hAnsi="宋体"/>
          <w:b w:val="0"/>
          <w:bCs w:val="0"/>
          <w:color w:val="auto"/>
          <w:sz w:val="21"/>
          <w:szCs w:val="21"/>
          <w:highlight w:val="none"/>
        </w:rPr>
        <w:t>加盖单位鲜公章。</w:t>
      </w:r>
    </w:p>
    <w:p>
      <w:pPr>
        <w:pStyle w:val="4"/>
        <w:ind w:firstLine="1124" w:firstLineChars="400"/>
        <w:jc w:val="both"/>
        <w:rPr>
          <w:rFonts w:ascii="宋体" w:hAnsi="宋体" w:eastAsia="宋体" w:cs="宋体"/>
          <w:bCs w:val="0"/>
          <w:color w:val="000000" w:themeColor="text1"/>
          <w:sz w:val="28"/>
          <w:szCs w:val="28"/>
          <w:highlight w:val="none"/>
          <w14:textFill>
            <w14:solidFill>
              <w14:schemeClr w14:val="tx1"/>
            </w14:solidFill>
          </w14:textFill>
        </w:rPr>
      </w:pPr>
      <w:r>
        <w:rPr>
          <w:rFonts w:hint="eastAsia" w:ascii="宋体" w:hAnsi="宋体" w:eastAsia="宋体" w:cs="宋体"/>
          <w:bCs w:val="0"/>
          <w:color w:val="000000" w:themeColor="text1"/>
          <w:sz w:val="28"/>
          <w:szCs w:val="28"/>
          <w:highlight w:val="none"/>
          <w14:textFill>
            <w14:solidFill>
              <w14:schemeClr w14:val="tx1"/>
            </w14:solidFill>
          </w14:textFill>
        </w:rPr>
        <w:t>附录2 资格审查文件（项目其他人员最低要求）</w:t>
      </w:r>
      <w:bookmarkEnd w:id="126"/>
    </w:p>
    <w:tbl>
      <w:tblPr>
        <w:tblStyle w:val="43"/>
        <w:tblW w:w="8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735"/>
        <w:gridCol w:w="1186"/>
        <w:gridCol w:w="5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81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color w:val="auto"/>
                <w:szCs w:val="21"/>
                <w:highlight w:val="none"/>
              </w:rPr>
            </w:pPr>
            <w:bookmarkStart w:id="127" w:name="_Toc507319900"/>
            <w:bookmarkStart w:id="128" w:name="_Toc413241584"/>
            <w:bookmarkStart w:id="129" w:name="_Toc23696"/>
            <w:bookmarkStart w:id="130" w:name="_Toc24393"/>
            <w:r>
              <w:rPr>
                <w:rFonts w:hint="eastAsia" w:ascii="宋体" w:hAnsi="宋体" w:cs="宋体"/>
                <w:color w:val="auto"/>
                <w:szCs w:val="21"/>
                <w:highlight w:val="none"/>
                <w:lang w:bidi="ar"/>
              </w:rPr>
              <w:t>序号</w:t>
            </w:r>
          </w:p>
        </w:tc>
        <w:tc>
          <w:tcPr>
            <w:tcW w:w="1735"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lang w:bidi="ar"/>
              </w:rPr>
              <w:t>人  员</w:t>
            </w:r>
          </w:p>
        </w:tc>
        <w:tc>
          <w:tcPr>
            <w:tcW w:w="1186"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lang w:bidi="ar"/>
              </w:rPr>
              <w:t>数量</w:t>
            </w:r>
          </w:p>
        </w:tc>
        <w:tc>
          <w:tcPr>
            <w:tcW w:w="516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lang w:bidi="ar"/>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81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bidi="ar"/>
              </w:rPr>
              <w:t>1</w:t>
            </w:r>
          </w:p>
        </w:tc>
        <w:tc>
          <w:tcPr>
            <w:tcW w:w="1735"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宋体" w:hAnsi="宋体" w:cs="宋体"/>
                <w:color w:val="auto"/>
                <w:szCs w:val="21"/>
                <w:highlight w:val="none"/>
              </w:rPr>
            </w:pPr>
            <w:r>
              <w:rPr>
                <w:rFonts w:ascii="宋体" w:hAnsi="宋体" w:cs="宋体"/>
                <w:color w:val="auto"/>
                <w:szCs w:val="21"/>
                <w:highlight w:val="none"/>
              </w:rPr>
              <w:t>项目团队</w:t>
            </w:r>
          </w:p>
        </w:tc>
        <w:tc>
          <w:tcPr>
            <w:tcW w:w="1186"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3</w:t>
            </w:r>
          </w:p>
        </w:tc>
        <w:tc>
          <w:tcPr>
            <w:tcW w:w="516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w:t>
            </w:r>
          </w:p>
        </w:tc>
      </w:tr>
      <w:bookmarkEnd w:id="127"/>
      <w:bookmarkEnd w:id="128"/>
      <w:bookmarkEnd w:id="129"/>
    </w:tbl>
    <w:p>
      <w:pPr>
        <w:spacing w:line="400" w:lineRule="exact"/>
        <w:ind w:firstLine="420"/>
        <w:rPr>
          <w:rFonts w:hint="eastAsia" w:ascii="宋体" w:hAnsi="宋体" w:cs="宋体"/>
          <w:color w:val="auto"/>
          <w:kern w:val="0"/>
          <w:szCs w:val="21"/>
          <w:highlight w:val="none"/>
        </w:rPr>
      </w:pPr>
      <w:r>
        <w:rPr>
          <w:rFonts w:hint="eastAsia" w:ascii="宋体" w:hAnsi="宋体" w:cs="宋体"/>
          <w:bCs/>
          <w:kern w:val="0"/>
          <w:szCs w:val="21"/>
        </w:rPr>
        <w:t>注：</w:t>
      </w:r>
      <w:r>
        <w:rPr>
          <w:rFonts w:hint="eastAsia" w:ascii="宋体" w:hAnsi="宋体" w:cs="宋体"/>
          <w:bCs/>
          <w:kern w:val="0"/>
          <w:szCs w:val="21"/>
          <w:lang w:val="en-US" w:eastAsia="zh-CN"/>
        </w:rPr>
        <w:t>需提供项目其他人员名单（表格形式），以上人员身份证复印件，并加盖单位鲜公章</w:t>
      </w:r>
      <w:r>
        <w:rPr>
          <w:rFonts w:hint="eastAsia" w:hAnsi="宋体"/>
          <w:b w:val="0"/>
          <w:bCs w:val="0"/>
          <w:color w:val="auto"/>
          <w:sz w:val="21"/>
          <w:szCs w:val="21"/>
          <w:highlight w:val="none"/>
        </w:rPr>
        <w:t>。</w:t>
      </w:r>
    </w:p>
    <w:bookmarkEnd w:id="130"/>
    <w:p>
      <w:pPr>
        <w:spacing w:line="440" w:lineRule="exact"/>
        <w:jc w:val="center"/>
        <w:rPr>
          <w:rFonts w:hint="eastAsia" w:ascii="宋体" w:hAnsi="宋体" w:eastAsia="宋体" w:cs="宋体"/>
          <w:color w:val="000000" w:themeColor="text1"/>
          <w:szCs w:val="21"/>
          <w:highlight w:val="none"/>
          <w:lang w:eastAsia="zh-CN"/>
          <w14:textFill>
            <w14:solidFill>
              <w14:schemeClr w14:val="tx1"/>
            </w14:solidFill>
          </w14:textFill>
        </w:rPr>
        <w:sectPr>
          <w:footerReference r:id="rId8" w:type="default"/>
          <w:pgSz w:w="11906" w:h="16838"/>
          <w:pgMar w:top="1440" w:right="1800" w:bottom="1440" w:left="1800" w:header="851" w:footer="992" w:gutter="0"/>
          <w:cols w:space="720" w:num="1"/>
          <w:titlePg/>
          <w:docGrid w:type="lines" w:linePitch="312" w:charSpace="0"/>
        </w:sectPr>
      </w:pPr>
      <w:r>
        <w:rPr>
          <w:rFonts w:hint="eastAsia" w:hAnsi="宋体"/>
          <w:b/>
          <w:bCs/>
          <w:color w:val="auto"/>
          <w:sz w:val="21"/>
          <w:szCs w:val="21"/>
        </w:rPr>
        <w:t>以上（附录1-附录</w:t>
      </w:r>
      <w:r>
        <w:rPr>
          <w:rFonts w:hint="eastAsia" w:hAnsi="宋体"/>
          <w:b/>
          <w:bCs/>
          <w:color w:val="auto"/>
          <w:sz w:val="21"/>
          <w:szCs w:val="21"/>
          <w:lang w:val="en-US" w:eastAsia="zh-CN"/>
        </w:rPr>
        <w:t>2</w:t>
      </w:r>
      <w:r>
        <w:rPr>
          <w:rFonts w:hint="eastAsia" w:hAnsi="宋体"/>
          <w:b/>
          <w:bCs/>
          <w:color w:val="auto"/>
          <w:sz w:val="21"/>
          <w:szCs w:val="21"/>
        </w:rPr>
        <w:t>中的资格审查）的要求均为强制性条件，其中任何一条不满足要求，则按否决报价处理。</w:t>
      </w:r>
    </w:p>
    <w:bookmarkEnd w:id="116"/>
    <w:bookmarkEnd w:id="117"/>
    <w:bookmarkEnd w:id="118"/>
    <w:bookmarkEnd w:id="119"/>
    <w:bookmarkEnd w:id="120"/>
    <w:bookmarkEnd w:id="121"/>
    <w:p>
      <w:pPr>
        <w:pStyle w:val="3"/>
        <w:numPr>
          <w:ilvl w:val="0"/>
          <w:numId w:val="4"/>
        </w:numPr>
        <w:spacing w:before="0" w:after="0" w:line="360" w:lineRule="auto"/>
        <w:jc w:val="center"/>
        <w:rPr>
          <w:highlight w:val="none"/>
        </w:rPr>
      </w:pPr>
      <w:bookmarkStart w:id="131" w:name="_Toc507319957"/>
      <w:bookmarkStart w:id="132" w:name="_Toc152042364"/>
      <w:bookmarkStart w:id="133" w:name="_Toc246996230"/>
      <w:bookmarkStart w:id="134" w:name="_Toc246996973"/>
      <w:bookmarkStart w:id="135" w:name="_Toc32070"/>
      <w:bookmarkStart w:id="136" w:name="_Toc152045587"/>
      <w:bookmarkStart w:id="137" w:name="_Toc144974554"/>
      <w:bookmarkStart w:id="138" w:name="_Toc179632605"/>
      <w:bookmarkStart w:id="139" w:name="_Toc2000406"/>
      <w:bookmarkStart w:id="140" w:name="_Toc247085745"/>
      <w:r>
        <w:rPr>
          <w:rFonts w:hint="eastAsia" w:ascii="宋体" w:hAnsi="宋体" w:cs="宋体"/>
          <w:highlight w:val="none"/>
        </w:rPr>
        <w:t>评标办法（综合评估法）</w:t>
      </w:r>
      <w:bookmarkEnd w:id="131"/>
      <w:bookmarkEnd w:id="132"/>
      <w:bookmarkEnd w:id="133"/>
      <w:bookmarkEnd w:id="134"/>
      <w:bookmarkEnd w:id="135"/>
      <w:bookmarkEnd w:id="136"/>
      <w:bookmarkEnd w:id="137"/>
      <w:bookmarkEnd w:id="138"/>
      <w:bookmarkEnd w:id="139"/>
      <w:bookmarkEnd w:id="140"/>
    </w:p>
    <w:p>
      <w:pPr>
        <w:rPr>
          <w:highlight w:val="none"/>
        </w:rPr>
      </w:pPr>
    </w:p>
    <w:p>
      <w:pPr>
        <w:rPr>
          <w:b/>
          <w:bCs/>
          <w:highlight w:val="none"/>
        </w:rPr>
      </w:pPr>
      <w:r>
        <w:rPr>
          <w:rFonts w:hint="eastAsia"/>
          <w:b/>
          <w:bCs/>
          <w:highlight w:val="none"/>
        </w:rPr>
        <w:t>评标办法前附表</w:t>
      </w:r>
    </w:p>
    <w:tbl>
      <w:tblPr>
        <w:tblStyle w:val="43"/>
        <w:tblW w:w="100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1159"/>
        <w:gridCol w:w="2022"/>
        <w:gridCol w:w="5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Align w:val="center"/>
          </w:tcPr>
          <w:p>
            <w:pPr>
              <w:snapToGrid w:val="0"/>
              <w:spacing w:line="320" w:lineRule="exact"/>
              <w:jc w:val="center"/>
              <w:rPr>
                <w:rFonts w:asciiTheme="minorEastAsia" w:hAnsiTheme="minorEastAsia" w:eastAsiaTheme="minorEastAsia" w:cstheme="minorEastAsia"/>
                <w:b/>
                <w:kern w:val="0"/>
                <w:szCs w:val="21"/>
                <w:highlight w:val="none"/>
              </w:rPr>
            </w:pPr>
            <w:r>
              <w:rPr>
                <w:rFonts w:hint="eastAsia" w:asciiTheme="minorEastAsia" w:hAnsiTheme="minorEastAsia" w:eastAsiaTheme="minorEastAsia" w:cstheme="minorEastAsia"/>
                <w:b/>
                <w:kern w:val="0"/>
                <w:szCs w:val="21"/>
                <w:highlight w:val="none"/>
              </w:rPr>
              <w:t>条款号</w:t>
            </w:r>
          </w:p>
        </w:tc>
        <w:tc>
          <w:tcPr>
            <w:tcW w:w="1159" w:type="dxa"/>
            <w:vAlign w:val="center"/>
          </w:tcPr>
          <w:p>
            <w:pPr>
              <w:snapToGrid w:val="0"/>
              <w:spacing w:line="320" w:lineRule="exact"/>
              <w:jc w:val="center"/>
              <w:rPr>
                <w:rFonts w:asciiTheme="minorEastAsia" w:hAnsiTheme="minorEastAsia" w:eastAsiaTheme="minorEastAsia" w:cstheme="minorEastAsia"/>
                <w:b/>
                <w:kern w:val="0"/>
                <w:szCs w:val="21"/>
                <w:highlight w:val="none"/>
              </w:rPr>
            </w:pPr>
            <w:r>
              <w:rPr>
                <w:rFonts w:hint="eastAsia" w:asciiTheme="minorEastAsia" w:hAnsiTheme="minorEastAsia" w:eastAsiaTheme="minorEastAsia" w:cstheme="minorEastAsia"/>
                <w:b/>
                <w:kern w:val="0"/>
                <w:szCs w:val="21"/>
                <w:highlight w:val="none"/>
              </w:rPr>
              <w:t>条款名称</w:t>
            </w:r>
          </w:p>
        </w:tc>
        <w:tc>
          <w:tcPr>
            <w:tcW w:w="2022" w:type="dxa"/>
            <w:vAlign w:val="center"/>
          </w:tcPr>
          <w:p>
            <w:pPr>
              <w:snapToGrid w:val="0"/>
              <w:spacing w:line="320" w:lineRule="exact"/>
              <w:jc w:val="center"/>
              <w:rPr>
                <w:rFonts w:asciiTheme="minorEastAsia" w:hAnsiTheme="minorEastAsia" w:eastAsiaTheme="minorEastAsia" w:cstheme="minorEastAsia"/>
                <w:b/>
                <w:kern w:val="0"/>
                <w:szCs w:val="21"/>
                <w:highlight w:val="none"/>
              </w:rPr>
            </w:pPr>
            <w:r>
              <w:rPr>
                <w:rFonts w:hint="eastAsia" w:asciiTheme="minorEastAsia" w:hAnsiTheme="minorEastAsia" w:eastAsiaTheme="minorEastAsia" w:cstheme="minorEastAsia"/>
                <w:b/>
                <w:kern w:val="0"/>
                <w:szCs w:val="21"/>
                <w:highlight w:val="none"/>
              </w:rPr>
              <w:t>评审因素与评审标准</w:t>
            </w:r>
          </w:p>
        </w:tc>
        <w:tc>
          <w:tcPr>
            <w:tcW w:w="5928" w:type="dxa"/>
            <w:vAlign w:val="center"/>
          </w:tcPr>
          <w:p>
            <w:pPr>
              <w:snapToGrid w:val="0"/>
              <w:spacing w:line="320" w:lineRule="exact"/>
              <w:jc w:val="center"/>
              <w:rPr>
                <w:rFonts w:asciiTheme="minorEastAsia" w:hAnsiTheme="minorEastAsia" w:eastAsiaTheme="minorEastAsia" w:cstheme="minorEastAsia"/>
                <w:b/>
                <w:kern w:val="0"/>
                <w:szCs w:val="21"/>
                <w:highlight w:val="none"/>
              </w:rPr>
            </w:pPr>
            <w:r>
              <w:rPr>
                <w:rFonts w:hint="eastAsia" w:asciiTheme="minorEastAsia" w:hAnsiTheme="minorEastAsia" w:eastAsiaTheme="minorEastAsia" w:cstheme="minorEastAsia"/>
                <w:b/>
                <w:kern w:val="0"/>
                <w:szCs w:val="21"/>
                <w:highlight w:val="none"/>
              </w:rPr>
              <w:t>条款号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Align w:val="center"/>
          </w:tcPr>
          <w:p>
            <w:pPr>
              <w:snapToGrid w:val="0"/>
              <w:spacing w:line="320" w:lineRule="exact"/>
              <w:jc w:val="center"/>
              <w:rPr>
                <w:rFonts w:asciiTheme="minorEastAsia" w:hAnsiTheme="minorEastAsia" w:eastAsiaTheme="minorEastAsia" w:cstheme="minorEastAsia"/>
                <w:b/>
                <w:kern w:val="0"/>
                <w:szCs w:val="21"/>
                <w:highlight w:val="none"/>
              </w:rPr>
            </w:pPr>
            <w:r>
              <w:rPr>
                <w:rFonts w:hint="eastAsia" w:asciiTheme="minorEastAsia" w:hAnsiTheme="minorEastAsia" w:eastAsiaTheme="minorEastAsia" w:cstheme="minorEastAsia"/>
                <w:bCs/>
                <w:kern w:val="0"/>
                <w:szCs w:val="21"/>
                <w:highlight w:val="none"/>
              </w:rPr>
              <w:t>1</w:t>
            </w:r>
          </w:p>
        </w:tc>
        <w:tc>
          <w:tcPr>
            <w:tcW w:w="1159" w:type="dxa"/>
            <w:vAlign w:val="center"/>
          </w:tcPr>
          <w:p>
            <w:pPr>
              <w:snapToGrid w:val="0"/>
              <w:spacing w:line="320" w:lineRule="exact"/>
              <w:rPr>
                <w:rFonts w:asciiTheme="minorEastAsia" w:hAnsiTheme="minorEastAsia" w:eastAsiaTheme="minorEastAsia" w:cstheme="minorEastAsia"/>
                <w:b/>
                <w:kern w:val="0"/>
                <w:szCs w:val="21"/>
                <w:highlight w:val="none"/>
              </w:rPr>
            </w:pPr>
            <w:r>
              <w:rPr>
                <w:rFonts w:hint="eastAsia" w:asciiTheme="minorEastAsia" w:hAnsiTheme="minorEastAsia" w:eastAsiaTheme="minorEastAsia" w:cstheme="minorEastAsia"/>
                <w:szCs w:val="21"/>
                <w:highlight w:val="none"/>
              </w:rPr>
              <w:t>评标办</w:t>
            </w:r>
            <w:r>
              <w:rPr>
                <w:rFonts w:hint="eastAsia" w:asciiTheme="minorEastAsia" w:hAnsiTheme="minorEastAsia" w:eastAsiaTheme="minorEastAsia" w:cstheme="minorEastAsia"/>
                <w:spacing w:val="-1"/>
                <w:szCs w:val="21"/>
                <w:highlight w:val="none"/>
              </w:rPr>
              <w:t>法</w:t>
            </w:r>
          </w:p>
        </w:tc>
        <w:tc>
          <w:tcPr>
            <w:tcW w:w="2022" w:type="dxa"/>
            <w:vAlign w:val="center"/>
          </w:tcPr>
          <w:p>
            <w:pPr>
              <w:snapToGrid w:val="0"/>
              <w:spacing w:line="320" w:lineRule="exact"/>
              <w:rPr>
                <w:rFonts w:asciiTheme="minorEastAsia" w:hAnsiTheme="minorEastAsia" w:eastAsiaTheme="minorEastAsia" w:cstheme="minorEastAsia"/>
                <w:b/>
                <w:kern w:val="0"/>
                <w:szCs w:val="21"/>
                <w:highlight w:val="none"/>
              </w:rPr>
            </w:pPr>
            <w:r>
              <w:rPr>
                <w:rFonts w:hint="eastAsia" w:ascii="宋体" w:hAnsi="宋体" w:cs="宋体"/>
                <w:szCs w:val="21"/>
                <w:highlight w:val="none"/>
              </w:rPr>
              <w:t>中标候选人排序方法</w:t>
            </w:r>
          </w:p>
        </w:tc>
        <w:tc>
          <w:tcPr>
            <w:tcW w:w="5928" w:type="dxa"/>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本次评标采用综合评分法，如出现得分(精确到小数点后两位)相等时，按以下原则确定第一中标候选人：</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（1）以评标价低的报价人优先；</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（2）如评标价也相同时，以技术得分较高的报价人优先；</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（3）如技术得分也相同时，以商务得分高的优先；</w:t>
            </w:r>
          </w:p>
          <w:p>
            <w:pPr>
              <w:spacing w:line="400" w:lineRule="exact"/>
              <w:ind w:firstLine="420" w:firstLineChars="200"/>
              <w:rPr>
                <w:rFonts w:asciiTheme="minorEastAsia" w:hAnsiTheme="minorEastAsia" w:eastAsiaTheme="minorEastAsia" w:cstheme="minorEastAsia"/>
                <w:b/>
                <w:kern w:val="0"/>
                <w:szCs w:val="21"/>
                <w:highlight w:val="none"/>
              </w:rPr>
            </w:pPr>
            <w:r>
              <w:rPr>
                <w:rFonts w:hint="eastAsia" w:ascii="宋体" w:hAnsi="宋体" w:cs="宋体"/>
                <w:szCs w:val="21"/>
                <w:highlight w:val="none"/>
              </w:rPr>
              <w:t>（4）如商务得分也相同时，由评标委员会投票决定。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Align w:val="center"/>
          </w:tcPr>
          <w:p>
            <w:pPr>
              <w:snapToGrid w:val="0"/>
              <w:spacing w:line="32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b/>
                <w:kern w:val="0"/>
                <w:szCs w:val="21"/>
                <w:highlight w:val="none"/>
              </w:rPr>
              <w:t>条款号</w:t>
            </w:r>
          </w:p>
        </w:tc>
        <w:tc>
          <w:tcPr>
            <w:tcW w:w="1159" w:type="dxa"/>
            <w:vAlign w:val="center"/>
          </w:tcPr>
          <w:p>
            <w:pPr>
              <w:snapToGrid w:val="0"/>
              <w:spacing w:line="32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b/>
                <w:kern w:val="0"/>
                <w:szCs w:val="21"/>
                <w:highlight w:val="none"/>
              </w:rPr>
              <w:t>评审因素</w:t>
            </w:r>
          </w:p>
        </w:tc>
        <w:tc>
          <w:tcPr>
            <w:tcW w:w="2022" w:type="dxa"/>
            <w:vAlign w:val="center"/>
          </w:tcPr>
          <w:p>
            <w:pPr>
              <w:snapToGrid w:val="0"/>
              <w:spacing w:line="320" w:lineRule="exact"/>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b/>
                <w:kern w:val="0"/>
                <w:szCs w:val="21"/>
                <w:highlight w:val="none"/>
              </w:rPr>
              <w:t>评审标准</w:t>
            </w:r>
          </w:p>
        </w:tc>
        <w:tc>
          <w:tcPr>
            <w:tcW w:w="5928" w:type="dxa"/>
            <w:vAlign w:val="center"/>
          </w:tcPr>
          <w:p>
            <w:pPr>
              <w:snapToGrid w:val="0"/>
              <w:spacing w:line="320" w:lineRule="exact"/>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b/>
                <w:kern w:val="0"/>
                <w:szCs w:val="21"/>
                <w:highlight w:val="none"/>
              </w:rPr>
              <w:t>条款号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restart"/>
            <w:vAlign w:val="center"/>
          </w:tcPr>
          <w:p>
            <w:pPr>
              <w:spacing w:line="32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2.1</w:t>
            </w:r>
          </w:p>
        </w:tc>
        <w:tc>
          <w:tcPr>
            <w:tcW w:w="1159" w:type="dxa"/>
            <w:vMerge w:val="restart"/>
            <w:vAlign w:val="center"/>
          </w:tcPr>
          <w:p>
            <w:pPr>
              <w:spacing w:line="32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资格评审标准</w:t>
            </w:r>
          </w:p>
        </w:tc>
        <w:tc>
          <w:tcPr>
            <w:tcW w:w="2022" w:type="dxa"/>
            <w:vAlign w:val="center"/>
          </w:tcPr>
          <w:p>
            <w:pPr>
              <w:spacing w:line="320" w:lineRule="exact"/>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szCs w:val="21"/>
                <w:highlight w:val="none"/>
              </w:rPr>
              <w:t>营业执照</w:t>
            </w:r>
          </w:p>
        </w:tc>
        <w:tc>
          <w:tcPr>
            <w:tcW w:w="5928" w:type="dxa"/>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符合第二章“报价人须知”第8项规定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highlight w:val="none"/>
              </w:rPr>
            </w:pPr>
          </w:p>
        </w:tc>
        <w:tc>
          <w:tcPr>
            <w:tcW w:w="1159" w:type="dxa"/>
            <w:vMerge w:val="continue"/>
            <w:vAlign w:val="center"/>
          </w:tcPr>
          <w:p>
            <w:pPr>
              <w:spacing w:line="320" w:lineRule="exact"/>
              <w:rPr>
                <w:rFonts w:asciiTheme="minorEastAsia" w:hAnsiTheme="minorEastAsia" w:eastAsiaTheme="minorEastAsia" w:cstheme="minorEastAsia"/>
                <w:szCs w:val="21"/>
                <w:highlight w:val="none"/>
              </w:rPr>
            </w:pPr>
          </w:p>
        </w:tc>
        <w:tc>
          <w:tcPr>
            <w:tcW w:w="2022" w:type="dxa"/>
            <w:vAlign w:val="center"/>
          </w:tcPr>
          <w:p>
            <w:pPr>
              <w:spacing w:line="320" w:lineRule="exact"/>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szCs w:val="21"/>
                <w:highlight w:val="none"/>
              </w:rPr>
              <w:t>资质要求</w:t>
            </w:r>
          </w:p>
        </w:tc>
        <w:tc>
          <w:tcPr>
            <w:tcW w:w="5928" w:type="dxa"/>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符合第二章“报价人须知”第8项规定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highlight w:val="none"/>
              </w:rPr>
            </w:pPr>
          </w:p>
        </w:tc>
        <w:tc>
          <w:tcPr>
            <w:tcW w:w="1159" w:type="dxa"/>
            <w:vMerge w:val="continue"/>
            <w:vAlign w:val="center"/>
          </w:tcPr>
          <w:p>
            <w:pPr>
              <w:spacing w:line="320" w:lineRule="exact"/>
              <w:rPr>
                <w:rFonts w:asciiTheme="minorEastAsia" w:hAnsiTheme="minorEastAsia" w:eastAsiaTheme="minorEastAsia" w:cstheme="minorEastAsia"/>
                <w:szCs w:val="21"/>
                <w:highlight w:val="none"/>
              </w:rPr>
            </w:pPr>
          </w:p>
        </w:tc>
        <w:tc>
          <w:tcPr>
            <w:tcW w:w="2022" w:type="dxa"/>
            <w:vAlign w:val="center"/>
          </w:tcPr>
          <w:p>
            <w:pPr>
              <w:spacing w:line="320" w:lineRule="exact"/>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szCs w:val="21"/>
                <w:highlight w:val="none"/>
              </w:rPr>
              <w:t>业绩要求</w:t>
            </w:r>
          </w:p>
        </w:tc>
        <w:tc>
          <w:tcPr>
            <w:tcW w:w="5928" w:type="dxa"/>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符合第二章“报价人须知”第8项规定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highlight w:val="none"/>
              </w:rPr>
            </w:pPr>
          </w:p>
        </w:tc>
        <w:tc>
          <w:tcPr>
            <w:tcW w:w="1159" w:type="dxa"/>
            <w:vMerge w:val="continue"/>
            <w:vAlign w:val="center"/>
          </w:tcPr>
          <w:p>
            <w:pPr>
              <w:spacing w:line="320" w:lineRule="exact"/>
              <w:rPr>
                <w:rFonts w:asciiTheme="minorEastAsia" w:hAnsiTheme="minorEastAsia" w:eastAsiaTheme="minorEastAsia" w:cstheme="minorEastAsia"/>
                <w:szCs w:val="21"/>
                <w:highlight w:val="none"/>
              </w:rPr>
            </w:pPr>
          </w:p>
        </w:tc>
        <w:tc>
          <w:tcPr>
            <w:tcW w:w="2022" w:type="dxa"/>
            <w:vAlign w:val="center"/>
          </w:tcPr>
          <w:p>
            <w:pPr>
              <w:spacing w:line="320" w:lineRule="exact"/>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szCs w:val="21"/>
                <w:highlight w:val="none"/>
              </w:rPr>
              <w:t>信誉要求</w:t>
            </w:r>
          </w:p>
        </w:tc>
        <w:tc>
          <w:tcPr>
            <w:tcW w:w="5928" w:type="dxa"/>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符合第二章“报价人须知”第8项规定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highlight w:val="none"/>
              </w:rPr>
            </w:pPr>
          </w:p>
        </w:tc>
        <w:tc>
          <w:tcPr>
            <w:tcW w:w="1159" w:type="dxa"/>
            <w:vMerge w:val="continue"/>
            <w:vAlign w:val="center"/>
          </w:tcPr>
          <w:p>
            <w:pPr>
              <w:spacing w:line="320" w:lineRule="exact"/>
              <w:rPr>
                <w:rFonts w:asciiTheme="minorEastAsia" w:hAnsiTheme="minorEastAsia" w:eastAsiaTheme="minorEastAsia" w:cstheme="minorEastAsia"/>
                <w:szCs w:val="21"/>
                <w:highlight w:val="none"/>
              </w:rPr>
            </w:pPr>
          </w:p>
        </w:tc>
        <w:tc>
          <w:tcPr>
            <w:tcW w:w="2022" w:type="dxa"/>
            <w:vAlign w:val="center"/>
          </w:tcPr>
          <w:p>
            <w:pPr>
              <w:spacing w:line="320" w:lineRule="exact"/>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szCs w:val="21"/>
                <w:highlight w:val="none"/>
              </w:rPr>
              <w:t>项目主要管理人员最低要求</w:t>
            </w:r>
          </w:p>
        </w:tc>
        <w:tc>
          <w:tcPr>
            <w:tcW w:w="5928" w:type="dxa"/>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符合第二章“报价人须知”前附表附录1的规定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highlight w:val="none"/>
              </w:rPr>
            </w:pPr>
          </w:p>
        </w:tc>
        <w:tc>
          <w:tcPr>
            <w:tcW w:w="1159" w:type="dxa"/>
            <w:vMerge w:val="continue"/>
            <w:vAlign w:val="center"/>
          </w:tcPr>
          <w:p>
            <w:pPr>
              <w:spacing w:line="320" w:lineRule="exact"/>
              <w:rPr>
                <w:rFonts w:asciiTheme="minorEastAsia" w:hAnsiTheme="minorEastAsia" w:eastAsiaTheme="minorEastAsia" w:cstheme="minorEastAsia"/>
                <w:szCs w:val="21"/>
                <w:highlight w:val="none"/>
              </w:rPr>
            </w:pPr>
          </w:p>
        </w:tc>
        <w:tc>
          <w:tcPr>
            <w:tcW w:w="2022" w:type="dxa"/>
            <w:vAlign w:val="center"/>
          </w:tcPr>
          <w:p>
            <w:pPr>
              <w:spacing w:line="32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其他人员最低要求</w:t>
            </w:r>
          </w:p>
        </w:tc>
        <w:tc>
          <w:tcPr>
            <w:tcW w:w="5928" w:type="dxa"/>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符合第二章“报价人须知”前附表附录2的规定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highlight w:val="none"/>
              </w:rPr>
            </w:pPr>
          </w:p>
        </w:tc>
        <w:tc>
          <w:tcPr>
            <w:tcW w:w="1159" w:type="dxa"/>
            <w:vMerge w:val="continue"/>
            <w:vAlign w:val="center"/>
          </w:tcPr>
          <w:p>
            <w:pPr>
              <w:spacing w:line="320" w:lineRule="exact"/>
              <w:rPr>
                <w:rFonts w:asciiTheme="minorEastAsia" w:hAnsiTheme="minorEastAsia" w:eastAsiaTheme="minorEastAsia" w:cstheme="minorEastAsia"/>
                <w:szCs w:val="21"/>
                <w:highlight w:val="none"/>
              </w:rPr>
            </w:pPr>
          </w:p>
        </w:tc>
        <w:tc>
          <w:tcPr>
            <w:tcW w:w="2022" w:type="dxa"/>
            <w:vAlign w:val="center"/>
          </w:tcPr>
          <w:p>
            <w:pPr>
              <w:spacing w:line="320" w:lineRule="exact"/>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szCs w:val="21"/>
                <w:highlight w:val="none"/>
              </w:rPr>
              <w:t>主要机械设备和试验检测设备最低要求</w:t>
            </w:r>
          </w:p>
        </w:tc>
        <w:tc>
          <w:tcPr>
            <w:tcW w:w="5928" w:type="dxa"/>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符合第二章“报价人须知”前附表附录3的规定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restart"/>
            <w:vAlign w:val="center"/>
          </w:tcPr>
          <w:p>
            <w:pPr>
              <w:spacing w:line="32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2.2</w:t>
            </w:r>
          </w:p>
        </w:tc>
        <w:tc>
          <w:tcPr>
            <w:tcW w:w="1159" w:type="dxa"/>
            <w:vMerge w:val="restart"/>
            <w:vAlign w:val="center"/>
          </w:tcPr>
          <w:p>
            <w:pPr>
              <w:spacing w:line="32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形式评审标准</w:t>
            </w:r>
          </w:p>
        </w:tc>
        <w:tc>
          <w:tcPr>
            <w:tcW w:w="2022" w:type="dxa"/>
            <w:vAlign w:val="center"/>
          </w:tcPr>
          <w:p>
            <w:pPr>
              <w:spacing w:line="320" w:lineRule="exact"/>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szCs w:val="21"/>
                <w:highlight w:val="none"/>
              </w:rPr>
              <w:t>报价人名称</w:t>
            </w:r>
          </w:p>
        </w:tc>
        <w:tc>
          <w:tcPr>
            <w:tcW w:w="5928" w:type="dxa"/>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highlight w:val="none"/>
              </w:rPr>
            </w:pPr>
          </w:p>
        </w:tc>
        <w:tc>
          <w:tcPr>
            <w:tcW w:w="1159" w:type="dxa"/>
            <w:vMerge w:val="continue"/>
            <w:vAlign w:val="center"/>
          </w:tcPr>
          <w:p>
            <w:pPr>
              <w:spacing w:line="320" w:lineRule="exact"/>
              <w:rPr>
                <w:rFonts w:asciiTheme="minorEastAsia" w:hAnsiTheme="minorEastAsia" w:eastAsiaTheme="minorEastAsia" w:cstheme="minorEastAsia"/>
                <w:szCs w:val="21"/>
                <w:highlight w:val="none"/>
              </w:rPr>
            </w:pPr>
          </w:p>
        </w:tc>
        <w:tc>
          <w:tcPr>
            <w:tcW w:w="2022" w:type="dxa"/>
            <w:vAlign w:val="center"/>
          </w:tcPr>
          <w:p>
            <w:pPr>
              <w:spacing w:line="320" w:lineRule="exact"/>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szCs w:val="21"/>
                <w:highlight w:val="none"/>
              </w:rPr>
              <w:t>报价函签字盖章</w:t>
            </w:r>
          </w:p>
        </w:tc>
        <w:tc>
          <w:tcPr>
            <w:tcW w:w="5928" w:type="dxa"/>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有法定代表人或委托代理人签字或加盖单位鲜公章。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highlight w:val="none"/>
              </w:rPr>
            </w:pPr>
          </w:p>
        </w:tc>
        <w:tc>
          <w:tcPr>
            <w:tcW w:w="1159" w:type="dxa"/>
            <w:vMerge w:val="continue"/>
            <w:vAlign w:val="center"/>
          </w:tcPr>
          <w:p>
            <w:pPr>
              <w:spacing w:line="320" w:lineRule="exact"/>
              <w:rPr>
                <w:rFonts w:asciiTheme="minorEastAsia" w:hAnsiTheme="minorEastAsia" w:eastAsiaTheme="minorEastAsia" w:cstheme="minorEastAsia"/>
                <w:szCs w:val="21"/>
                <w:highlight w:val="none"/>
              </w:rPr>
            </w:pPr>
          </w:p>
        </w:tc>
        <w:tc>
          <w:tcPr>
            <w:tcW w:w="2022" w:type="dxa"/>
            <w:vAlign w:val="center"/>
          </w:tcPr>
          <w:p>
            <w:pPr>
              <w:spacing w:line="320" w:lineRule="exact"/>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szCs w:val="21"/>
                <w:highlight w:val="none"/>
              </w:rPr>
              <w:t>竞争性比选响应文件格式</w:t>
            </w:r>
          </w:p>
        </w:tc>
        <w:tc>
          <w:tcPr>
            <w:tcW w:w="5928" w:type="dxa"/>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符合第九章“竞争性比选响应文件格式”的要求，字迹清晰可辨。</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1.竞争性比选响应声明书的所有数据均符合比选文件的规定；</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2.竞争性比选响应文件附表齐全完整，内容均按规定填写；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highlight w:val="none"/>
              </w:rPr>
            </w:pPr>
          </w:p>
        </w:tc>
        <w:tc>
          <w:tcPr>
            <w:tcW w:w="1159" w:type="dxa"/>
            <w:vMerge w:val="continue"/>
            <w:vAlign w:val="center"/>
          </w:tcPr>
          <w:p>
            <w:pPr>
              <w:spacing w:line="320" w:lineRule="exact"/>
              <w:rPr>
                <w:rFonts w:asciiTheme="minorEastAsia" w:hAnsiTheme="minorEastAsia" w:eastAsiaTheme="minorEastAsia" w:cstheme="minorEastAsia"/>
                <w:szCs w:val="21"/>
                <w:highlight w:val="none"/>
              </w:rPr>
            </w:pPr>
          </w:p>
        </w:tc>
        <w:tc>
          <w:tcPr>
            <w:tcW w:w="2022" w:type="dxa"/>
            <w:vAlign w:val="center"/>
          </w:tcPr>
          <w:p>
            <w:pPr>
              <w:spacing w:line="320" w:lineRule="exact"/>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szCs w:val="21"/>
                <w:highlight w:val="none"/>
              </w:rPr>
              <w:t>已标价工程量清单</w:t>
            </w:r>
          </w:p>
        </w:tc>
        <w:tc>
          <w:tcPr>
            <w:tcW w:w="5928" w:type="dxa"/>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符合第五章“工程量清单”给出的范围及数量。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highlight w:val="none"/>
              </w:rPr>
            </w:pPr>
          </w:p>
        </w:tc>
        <w:tc>
          <w:tcPr>
            <w:tcW w:w="1159" w:type="dxa"/>
            <w:vMerge w:val="continue"/>
            <w:vAlign w:val="center"/>
          </w:tcPr>
          <w:p>
            <w:pPr>
              <w:spacing w:line="320" w:lineRule="exact"/>
              <w:rPr>
                <w:rFonts w:asciiTheme="minorEastAsia" w:hAnsiTheme="minorEastAsia" w:eastAsiaTheme="minorEastAsia" w:cstheme="minorEastAsia"/>
                <w:szCs w:val="21"/>
                <w:highlight w:val="none"/>
              </w:rPr>
            </w:pPr>
          </w:p>
        </w:tc>
        <w:tc>
          <w:tcPr>
            <w:tcW w:w="2022" w:type="dxa"/>
            <w:vAlign w:val="center"/>
          </w:tcPr>
          <w:p>
            <w:pPr>
              <w:spacing w:line="320" w:lineRule="exact"/>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szCs w:val="21"/>
                <w:highlight w:val="none"/>
              </w:rPr>
              <w:t>报价其它要求</w:t>
            </w:r>
          </w:p>
        </w:tc>
        <w:tc>
          <w:tcPr>
            <w:tcW w:w="5928" w:type="dxa"/>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竞争性比选响应文件报价表中的报价与报价书文字报价应保持一致。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highlight w:val="none"/>
              </w:rPr>
            </w:pPr>
          </w:p>
        </w:tc>
        <w:tc>
          <w:tcPr>
            <w:tcW w:w="1159" w:type="dxa"/>
            <w:vMerge w:val="continue"/>
            <w:vAlign w:val="center"/>
          </w:tcPr>
          <w:p>
            <w:pPr>
              <w:spacing w:line="320" w:lineRule="exact"/>
              <w:rPr>
                <w:rFonts w:asciiTheme="minorEastAsia" w:hAnsiTheme="minorEastAsia" w:eastAsiaTheme="minorEastAsia" w:cstheme="minorEastAsia"/>
                <w:szCs w:val="21"/>
                <w:highlight w:val="none"/>
              </w:rPr>
            </w:pPr>
          </w:p>
        </w:tc>
        <w:tc>
          <w:tcPr>
            <w:tcW w:w="2022" w:type="dxa"/>
            <w:vAlign w:val="center"/>
          </w:tcPr>
          <w:p>
            <w:pPr>
              <w:spacing w:line="320" w:lineRule="exact"/>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szCs w:val="21"/>
                <w:highlight w:val="none"/>
              </w:rPr>
              <w:t>竞争性比选响应文件正本中法定代表人或其授权代理人签署</w:t>
            </w:r>
          </w:p>
        </w:tc>
        <w:tc>
          <w:tcPr>
            <w:tcW w:w="5928" w:type="dxa"/>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竞争性比选响应文件正本中法定代表人或授权代理人签署姓名齐全，符合比选文件规定；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4" w:hRule="atLeas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highlight w:val="none"/>
              </w:rPr>
            </w:pPr>
          </w:p>
        </w:tc>
        <w:tc>
          <w:tcPr>
            <w:tcW w:w="1159" w:type="dxa"/>
            <w:vMerge w:val="continue"/>
            <w:vAlign w:val="center"/>
          </w:tcPr>
          <w:p>
            <w:pPr>
              <w:spacing w:line="320" w:lineRule="exact"/>
              <w:rPr>
                <w:rFonts w:asciiTheme="minorEastAsia" w:hAnsiTheme="minorEastAsia" w:eastAsiaTheme="minorEastAsia" w:cstheme="minorEastAsia"/>
                <w:szCs w:val="21"/>
                <w:highlight w:val="none"/>
              </w:rPr>
            </w:pPr>
          </w:p>
        </w:tc>
        <w:tc>
          <w:tcPr>
            <w:tcW w:w="2022" w:type="dxa"/>
            <w:vAlign w:val="center"/>
          </w:tcPr>
          <w:p>
            <w:pPr>
              <w:spacing w:line="32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其它材料</w:t>
            </w:r>
          </w:p>
        </w:tc>
        <w:tc>
          <w:tcPr>
            <w:tcW w:w="5928" w:type="dxa"/>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单位负责人为同一人或者存在控股、管理关系的不同单位，不得同时参加报价，否则相关报价均无效。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restart"/>
            <w:vAlign w:val="center"/>
          </w:tcPr>
          <w:p>
            <w:pPr>
              <w:spacing w:line="32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2.3</w:t>
            </w:r>
          </w:p>
        </w:tc>
        <w:tc>
          <w:tcPr>
            <w:tcW w:w="1159" w:type="dxa"/>
            <w:vMerge w:val="restart"/>
            <w:vAlign w:val="center"/>
          </w:tcPr>
          <w:p>
            <w:pPr>
              <w:spacing w:line="32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响应性评审标准</w:t>
            </w:r>
          </w:p>
        </w:tc>
        <w:tc>
          <w:tcPr>
            <w:tcW w:w="2022" w:type="dxa"/>
            <w:vAlign w:val="center"/>
          </w:tcPr>
          <w:p>
            <w:pPr>
              <w:spacing w:line="32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投标内容</w:t>
            </w:r>
          </w:p>
        </w:tc>
        <w:tc>
          <w:tcPr>
            <w:tcW w:w="5928" w:type="dxa"/>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符合第二章“报价人须知”第4项规定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highlight w:val="none"/>
              </w:rPr>
            </w:pPr>
          </w:p>
        </w:tc>
        <w:tc>
          <w:tcPr>
            <w:tcW w:w="1159" w:type="dxa"/>
            <w:vMerge w:val="continue"/>
            <w:vAlign w:val="center"/>
          </w:tcPr>
          <w:p>
            <w:pPr>
              <w:spacing w:line="320" w:lineRule="exact"/>
              <w:jc w:val="center"/>
              <w:rPr>
                <w:rFonts w:asciiTheme="minorEastAsia" w:hAnsiTheme="minorEastAsia" w:eastAsiaTheme="minorEastAsia" w:cstheme="minorEastAsia"/>
                <w:szCs w:val="21"/>
                <w:highlight w:val="none"/>
              </w:rPr>
            </w:pPr>
          </w:p>
        </w:tc>
        <w:tc>
          <w:tcPr>
            <w:tcW w:w="2022" w:type="dxa"/>
            <w:vAlign w:val="center"/>
          </w:tcPr>
          <w:p>
            <w:pPr>
              <w:spacing w:line="32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报价</w:t>
            </w:r>
          </w:p>
        </w:tc>
        <w:tc>
          <w:tcPr>
            <w:tcW w:w="5928" w:type="dxa"/>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符合比选文件给出的范围及数量，且报价不得超过采购人公布的最高限价，但也不得低于报价人的企业成本。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highlight w:val="none"/>
              </w:rPr>
            </w:pPr>
          </w:p>
        </w:tc>
        <w:tc>
          <w:tcPr>
            <w:tcW w:w="1159" w:type="dxa"/>
            <w:vMerge w:val="continue"/>
            <w:vAlign w:val="center"/>
          </w:tcPr>
          <w:p>
            <w:pPr>
              <w:spacing w:line="320" w:lineRule="exact"/>
              <w:jc w:val="center"/>
              <w:rPr>
                <w:rFonts w:asciiTheme="minorEastAsia" w:hAnsiTheme="minorEastAsia" w:eastAsiaTheme="minorEastAsia" w:cstheme="minorEastAsia"/>
                <w:szCs w:val="21"/>
                <w:highlight w:val="none"/>
              </w:rPr>
            </w:pPr>
          </w:p>
        </w:tc>
        <w:tc>
          <w:tcPr>
            <w:tcW w:w="2022" w:type="dxa"/>
            <w:vAlign w:val="center"/>
          </w:tcPr>
          <w:p>
            <w:pPr>
              <w:spacing w:line="32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工期</w:t>
            </w:r>
          </w:p>
        </w:tc>
        <w:tc>
          <w:tcPr>
            <w:tcW w:w="5928" w:type="dxa"/>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符合第二章“报价人须知”第5项规定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highlight w:val="none"/>
              </w:rPr>
            </w:pPr>
          </w:p>
        </w:tc>
        <w:tc>
          <w:tcPr>
            <w:tcW w:w="1159" w:type="dxa"/>
            <w:vMerge w:val="continue"/>
            <w:vAlign w:val="center"/>
          </w:tcPr>
          <w:p>
            <w:pPr>
              <w:spacing w:line="320" w:lineRule="exact"/>
              <w:jc w:val="center"/>
              <w:rPr>
                <w:rFonts w:asciiTheme="minorEastAsia" w:hAnsiTheme="minorEastAsia" w:eastAsiaTheme="minorEastAsia" w:cstheme="minorEastAsia"/>
                <w:szCs w:val="21"/>
                <w:highlight w:val="none"/>
              </w:rPr>
            </w:pPr>
          </w:p>
        </w:tc>
        <w:tc>
          <w:tcPr>
            <w:tcW w:w="2022" w:type="dxa"/>
            <w:vAlign w:val="center"/>
          </w:tcPr>
          <w:p>
            <w:pPr>
              <w:spacing w:line="32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质量标准</w:t>
            </w:r>
          </w:p>
        </w:tc>
        <w:tc>
          <w:tcPr>
            <w:tcW w:w="5928" w:type="dxa"/>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符合第二章“报价人须知”第6项规定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highlight w:val="none"/>
              </w:rPr>
            </w:pPr>
          </w:p>
        </w:tc>
        <w:tc>
          <w:tcPr>
            <w:tcW w:w="1159" w:type="dxa"/>
            <w:vMerge w:val="continue"/>
            <w:vAlign w:val="center"/>
          </w:tcPr>
          <w:p>
            <w:pPr>
              <w:spacing w:line="320" w:lineRule="exact"/>
              <w:jc w:val="center"/>
              <w:rPr>
                <w:rFonts w:asciiTheme="minorEastAsia" w:hAnsiTheme="minorEastAsia" w:eastAsiaTheme="minorEastAsia" w:cstheme="minorEastAsia"/>
                <w:szCs w:val="21"/>
                <w:highlight w:val="none"/>
              </w:rPr>
            </w:pPr>
          </w:p>
        </w:tc>
        <w:tc>
          <w:tcPr>
            <w:tcW w:w="2022" w:type="dxa"/>
            <w:vAlign w:val="center"/>
          </w:tcPr>
          <w:p>
            <w:pPr>
              <w:spacing w:line="32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安全目标</w:t>
            </w:r>
          </w:p>
        </w:tc>
        <w:tc>
          <w:tcPr>
            <w:tcW w:w="5928" w:type="dxa"/>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符合第二章“报价人须知”第7项规定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Align w:val="center"/>
          </w:tcPr>
          <w:p>
            <w:pPr>
              <w:spacing w:line="32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w:t>
            </w:r>
          </w:p>
        </w:tc>
        <w:tc>
          <w:tcPr>
            <w:tcW w:w="1159" w:type="dxa"/>
            <w:vAlign w:val="center"/>
          </w:tcPr>
          <w:p>
            <w:pPr>
              <w:spacing w:line="320" w:lineRule="exact"/>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分值构</w:t>
            </w:r>
          </w:p>
          <w:p>
            <w:pPr>
              <w:spacing w:line="320" w:lineRule="exact"/>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（总分 100 分） </w:t>
            </w:r>
          </w:p>
        </w:tc>
        <w:tc>
          <w:tcPr>
            <w:tcW w:w="7950" w:type="dxa"/>
            <w:gridSpan w:val="2"/>
            <w:vAlign w:val="center"/>
          </w:tcPr>
          <w:p>
            <w:pPr>
              <w:numPr>
                <w:ilvl w:val="0"/>
                <w:numId w:val="0"/>
              </w:numPr>
              <w:spacing w:line="320" w:lineRule="exact"/>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投标报价</w:t>
            </w:r>
            <w:r>
              <w:rPr>
                <w:rFonts w:hint="eastAsia" w:asciiTheme="minorEastAsia" w:hAnsiTheme="minorEastAsia" w:eastAsiaTheme="minorEastAsia" w:cstheme="minorEastAsia"/>
                <w:szCs w:val="21"/>
                <w:highlight w:val="none"/>
                <w:lang w:val="en-US" w:eastAsia="zh-CN"/>
              </w:rPr>
              <w:t>7</w:t>
            </w:r>
            <w:r>
              <w:rPr>
                <w:rFonts w:hint="default" w:asciiTheme="minorEastAsia" w:hAnsiTheme="minorEastAsia" w:eastAsiaTheme="minorEastAsia" w:cstheme="minorEastAsia"/>
                <w:szCs w:val="21"/>
                <w:highlight w:val="none"/>
              </w:rPr>
              <w:t>0</w:t>
            </w:r>
            <w:r>
              <w:rPr>
                <w:rFonts w:hint="eastAsia" w:asciiTheme="minorEastAsia" w:hAnsiTheme="minorEastAsia" w:eastAsiaTheme="minorEastAsia" w:cstheme="minorEastAsia"/>
                <w:szCs w:val="21"/>
                <w:highlight w:val="none"/>
              </w:rPr>
              <w:t>分；</w:t>
            </w:r>
          </w:p>
          <w:p>
            <w:pPr>
              <w:numPr>
                <w:ilvl w:val="0"/>
                <w:numId w:val="0"/>
              </w:numPr>
              <w:spacing w:line="320" w:lineRule="exact"/>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商务部分</w:t>
            </w:r>
            <w:r>
              <w:rPr>
                <w:rFonts w:hint="eastAsia" w:asciiTheme="minorEastAsia" w:hAnsiTheme="minorEastAsia" w:eastAsiaTheme="minorEastAsia" w:cstheme="minorEastAsia"/>
                <w:szCs w:val="21"/>
                <w:highlight w:val="none"/>
                <w:lang w:val="en-US" w:eastAsia="zh-CN"/>
              </w:rPr>
              <w:t>1</w:t>
            </w:r>
            <w:r>
              <w:rPr>
                <w:rFonts w:hint="default" w:asciiTheme="minorEastAsia" w:hAnsiTheme="minorEastAsia" w:eastAsiaTheme="minorEastAsia" w:cstheme="minorEastAsia"/>
                <w:szCs w:val="21"/>
                <w:highlight w:val="none"/>
              </w:rPr>
              <w:t>0</w:t>
            </w:r>
            <w:r>
              <w:rPr>
                <w:rFonts w:hint="eastAsia" w:asciiTheme="minorEastAsia" w:hAnsiTheme="minorEastAsia" w:eastAsiaTheme="minorEastAsia" w:cstheme="minorEastAsia"/>
                <w:szCs w:val="21"/>
                <w:highlight w:val="none"/>
              </w:rPr>
              <w:t>分；</w:t>
            </w:r>
          </w:p>
          <w:p>
            <w:pPr>
              <w:spacing w:line="320" w:lineRule="exact"/>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技术部分</w:t>
            </w:r>
            <w:r>
              <w:rPr>
                <w:rFonts w:hint="eastAsia" w:asciiTheme="minorEastAsia" w:hAnsiTheme="minorEastAsia" w:eastAsiaTheme="minorEastAsia" w:cstheme="minorEastAsia"/>
                <w:szCs w:val="21"/>
                <w:highlight w:val="none"/>
                <w:lang w:val="en-US" w:eastAsia="zh-CN"/>
              </w:rPr>
              <w:t>20</w:t>
            </w:r>
            <w:r>
              <w:rPr>
                <w:rFonts w:hint="eastAsia" w:asciiTheme="minorEastAsia" w:hAnsiTheme="minorEastAsia" w:eastAsiaTheme="minorEastAsia" w:cstheme="minorEastAsia"/>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restart"/>
            <w:tcBorders>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3.1</w:t>
            </w:r>
          </w:p>
        </w:tc>
        <w:tc>
          <w:tcPr>
            <w:tcW w:w="1159" w:type="dxa"/>
            <w:vMerge w:val="restart"/>
            <w:tcBorders>
              <w:left w:val="single" w:color="auto" w:sz="4" w:space="0"/>
              <w:bottom w:val="single" w:color="auto" w:sz="4" w:space="0"/>
              <w:right w:val="single" w:color="auto" w:sz="4" w:space="0"/>
            </w:tcBorders>
            <w:vAlign w:val="center"/>
          </w:tcPr>
          <w:p>
            <w:pPr>
              <w:spacing w:line="32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投标报价（</w:t>
            </w:r>
            <w:r>
              <w:rPr>
                <w:rFonts w:hint="eastAsia" w:asciiTheme="minorEastAsia" w:hAnsiTheme="minorEastAsia" w:eastAsiaTheme="minorEastAsia" w:cstheme="minorEastAsia"/>
                <w:szCs w:val="21"/>
                <w:highlight w:val="none"/>
                <w:lang w:val="en-US" w:eastAsia="zh-CN"/>
              </w:rPr>
              <w:t>7</w:t>
            </w:r>
            <w:r>
              <w:rPr>
                <w:rFonts w:hint="eastAsia" w:asciiTheme="minorEastAsia" w:hAnsiTheme="minorEastAsia" w:eastAsiaTheme="minorEastAsia" w:cstheme="minorEastAsia"/>
                <w:szCs w:val="21"/>
                <w:highlight w:val="none"/>
              </w:rPr>
              <w:t>0分）</w:t>
            </w:r>
          </w:p>
        </w:tc>
        <w:tc>
          <w:tcPr>
            <w:tcW w:w="2022" w:type="dxa"/>
            <w:tcBorders>
              <w:left w:val="single" w:color="auto" w:sz="4" w:space="0"/>
              <w:bottom w:val="single" w:color="auto" w:sz="4" w:space="0"/>
              <w:right w:val="single" w:color="auto" w:sz="4" w:space="0"/>
            </w:tcBorders>
            <w:vAlign w:val="center"/>
          </w:tcPr>
          <w:p>
            <w:pPr>
              <w:snapToGrid w:val="0"/>
              <w:spacing w:line="400" w:lineRule="exact"/>
              <w:ind w:left="0" w:leftChars="0" w:firstLine="0" w:firstLineChars="0"/>
              <w:jc w:val="center"/>
              <w:rPr>
                <w:rFonts w:hint="eastAsia" w:asciiTheme="minorEastAsia" w:hAnsiTheme="minorEastAsia" w:eastAsiaTheme="minorEastAsia" w:cstheme="minorEastAsia"/>
                <w:szCs w:val="21"/>
                <w:highlight w:val="none"/>
              </w:rPr>
            </w:pPr>
            <w:r>
              <w:rPr>
                <w:rFonts w:hint="eastAsia" w:ascii="宋体" w:hAnsi="宋体" w:eastAsia="宋体" w:cs="宋体"/>
                <w:color w:val="auto"/>
                <w:kern w:val="0"/>
                <w:sz w:val="21"/>
                <w:szCs w:val="21"/>
                <w:highlight w:val="none"/>
                <w:lang w:val="en-US" w:eastAsia="zh-CN"/>
              </w:rPr>
              <w:t>评标基准价计算方法</w:t>
            </w:r>
          </w:p>
        </w:tc>
        <w:tc>
          <w:tcPr>
            <w:tcW w:w="5928" w:type="dxa"/>
            <w:tcBorders>
              <w:left w:val="single" w:color="auto" w:sz="4" w:space="0"/>
              <w:bottom w:val="single" w:color="auto" w:sz="4" w:space="0"/>
              <w:right w:val="single" w:color="auto" w:sz="4" w:space="0"/>
            </w:tcBorders>
            <w:vAlign w:val="top"/>
          </w:tcPr>
          <w:p>
            <w:pPr>
              <w:snapToGrid w:val="0"/>
              <w:spacing w:line="400" w:lineRule="exact"/>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由评标委员会计算评标基准价：</w:t>
            </w:r>
          </w:p>
          <w:p>
            <w:pPr>
              <w:snapToGrid w:val="0"/>
              <w:spacing w:line="400" w:lineRule="exact"/>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（1）评标价的确定：评标价＝投标函文字报价</w:t>
            </w:r>
          </w:p>
          <w:p>
            <w:pPr>
              <w:snapToGrid w:val="0"/>
              <w:spacing w:line="400" w:lineRule="exact"/>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（2）评标基准价的确定：</w:t>
            </w:r>
          </w:p>
          <w:p>
            <w:pPr>
              <w:snapToGrid w:val="0"/>
              <w:spacing w:line="400" w:lineRule="exact"/>
              <w:ind w:firstLine="420" w:firstLineChars="200"/>
              <w:rPr>
                <w:rFonts w:ascii="宋体" w:hAnsi="宋体" w:cs="宋体"/>
                <w:szCs w:val="21"/>
                <w:highlight w:val="none"/>
              </w:rPr>
            </w:pPr>
            <w:r>
              <w:rPr>
                <w:rFonts w:hint="eastAsia" w:ascii="宋体" w:hAnsi="宋体" w:eastAsia="宋体" w:cs="宋体"/>
                <w:kern w:val="0"/>
                <w:sz w:val="21"/>
                <w:szCs w:val="21"/>
                <w:highlight w:val="none"/>
              </w:rPr>
              <w:t>在通过初步评审后且不高于最高限价</w:t>
            </w:r>
            <w:r>
              <w:rPr>
                <w:rFonts w:hint="eastAsia" w:ascii="宋体" w:hAnsi="宋体" w:eastAsia="宋体" w:cs="宋体"/>
                <w:kern w:val="0"/>
                <w:sz w:val="21"/>
                <w:szCs w:val="21"/>
                <w:highlight w:val="none"/>
                <w:lang w:val="en-US" w:eastAsia="zh-CN"/>
              </w:rPr>
              <w:t>和不低于最高限价85%的投标报价</w:t>
            </w:r>
            <w:r>
              <w:rPr>
                <w:rFonts w:hint="eastAsia" w:ascii="宋体" w:hAnsi="宋体" w:eastAsia="宋体" w:cs="宋体"/>
                <w:kern w:val="0"/>
                <w:sz w:val="21"/>
                <w:szCs w:val="21"/>
                <w:highlight w:val="none"/>
              </w:rPr>
              <w:t>中去掉六分之一（不能整除的按小数前整数取整，不足六家报价则不去掉）的最低价和相同家数的最高价后的算术平均值</w:t>
            </w:r>
            <w:r>
              <w:rPr>
                <w:rFonts w:hint="eastAsia" w:ascii="宋体" w:hAnsi="宋体" w:eastAsia="宋体" w:cs="宋体"/>
                <w:kern w:val="0"/>
                <w:sz w:val="21"/>
                <w:szCs w:val="21"/>
                <w:highlight w:val="none"/>
                <w:lang w:val="en-US" w:eastAsia="zh-CN"/>
              </w:rPr>
              <w:t>为评标基准价。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stheme="minorEastAsia"/>
                <w:szCs w:val="21"/>
                <w:highlight w:val="none"/>
              </w:rPr>
            </w:pPr>
          </w:p>
        </w:tc>
        <w:tc>
          <w:tcPr>
            <w:tcW w:w="1159"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rPr>
                <w:rFonts w:asciiTheme="minorEastAsia" w:hAnsiTheme="minorEastAsia" w:eastAsiaTheme="minorEastAsia" w:cstheme="minorEastAsia"/>
                <w:szCs w:val="21"/>
                <w:highlight w:val="none"/>
              </w:rPr>
            </w:pPr>
          </w:p>
        </w:tc>
        <w:tc>
          <w:tcPr>
            <w:tcW w:w="202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left="0" w:leftChars="0" w:firstLine="0" w:firstLineChars="0"/>
              <w:jc w:val="center"/>
              <w:rPr>
                <w:rFonts w:hint="eastAsia" w:asciiTheme="minorEastAsia" w:hAnsiTheme="minorEastAsia" w:eastAsiaTheme="minorEastAsia" w:cstheme="minorEastAsia"/>
                <w:szCs w:val="21"/>
                <w:highlight w:val="none"/>
              </w:rPr>
            </w:pPr>
            <w:r>
              <w:rPr>
                <w:rFonts w:hint="eastAsia" w:ascii="宋体" w:hAnsi="宋体" w:eastAsia="宋体" w:cs="宋体"/>
                <w:color w:val="auto"/>
                <w:kern w:val="0"/>
                <w:sz w:val="21"/>
                <w:szCs w:val="21"/>
                <w:highlight w:val="none"/>
                <w:lang w:val="en-US" w:eastAsia="zh-CN"/>
              </w:rPr>
              <w:t>评标价的偏差率计算公式</w:t>
            </w:r>
          </w:p>
        </w:tc>
        <w:tc>
          <w:tcPr>
            <w:tcW w:w="592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cs="宋体"/>
                <w:szCs w:val="21"/>
                <w:highlight w:val="none"/>
              </w:rPr>
            </w:pPr>
            <w:r>
              <w:rPr>
                <w:rFonts w:hint="eastAsia" w:ascii="宋体" w:hAnsi="宋体" w:eastAsia="宋体" w:cs="宋体"/>
                <w:b/>
                <w:bCs/>
                <w:sz w:val="21"/>
                <w:szCs w:val="21"/>
                <w:highlight w:val="none"/>
              </w:rPr>
              <w:t>偏差率＝100%×（投标价-评标基准价）/评标基准价，偏差率为百分率（示例：xx.xx%)，偏差率计算保留小数点后两位，小数点后第三位“四舍五入”。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stheme="minorEastAsia"/>
                <w:szCs w:val="21"/>
                <w:highlight w:val="none"/>
              </w:rPr>
            </w:pPr>
          </w:p>
        </w:tc>
        <w:tc>
          <w:tcPr>
            <w:tcW w:w="1159"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rPr>
                <w:rFonts w:asciiTheme="minorEastAsia" w:hAnsiTheme="minorEastAsia" w:eastAsiaTheme="minorEastAsia" w:cstheme="minorEastAsia"/>
                <w:szCs w:val="21"/>
                <w:highlight w:val="none"/>
              </w:rPr>
            </w:pPr>
          </w:p>
        </w:tc>
        <w:tc>
          <w:tcPr>
            <w:tcW w:w="202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both"/>
              <w:rPr>
                <w:rFonts w:hint="eastAsia" w:asciiTheme="minorEastAsia" w:hAnsiTheme="minorEastAsia" w:eastAsiaTheme="minorEastAsia" w:cstheme="minorEastAsia"/>
                <w:szCs w:val="21"/>
                <w:highlight w:val="none"/>
              </w:rPr>
            </w:pPr>
            <w:r>
              <w:rPr>
                <w:rFonts w:hint="eastAsia" w:ascii="宋体" w:hAnsi="宋体" w:eastAsia="宋体" w:cs="宋体"/>
                <w:kern w:val="0"/>
                <w:sz w:val="21"/>
                <w:szCs w:val="21"/>
                <w:highlight w:val="none"/>
                <w:lang w:val="en-US" w:eastAsia="zh-CN"/>
              </w:rPr>
              <w:t>报价（70</w:t>
            </w:r>
            <w:r>
              <w:rPr>
                <w:rFonts w:hint="default" w:ascii="宋体" w:hAnsi="宋体" w:eastAsia="宋体" w:cs="宋体"/>
                <w:kern w:val="0"/>
                <w:sz w:val="21"/>
                <w:szCs w:val="21"/>
                <w:highlight w:val="none"/>
                <w:lang w:eastAsia="zh-CN"/>
              </w:rPr>
              <w:t>分</w:t>
            </w:r>
            <w:r>
              <w:rPr>
                <w:rFonts w:hint="eastAsia" w:ascii="宋体" w:hAnsi="宋体" w:eastAsia="宋体" w:cs="宋体"/>
                <w:kern w:val="0"/>
                <w:sz w:val="21"/>
                <w:szCs w:val="21"/>
                <w:highlight w:val="none"/>
                <w:lang w:val="en-US" w:eastAsia="zh-CN"/>
              </w:rPr>
              <w:t>）</w:t>
            </w:r>
          </w:p>
        </w:tc>
        <w:tc>
          <w:tcPr>
            <w:tcW w:w="5928" w:type="dxa"/>
            <w:tcBorders>
              <w:top w:val="single" w:color="auto" w:sz="4" w:space="0"/>
              <w:left w:val="single" w:color="auto" w:sz="4" w:space="0"/>
              <w:bottom w:val="single" w:color="auto" w:sz="4" w:space="0"/>
              <w:right w:val="single" w:color="auto" w:sz="4" w:space="0"/>
            </w:tcBorders>
            <w:vAlign w:val="center"/>
          </w:tcPr>
          <w:p>
            <w:pPr>
              <w:pStyle w:val="41"/>
              <w:spacing w:after="0" w:line="320" w:lineRule="exact"/>
              <w:ind w:firstLine="420" w:firstLineChars="200"/>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所有有效投标报价分别与评标基准价相比较，等于基准价得70分，每增加1%扣0.5分；每减少1%扣0.2分，</w:t>
            </w:r>
            <w:r>
              <w:rPr>
                <w:rFonts w:hint="eastAsia" w:hAnsi="宋体" w:eastAsia="宋体" w:cs="宋体"/>
                <w:kern w:val="0"/>
                <w:sz w:val="21"/>
                <w:szCs w:val="21"/>
                <w:highlight w:val="none"/>
                <w:lang w:val="en-US" w:eastAsia="zh-CN" w:bidi="ar-SA"/>
              </w:rPr>
              <w:t>扣完为止</w:t>
            </w:r>
            <w:r>
              <w:rPr>
                <w:rFonts w:hint="eastAsia" w:ascii="宋体" w:hAnsi="宋体" w:eastAsia="宋体" w:cs="宋体"/>
                <w:kern w:val="0"/>
                <w:sz w:val="21"/>
                <w:szCs w:val="21"/>
                <w:highlight w:val="none"/>
                <w:lang w:val="en-US" w:eastAsia="zh-CN" w:bidi="ar-SA"/>
              </w:rPr>
              <w:t>。按插入法计算得分。</w:t>
            </w:r>
          </w:p>
          <w:p>
            <w:pPr>
              <w:pStyle w:val="42"/>
              <w:keepNext w:val="0"/>
              <w:keepLines w:val="0"/>
              <w:pageBreakBefore w:val="0"/>
              <w:widowControl w:val="0"/>
              <w:kinsoku/>
              <w:wordWrap/>
              <w:overflowPunct/>
              <w:topLinePunct w:val="0"/>
              <w:autoSpaceDE/>
              <w:autoSpaceDN/>
              <w:bidi w:val="0"/>
              <w:adjustRightInd w:val="0"/>
              <w:snapToGrid/>
              <w:spacing w:line="400" w:lineRule="exact"/>
              <w:ind w:left="0" w:leftChars="0" w:firstLine="420" w:firstLineChars="200"/>
              <w:textAlignment w:val="baseline"/>
              <w:rPr>
                <w:rFonts w:hint="eastAsia" w:ascii="宋体" w:hAnsi="宋体" w:eastAsia="宋体" w:cs="宋体"/>
                <w:szCs w:val="21"/>
                <w:highlight w:val="none"/>
                <w:lang w:eastAsia="zh-CN"/>
              </w:rPr>
            </w:pPr>
            <w:r>
              <w:rPr>
                <w:rFonts w:hint="eastAsia" w:ascii="宋体" w:hAnsi="宋体" w:eastAsia="宋体" w:cs="宋体"/>
                <w:kern w:val="0"/>
                <w:sz w:val="21"/>
                <w:szCs w:val="21"/>
                <w:highlight w:val="none"/>
                <w:lang w:val="en-US" w:eastAsia="zh-CN" w:bidi="ar-SA"/>
              </w:rPr>
              <w:t>以上计算取小数点后两位，第三位四舍五入。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6" w:hRule="atLeast"/>
          <w:jc w:val="center"/>
        </w:trPr>
        <w:tc>
          <w:tcPr>
            <w:tcW w:w="898"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3.2</w:t>
            </w:r>
          </w:p>
        </w:tc>
        <w:tc>
          <w:tcPr>
            <w:tcW w:w="1159"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Theme="minorEastAsia" w:hAnsiTheme="minorEastAsia" w:eastAsiaTheme="minorEastAsia" w:cstheme="minorEastAsia"/>
                <w:szCs w:val="21"/>
                <w:highlight w:val="none"/>
              </w:rPr>
            </w:pPr>
            <w:r>
              <w:rPr>
                <w:rFonts w:hint="eastAsia" w:ascii="宋体" w:hAnsi="宋体" w:eastAsia="宋体" w:cs="宋体"/>
                <w:sz w:val="21"/>
                <w:szCs w:val="21"/>
                <w:highlight w:val="none"/>
              </w:rPr>
              <w:t>商务部分评分标准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10</w:t>
            </w:r>
            <w:r>
              <w:rPr>
                <w:rFonts w:hint="default" w:ascii="宋体" w:hAnsi="宋体" w:eastAsia="宋体" w:cs="宋体"/>
                <w:sz w:val="21"/>
                <w:szCs w:val="21"/>
                <w:highlight w:val="none"/>
                <w:lang w:eastAsia="zh-CN"/>
              </w:rPr>
              <w:t>分</w:t>
            </w:r>
            <w:r>
              <w:rPr>
                <w:rFonts w:hint="eastAsia" w:ascii="宋体" w:hAnsi="宋体" w:eastAsia="宋体" w:cs="宋体"/>
                <w:sz w:val="21"/>
                <w:szCs w:val="21"/>
                <w:highlight w:val="none"/>
                <w:lang w:val="en-US" w:eastAsia="zh-CN"/>
              </w:rPr>
              <w:t>）</w:t>
            </w:r>
          </w:p>
        </w:tc>
        <w:tc>
          <w:tcPr>
            <w:tcW w:w="202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业绩要求（</w:t>
            </w:r>
            <w:r>
              <w:rPr>
                <w:rFonts w:hint="eastAsia" w:ascii="宋体" w:hAnsi="宋体" w:cs="宋体"/>
                <w:sz w:val="21"/>
                <w:szCs w:val="21"/>
                <w:highlight w:val="none"/>
                <w:lang w:val="en-US" w:eastAsia="zh-CN"/>
              </w:rPr>
              <w:t>10</w:t>
            </w:r>
            <w:r>
              <w:rPr>
                <w:rFonts w:hint="eastAsia" w:ascii="宋体" w:hAnsi="宋体" w:eastAsia="宋体" w:cs="宋体"/>
                <w:sz w:val="21"/>
                <w:szCs w:val="21"/>
                <w:highlight w:val="none"/>
              </w:rPr>
              <w:t>分）</w:t>
            </w:r>
          </w:p>
          <w:p>
            <w:pPr>
              <w:spacing w:line="320" w:lineRule="exact"/>
              <w:jc w:val="center"/>
              <w:rPr>
                <w:rFonts w:hint="eastAsia" w:asciiTheme="minorEastAsia" w:hAnsiTheme="minorEastAsia" w:eastAsiaTheme="minorEastAsia" w:cstheme="minorEastAsia"/>
                <w:szCs w:val="21"/>
                <w:highlight w:val="none"/>
                <w:lang w:eastAsia="zh-CN"/>
              </w:rPr>
            </w:pPr>
          </w:p>
          <w:p>
            <w:pPr>
              <w:spacing w:line="320" w:lineRule="exact"/>
              <w:jc w:val="center"/>
              <w:rPr>
                <w:rFonts w:hint="eastAsia" w:asciiTheme="minorEastAsia" w:hAnsiTheme="minorEastAsia" w:eastAsiaTheme="minorEastAsia" w:cstheme="minorEastAsia"/>
                <w:szCs w:val="21"/>
                <w:highlight w:val="none"/>
                <w:lang w:eastAsia="zh-CN"/>
              </w:rPr>
            </w:pPr>
          </w:p>
        </w:tc>
        <w:tc>
          <w:tcPr>
            <w:tcW w:w="5928" w:type="dxa"/>
            <w:tcBorders>
              <w:top w:val="single" w:color="auto" w:sz="4" w:space="0"/>
              <w:left w:val="single" w:color="auto" w:sz="4" w:space="0"/>
              <w:right w:val="single" w:color="auto" w:sz="4" w:space="0"/>
            </w:tcBorders>
            <w:vAlign w:val="center"/>
          </w:tcPr>
          <w:p>
            <w:pPr>
              <w:spacing w:line="400" w:lineRule="exact"/>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1.满足资格条件的业绩要求得</w:t>
            </w:r>
            <w:r>
              <w:rPr>
                <w:rFonts w:hint="eastAsia" w:ascii="宋体" w:hAnsi="宋体" w:cs="宋体"/>
                <w:szCs w:val="21"/>
                <w:highlight w:val="none"/>
                <w:lang w:val="en-US" w:eastAsia="zh-CN"/>
              </w:rPr>
              <w:t>4</w:t>
            </w:r>
            <w:r>
              <w:rPr>
                <w:rFonts w:hint="eastAsia" w:ascii="宋体" w:hAnsi="宋体" w:eastAsia="宋体" w:cs="宋体"/>
                <w:szCs w:val="21"/>
                <w:highlight w:val="none"/>
                <w:lang w:val="en-US" w:eastAsia="zh-CN"/>
              </w:rPr>
              <w:t>分；</w:t>
            </w:r>
          </w:p>
          <w:p>
            <w:pPr>
              <w:spacing w:line="400" w:lineRule="exact"/>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2.在满足资格要求基础上</w:t>
            </w:r>
            <w:r>
              <w:rPr>
                <w:rFonts w:hint="eastAsia" w:ascii="宋体" w:hAnsi="宋体" w:cs="宋体"/>
                <w:szCs w:val="21"/>
                <w:highlight w:val="none"/>
                <w:lang w:val="en-US" w:eastAsia="zh-CN"/>
              </w:rPr>
              <w:t>，报价人在</w:t>
            </w:r>
            <w:r>
              <w:rPr>
                <w:rFonts w:hint="eastAsia" w:ascii="宋体" w:hAnsi="宋体" w:cs="宋体"/>
                <w:highlight w:val="none"/>
                <w:lang w:val="en-US" w:eastAsia="zh-CN"/>
              </w:rPr>
              <w:t>2021年1月1日至报价截止日期</w:t>
            </w:r>
            <w:r>
              <w:rPr>
                <w:rFonts w:hint="eastAsia" w:ascii="宋体" w:hAnsi="宋体" w:cs="宋体"/>
                <w:szCs w:val="21"/>
                <w:highlight w:val="none"/>
                <w:lang w:val="en-US" w:eastAsia="zh-CN"/>
              </w:rPr>
              <w:t>（以合同签订时间为准）完成一项中国境内企业资质办理咨询服务合作案例，每提供一个成功案例得2分，本项最多得6分。</w:t>
            </w:r>
          </w:p>
          <w:p>
            <w:pPr>
              <w:spacing w:line="400" w:lineRule="exact"/>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eastAsia="zh-CN"/>
              </w:rPr>
              <w:t>注：</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lang w:eastAsia="zh-CN"/>
              </w:rPr>
              <w:t>.合同</w:t>
            </w:r>
            <w:r>
              <w:rPr>
                <w:rFonts w:hint="eastAsia" w:ascii="宋体" w:hAnsi="宋体" w:eastAsia="宋体" w:cs="宋体"/>
                <w:szCs w:val="21"/>
                <w:highlight w:val="none"/>
                <w:lang w:val="en-US" w:eastAsia="zh-CN"/>
              </w:rPr>
              <w:t>复印件</w:t>
            </w:r>
            <w:r>
              <w:rPr>
                <w:rFonts w:hint="eastAsia" w:ascii="宋体" w:hAnsi="宋体" w:eastAsia="宋体" w:cs="宋体"/>
                <w:szCs w:val="21"/>
                <w:highlight w:val="none"/>
                <w:lang w:eastAsia="zh-CN"/>
              </w:rPr>
              <w:t>（合同需清晰反映上述业绩要求的主要内容，包括但不限于合同金额及</w:t>
            </w:r>
            <w:r>
              <w:rPr>
                <w:rFonts w:hint="eastAsia" w:ascii="宋体" w:hAnsi="宋体" w:eastAsia="宋体" w:cs="宋体"/>
                <w:szCs w:val="21"/>
                <w:highlight w:val="none"/>
                <w:lang w:val="en-US" w:eastAsia="zh-CN"/>
              </w:rPr>
              <w:t>工作内容</w:t>
            </w:r>
            <w:r>
              <w:rPr>
                <w:rFonts w:hint="eastAsia" w:ascii="宋体" w:hAnsi="宋体" w:eastAsia="宋体" w:cs="宋体"/>
                <w:szCs w:val="21"/>
                <w:highlight w:val="none"/>
                <w:lang w:eastAsia="zh-CN"/>
              </w:rPr>
              <w:t>），</w:t>
            </w:r>
            <w:r>
              <w:rPr>
                <w:rFonts w:hint="eastAsia" w:ascii="宋体" w:hAnsi="宋体" w:cs="宋体"/>
                <w:szCs w:val="21"/>
                <w:highlight w:val="none"/>
                <w:lang w:val="en-US" w:eastAsia="zh-CN"/>
              </w:rPr>
              <w:t>须提供相关证明材（合同、四库一平台截图），并加盖鲜章；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898" w:type="dxa"/>
            <w:vMerge w:val="restart"/>
            <w:tcBorders>
              <w:top w:val="single" w:color="auto" w:sz="4" w:space="0"/>
              <w:left w:val="single" w:color="auto" w:sz="4" w:space="0"/>
              <w:right w:val="single" w:color="auto" w:sz="4" w:space="0"/>
            </w:tcBorders>
            <w:vAlign w:val="center"/>
          </w:tcPr>
          <w:p>
            <w:pPr>
              <w:spacing w:line="32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3.3</w:t>
            </w:r>
          </w:p>
        </w:tc>
        <w:tc>
          <w:tcPr>
            <w:tcW w:w="1159" w:type="dxa"/>
            <w:vMerge w:val="restart"/>
            <w:tcBorders>
              <w:top w:val="single" w:color="auto" w:sz="4" w:space="0"/>
              <w:left w:val="single" w:color="auto" w:sz="4" w:space="0"/>
              <w:right w:val="single" w:color="auto" w:sz="4" w:space="0"/>
            </w:tcBorders>
            <w:vAlign w:val="center"/>
          </w:tcPr>
          <w:p>
            <w:pPr>
              <w:spacing w:line="32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技术部分</w:t>
            </w:r>
            <w:r>
              <w:rPr>
                <w:rFonts w:hint="eastAsia" w:ascii="宋体" w:hAnsi="宋体" w:eastAsia="宋体" w:cs="宋体"/>
                <w:sz w:val="21"/>
                <w:szCs w:val="21"/>
                <w:highlight w:val="none"/>
              </w:rPr>
              <w:t>评分标准</w:t>
            </w:r>
            <w:r>
              <w:rPr>
                <w:rFonts w:hint="eastAsia" w:asciiTheme="minorEastAsia" w:hAnsiTheme="minorEastAsia" w:eastAsiaTheme="minorEastAsia" w:cstheme="minorEastAsia"/>
                <w:szCs w:val="21"/>
                <w:highlight w:val="none"/>
              </w:rPr>
              <w:t>（</w:t>
            </w:r>
            <w:r>
              <w:rPr>
                <w:rFonts w:hint="eastAsia" w:asciiTheme="minorEastAsia" w:hAnsiTheme="minorEastAsia" w:eastAsiaTheme="minorEastAsia" w:cstheme="minorEastAsia"/>
                <w:szCs w:val="21"/>
                <w:highlight w:val="none"/>
                <w:lang w:val="en-US" w:eastAsia="zh-CN"/>
              </w:rPr>
              <w:t>2</w:t>
            </w:r>
            <w:r>
              <w:rPr>
                <w:rFonts w:hint="eastAsia" w:asciiTheme="minorEastAsia" w:hAnsiTheme="minorEastAsia" w:eastAsiaTheme="minorEastAsia" w:cstheme="minorEastAsia"/>
                <w:szCs w:val="21"/>
                <w:highlight w:val="none"/>
              </w:rPr>
              <w:t>0分）</w:t>
            </w:r>
          </w:p>
        </w:tc>
        <w:tc>
          <w:tcPr>
            <w:tcW w:w="20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kern w:val="2"/>
                <w:sz w:val="21"/>
                <w:szCs w:val="21"/>
                <w:highlight w:val="none"/>
                <w:u w:val="none"/>
                <w:lang w:val="en-US" w:eastAsia="zh-CN" w:bidi="ar"/>
              </w:rPr>
            </w:pPr>
            <w:r>
              <w:rPr>
                <w:rFonts w:hint="eastAsia" w:asciiTheme="minorEastAsia" w:hAnsiTheme="minorEastAsia" w:eastAsiaTheme="minorEastAsia" w:cstheme="minorEastAsia"/>
                <w:bCs w:val="0"/>
                <w:sz w:val="21"/>
                <w:szCs w:val="21"/>
                <w:highlight w:val="none"/>
                <w:lang w:val="en-US" w:eastAsia="zh-CN"/>
              </w:rPr>
              <w:t>服务方案</w:t>
            </w:r>
            <w:r>
              <w:rPr>
                <w:rFonts w:hint="eastAsia" w:asciiTheme="minorEastAsia" w:hAnsiTheme="minorEastAsia" w:eastAsiaTheme="minorEastAsia" w:cstheme="minorEastAsia"/>
                <w:bCs w:val="0"/>
                <w:sz w:val="21"/>
                <w:szCs w:val="21"/>
                <w:highlight w:val="none"/>
              </w:rPr>
              <w:t>（</w:t>
            </w:r>
            <w:r>
              <w:rPr>
                <w:rFonts w:hint="eastAsia" w:asciiTheme="minorEastAsia" w:hAnsiTheme="minorEastAsia" w:eastAsiaTheme="minorEastAsia" w:cstheme="minorEastAsia"/>
                <w:bCs w:val="0"/>
                <w:sz w:val="21"/>
                <w:szCs w:val="21"/>
                <w:highlight w:val="none"/>
                <w:lang w:val="en-US" w:eastAsia="zh-CN"/>
              </w:rPr>
              <w:t>20</w:t>
            </w:r>
            <w:r>
              <w:rPr>
                <w:rFonts w:hint="eastAsia" w:asciiTheme="minorEastAsia" w:hAnsiTheme="minorEastAsia" w:eastAsiaTheme="minorEastAsia" w:cstheme="minorEastAsia"/>
                <w:bCs w:val="0"/>
                <w:sz w:val="21"/>
                <w:szCs w:val="21"/>
                <w:highlight w:val="none"/>
              </w:rPr>
              <w:t>分）</w:t>
            </w:r>
          </w:p>
        </w:tc>
        <w:tc>
          <w:tcPr>
            <w:tcW w:w="59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0" w:leftChars="0" w:firstLine="420" w:firstLineChars="200"/>
              <w:jc w:val="left"/>
              <w:textAlignment w:val="center"/>
              <w:rPr>
                <w:rFonts w:hint="eastAsia" w:ascii="宋体" w:hAnsi="宋体" w:cs="宋体"/>
                <w:bCs w:val="0"/>
                <w:sz w:val="21"/>
                <w:szCs w:val="21"/>
                <w:highlight w:val="none"/>
                <w:u w:val="none"/>
                <w:lang w:eastAsia="zh-CN" w:bidi="ar"/>
              </w:rPr>
            </w:pPr>
            <w:r>
              <w:rPr>
                <w:rFonts w:hint="eastAsia" w:ascii="宋体" w:hAnsi="宋体" w:eastAsia="宋体" w:cs="宋体"/>
                <w:bCs w:val="0"/>
                <w:sz w:val="21"/>
                <w:szCs w:val="21"/>
                <w:highlight w:val="none"/>
                <w:u w:val="none"/>
                <w:lang w:bidi="ar"/>
              </w:rPr>
              <w:t>方案严谨、有针对性</w:t>
            </w:r>
            <w:r>
              <w:rPr>
                <w:rFonts w:hint="eastAsia" w:ascii="宋体" w:hAnsi="宋体" w:cs="宋体"/>
                <w:bCs w:val="0"/>
                <w:sz w:val="21"/>
                <w:szCs w:val="21"/>
                <w:highlight w:val="none"/>
                <w:u w:val="none"/>
                <w:lang w:eastAsia="zh-CN" w:bidi="ar"/>
              </w:rPr>
              <w:t>，</w:t>
            </w:r>
            <w:r>
              <w:rPr>
                <w:rFonts w:hint="eastAsia" w:ascii="宋体" w:hAnsi="宋体" w:eastAsia="宋体" w:cs="宋体"/>
                <w:bCs w:val="0"/>
                <w:sz w:val="21"/>
                <w:szCs w:val="21"/>
                <w:highlight w:val="none"/>
                <w:u w:val="none"/>
                <w:lang w:bidi="ar"/>
              </w:rPr>
              <w:t>项目实施阶段划分及进度安排合理，阶段任务明确、时间节点清晰，有较强的业务水准与团队协作能力</w:t>
            </w:r>
            <w:r>
              <w:rPr>
                <w:rFonts w:hint="eastAsia" w:ascii="宋体" w:hAnsi="宋体" w:cs="宋体"/>
                <w:bCs w:val="0"/>
                <w:sz w:val="21"/>
                <w:szCs w:val="21"/>
                <w:highlight w:val="none"/>
                <w:u w:val="none"/>
                <w:lang w:eastAsia="zh-CN" w:bidi="ar"/>
              </w:rPr>
              <w:t>、后续支持服务承诺完善、措施具体可行。</w:t>
            </w:r>
          </w:p>
          <w:p>
            <w:pPr>
              <w:keepNext w:val="0"/>
              <w:keepLines w:val="0"/>
              <w:widowControl/>
              <w:suppressLineNumbers w:val="0"/>
              <w:ind w:left="0" w:leftChars="0" w:firstLine="420" w:firstLineChars="200"/>
              <w:jc w:val="left"/>
              <w:textAlignment w:val="center"/>
              <w:rPr>
                <w:rFonts w:hint="eastAsia" w:ascii="宋体" w:hAnsi="宋体" w:eastAsia="宋体" w:cs="宋体"/>
                <w:i w:val="0"/>
                <w:iCs w:val="0"/>
                <w:kern w:val="2"/>
                <w:sz w:val="21"/>
                <w:szCs w:val="21"/>
                <w:highlight w:val="none"/>
                <w:u w:val="none"/>
                <w:lang w:val="en-US" w:eastAsia="zh-CN" w:bidi="ar"/>
              </w:rPr>
            </w:pPr>
            <w:r>
              <w:rPr>
                <w:rFonts w:hint="eastAsia" w:ascii="宋体" w:hAnsi="宋体" w:cs="宋体"/>
                <w:bCs w:val="0"/>
                <w:sz w:val="21"/>
                <w:szCs w:val="21"/>
                <w:highlight w:val="none"/>
                <w:u w:val="none"/>
                <w:lang w:val="en-US" w:eastAsia="zh-CN" w:bidi="ar"/>
              </w:rPr>
              <w:t>综合比较打分：方案描述清晰、完整，可操作性强得20-16分，方案描述较清晰、较完整，可操作性较强得16-12分；方案描述不够清晰，不够完整得12-0分；不提供不得分。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3" w:hRule="atLeast"/>
          <w:jc w:val="center"/>
        </w:trPr>
        <w:tc>
          <w:tcPr>
            <w:tcW w:w="89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b/>
                <w:kern w:val="0"/>
                <w:szCs w:val="21"/>
                <w:highlight w:val="none"/>
              </w:rPr>
              <w:t>条款号</w:t>
            </w:r>
          </w:p>
        </w:tc>
        <w:tc>
          <w:tcPr>
            <w:tcW w:w="318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b/>
                <w:kern w:val="0"/>
                <w:szCs w:val="21"/>
                <w:highlight w:val="none"/>
              </w:rPr>
              <w:t>条款名称</w:t>
            </w:r>
          </w:p>
        </w:tc>
        <w:tc>
          <w:tcPr>
            <w:tcW w:w="5928"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 xml:space="preserve">编列内容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898" w:type="dxa"/>
            <w:tcBorders>
              <w:top w:val="single" w:color="auto" w:sz="4" w:space="0"/>
              <w:left w:val="single" w:color="auto" w:sz="4" w:space="0"/>
              <w:right w:val="single" w:color="auto" w:sz="4" w:space="0"/>
            </w:tcBorders>
            <w:vAlign w:val="center"/>
          </w:tcPr>
          <w:p>
            <w:pPr>
              <w:spacing w:line="32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4</w:t>
            </w:r>
          </w:p>
        </w:tc>
        <w:tc>
          <w:tcPr>
            <w:tcW w:w="3181" w:type="dxa"/>
            <w:gridSpan w:val="2"/>
            <w:tcBorders>
              <w:top w:val="single" w:color="auto" w:sz="4" w:space="0"/>
              <w:left w:val="single" w:color="auto" w:sz="4" w:space="0"/>
              <w:right w:val="single" w:color="auto" w:sz="4" w:space="0"/>
            </w:tcBorders>
            <w:vAlign w:val="center"/>
          </w:tcPr>
          <w:p>
            <w:pPr>
              <w:spacing w:line="320" w:lineRule="exact"/>
              <w:jc w:val="center"/>
              <w:rPr>
                <w:rFonts w:asciiTheme="minorEastAsia" w:hAnsiTheme="minorEastAsia" w:eastAsiaTheme="minorEastAsia" w:cstheme="minorEastAsia"/>
                <w:szCs w:val="21"/>
                <w:highlight w:val="none"/>
              </w:rPr>
            </w:pPr>
            <w:r>
              <w:rPr>
                <w:rFonts w:hint="eastAsia"/>
                <w:spacing w:val="-5"/>
                <w:kern w:val="0"/>
                <w:sz w:val="20"/>
                <w:highlight w:val="none"/>
              </w:rPr>
              <w:t>评标程序</w:t>
            </w:r>
          </w:p>
        </w:tc>
        <w:tc>
          <w:tcPr>
            <w:tcW w:w="5928" w:type="dxa"/>
            <w:tcBorders>
              <w:top w:val="single" w:color="auto" w:sz="4" w:space="0"/>
              <w:left w:val="single" w:color="auto" w:sz="4" w:space="0"/>
              <w:right w:val="single" w:color="auto" w:sz="4" w:space="0"/>
            </w:tcBorders>
            <w:vAlign w:val="center"/>
          </w:tcPr>
          <w:p>
            <w:pPr>
              <w:pStyle w:val="168"/>
              <w:spacing w:before="70" w:line="320" w:lineRule="exact"/>
              <w:ind w:left="119" w:right="83" w:firstLine="420"/>
              <w:rPr>
                <w:rFonts w:ascii="宋体" w:hAnsi="宋体" w:cs="宋体"/>
                <w:szCs w:val="21"/>
                <w:highlight w:val="none"/>
              </w:rPr>
            </w:pPr>
            <w:r>
              <w:rPr>
                <w:rFonts w:hint="eastAsia" w:ascii="宋体" w:hAnsi="宋体" w:cs="宋体"/>
                <w:szCs w:val="21"/>
                <w:highlight w:val="none"/>
              </w:rPr>
              <w:t xml:space="preserve">1.按本章评标办法第2.1款、2.2款及2.3款进行初步评审，未通过初步评审或评标委员会认定为无效的投标文件的不再进行后续评审。 </w:t>
            </w:r>
          </w:p>
          <w:p>
            <w:pPr>
              <w:pStyle w:val="168"/>
              <w:spacing w:before="42" w:line="320" w:lineRule="exact"/>
              <w:ind w:left="119" w:right="72" w:firstLine="420"/>
              <w:rPr>
                <w:rFonts w:ascii="宋体" w:hAnsi="宋体" w:cs="宋体"/>
                <w:szCs w:val="21"/>
                <w:highlight w:val="none"/>
              </w:rPr>
            </w:pPr>
            <w:r>
              <w:rPr>
                <w:rFonts w:hint="eastAsia" w:ascii="宋体" w:hAnsi="宋体" w:cs="宋体"/>
                <w:szCs w:val="21"/>
                <w:highlight w:val="none"/>
              </w:rPr>
              <w:t>2.按本章评标办法前附表第3.1款的规定进行报价投标报价部分评审；</w:t>
            </w:r>
          </w:p>
          <w:p>
            <w:pPr>
              <w:pStyle w:val="168"/>
              <w:spacing w:before="15" w:line="320" w:lineRule="exact"/>
              <w:ind w:left="119" w:right="72" w:firstLine="420"/>
              <w:rPr>
                <w:rFonts w:ascii="宋体" w:hAnsi="宋体" w:cs="宋体"/>
                <w:szCs w:val="21"/>
                <w:highlight w:val="none"/>
              </w:rPr>
            </w:pPr>
            <w:r>
              <w:rPr>
                <w:rFonts w:hint="eastAsia" w:ascii="宋体" w:hAnsi="宋体" w:cs="宋体"/>
                <w:szCs w:val="21"/>
                <w:highlight w:val="none"/>
              </w:rPr>
              <w:t>3.按本章评标办法前附表第3.2款的规定进行商务部分的评审；</w:t>
            </w:r>
          </w:p>
          <w:p>
            <w:pPr>
              <w:pStyle w:val="168"/>
              <w:spacing w:before="15" w:line="320" w:lineRule="exact"/>
              <w:ind w:left="119" w:right="72" w:firstLine="420"/>
              <w:rPr>
                <w:rFonts w:ascii="宋体" w:hAnsi="宋体" w:cs="宋体"/>
                <w:szCs w:val="21"/>
                <w:highlight w:val="none"/>
              </w:rPr>
            </w:pPr>
            <w:r>
              <w:rPr>
                <w:rFonts w:hint="eastAsia" w:ascii="宋体" w:hAnsi="宋体" w:cs="宋体"/>
                <w:szCs w:val="21"/>
                <w:highlight w:val="none"/>
              </w:rPr>
              <w:t>4.按本章评标办法前附表第 3.3款的规定进行技术部分的评审；</w:t>
            </w:r>
          </w:p>
          <w:p>
            <w:pPr>
              <w:pStyle w:val="168"/>
              <w:spacing w:before="42" w:line="320" w:lineRule="exact"/>
              <w:ind w:left="119" w:right="-23" w:firstLine="420"/>
              <w:rPr>
                <w:rFonts w:ascii="宋体" w:hAnsi="宋体" w:cs="宋体"/>
                <w:szCs w:val="21"/>
                <w:highlight w:val="none"/>
              </w:rPr>
            </w:pPr>
            <w:r>
              <w:rPr>
                <w:rFonts w:hint="eastAsia" w:ascii="宋体" w:hAnsi="宋体" w:cs="宋体"/>
                <w:szCs w:val="21"/>
                <w:highlight w:val="none"/>
              </w:rPr>
              <w:t>5.因评标委员会作否决投标处理导致有效</w:t>
            </w:r>
            <w:r>
              <w:rPr>
                <w:rFonts w:hint="eastAsia" w:ascii="宋体" w:hAnsi="宋体" w:cs="宋体"/>
                <w:szCs w:val="21"/>
                <w:highlight w:val="none"/>
                <w:lang w:eastAsia="zh-CN"/>
              </w:rPr>
              <w:t>报价人</w:t>
            </w:r>
            <w:r>
              <w:rPr>
                <w:rFonts w:hint="eastAsia" w:ascii="宋体" w:hAnsi="宋体" w:cs="宋体"/>
                <w:szCs w:val="21"/>
                <w:highlight w:val="none"/>
              </w:rPr>
              <w:t>不足三个的，评标委员会应当否决所有投标。但是有效</w:t>
            </w:r>
            <w:r>
              <w:rPr>
                <w:rFonts w:hint="eastAsia" w:ascii="宋体" w:hAnsi="宋体" w:cs="宋体"/>
                <w:szCs w:val="21"/>
                <w:highlight w:val="none"/>
                <w:lang w:eastAsia="zh-CN"/>
              </w:rPr>
              <w:t>报价人</w:t>
            </w:r>
            <w:r>
              <w:rPr>
                <w:rFonts w:hint="eastAsia" w:ascii="宋体" w:hAnsi="宋体" w:cs="宋体"/>
                <w:szCs w:val="21"/>
                <w:highlight w:val="none"/>
              </w:rPr>
              <w:t xml:space="preserve">的经济、技术等指标仍然具有市场竞争力，能够满足采购文件要求的，评标委员会可以继续评标并确定中标候选人。 </w:t>
            </w:r>
          </w:p>
          <w:p>
            <w:pPr>
              <w:pStyle w:val="168"/>
              <w:spacing w:before="47" w:line="320" w:lineRule="exact"/>
              <w:ind w:left="119" w:firstLine="420"/>
              <w:rPr>
                <w:rFonts w:ascii="宋体" w:hAnsi="宋体" w:cs="宋体"/>
                <w:szCs w:val="21"/>
                <w:highlight w:val="none"/>
              </w:rPr>
            </w:pPr>
            <w:r>
              <w:rPr>
                <w:rFonts w:hint="eastAsia" w:ascii="宋体" w:hAnsi="宋体" w:cs="宋体"/>
                <w:szCs w:val="21"/>
                <w:highlight w:val="none"/>
              </w:rPr>
              <w:t>6.对技术部分、商务部分、投标总报价得分进行汇总，确定得分由高至低前2名</w:t>
            </w:r>
            <w:r>
              <w:rPr>
                <w:rFonts w:hint="eastAsia" w:ascii="宋体" w:hAnsi="宋体" w:cs="宋体"/>
                <w:szCs w:val="21"/>
                <w:highlight w:val="none"/>
                <w:lang w:eastAsia="zh-CN"/>
              </w:rPr>
              <w:t>报价人</w:t>
            </w:r>
            <w:r>
              <w:rPr>
                <w:rFonts w:hint="eastAsia" w:ascii="宋体" w:hAnsi="宋体" w:cs="宋体"/>
                <w:szCs w:val="21"/>
                <w:highlight w:val="none"/>
              </w:rPr>
              <w:t xml:space="preserve">为中标候选人。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atLeast"/>
          <w:jc w:val="center"/>
        </w:trPr>
        <w:tc>
          <w:tcPr>
            <w:tcW w:w="898" w:type="dxa"/>
            <w:vAlign w:val="center"/>
          </w:tcPr>
          <w:p>
            <w:pPr>
              <w:spacing w:line="32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5</w:t>
            </w:r>
          </w:p>
        </w:tc>
        <w:tc>
          <w:tcPr>
            <w:tcW w:w="3181" w:type="dxa"/>
            <w:gridSpan w:val="2"/>
            <w:vAlign w:val="center"/>
          </w:tcPr>
          <w:p>
            <w:pPr>
              <w:spacing w:line="320" w:lineRule="exact"/>
              <w:jc w:val="center"/>
              <w:rPr>
                <w:rFonts w:asciiTheme="minorEastAsia" w:hAnsiTheme="minorEastAsia" w:eastAsiaTheme="minorEastAsia" w:cstheme="minorEastAsia"/>
                <w:szCs w:val="21"/>
                <w:highlight w:val="none"/>
              </w:rPr>
            </w:pPr>
            <w:r>
              <w:rPr>
                <w:rFonts w:hint="eastAsia"/>
                <w:spacing w:val="-5"/>
                <w:kern w:val="0"/>
                <w:sz w:val="20"/>
                <w:highlight w:val="none"/>
                <w:lang w:eastAsia="zh-CN"/>
              </w:rPr>
              <w:t>报价人</w:t>
            </w:r>
            <w:r>
              <w:rPr>
                <w:rFonts w:hint="eastAsia"/>
                <w:spacing w:val="-5"/>
                <w:kern w:val="0"/>
                <w:sz w:val="20"/>
                <w:highlight w:val="none"/>
              </w:rPr>
              <w:t>得分</w:t>
            </w:r>
          </w:p>
        </w:tc>
        <w:tc>
          <w:tcPr>
            <w:tcW w:w="5928" w:type="dxa"/>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lang w:eastAsia="zh-CN"/>
              </w:rPr>
              <w:t>报价人</w:t>
            </w:r>
            <w:r>
              <w:rPr>
                <w:rFonts w:hint="eastAsia" w:ascii="宋体" w:hAnsi="宋体" w:cs="宋体"/>
                <w:szCs w:val="21"/>
                <w:highlight w:val="none"/>
              </w:rPr>
              <w:t>得分=投标报价得分+商务部分得分+技术部分得分</w:t>
            </w:r>
          </w:p>
        </w:tc>
      </w:tr>
    </w:tbl>
    <w:p>
      <w:pPr>
        <w:pStyle w:val="9"/>
        <w:spacing w:line="418" w:lineRule="exact"/>
        <w:rPr>
          <w:rFonts w:ascii="宋体" w:hAnsi="宋体" w:eastAsia="宋体" w:cs="宋体"/>
          <w:kern w:val="2"/>
          <w:sz w:val="21"/>
          <w:szCs w:val="21"/>
          <w:highlight w:val="none"/>
        </w:rPr>
      </w:pPr>
      <w:r>
        <w:rPr>
          <w:rFonts w:hint="eastAsia" w:ascii="宋体" w:hAnsi="宋体" w:eastAsia="宋体" w:cs="宋体"/>
          <w:kern w:val="2"/>
          <w:sz w:val="21"/>
          <w:szCs w:val="21"/>
          <w:highlight w:val="none"/>
        </w:rPr>
        <w:t xml:space="preserve">1. 评标方法 </w:t>
      </w:r>
    </w:p>
    <w:p>
      <w:pPr>
        <w:pStyle w:val="2"/>
        <w:spacing w:before="119" w:line="352" w:lineRule="auto"/>
        <w:ind w:firstLine="420" w:firstLineChars="200"/>
        <w:rPr>
          <w:rFonts w:ascii="宋体" w:hAnsi="宋体" w:cs="宋体"/>
          <w:kern w:val="2"/>
          <w:sz w:val="21"/>
          <w:szCs w:val="21"/>
          <w:highlight w:val="none"/>
        </w:rPr>
      </w:pPr>
      <w:r>
        <w:rPr>
          <w:rFonts w:hint="eastAsia" w:ascii="宋体" w:hAnsi="宋体" w:cs="宋体"/>
          <w:kern w:val="2"/>
          <w:sz w:val="21"/>
          <w:szCs w:val="21"/>
          <w:highlight w:val="none"/>
        </w:rPr>
        <w:t>本次评标采用综合评分法。评标委员会按照本章评标办法前附表规定的评分标准进行打分，按得分由高到 低顺序推荐中标候选人，若出现</w:t>
      </w:r>
      <w:r>
        <w:rPr>
          <w:rFonts w:hint="eastAsia" w:ascii="宋体" w:hAnsi="宋体" w:cs="宋体"/>
          <w:kern w:val="2"/>
          <w:sz w:val="21"/>
          <w:szCs w:val="21"/>
          <w:highlight w:val="none"/>
          <w:lang w:eastAsia="zh-CN"/>
        </w:rPr>
        <w:t>报价人</w:t>
      </w:r>
      <w:r>
        <w:rPr>
          <w:rFonts w:hint="eastAsia" w:ascii="宋体" w:hAnsi="宋体" w:cs="宋体"/>
          <w:kern w:val="2"/>
          <w:sz w:val="21"/>
          <w:szCs w:val="21"/>
          <w:highlight w:val="none"/>
        </w:rPr>
        <w:t xml:space="preserve">投标报价相同的，以评标办法前附表约定的原则确定排序。 </w:t>
      </w:r>
    </w:p>
    <w:p>
      <w:pPr>
        <w:pStyle w:val="9"/>
        <w:spacing w:before="56"/>
        <w:rPr>
          <w:rFonts w:ascii="宋体" w:hAnsi="宋体" w:eastAsia="宋体" w:cs="宋体"/>
          <w:kern w:val="2"/>
          <w:sz w:val="21"/>
          <w:szCs w:val="21"/>
          <w:highlight w:val="none"/>
        </w:rPr>
      </w:pPr>
      <w:bookmarkStart w:id="141" w:name="2._评审标准"/>
      <w:bookmarkEnd w:id="141"/>
      <w:r>
        <w:rPr>
          <w:rFonts w:hint="eastAsia" w:ascii="宋体" w:hAnsi="宋体" w:eastAsia="宋体" w:cs="宋体"/>
          <w:kern w:val="2"/>
          <w:sz w:val="21"/>
          <w:szCs w:val="21"/>
          <w:highlight w:val="none"/>
        </w:rPr>
        <w:t xml:space="preserve">2. 评审标准 </w:t>
      </w:r>
    </w:p>
    <w:p>
      <w:pPr>
        <w:spacing w:before="156"/>
        <w:ind w:left="106"/>
        <w:rPr>
          <w:rFonts w:ascii="宋体" w:hAnsi="宋体" w:cs="宋体"/>
          <w:szCs w:val="21"/>
          <w:highlight w:val="none"/>
        </w:rPr>
      </w:pPr>
      <w:bookmarkStart w:id="142" w:name="2.1_初步评审标准"/>
      <w:bookmarkEnd w:id="142"/>
      <w:r>
        <w:rPr>
          <w:rFonts w:hint="eastAsia" w:ascii="宋体" w:hAnsi="宋体" w:cs="宋体"/>
          <w:szCs w:val="21"/>
          <w:highlight w:val="none"/>
        </w:rPr>
        <w:t xml:space="preserve">2.1 初步评审标准 </w:t>
      </w:r>
    </w:p>
    <w:p>
      <w:pPr>
        <w:pStyle w:val="2"/>
        <w:spacing w:before="61"/>
        <w:ind w:left="647"/>
        <w:rPr>
          <w:rFonts w:ascii="宋体" w:hAnsi="宋体" w:cs="宋体"/>
          <w:caps/>
          <w:kern w:val="2"/>
          <w:sz w:val="21"/>
          <w:szCs w:val="21"/>
          <w:highlight w:val="none"/>
        </w:rPr>
      </w:pPr>
      <w:r>
        <w:rPr>
          <w:rFonts w:hint="eastAsia" w:ascii="宋体" w:hAnsi="宋体" w:cs="宋体"/>
          <w:caps/>
          <w:kern w:val="2"/>
          <w:sz w:val="21"/>
          <w:szCs w:val="21"/>
          <w:highlight w:val="none"/>
        </w:rPr>
        <w:t xml:space="preserve">2.1.1 资格评审标准：见评标办法前附表。 </w:t>
      </w:r>
    </w:p>
    <w:p>
      <w:pPr>
        <w:pStyle w:val="2"/>
        <w:spacing w:before="130"/>
        <w:ind w:left="647"/>
        <w:rPr>
          <w:rFonts w:ascii="宋体" w:hAnsi="宋体" w:cs="宋体"/>
          <w:caps/>
          <w:kern w:val="2"/>
          <w:sz w:val="21"/>
          <w:szCs w:val="21"/>
          <w:highlight w:val="none"/>
        </w:rPr>
      </w:pPr>
      <w:r>
        <w:rPr>
          <w:rFonts w:hint="eastAsia" w:ascii="宋体" w:hAnsi="宋体" w:cs="宋体"/>
          <w:caps/>
          <w:kern w:val="2"/>
          <w:sz w:val="21"/>
          <w:szCs w:val="21"/>
          <w:highlight w:val="none"/>
        </w:rPr>
        <w:t xml:space="preserve">2.1.2 形式评审标准：见评标办法前附表。 </w:t>
      </w:r>
    </w:p>
    <w:p>
      <w:pPr>
        <w:pStyle w:val="2"/>
        <w:spacing w:before="130"/>
        <w:ind w:left="647"/>
        <w:rPr>
          <w:rFonts w:ascii="宋体" w:hAnsi="宋体" w:cs="宋体"/>
          <w:caps/>
          <w:kern w:val="2"/>
          <w:sz w:val="21"/>
          <w:szCs w:val="21"/>
          <w:highlight w:val="none"/>
        </w:rPr>
      </w:pPr>
      <w:r>
        <w:rPr>
          <w:rFonts w:hint="eastAsia" w:ascii="宋体" w:hAnsi="宋体" w:cs="宋体"/>
          <w:caps/>
          <w:kern w:val="2"/>
          <w:sz w:val="21"/>
          <w:szCs w:val="21"/>
          <w:highlight w:val="none"/>
        </w:rPr>
        <w:t xml:space="preserve">2.1.3 响应性评审标准：见评标办法前附表。 </w:t>
      </w:r>
    </w:p>
    <w:p>
      <w:pPr>
        <w:rPr>
          <w:rFonts w:ascii="宋体" w:hAnsi="宋体" w:cs="宋体"/>
          <w:caps/>
          <w:szCs w:val="21"/>
          <w:highlight w:val="none"/>
        </w:rPr>
      </w:pPr>
    </w:p>
    <w:p>
      <w:pPr>
        <w:ind w:left="106"/>
        <w:rPr>
          <w:rFonts w:ascii="宋体" w:hAnsi="宋体" w:cs="宋体"/>
          <w:caps/>
          <w:szCs w:val="21"/>
          <w:highlight w:val="none"/>
        </w:rPr>
      </w:pPr>
      <w:bookmarkStart w:id="143" w:name="2.2_分值构成与评分标准"/>
      <w:bookmarkEnd w:id="143"/>
      <w:r>
        <w:rPr>
          <w:rFonts w:hint="eastAsia" w:ascii="宋体" w:hAnsi="宋体" w:cs="宋体"/>
          <w:caps/>
          <w:szCs w:val="21"/>
          <w:highlight w:val="none"/>
        </w:rPr>
        <w:t xml:space="preserve">2.2 分值构成与评分标准 </w:t>
      </w:r>
    </w:p>
    <w:p>
      <w:pPr>
        <w:pStyle w:val="2"/>
        <w:spacing w:before="62"/>
        <w:ind w:left="632"/>
        <w:rPr>
          <w:rFonts w:ascii="宋体" w:hAnsi="宋体" w:cs="宋体"/>
          <w:caps/>
          <w:kern w:val="2"/>
          <w:sz w:val="21"/>
          <w:szCs w:val="21"/>
          <w:highlight w:val="none"/>
        </w:rPr>
      </w:pPr>
      <w:r>
        <w:rPr>
          <w:rFonts w:hint="eastAsia" w:ascii="宋体" w:hAnsi="宋体" w:cs="宋体"/>
          <w:caps/>
          <w:kern w:val="2"/>
          <w:sz w:val="21"/>
          <w:szCs w:val="21"/>
          <w:highlight w:val="none"/>
        </w:rPr>
        <w:t xml:space="preserve">2.2.1 分值构成 </w:t>
      </w:r>
    </w:p>
    <w:p>
      <w:pPr>
        <w:pStyle w:val="2"/>
        <w:spacing w:before="130"/>
        <w:ind w:left="526"/>
        <w:rPr>
          <w:rFonts w:ascii="宋体" w:hAnsi="宋体" w:cs="宋体"/>
          <w:caps/>
          <w:kern w:val="2"/>
          <w:sz w:val="21"/>
          <w:szCs w:val="21"/>
          <w:highlight w:val="none"/>
        </w:rPr>
      </w:pPr>
      <w:r>
        <w:rPr>
          <w:rFonts w:hint="eastAsia" w:ascii="宋体" w:hAnsi="宋体" w:cs="宋体"/>
          <w:caps/>
          <w:kern w:val="2"/>
          <w:sz w:val="21"/>
          <w:szCs w:val="21"/>
          <w:highlight w:val="none"/>
        </w:rPr>
        <w:t xml:space="preserve">（1）技术部分：见评标办法前附表； </w:t>
      </w:r>
    </w:p>
    <w:p>
      <w:pPr>
        <w:pStyle w:val="2"/>
        <w:spacing w:before="145"/>
        <w:ind w:left="526"/>
        <w:rPr>
          <w:rFonts w:ascii="宋体" w:hAnsi="宋体" w:cs="宋体"/>
          <w:caps/>
          <w:kern w:val="2"/>
          <w:sz w:val="21"/>
          <w:szCs w:val="21"/>
          <w:highlight w:val="none"/>
        </w:rPr>
      </w:pPr>
      <w:r>
        <w:rPr>
          <w:rFonts w:hint="eastAsia" w:ascii="宋体" w:hAnsi="宋体" w:cs="宋体"/>
          <w:caps/>
          <w:kern w:val="2"/>
          <w:sz w:val="21"/>
          <w:szCs w:val="21"/>
          <w:highlight w:val="none"/>
        </w:rPr>
        <w:t xml:space="preserve">（2）商务部分：见评标办法前附表； </w:t>
      </w:r>
    </w:p>
    <w:p>
      <w:pPr>
        <w:pStyle w:val="2"/>
        <w:spacing w:before="29" w:line="367" w:lineRule="auto"/>
        <w:ind w:firstLine="526"/>
        <w:rPr>
          <w:rFonts w:ascii="宋体" w:hAnsi="宋体" w:cs="宋体"/>
          <w:caps/>
          <w:kern w:val="2"/>
          <w:sz w:val="21"/>
          <w:szCs w:val="21"/>
          <w:highlight w:val="none"/>
        </w:rPr>
      </w:pPr>
      <w:r>
        <w:rPr>
          <w:rFonts w:hint="eastAsia" w:ascii="宋体" w:hAnsi="宋体" w:cs="宋体"/>
          <w:caps/>
          <w:kern w:val="2"/>
          <w:sz w:val="21"/>
          <w:szCs w:val="21"/>
          <w:highlight w:val="none"/>
        </w:rPr>
        <w:t>（3）投标总报价：见评标办法前附表。</w:t>
      </w:r>
    </w:p>
    <w:p>
      <w:pPr>
        <w:pStyle w:val="2"/>
        <w:spacing w:before="145" w:line="355" w:lineRule="auto"/>
        <w:ind w:left="632" w:right="5004" w:hanging="106"/>
        <w:rPr>
          <w:rFonts w:ascii="宋体" w:hAnsi="宋体" w:cs="宋体"/>
          <w:caps/>
          <w:kern w:val="2"/>
          <w:sz w:val="21"/>
          <w:szCs w:val="21"/>
          <w:highlight w:val="none"/>
        </w:rPr>
      </w:pPr>
      <w:r>
        <w:rPr>
          <w:rFonts w:hint="eastAsia" w:ascii="宋体" w:hAnsi="宋体" w:cs="宋体"/>
          <w:caps/>
          <w:kern w:val="2"/>
          <w:sz w:val="21"/>
          <w:szCs w:val="21"/>
          <w:highlight w:val="none"/>
        </w:rPr>
        <w:t xml:space="preserve"> 2.2.2 评审标准 </w:t>
      </w:r>
    </w:p>
    <w:p>
      <w:pPr>
        <w:pStyle w:val="2"/>
        <w:spacing w:before="29" w:line="367" w:lineRule="auto"/>
        <w:ind w:firstLine="526"/>
        <w:rPr>
          <w:rFonts w:ascii="宋体" w:hAnsi="宋体" w:cs="宋体"/>
          <w:caps/>
          <w:kern w:val="2"/>
          <w:sz w:val="21"/>
          <w:szCs w:val="21"/>
          <w:highlight w:val="none"/>
        </w:rPr>
      </w:pPr>
      <w:r>
        <w:rPr>
          <w:rFonts w:hint="eastAsia" w:ascii="宋体" w:hAnsi="宋体" w:cs="宋体"/>
          <w:caps/>
          <w:kern w:val="2"/>
          <w:sz w:val="21"/>
          <w:szCs w:val="21"/>
          <w:highlight w:val="none"/>
        </w:rPr>
        <w:t xml:space="preserve">（1）技术部分评分标准：见评标办法前附表； </w:t>
      </w:r>
    </w:p>
    <w:p>
      <w:pPr>
        <w:pStyle w:val="2"/>
        <w:spacing w:before="19"/>
        <w:ind w:left="647"/>
        <w:rPr>
          <w:rFonts w:ascii="宋体" w:hAnsi="宋体" w:cs="宋体"/>
          <w:caps/>
          <w:kern w:val="2"/>
          <w:sz w:val="21"/>
          <w:szCs w:val="21"/>
          <w:highlight w:val="none"/>
        </w:rPr>
      </w:pPr>
      <w:r>
        <w:rPr>
          <w:rFonts w:hint="eastAsia" w:ascii="宋体" w:hAnsi="宋体" w:cs="宋体"/>
          <w:caps/>
          <w:kern w:val="2"/>
          <w:sz w:val="21"/>
          <w:szCs w:val="21"/>
          <w:highlight w:val="none"/>
        </w:rPr>
        <w:t xml:space="preserve">（2） 商务部分评分标准：见评标办法前附表； </w:t>
      </w:r>
    </w:p>
    <w:p>
      <w:pPr>
        <w:pStyle w:val="2"/>
        <w:spacing w:before="130" w:line="360" w:lineRule="auto"/>
        <w:ind w:left="647" w:right="2891"/>
        <w:rPr>
          <w:rFonts w:ascii="宋体" w:hAnsi="宋体" w:cs="宋体"/>
          <w:caps/>
          <w:kern w:val="2"/>
          <w:sz w:val="21"/>
          <w:szCs w:val="21"/>
          <w:highlight w:val="none"/>
        </w:rPr>
      </w:pPr>
      <w:r>
        <w:rPr>
          <w:rFonts w:hint="eastAsia" w:ascii="宋体" w:hAnsi="宋体" w:cs="宋体"/>
          <w:caps/>
          <w:kern w:val="2"/>
          <w:sz w:val="21"/>
          <w:szCs w:val="21"/>
          <w:highlight w:val="none"/>
        </w:rPr>
        <w:t xml:space="preserve">（3） 报价评审标准：见评标办法前附表； </w:t>
      </w:r>
    </w:p>
    <w:p>
      <w:pPr>
        <w:pStyle w:val="2"/>
        <w:spacing w:before="119" w:line="352" w:lineRule="auto"/>
        <w:ind w:firstLine="420"/>
        <w:rPr>
          <w:rFonts w:ascii="宋体" w:hAnsi="宋体" w:cs="宋体"/>
          <w:caps/>
          <w:kern w:val="2"/>
          <w:sz w:val="21"/>
          <w:szCs w:val="21"/>
          <w:highlight w:val="none"/>
        </w:rPr>
      </w:pPr>
      <w:r>
        <w:rPr>
          <w:rFonts w:hint="eastAsia" w:ascii="宋体" w:hAnsi="宋体" w:cs="宋体"/>
          <w:caps/>
          <w:kern w:val="2"/>
          <w:sz w:val="21"/>
          <w:szCs w:val="21"/>
          <w:highlight w:val="none"/>
        </w:rPr>
        <w:t xml:space="preserve">2.2.3 评标基准价计算 评标基准价的计算方法：见评标办法前附表。 </w:t>
      </w:r>
    </w:p>
    <w:p>
      <w:pPr>
        <w:pStyle w:val="2"/>
        <w:spacing w:before="119" w:line="352" w:lineRule="auto"/>
        <w:ind w:firstLine="420"/>
        <w:rPr>
          <w:rFonts w:ascii="宋体" w:hAnsi="宋体" w:cs="宋体"/>
          <w:caps/>
          <w:kern w:val="2"/>
          <w:sz w:val="21"/>
          <w:szCs w:val="21"/>
          <w:highlight w:val="none"/>
        </w:rPr>
      </w:pPr>
      <w:r>
        <w:rPr>
          <w:rFonts w:hint="eastAsia" w:ascii="宋体" w:hAnsi="宋体" w:cs="宋体"/>
          <w:caps/>
          <w:kern w:val="2"/>
          <w:sz w:val="21"/>
          <w:szCs w:val="21"/>
          <w:highlight w:val="none"/>
        </w:rPr>
        <w:t xml:space="preserve">2.2.4 投标报价的偏差率计算 投标报价的偏差率计算公式：见评标办法前附表。 </w:t>
      </w:r>
    </w:p>
    <w:p>
      <w:pPr>
        <w:pStyle w:val="9"/>
        <w:spacing w:before="54"/>
        <w:rPr>
          <w:rFonts w:ascii="宋体" w:hAnsi="宋体" w:eastAsia="宋体" w:cs="宋体"/>
          <w:caps/>
          <w:kern w:val="2"/>
          <w:sz w:val="21"/>
          <w:szCs w:val="21"/>
          <w:highlight w:val="none"/>
        </w:rPr>
      </w:pPr>
      <w:bookmarkStart w:id="144" w:name="3._评标程序"/>
      <w:bookmarkEnd w:id="144"/>
      <w:r>
        <w:rPr>
          <w:rFonts w:hint="eastAsia" w:ascii="宋体" w:hAnsi="宋体" w:eastAsia="宋体" w:cs="宋体"/>
          <w:caps/>
          <w:kern w:val="2"/>
          <w:sz w:val="21"/>
          <w:szCs w:val="21"/>
          <w:highlight w:val="none"/>
        </w:rPr>
        <w:t xml:space="preserve">3. 评标程序 </w:t>
      </w:r>
    </w:p>
    <w:p>
      <w:pPr>
        <w:spacing w:before="157"/>
        <w:ind w:left="106"/>
        <w:rPr>
          <w:rFonts w:ascii="宋体" w:hAnsi="宋体" w:cs="宋体"/>
          <w:caps/>
          <w:szCs w:val="21"/>
          <w:highlight w:val="none"/>
        </w:rPr>
      </w:pPr>
      <w:bookmarkStart w:id="145" w:name="3.1_初步评审"/>
      <w:bookmarkEnd w:id="145"/>
      <w:r>
        <w:rPr>
          <w:rFonts w:hint="eastAsia" w:ascii="宋体" w:hAnsi="宋体" w:cs="宋体"/>
          <w:caps/>
          <w:szCs w:val="21"/>
          <w:highlight w:val="none"/>
        </w:rPr>
        <w:t xml:space="preserve">3.1 初步评审 </w:t>
      </w:r>
    </w:p>
    <w:p>
      <w:pPr>
        <w:pStyle w:val="2"/>
        <w:spacing w:before="61" w:line="355" w:lineRule="auto"/>
        <w:ind w:firstLine="420"/>
        <w:rPr>
          <w:rFonts w:ascii="宋体" w:hAnsi="宋体" w:cs="宋体"/>
          <w:caps/>
          <w:kern w:val="2"/>
          <w:sz w:val="21"/>
          <w:szCs w:val="21"/>
          <w:highlight w:val="none"/>
        </w:rPr>
      </w:pPr>
      <w:r>
        <w:rPr>
          <w:rFonts w:hint="eastAsia" w:ascii="宋体" w:hAnsi="宋体" w:cs="宋体"/>
          <w:caps/>
          <w:kern w:val="2"/>
          <w:sz w:val="21"/>
          <w:szCs w:val="21"/>
          <w:highlight w:val="none"/>
        </w:rPr>
        <w:t>3.1.1 评标委员会依据本章第2.1款、2.2款及2.3款规定的标准对投标文件进行初步评审。有一项不符合评审标准的，作否决投标处理。</w:t>
      </w:r>
    </w:p>
    <w:p>
      <w:pPr>
        <w:pStyle w:val="2"/>
        <w:spacing w:before="32"/>
        <w:ind w:left="526"/>
        <w:rPr>
          <w:rFonts w:ascii="宋体" w:hAnsi="宋体" w:cs="宋体"/>
          <w:caps/>
          <w:kern w:val="2"/>
          <w:sz w:val="21"/>
          <w:szCs w:val="21"/>
          <w:highlight w:val="none"/>
        </w:rPr>
      </w:pPr>
      <w:r>
        <w:rPr>
          <w:rFonts w:hint="eastAsia" w:ascii="宋体" w:hAnsi="宋体" w:cs="宋体"/>
          <w:caps/>
          <w:kern w:val="2"/>
          <w:sz w:val="21"/>
          <w:szCs w:val="21"/>
          <w:highlight w:val="none"/>
        </w:rPr>
        <w:t xml:space="preserve">3.1.2 </w:t>
      </w:r>
      <w:r>
        <w:rPr>
          <w:rFonts w:hint="eastAsia" w:ascii="宋体" w:hAnsi="宋体" w:cs="宋体"/>
          <w:caps/>
          <w:kern w:val="2"/>
          <w:sz w:val="21"/>
          <w:szCs w:val="21"/>
          <w:highlight w:val="none"/>
          <w:lang w:eastAsia="zh-CN"/>
        </w:rPr>
        <w:t>报价人</w:t>
      </w:r>
      <w:r>
        <w:rPr>
          <w:rFonts w:hint="eastAsia" w:ascii="宋体" w:hAnsi="宋体" w:cs="宋体"/>
          <w:caps/>
          <w:kern w:val="2"/>
          <w:sz w:val="21"/>
          <w:szCs w:val="21"/>
          <w:highlight w:val="none"/>
        </w:rPr>
        <w:t xml:space="preserve">有以下情形之一的，其投标作否决投标处理： </w:t>
      </w:r>
    </w:p>
    <w:p>
      <w:pPr>
        <w:pStyle w:val="2"/>
        <w:spacing w:before="145"/>
        <w:ind w:left="526"/>
        <w:rPr>
          <w:rFonts w:ascii="宋体" w:hAnsi="宋体" w:cs="宋体"/>
          <w:caps/>
          <w:kern w:val="2"/>
          <w:sz w:val="21"/>
          <w:szCs w:val="21"/>
          <w:highlight w:val="none"/>
        </w:rPr>
      </w:pPr>
      <w:r>
        <w:rPr>
          <w:rFonts w:hint="eastAsia" w:ascii="宋体" w:hAnsi="宋体" w:cs="宋体"/>
          <w:caps/>
          <w:kern w:val="2"/>
          <w:sz w:val="21"/>
          <w:szCs w:val="21"/>
          <w:highlight w:val="none"/>
        </w:rPr>
        <w:t>（1）第二章“</w:t>
      </w:r>
      <w:r>
        <w:rPr>
          <w:rFonts w:hint="eastAsia" w:ascii="宋体" w:hAnsi="宋体" w:cs="宋体"/>
          <w:caps/>
          <w:kern w:val="2"/>
          <w:sz w:val="21"/>
          <w:szCs w:val="21"/>
          <w:highlight w:val="none"/>
          <w:lang w:eastAsia="zh-CN"/>
        </w:rPr>
        <w:t>报价人</w:t>
      </w:r>
      <w:r>
        <w:rPr>
          <w:rFonts w:hint="eastAsia" w:ascii="宋体" w:hAnsi="宋体" w:cs="宋体"/>
          <w:caps/>
          <w:kern w:val="2"/>
          <w:sz w:val="21"/>
          <w:szCs w:val="21"/>
          <w:highlight w:val="none"/>
        </w:rPr>
        <w:t xml:space="preserve">须知”第1.4.3项规定的任何一种情形的； </w:t>
      </w:r>
    </w:p>
    <w:p>
      <w:pPr>
        <w:pStyle w:val="2"/>
        <w:spacing w:before="130"/>
        <w:ind w:left="526"/>
        <w:rPr>
          <w:rFonts w:ascii="宋体" w:hAnsi="宋体" w:cs="宋体"/>
          <w:caps/>
          <w:kern w:val="2"/>
          <w:sz w:val="21"/>
          <w:szCs w:val="21"/>
          <w:highlight w:val="none"/>
        </w:rPr>
      </w:pPr>
      <w:r>
        <w:rPr>
          <w:rFonts w:hint="eastAsia" w:ascii="宋体" w:hAnsi="宋体" w:cs="宋体"/>
          <w:caps/>
          <w:kern w:val="2"/>
          <w:sz w:val="21"/>
          <w:szCs w:val="21"/>
          <w:highlight w:val="none"/>
        </w:rPr>
        <w:t xml:space="preserve">（2）本次投标有串通投标、弄虚作假等其他违反招投标相关法律、法规行为的； </w:t>
      </w:r>
    </w:p>
    <w:p>
      <w:pPr>
        <w:pStyle w:val="2"/>
        <w:spacing w:before="130"/>
        <w:ind w:left="526"/>
        <w:rPr>
          <w:rFonts w:ascii="宋体" w:hAnsi="宋体" w:cs="宋体"/>
          <w:caps/>
          <w:kern w:val="2"/>
          <w:sz w:val="21"/>
          <w:szCs w:val="21"/>
          <w:highlight w:val="none"/>
        </w:rPr>
      </w:pPr>
      <w:r>
        <w:rPr>
          <w:rFonts w:hint="eastAsia" w:ascii="宋体" w:hAnsi="宋体" w:cs="宋体"/>
          <w:caps/>
          <w:kern w:val="2"/>
          <w:sz w:val="21"/>
          <w:szCs w:val="21"/>
          <w:highlight w:val="none"/>
        </w:rPr>
        <w:t xml:space="preserve">（3）拒绝按评标委员会要求澄清、说明或补正的。 </w:t>
      </w:r>
    </w:p>
    <w:p>
      <w:pPr>
        <w:pStyle w:val="2"/>
        <w:spacing w:before="6" w:line="352" w:lineRule="auto"/>
        <w:ind w:firstLine="630" w:firstLineChars="300"/>
        <w:rPr>
          <w:rFonts w:ascii="宋体" w:hAnsi="宋体" w:cs="宋体"/>
          <w:caps/>
          <w:kern w:val="2"/>
          <w:sz w:val="21"/>
          <w:szCs w:val="21"/>
          <w:highlight w:val="none"/>
        </w:rPr>
      </w:pPr>
      <w:r>
        <w:rPr>
          <w:rFonts w:hint="eastAsia" w:ascii="宋体" w:hAnsi="宋体" w:cs="宋体"/>
          <w:caps/>
          <w:kern w:val="2"/>
          <w:sz w:val="21"/>
          <w:szCs w:val="21"/>
          <w:highlight w:val="none"/>
        </w:rPr>
        <w:t>3.1.3 投标报价有算术错误的，评标委员会按以下原则对投标报价进行修正，修正的价格经</w:t>
      </w:r>
      <w:r>
        <w:rPr>
          <w:rFonts w:hint="eastAsia" w:ascii="宋体" w:hAnsi="宋体" w:cs="宋体"/>
          <w:caps/>
          <w:kern w:val="2"/>
          <w:sz w:val="21"/>
          <w:szCs w:val="21"/>
          <w:highlight w:val="none"/>
          <w:lang w:eastAsia="zh-CN"/>
        </w:rPr>
        <w:t>报价人</w:t>
      </w:r>
      <w:r>
        <w:rPr>
          <w:rFonts w:hint="eastAsia" w:ascii="宋体" w:hAnsi="宋体" w:cs="宋体"/>
          <w:caps/>
          <w:kern w:val="2"/>
          <w:sz w:val="21"/>
          <w:szCs w:val="21"/>
          <w:highlight w:val="none"/>
        </w:rPr>
        <w:t xml:space="preserve"> 书面确认后具有约束力，修正原则如下： </w:t>
      </w:r>
    </w:p>
    <w:p>
      <w:pPr>
        <w:pStyle w:val="2"/>
        <w:spacing w:before="32"/>
        <w:ind w:firstLine="420" w:firstLineChars="200"/>
        <w:rPr>
          <w:rFonts w:ascii="宋体" w:hAnsi="宋体" w:cs="宋体"/>
          <w:caps/>
          <w:kern w:val="2"/>
          <w:sz w:val="21"/>
          <w:szCs w:val="21"/>
          <w:highlight w:val="none"/>
        </w:rPr>
      </w:pPr>
      <w:r>
        <w:rPr>
          <w:rFonts w:hint="eastAsia" w:ascii="宋体" w:hAnsi="宋体" w:cs="宋体"/>
          <w:caps/>
          <w:kern w:val="2"/>
          <w:sz w:val="21"/>
          <w:szCs w:val="21"/>
          <w:highlight w:val="none"/>
        </w:rPr>
        <w:t xml:space="preserve">（1）投标文件中的大写金额与小写金额不一致的，以大写金额为准； </w:t>
      </w:r>
    </w:p>
    <w:p>
      <w:pPr>
        <w:pStyle w:val="2"/>
        <w:spacing w:before="145"/>
        <w:ind w:firstLine="420"/>
        <w:rPr>
          <w:rFonts w:ascii="宋体" w:hAnsi="宋体" w:cs="宋体"/>
          <w:caps/>
          <w:kern w:val="2"/>
          <w:sz w:val="21"/>
          <w:szCs w:val="21"/>
          <w:highlight w:val="none"/>
        </w:rPr>
      </w:pPr>
      <w:r>
        <w:rPr>
          <w:rFonts w:hint="eastAsia" w:ascii="宋体" w:hAnsi="宋体" w:cs="宋体"/>
          <w:caps/>
          <w:kern w:val="2"/>
          <w:sz w:val="21"/>
          <w:szCs w:val="21"/>
          <w:highlight w:val="none"/>
        </w:rPr>
        <w:t xml:space="preserve">（2）竞争性比选响应声明书的总报价与已标价工程量清单总报价不一致的，由评标委员会作否决投标处理。 </w:t>
      </w:r>
    </w:p>
    <w:p>
      <w:pPr>
        <w:spacing w:before="169"/>
        <w:ind w:left="106"/>
        <w:rPr>
          <w:rFonts w:ascii="宋体" w:hAnsi="宋体" w:cs="宋体"/>
          <w:caps/>
          <w:szCs w:val="21"/>
          <w:highlight w:val="none"/>
        </w:rPr>
      </w:pPr>
      <w:bookmarkStart w:id="146" w:name="3.2_详细评审"/>
      <w:bookmarkEnd w:id="146"/>
      <w:r>
        <w:rPr>
          <w:rFonts w:hint="eastAsia" w:ascii="宋体" w:hAnsi="宋体" w:cs="宋体"/>
          <w:caps/>
          <w:szCs w:val="21"/>
          <w:highlight w:val="none"/>
        </w:rPr>
        <w:t xml:space="preserve">3.2 详细评审 </w:t>
      </w:r>
    </w:p>
    <w:p>
      <w:pPr>
        <w:pStyle w:val="2"/>
        <w:spacing w:before="61"/>
        <w:ind w:left="526"/>
        <w:rPr>
          <w:rFonts w:ascii="宋体" w:hAnsi="宋体" w:cs="宋体"/>
          <w:caps/>
          <w:kern w:val="2"/>
          <w:sz w:val="21"/>
          <w:szCs w:val="21"/>
          <w:highlight w:val="none"/>
        </w:rPr>
      </w:pPr>
      <w:r>
        <w:rPr>
          <w:rFonts w:hint="eastAsia" w:ascii="宋体" w:hAnsi="宋体" w:cs="宋体"/>
          <w:caps/>
          <w:kern w:val="2"/>
          <w:sz w:val="21"/>
          <w:szCs w:val="21"/>
          <w:highlight w:val="none"/>
        </w:rPr>
        <w:t xml:space="preserve">3.2.1 评标委员会按本章第3.1款、3.2款及3.3款规定的量化因素和分值进行打分，并计算出综合评估得分。 </w:t>
      </w:r>
    </w:p>
    <w:p>
      <w:pPr>
        <w:pStyle w:val="2"/>
        <w:spacing w:before="130" w:line="367" w:lineRule="auto"/>
        <w:ind w:firstLine="420"/>
        <w:rPr>
          <w:rFonts w:ascii="宋体" w:hAnsi="宋体" w:cs="宋体"/>
          <w:caps/>
          <w:kern w:val="2"/>
          <w:sz w:val="21"/>
          <w:szCs w:val="21"/>
          <w:highlight w:val="none"/>
        </w:rPr>
      </w:pPr>
      <w:r>
        <w:rPr>
          <w:rFonts w:hint="eastAsia" w:ascii="宋体" w:hAnsi="宋体" w:cs="宋体"/>
          <w:caps/>
          <w:kern w:val="2"/>
          <w:sz w:val="21"/>
          <w:szCs w:val="21"/>
          <w:highlight w:val="none"/>
        </w:rPr>
        <w:t>（1）按本章第3.3目规定的评审因素和分值对技术部分计算出得分A（所有评委打分中去掉一个最高和一个最低分，余下评委打分取算术平均值为该</w:t>
      </w:r>
      <w:r>
        <w:rPr>
          <w:rFonts w:hint="eastAsia" w:ascii="宋体" w:hAnsi="宋体" w:cs="宋体"/>
          <w:caps/>
          <w:kern w:val="2"/>
          <w:sz w:val="21"/>
          <w:szCs w:val="21"/>
          <w:highlight w:val="none"/>
          <w:lang w:eastAsia="zh-CN"/>
        </w:rPr>
        <w:t>报价人</w:t>
      </w:r>
      <w:r>
        <w:rPr>
          <w:rFonts w:hint="eastAsia" w:ascii="宋体" w:hAnsi="宋体" w:cs="宋体"/>
          <w:caps/>
          <w:kern w:val="2"/>
          <w:sz w:val="21"/>
          <w:szCs w:val="21"/>
          <w:highlight w:val="none"/>
        </w:rPr>
        <w:t xml:space="preserve">技术部分得分。） </w:t>
      </w:r>
    </w:p>
    <w:p>
      <w:pPr>
        <w:pStyle w:val="2"/>
        <w:spacing w:before="19"/>
        <w:ind w:left="526"/>
        <w:rPr>
          <w:rFonts w:ascii="宋体" w:hAnsi="宋体" w:cs="宋体"/>
          <w:caps/>
          <w:kern w:val="2"/>
          <w:sz w:val="21"/>
          <w:szCs w:val="21"/>
          <w:highlight w:val="none"/>
        </w:rPr>
      </w:pPr>
      <w:r>
        <w:rPr>
          <w:rFonts w:hint="eastAsia" w:ascii="宋体" w:hAnsi="宋体" w:cs="宋体"/>
          <w:caps/>
          <w:kern w:val="2"/>
          <w:sz w:val="21"/>
          <w:szCs w:val="21"/>
          <w:highlight w:val="none"/>
        </w:rPr>
        <w:t xml:space="preserve">（2）按本章第3.2目规定的评审因素和分值对商务部分计算出得分B。 </w:t>
      </w:r>
    </w:p>
    <w:p>
      <w:pPr>
        <w:pStyle w:val="2"/>
        <w:spacing w:before="130"/>
        <w:ind w:left="526"/>
        <w:rPr>
          <w:rFonts w:ascii="宋体" w:hAnsi="宋体" w:cs="宋体"/>
          <w:caps/>
          <w:kern w:val="2"/>
          <w:sz w:val="21"/>
          <w:szCs w:val="21"/>
          <w:highlight w:val="none"/>
        </w:rPr>
      </w:pPr>
      <w:r>
        <w:rPr>
          <w:rFonts w:hint="eastAsia" w:ascii="宋体" w:hAnsi="宋体" w:cs="宋体"/>
          <w:caps/>
          <w:kern w:val="2"/>
          <w:sz w:val="21"/>
          <w:szCs w:val="21"/>
          <w:highlight w:val="none"/>
        </w:rPr>
        <w:t xml:space="preserve">（3）按本章第3.1目规定的评审因素和分值对投标总报价计算出得分C。 </w:t>
      </w:r>
    </w:p>
    <w:p>
      <w:pPr>
        <w:pStyle w:val="2"/>
        <w:spacing w:before="130"/>
        <w:ind w:left="526"/>
        <w:rPr>
          <w:rFonts w:ascii="宋体" w:hAnsi="宋体" w:cs="宋体"/>
          <w:caps/>
          <w:kern w:val="2"/>
          <w:sz w:val="21"/>
          <w:szCs w:val="21"/>
          <w:highlight w:val="none"/>
        </w:rPr>
      </w:pPr>
      <w:r>
        <w:rPr>
          <w:rFonts w:hint="eastAsia" w:ascii="宋体" w:hAnsi="宋体" w:cs="宋体"/>
          <w:caps/>
          <w:kern w:val="2"/>
          <w:sz w:val="21"/>
          <w:szCs w:val="21"/>
          <w:highlight w:val="none"/>
        </w:rPr>
        <w:t xml:space="preserve">3.2.2 各类评分分值的最终计算结果保留小数点后两位，小数点后第三位“四舍五入”。 </w:t>
      </w:r>
    </w:p>
    <w:p>
      <w:pPr>
        <w:pStyle w:val="2"/>
        <w:spacing w:before="130"/>
        <w:ind w:left="526"/>
        <w:rPr>
          <w:rFonts w:ascii="宋体" w:hAnsi="宋体" w:cs="宋体"/>
          <w:caps/>
          <w:kern w:val="2"/>
          <w:sz w:val="21"/>
          <w:szCs w:val="21"/>
          <w:highlight w:val="none"/>
        </w:rPr>
      </w:pPr>
      <w:r>
        <w:rPr>
          <w:rFonts w:hint="eastAsia" w:ascii="宋体" w:hAnsi="宋体" w:cs="宋体"/>
          <w:caps/>
          <w:kern w:val="2"/>
          <w:sz w:val="21"/>
          <w:szCs w:val="21"/>
          <w:highlight w:val="none"/>
        </w:rPr>
        <w:t xml:space="preserve">3.2.3  </w:t>
      </w:r>
      <w:r>
        <w:rPr>
          <w:rFonts w:hint="eastAsia" w:ascii="宋体" w:hAnsi="宋体" w:cs="宋体"/>
          <w:caps/>
          <w:kern w:val="2"/>
          <w:sz w:val="21"/>
          <w:szCs w:val="21"/>
          <w:highlight w:val="none"/>
          <w:lang w:eastAsia="zh-CN"/>
        </w:rPr>
        <w:t>报价人</w:t>
      </w:r>
      <w:r>
        <w:rPr>
          <w:rFonts w:hint="eastAsia" w:ascii="宋体" w:hAnsi="宋体" w:cs="宋体"/>
          <w:caps/>
          <w:kern w:val="2"/>
          <w:sz w:val="21"/>
          <w:szCs w:val="21"/>
          <w:highlight w:val="none"/>
        </w:rPr>
        <w:t xml:space="preserve">得分=A+B+C。 </w:t>
      </w:r>
    </w:p>
    <w:p>
      <w:pPr>
        <w:spacing w:before="1"/>
        <w:rPr>
          <w:rFonts w:ascii="宋体" w:hAnsi="宋体" w:cs="宋体"/>
          <w:caps/>
          <w:szCs w:val="21"/>
          <w:highlight w:val="none"/>
        </w:rPr>
      </w:pPr>
    </w:p>
    <w:p>
      <w:pPr>
        <w:ind w:left="106"/>
        <w:rPr>
          <w:rFonts w:ascii="宋体" w:hAnsi="宋体" w:cs="宋体"/>
          <w:caps/>
          <w:szCs w:val="21"/>
          <w:highlight w:val="none"/>
        </w:rPr>
      </w:pPr>
      <w:bookmarkStart w:id="147" w:name="3.3_投标文件的澄清和补正"/>
      <w:bookmarkEnd w:id="147"/>
      <w:r>
        <w:rPr>
          <w:rFonts w:hint="eastAsia" w:ascii="宋体" w:hAnsi="宋体" w:cs="宋体"/>
          <w:caps/>
          <w:szCs w:val="21"/>
          <w:highlight w:val="none"/>
        </w:rPr>
        <w:t xml:space="preserve">3.3 投标文件的澄清和补正 </w:t>
      </w:r>
    </w:p>
    <w:p>
      <w:pPr>
        <w:pStyle w:val="2"/>
        <w:spacing w:before="61" w:line="355" w:lineRule="auto"/>
        <w:ind w:firstLine="420"/>
        <w:rPr>
          <w:rFonts w:ascii="宋体" w:hAnsi="宋体" w:cs="宋体"/>
          <w:caps/>
          <w:kern w:val="2"/>
          <w:sz w:val="21"/>
          <w:szCs w:val="21"/>
          <w:highlight w:val="none"/>
        </w:rPr>
      </w:pPr>
      <w:r>
        <w:rPr>
          <w:rFonts w:hint="eastAsia" w:ascii="宋体" w:hAnsi="宋体" w:cs="宋体"/>
          <w:caps/>
          <w:kern w:val="2"/>
          <w:sz w:val="21"/>
          <w:szCs w:val="21"/>
          <w:highlight w:val="none"/>
        </w:rPr>
        <w:t>3.3.1 在评标过程中，评标委员会可以书面形式要求</w:t>
      </w:r>
      <w:r>
        <w:rPr>
          <w:rFonts w:hint="eastAsia" w:ascii="宋体" w:hAnsi="宋体" w:cs="宋体"/>
          <w:caps/>
          <w:kern w:val="2"/>
          <w:sz w:val="21"/>
          <w:szCs w:val="21"/>
          <w:highlight w:val="none"/>
          <w:lang w:eastAsia="zh-CN"/>
        </w:rPr>
        <w:t>报价人</w:t>
      </w:r>
      <w:r>
        <w:rPr>
          <w:rFonts w:hint="eastAsia" w:ascii="宋体" w:hAnsi="宋体" w:cs="宋体"/>
          <w:caps/>
          <w:kern w:val="2"/>
          <w:sz w:val="21"/>
          <w:szCs w:val="21"/>
          <w:highlight w:val="none"/>
        </w:rPr>
        <w:t>对所提交投标文件中不明确的内容进行 书面澄清或说明，或者对细微偏差进行补正。评标委员会不接受</w:t>
      </w:r>
      <w:r>
        <w:rPr>
          <w:rFonts w:hint="eastAsia" w:ascii="宋体" w:hAnsi="宋体" w:cs="宋体"/>
          <w:caps/>
          <w:kern w:val="2"/>
          <w:sz w:val="21"/>
          <w:szCs w:val="21"/>
          <w:highlight w:val="none"/>
          <w:lang w:eastAsia="zh-CN"/>
        </w:rPr>
        <w:t>报价人</w:t>
      </w:r>
      <w:r>
        <w:rPr>
          <w:rFonts w:hint="eastAsia" w:ascii="宋体" w:hAnsi="宋体" w:cs="宋体"/>
          <w:caps/>
          <w:kern w:val="2"/>
          <w:sz w:val="21"/>
          <w:szCs w:val="21"/>
          <w:highlight w:val="none"/>
        </w:rPr>
        <w:t xml:space="preserve">主动提出的澄清、说明或补正。 </w:t>
      </w:r>
    </w:p>
    <w:p>
      <w:pPr>
        <w:pStyle w:val="2"/>
        <w:spacing w:before="29" w:line="367" w:lineRule="auto"/>
        <w:ind w:firstLine="420"/>
        <w:rPr>
          <w:rFonts w:ascii="宋体" w:hAnsi="宋体" w:cs="宋体"/>
          <w:caps/>
          <w:kern w:val="2"/>
          <w:sz w:val="21"/>
          <w:szCs w:val="21"/>
          <w:highlight w:val="none"/>
        </w:rPr>
      </w:pPr>
      <w:r>
        <w:rPr>
          <w:rFonts w:hint="eastAsia" w:ascii="宋体" w:hAnsi="宋体" w:cs="宋体"/>
          <w:caps/>
          <w:kern w:val="2"/>
          <w:sz w:val="21"/>
          <w:szCs w:val="21"/>
          <w:highlight w:val="none"/>
        </w:rPr>
        <w:t>3.3.2 澄清、说明和补正不得改变投标文件的实质性内容（算术性错误修正的除外）。</w:t>
      </w:r>
      <w:r>
        <w:rPr>
          <w:rFonts w:hint="eastAsia" w:ascii="宋体" w:hAnsi="宋体" w:cs="宋体"/>
          <w:caps/>
          <w:kern w:val="2"/>
          <w:sz w:val="21"/>
          <w:szCs w:val="21"/>
          <w:highlight w:val="none"/>
          <w:lang w:eastAsia="zh-CN"/>
        </w:rPr>
        <w:t>报价人</w:t>
      </w:r>
      <w:r>
        <w:rPr>
          <w:rFonts w:hint="eastAsia" w:ascii="宋体" w:hAnsi="宋体" w:cs="宋体"/>
          <w:caps/>
          <w:kern w:val="2"/>
          <w:sz w:val="21"/>
          <w:szCs w:val="21"/>
          <w:highlight w:val="none"/>
        </w:rPr>
        <w:t xml:space="preserve">的书 面澄清、说明和补正属于投标文件的组成部分。 </w:t>
      </w:r>
    </w:p>
    <w:p>
      <w:pPr>
        <w:pStyle w:val="2"/>
        <w:spacing w:before="19" w:line="355" w:lineRule="auto"/>
        <w:ind w:firstLine="420"/>
        <w:rPr>
          <w:rFonts w:ascii="宋体" w:hAnsi="宋体" w:cs="宋体"/>
          <w:caps/>
          <w:kern w:val="2"/>
          <w:sz w:val="21"/>
          <w:szCs w:val="21"/>
          <w:highlight w:val="none"/>
        </w:rPr>
      </w:pPr>
      <w:r>
        <w:rPr>
          <w:rFonts w:hint="eastAsia" w:ascii="宋体" w:hAnsi="宋体" w:cs="宋体"/>
          <w:caps/>
          <w:kern w:val="2"/>
          <w:sz w:val="21"/>
          <w:szCs w:val="21"/>
          <w:highlight w:val="none"/>
        </w:rPr>
        <w:t>3.3.3 评标委员会对</w:t>
      </w:r>
      <w:r>
        <w:rPr>
          <w:rFonts w:hint="eastAsia" w:ascii="宋体" w:hAnsi="宋体" w:cs="宋体"/>
          <w:caps/>
          <w:kern w:val="2"/>
          <w:sz w:val="21"/>
          <w:szCs w:val="21"/>
          <w:highlight w:val="none"/>
          <w:lang w:eastAsia="zh-CN"/>
        </w:rPr>
        <w:t>报价人</w:t>
      </w:r>
      <w:r>
        <w:rPr>
          <w:rFonts w:hint="eastAsia" w:ascii="宋体" w:hAnsi="宋体" w:cs="宋体"/>
          <w:caps/>
          <w:kern w:val="2"/>
          <w:sz w:val="21"/>
          <w:szCs w:val="21"/>
          <w:highlight w:val="none"/>
        </w:rPr>
        <w:t>提交的澄清、说明或补正有疑问的，可以要求</w:t>
      </w:r>
      <w:r>
        <w:rPr>
          <w:rFonts w:hint="eastAsia" w:ascii="宋体" w:hAnsi="宋体" w:cs="宋体"/>
          <w:caps/>
          <w:kern w:val="2"/>
          <w:sz w:val="21"/>
          <w:szCs w:val="21"/>
          <w:highlight w:val="none"/>
          <w:lang w:eastAsia="zh-CN"/>
        </w:rPr>
        <w:t>报价人</w:t>
      </w:r>
      <w:r>
        <w:rPr>
          <w:rFonts w:hint="eastAsia" w:ascii="宋体" w:hAnsi="宋体" w:cs="宋体"/>
          <w:caps/>
          <w:kern w:val="2"/>
          <w:sz w:val="21"/>
          <w:szCs w:val="21"/>
          <w:highlight w:val="none"/>
        </w:rPr>
        <w:t xml:space="preserve">进一步澄清、说明或补正，直至满足评标委员会的要求。 </w:t>
      </w:r>
    </w:p>
    <w:p>
      <w:pPr>
        <w:spacing w:before="68"/>
        <w:ind w:left="106"/>
        <w:rPr>
          <w:rFonts w:ascii="宋体" w:hAnsi="宋体" w:cs="宋体"/>
          <w:caps/>
          <w:szCs w:val="21"/>
          <w:highlight w:val="none"/>
        </w:rPr>
      </w:pPr>
      <w:bookmarkStart w:id="148" w:name="3.4_评标结果"/>
      <w:bookmarkEnd w:id="148"/>
      <w:r>
        <w:rPr>
          <w:rFonts w:hint="eastAsia" w:ascii="宋体" w:hAnsi="宋体" w:cs="宋体"/>
          <w:caps/>
          <w:szCs w:val="21"/>
          <w:highlight w:val="none"/>
        </w:rPr>
        <w:t xml:space="preserve">3.4 评标结果 </w:t>
      </w:r>
    </w:p>
    <w:p>
      <w:pPr>
        <w:pStyle w:val="2"/>
        <w:spacing w:before="76" w:line="355" w:lineRule="auto"/>
        <w:ind w:firstLine="420"/>
        <w:rPr>
          <w:rFonts w:hint="eastAsia" w:ascii="宋体" w:hAnsi="宋体" w:cs="宋体"/>
          <w:caps/>
          <w:kern w:val="2"/>
          <w:sz w:val="21"/>
          <w:szCs w:val="21"/>
          <w:highlight w:val="none"/>
        </w:rPr>
      </w:pPr>
      <w:r>
        <w:rPr>
          <w:rFonts w:hint="eastAsia" w:ascii="宋体" w:hAnsi="宋体" w:cs="宋体"/>
          <w:caps/>
          <w:kern w:val="2"/>
          <w:sz w:val="21"/>
          <w:szCs w:val="21"/>
          <w:highlight w:val="none"/>
        </w:rPr>
        <w:t>3.4.1 除第二章“</w:t>
      </w:r>
      <w:r>
        <w:rPr>
          <w:rFonts w:hint="eastAsia" w:ascii="宋体" w:hAnsi="宋体" w:cs="宋体"/>
          <w:caps/>
          <w:kern w:val="2"/>
          <w:sz w:val="21"/>
          <w:szCs w:val="21"/>
          <w:highlight w:val="none"/>
          <w:lang w:eastAsia="zh-CN"/>
        </w:rPr>
        <w:t>报价人</w:t>
      </w:r>
      <w:r>
        <w:rPr>
          <w:rFonts w:hint="eastAsia" w:ascii="宋体" w:hAnsi="宋体" w:cs="宋体"/>
          <w:caps/>
          <w:kern w:val="2"/>
          <w:sz w:val="21"/>
          <w:szCs w:val="21"/>
          <w:highlight w:val="none"/>
        </w:rPr>
        <w:t xml:space="preserve">须知”前附表授权直接确定中标人外，评标委员会按照得分由高到低的顺 序推荐中标候选人。 </w:t>
      </w:r>
    </w:p>
    <w:p>
      <w:pPr>
        <w:pStyle w:val="2"/>
        <w:spacing w:before="76" w:line="355" w:lineRule="auto"/>
        <w:ind w:firstLine="420"/>
        <w:jc w:val="both"/>
        <w:rPr>
          <w:rFonts w:hint="eastAsia" w:ascii="宋体" w:hAnsi="宋体" w:cs="宋体"/>
          <w:b w:val="0"/>
          <w:bCs w:val="0"/>
          <w:sz w:val="21"/>
          <w:szCs w:val="21"/>
          <w:highlight w:val="none"/>
        </w:rPr>
      </w:pPr>
      <w:r>
        <w:rPr>
          <w:rFonts w:hint="eastAsia" w:ascii="宋体" w:hAnsi="宋体" w:cs="宋体"/>
          <w:b w:val="0"/>
          <w:bCs w:val="0"/>
          <w:sz w:val="21"/>
          <w:szCs w:val="21"/>
          <w:highlight w:val="none"/>
        </w:rPr>
        <w:t>3.4.2 评标委员会完成评标后，应当向</w:t>
      </w:r>
      <w:r>
        <w:rPr>
          <w:rFonts w:hint="eastAsia" w:ascii="宋体" w:hAnsi="宋体" w:cs="宋体"/>
          <w:b w:val="0"/>
          <w:bCs w:val="0"/>
          <w:sz w:val="21"/>
          <w:szCs w:val="21"/>
          <w:highlight w:val="none"/>
          <w:lang w:eastAsia="zh-CN"/>
        </w:rPr>
        <w:t>采购人</w:t>
      </w:r>
      <w:r>
        <w:rPr>
          <w:rFonts w:hint="eastAsia" w:ascii="宋体" w:hAnsi="宋体" w:cs="宋体"/>
          <w:b w:val="0"/>
          <w:bCs w:val="0"/>
          <w:sz w:val="21"/>
          <w:szCs w:val="21"/>
          <w:highlight w:val="none"/>
        </w:rPr>
        <w:t>提交书面评标报告。</w:t>
      </w:r>
    </w:p>
    <w:p>
      <w:pPr>
        <w:pStyle w:val="2"/>
        <w:spacing w:before="76" w:line="355" w:lineRule="auto"/>
        <w:ind w:firstLine="420"/>
        <w:jc w:val="center"/>
        <w:rPr>
          <w:highlight w:val="none"/>
        </w:rPr>
      </w:pPr>
      <w:r>
        <w:rPr>
          <w:rFonts w:hint="eastAsia" w:ascii="宋体" w:hAnsi="宋体" w:cs="宋体"/>
          <w:b w:val="0"/>
          <w:bCs w:val="0"/>
          <w:sz w:val="21"/>
          <w:szCs w:val="21"/>
          <w:highlight w:val="none"/>
        </w:rPr>
        <w:t xml:space="preserve"> </w:t>
      </w:r>
      <w:r>
        <w:rPr>
          <w:rFonts w:hint="eastAsia"/>
          <w:highlight w:val="none"/>
        </w:rPr>
        <w:br w:type="page"/>
      </w:r>
      <w:bookmarkStart w:id="149" w:name="_Toc32568"/>
      <w:r>
        <w:rPr>
          <w:rStyle w:val="82"/>
          <w:rFonts w:hint="eastAsia"/>
          <w:b/>
          <w:bCs/>
          <w:highlight w:val="none"/>
        </w:rPr>
        <w:t>第四章 报价说明</w:t>
      </w:r>
      <w:bookmarkEnd w:id="149"/>
    </w:p>
    <w:p>
      <w:pPr>
        <w:pStyle w:val="28"/>
        <w:spacing w:line="380" w:lineRule="exact"/>
        <w:ind w:firstLine="420" w:firstLineChars="200"/>
        <w:rPr>
          <w:rFonts w:ascii="宋体" w:hAnsi="宋体" w:cs="宋体"/>
          <w:b w:val="0"/>
          <w:bCs w:val="0"/>
          <w:color w:val="auto"/>
          <w:sz w:val="21"/>
          <w:szCs w:val="21"/>
          <w:highlight w:val="none"/>
        </w:rPr>
      </w:pPr>
      <w:r>
        <w:rPr>
          <w:rFonts w:hint="eastAsia" w:ascii="宋体" w:hAnsi="宋体" w:eastAsia="宋体" w:cs="宋体"/>
          <w:b w:val="0"/>
          <w:bCs w:val="0"/>
          <w:sz w:val="21"/>
          <w:szCs w:val="21"/>
          <w:highlight w:val="none"/>
          <w:lang w:val="en-US" w:eastAsia="zh-CN"/>
        </w:rPr>
        <w:t>1、</w:t>
      </w:r>
      <w:r>
        <w:rPr>
          <w:rFonts w:hint="eastAsia" w:ascii="宋体" w:hAnsi="宋体" w:cs="宋体"/>
          <w:b w:val="0"/>
          <w:bCs w:val="0"/>
          <w:color w:val="auto"/>
          <w:sz w:val="21"/>
          <w:szCs w:val="21"/>
          <w:highlight w:val="none"/>
        </w:rPr>
        <w:t>工程量清单应与本工程竞争性比选文件、技术标准和要求等文件结合起来查阅与理解。</w:t>
      </w:r>
    </w:p>
    <w:p>
      <w:pPr>
        <w:pStyle w:val="28"/>
        <w:spacing w:line="380" w:lineRule="exact"/>
        <w:ind w:firstLine="420" w:firstLineChars="200"/>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2、本竞争性比选报价采用综合单价报价。综合单价是指完成本项目所包含的全部服务内容所包含的所有责任、义务和风险等各项费用，如驻地办公、生活、交通（含差旅）</w:t>
      </w: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rPr>
        <w:t>利润、税金（含增值税）、培训、企业管理费、利润、规费、税金（含增值税）、等所有的直接费、间接费和风险费。</w:t>
      </w:r>
    </w:p>
    <w:p>
      <w:pPr>
        <w:pStyle w:val="28"/>
        <w:spacing w:line="380" w:lineRule="exact"/>
        <w:ind w:firstLine="420" w:firstLineChars="200"/>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3</w:t>
      </w:r>
      <w:r>
        <w:rPr>
          <w:rFonts w:hint="eastAsia" w:ascii="宋体" w:hAnsi="宋体" w:cs="宋体"/>
          <w:b w:val="0"/>
          <w:bCs w:val="0"/>
          <w:color w:val="auto"/>
          <w:sz w:val="21"/>
          <w:szCs w:val="21"/>
          <w:highlight w:val="none"/>
        </w:rPr>
        <w:t>、报价人应结合现在的市场情况、自身技术及管理水平、经营状况及制定的方案的要求自行报价，该报价不低于报价人完成该项目的成本。</w:t>
      </w:r>
    </w:p>
    <w:p>
      <w:pPr>
        <w:pStyle w:val="28"/>
        <w:spacing w:line="380" w:lineRule="exact"/>
        <w:ind w:firstLine="420" w:firstLineChars="200"/>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4</w:t>
      </w:r>
      <w:r>
        <w:rPr>
          <w:rFonts w:hint="eastAsia" w:ascii="宋体" w:hAnsi="宋体" w:cs="宋体"/>
          <w:b w:val="0"/>
          <w:bCs w:val="0"/>
          <w:color w:val="auto"/>
          <w:sz w:val="21"/>
          <w:szCs w:val="21"/>
          <w:highlight w:val="none"/>
        </w:rPr>
        <w:t>、报价中的单价和合价全部以人民币（元）表示。</w:t>
      </w:r>
    </w:p>
    <w:p>
      <w:pPr>
        <w:pStyle w:val="28"/>
        <w:spacing w:line="380" w:lineRule="exact"/>
        <w:ind w:firstLine="420" w:firstLineChars="200"/>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5</w:t>
      </w:r>
      <w:r>
        <w:rPr>
          <w:rFonts w:hint="eastAsia" w:ascii="宋体" w:hAnsi="宋体" w:cs="宋体"/>
          <w:b w:val="0"/>
          <w:bCs w:val="0"/>
          <w:color w:val="auto"/>
          <w:sz w:val="21"/>
          <w:szCs w:val="21"/>
          <w:highlight w:val="none"/>
        </w:rPr>
        <w:t>、对于报价人报价中明显高于市场价的单项报价，采购人有权进行价格审核后调整。调整后应以取得报价人的同意，并确认修正后的最终报价。如果报价人拒绝确认，则其竞争性响应文件将不予评审。</w:t>
      </w:r>
    </w:p>
    <w:p>
      <w:pPr>
        <w:pStyle w:val="28"/>
        <w:spacing w:line="380" w:lineRule="exact"/>
        <w:ind w:firstLine="420" w:firstLineChars="200"/>
        <w:rPr>
          <w:rFonts w:hint="eastAsia" w:ascii="宋体" w:hAnsi="宋体" w:cs="宋体"/>
          <w:b w:val="0"/>
          <w:bCs w:val="0"/>
          <w:sz w:val="21"/>
          <w:szCs w:val="21"/>
          <w:highlight w:val="yellow"/>
        </w:rPr>
      </w:pPr>
      <w:r>
        <w:rPr>
          <w:rFonts w:hint="eastAsia" w:ascii="宋体" w:hAnsi="宋体" w:cs="宋体"/>
          <w:b w:val="0"/>
          <w:bCs w:val="0"/>
          <w:color w:val="auto"/>
          <w:sz w:val="21"/>
          <w:szCs w:val="21"/>
          <w:highlight w:val="none"/>
          <w:lang w:val="en-US" w:eastAsia="zh-CN"/>
        </w:rPr>
        <w:t>6</w:t>
      </w:r>
      <w:r>
        <w:rPr>
          <w:rFonts w:hint="eastAsia" w:ascii="宋体" w:hAnsi="宋体" w:cs="宋体"/>
          <w:b w:val="0"/>
          <w:bCs w:val="0"/>
          <w:color w:val="auto"/>
          <w:sz w:val="21"/>
          <w:szCs w:val="21"/>
          <w:highlight w:val="none"/>
        </w:rPr>
        <w:t>、合同为单价合同，合同期间不予调价。</w:t>
      </w:r>
    </w:p>
    <w:p>
      <w:pPr>
        <w:rPr>
          <w:rFonts w:hint="eastAsia" w:ascii="宋体" w:hAnsi="宋体" w:cs="宋体"/>
          <w:b w:val="0"/>
          <w:bCs w:val="0"/>
          <w:sz w:val="21"/>
          <w:szCs w:val="21"/>
          <w:highlight w:val="none"/>
        </w:rPr>
      </w:pPr>
    </w:p>
    <w:p>
      <w:pPr>
        <w:pStyle w:val="28"/>
        <w:rPr>
          <w:rFonts w:hint="eastAsia"/>
        </w:rPr>
      </w:pPr>
    </w:p>
    <w:p>
      <w:pPr>
        <w:rPr>
          <w:rFonts w:hint="eastAsia" w:ascii="宋体" w:hAnsi="宋体" w:cs="宋体"/>
          <w:b w:val="0"/>
          <w:bCs w:val="0"/>
          <w:sz w:val="21"/>
          <w:szCs w:val="21"/>
          <w:highlight w:val="none"/>
        </w:rPr>
      </w:pPr>
    </w:p>
    <w:p>
      <w:pPr>
        <w:pStyle w:val="28"/>
        <w:rPr>
          <w:rFonts w:hint="eastAsia" w:ascii="宋体" w:hAnsi="宋体" w:cs="宋体"/>
          <w:b w:val="0"/>
          <w:bCs w:val="0"/>
          <w:sz w:val="21"/>
          <w:szCs w:val="21"/>
          <w:highlight w:val="none"/>
        </w:rPr>
      </w:pPr>
    </w:p>
    <w:p>
      <w:pPr>
        <w:rPr>
          <w:rFonts w:hint="eastAsia" w:ascii="宋体" w:hAnsi="宋体" w:cs="宋体"/>
          <w:b w:val="0"/>
          <w:bCs w:val="0"/>
          <w:sz w:val="21"/>
          <w:szCs w:val="21"/>
          <w:highlight w:val="none"/>
        </w:rPr>
      </w:pPr>
    </w:p>
    <w:p>
      <w:pPr>
        <w:pStyle w:val="28"/>
        <w:rPr>
          <w:rFonts w:hint="eastAsia" w:ascii="宋体" w:hAnsi="宋体" w:cs="宋体"/>
          <w:b w:val="0"/>
          <w:bCs w:val="0"/>
          <w:sz w:val="21"/>
          <w:szCs w:val="21"/>
          <w:highlight w:val="none"/>
        </w:rPr>
      </w:pPr>
    </w:p>
    <w:p>
      <w:pPr>
        <w:rPr>
          <w:rFonts w:hint="eastAsia" w:ascii="宋体" w:hAnsi="宋体" w:cs="宋体"/>
          <w:b w:val="0"/>
          <w:bCs w:val="0"/>
          <w:sz w:val="21"/>
          <w:szCs w:val="21"/>
          <w:highlight w:val="none"/>
        </w:rPr>
      </w:pPr>
    </w:p>
    <w:p>
      <w:pPr>
        <w:pStyle w:val="28"/>
        <w:rPr>
          <w:rFonts w:hint="eastAsia" w:ascii="宋体" w:hAnsi="宋体" w:cs="宋体"/>
          <w:b w:val="0"/>
          <w:bCs w:val="0"/>
          <w:sz w:val="21"/>
          <w:szCs w:val="21"/>
          <w:highlight w:val="none"/>
        </w:rPr>
      </w:pPr>
    </w:p>
    <w:p>
      <w:pPr>
        <w:spacing w:before="0" w:after="0" w:line="360" w:lineRule="auto"/>
        <w:jc w:val="center"/>
        <w:rPr>
          <w:rFonts w:hint="eastAsia" w:ascii="宋体" w:hAnsi="宋体" w:cs="宋体"/>
          <w:highlight w:val="none"/>
        </w:rPr>
      </w:pPr>
      <w:bookmarkStart w:id="150" w:name="_Toc179632789"/>
      <w:bookmarkStart w:id="151" w:name="_Toc152045772"/>
      <w:bookmarkStart w:id="152" w:name="_Toc247085855"/>
      <w:bookmarkStart w:id="153" w:name="_Toc246996340"/>
      <w:bookmarkStart w:id="154" w:name="_Toc246997083"/>
      <w:bookmarkStart w:id="155" w:name="_Toc152042554"/>
      <w:bookmarkStart w:id="156" w:name="_Toc514858705"/>
      <w:bookmarkStart w:id="157" w:name="_Toc10838"/>
      <w:bookmarkStart w:id="158" w:name="_Toc144974834"/>
      <w:bookmarkStart w:id="159" w:name="_Toc2000409"/>
      <w:bookmarkStart w:id="160" w:name="_Toc152045786"/>
      <w:bookmarkStart w:id="161" w:name="_Toc152042575"/>
      <w:bookmarkStart w:id="162" w:name="_Toc247085872"/>
      <w:bookmarkStart w:id="163" w:name="_Toc246997097"/>
      <w:bookmarkStart w:id="164" w:name="_Toc144974855"/>
      <w:bookmarkStart w:id="165" w:name="_Toc179632806"/>
      <w:bookmarkStart w:id="166" w:name="_Toc246996354"/>
      <w:r>
        <w:rPr>
          <w:rFonts w:hint="eastAsia" w:ascii="宋体" w:hAnsi="宋体" w:cs="宋体"/>
          <w:highlight w:val="none"/>
        </w:rPr>
        <w:br w:type="page"/>
      </w:r>
    </w:p>
    <w:p>
      <w:pPr>
        <w:pStyle w:val="3"/>
        <w:spacing w:before="0" w:after="0" w:line="360" w:lineRule="auto"/>
        <w:jc w:val="center"/>
        <w:rPr>
          <w:rFonts w:ascii="宋体" w:hAnsi="宋体" w:cs="宋体"/>
          <w:highlight w:val="none"/>
        </w:rPr>
      </w:pPr>
      <w:r>
        <w:rPr>
          <w:rFonts w:hint="eastAsia" w:ascii="宋体" w:hAnsi="宋体" w:cs="宋体"/>
          <w:highlight w:val="none"/>
        </w:rPr>
        <w:t>第五章  工程量清单</w:t>
      </w:r>
      <w:bookmarkEnd w:id="150"/>
      <w:bookmarkEnd w:id="151"/>
      <w:bookmarkEnd w:id="152"/>
      <w:bookmarkEnd w:id="153"/>
      <w:bookmarkEnd w:id="154"/>
      <w:bookmarkEnd w:id="155"/>
      <w:bookmarkEnd w:id="156"/>
      <w:bookmarkEnd w:id="157"/>
      <w:bookmarkEnd w:id="158"/>
      <w:bookmarkEnd w:id="159"/>
    </w:p>
    <w:p>
      <w:pPr>
        <w:jc w:val="center"/>
        <w:rPr>
          <w:rFonts w:hint="eastAsia" w:ascii="宋体" w:hAnsi="宋体" w:cs="宋体"/>
          <w:b/>
          <w:highlight w:val="none"/>
        </w:rPr>
      </w:pPr>
      <w:bookmarkStart w:id="167" w:name="_Toc247096438"/>
      <w:bookmarkStart w:id="168" w:name="_Toc152045782"/>
      <w:bookmarkStart w:id="169" w:name="_Toc144974851"/>
      <w:bookmarkStart w:id="170" w:name="_Toc246997093"/>
      <w:bookmarkStart w:id="171" w:name="_Toc247085866"/>
      <w:bookmarkStart w:id="172" w:name="_Toc152042571"/>
      <w:bookmarkStart w:id="173" w:name="_Toc503951042"/>
      <w:bookmarkStart w:id="174" w:name="_Toc179632800"/>
      <w:bookmarkStart w:id="175" w:name="_Toc2000410"/>
      <w:bookmarkStart w:id="176" w:name="_Toc514858706"/>
      <w:bookmarkStart w:id="177" w:name="_Toc513633963"/>
      <w:bookmarkStart w:id="178" w:name="_Toc246996350"/>
      <w:bookmarkStart w:id="179" w:name="_Toc447827048"/>
      <w:r>
        <w:rPr>
          <w:rFonts w:hint="eastAsia" w:ascii="宋体" w:hAnsi="宋体" w:cs="宋体"/>
          <w:b/>
          <w:kern w:val="0"/>
          <w:sz w:val="24"/>
          <w:highlight w:val="none"/>
        </w:rPr>
        <w:t>详见竞争性比选文件附件。</w:t>
      </w:r>
    </w:p>
    <w:p>
      <w:pPr>
        <w:pStyle w:val="2"/>
        <w:rPr>
          <w:rFonts w:hint="eastAsia" w:ascii="宋体" w:hAnsi="宋体" w:cs="宋体"/>
          <w:b/>
          <w:color w:val="000000" w:themeColor="text1"/>
          <w:kern w:val="0"/>
          <w:sz w:val="24"/>
          <w:highlight w:val="none"/>
          <w14:textFill>
            <w14:solidFill>
              <w14:schemeClr w14:val="tx1"/>
            </w14:solidFill>
          </w14:textFill>
        </w:rPr>
      </w:pPr>
    </w:p>
    <w:p>
      <w:pPr>
        <w:rPr>
          <w:rFonts w:hint="eastAsia" w:ascii="宋体" w:hAnsi="宋体" w:cs="宋体"/>
          <w:b/>
          <w:color w:val="000000" w:themeColor="text1"/>
          <w:kern w:val="0"/>
          <w:sz w:val="24"/>
          <w:highlight w:val="none"/>
          <w14:textFill>
            <w14:solidFill>
              <w14:schemeClr w14:val="tx1"/>
            </w14:solidFill>
          </w14:textFill>
        </w:rPr>
      </w:pPr>
    </w:p>
    <w:p>
      <w:pPr>
        <w:pStyle w:val="2"/>
        <w:rPr>
          <w:rFonts w:hint="eastAsia" w:ascii="宋体" w:hAnsi="宋体" w:cs="宋体"/>
          <w:b/>
          <w:color w:val="000000" w:themeColor="text1"/>
          <w:kern w:val="0"/>
          <w:sz w:val="24"/>
          <w:highlight w:val="none"/>
          <w14:textFill>
            <w14:solidFill>
              <w14:schemeClr w14:val="tx1"/>
            </w14:solidFill>
          </w14:textFill>
        </w:rPr>
      </w:pPr>
    </w:p>
    <w:p>
      <w:pPr>
        <w:rPr>
          <w:rFonts w:hint="eastAsia" w:ascii="宋体" w:hAnsi="宋体" w:cs="宋体"/>
          <w:b/>
          <w:color w:val="000000" w:themeColor="text1"/>
          <w:kern w:val="0"/>
          <w:sz w:val="24"/>
          <w:highlight w:val="none"/>
          <w14:textFill>
            <w14:solidFill>
              <w14:schemeClr w14:val="tx1"/>
            </w14:solidFill>
          </w14:textFill>
        </w:rPr>
      </w:pPr>
    </w:p>
    <w:p>
      <w:pPr>
        <w:pStyle w:val="2"/>
        <w:rPr>
          <w:rFonts w:hint="eastAsia" w:ascii="宋体" w:hAnsi="宋体" w:cs="宋体"/>
          <w:b/>
          <w:color w:val="000000" w:themeColor="text1"/>
          <w:kern w:val="0"/>
          <w:sz w:val="24"/>
          <w:highlight w:val="none"/>
          <w14:textFill>
            <w14:solidFill>
              <w14:schemeClr w14:val="tx1"/>
            </w14:solidFill>
          </w14:textFill>
        </w:rPr>
      </w:pPr>
    </w:p>
    <w:p>
      <w:pPr>
        <w:rPr>
          <w:rFonts w:hint="eastAsia" w:ascii="宋体" w:hAnsi="宋体" w:cs="宋体"/>
          <w:b/>
          <w:color w:val="000000" w:themeColor="text1"/>
          <w:kern w:val="0"/>
          <w:sz w:val="24"/>
          <w:highlight w:val="none"/>
          <w14:textFill>
            <w14:solidFill>
              <w14:schemeClr w14:val="tx1"/>
            </w14:solidFill>
          </w14:textFill>
        </w:rPr>
      </w:pPr>
    </w:p>
    <w:p>
      <w:pPr>
        <w:pStyle w:val="2"/>
        <w:rPr>
          <w:rFonts w:hint="eastAsia" w:ascii="宋体" w:hAnsi="宋体" w:cs="宋体"/>
          <w:b/>
          <w:color w:val="000000" w:themeColor="text1"/>
          <w:kern w:val="0"/>
          <w:sz w:val="24"/>
          <w:highlight w:val="none"/>
          <w14:textFill>
            <w14:solidFill>
              <w14:schemeClr w14:val="tx1"/>
            </w14:solidFill>
          </w14:textFill>
        </w:rPr>
      </w:pPr>
    </w:p>
    <w:p>
      <w:pPr>
        <w:rPr>
          <w:rFonts w:hint="eastAsia" w:ascii="宋体" w:hAnsi="宋体" w:cs="宋体"/>
          <w:b/>
          <w:color w:val="000000" w:themeColor="text1"/>
          <w:kern w:val="0"/>
          <w:sz w:val="24"/>
          <w:highlight w:val="none"/>
          <w14:textFill>
            <w14:solidFill>
              <w14:schemeClr w14:val="tx1"/>
            </w14:solidFill>
          </w14:textFill>
        </w:rPr>
      </w:pPr>
    </w:p>
    <w:p>
      <w:pPr>
        <w:pStyle w:val="2"/>
        <w:rPr>
          <w:rFonts w:hint="eastAsia" w:ascii="宋体" w:hAnsi="宋体" w:cs="宋体"/>
          <w:b/>
          <w:color w:val="000000" w:themeColor="text1"/>
          <w:kern w:val="0"/>
          <w:sz w:val="24"/>
          <w:highlight w:val="none"/>
          <w14:textFill>
            <w14:solidFill>
              <w14:schemeClr w14:val="tx1"/>
            </w14:solidFill>
          </w14:textFill>
        </w:rPr>
      </w:pPr>
    </w:p>
    <w:p>
      <w:pPr>
        <w:rPr>
          <w:rFonts w:hint="eastAsia" w:ascii="宋体" w:hAnsi="宋体" w:cs="宋体"/>
          <w:b/>
          <w:color w:val="000000" w:themeColor="text1"/>
          <w:kern w:val="0"/>
          <w:sz w:val="24"/>
          <w:highlight w:val="none"/>
          <w14:textFill>
            <w14:solidFill>
              <w14:schemeClr w14:val="tx1"/>
            </w14:solidFill>
          </w14:textFill>
        </w:rPr>
      </w:pPr>
    </w:p>
    <w:p>
      <w:pPr>
        <w:pStyle w:val="2"/>
        <w:rPr>
          <w:rFonts w:hint="eastAsia" w:ascii="宋体" w:hAnsi="宋体" w:cs="宋体"/>
          <w:b/>
          <w:color w:val="000000" w:themeColor="text1"/>
          <w:kern w:val="0"/>
          <w:sz w:val="24"/>
          <w:highlight w:val="none"/>
          <w14:textFill>
            <w14:solidFill>
              <w14:schemeClr w14:val="tx1"/>
            </w14:solidFill>
          </w14:textFill>
        </w:rPr>
      </w:pPr>
    </w:p>
    <w:p>
      <w:pPr>
        <w:rPr>
          <w:rFonts w:hint="eastAsia" w:ascii="宋体" w:hAnsi="宋体" w:cs="宋体"/>
          <w:b/>
          <w:color w:val="000000" w:themeColor="text1"/>
          <w:kern w:val="0"/>
          <w:sz w:val="24"/>
          <w:highlight w:val="none"/>
          <w14:textFill>
            <w14:solidFill>
              <w14:schemeClr w14:val="tx1"/>
            </w14:solidFill>
          </w14:textFill>
        </w:rPr>
      </w:pPr>
    </w:p>
    <w:p>
      <w:pPr>
        <w:pStyle w:val="2"/>
        <w:rPr>
          <w:rFonts w:hint="eastAsia" w:ascii="宋体" w:hAnsi="宋体" w:cs="宋体"/>
          <w:b/>
          <w:color w:val="000000" w:themeColor="text1"/>
          <w:kern w:val="0"/>
          <w:sz w:val="24"/>
          <w:highlight w:val="none"/>
          <w14:textFill>
            <w14:solidFill>
              <w14:schemeClr w14:val="tx1"/>
            </w14:solidFill>
          </w14:textFill>
        </w:rPr>
      </w:pPr>
    </w:p>
    <w:p>
      <w:pPr>
        <w:rPr>
          <w:rFonts w:hint="eastAsia" w:ascii="宋体" w:hAnsi="宋体" w:cs="宋体"/>
          <w:b/>
          <w:color w:val="000000" w:themeColor="text1"/>
          <w:kern w:val="0"/>
          <w:sz w:val="24"/>
          <w:highlight w:val="none"/>
          <w14:textFill>
            <w14:solidFill>
              <w14:schemeClr w14:val="tx1"/>
            </w14:solidFill>
          </w14:textFill>
        </w:rPr>
      </w:pPr>
    </w:p>
    <w:p>
      <w:pPr>
        <w:pStyle w:val="2"/>
        <w:rPr>
          <w:rFonts w:hint="eastAsia" w:ascii="宋体" w:hAnsi="宋体" w:cs="宋体"/>
          <w:b/>
          <w:color w:val="000000" w:themeColor="text1"/>
          <w:kern w:val="0"/>
          <w:sz w:val="24"/>
          <w:highlight w:val="none"/>
          <w14:textFill>
            <w14:solidFill>
              <w14:schemeClr w14:val="tx1"/>
            </w14:solidFill>
          </w14:textFill>
        </w:rPr>
      </w:pPr>
    </w:p>
    <w:p>
      <w:pPr>
        <w:rPr>
          <w:rFonts w:hint="eastAsia" w:ascii="宋体" w:hAnsi="宋体" w:cs="宋体"/>
          <w:b/>
          <w:color w:val="000000" w:themeColor="text1"/>
          <w:kern w:val="0"/>
          <w:sz w:val="24"/>
          <w:highlight w:val="none"/>
          <w14:textFill>
            <w14:solidFill>
              <w14:schemeClr w14:val="tx1"/>
            </w14:solidFill>
          </w14:textFill>
        </w:rPr>
      </w:pPr>
    </w:p>
    <w:p>
      <w:pPr>
        <w:pStyle w:val="2"/>
        <w:rPr>
          <w:rFonts w:hint="eastAsia" w:ascii="宋体" w:hAnsi="宋体" w:cs="宋体"/>
          <w:b/>
          <w:color w:val="000000" w:themeColor="text1"/>
          <w:kern w:val="0"/>
          <w:sz w:val="24"/>
          <w:highlight w:val="none"/>
          <w14:textFill>
            <w14:solidFill>
              <w14:schemeClr w14:val="tx1"/>
            </w14:solidFill>
          </w14:textFill>
        </w:rPr>
      </w:pPr>
    </w:p>
    <w:p>
      <w:pPr>
        <w:rPr>
          <w:rFonts w:hint="eastAsia" w:ascii="宋体" w:hAnsi="宋体" w:cs="宋体"/>
          <w:b/>
          <w:color w:val="000000" w:themeColor="text1"/>
          <w:kern w:val="0"/>
          <w:sz w:val="24"/>
          <w:highlight w:val="none"/>
          <w14:textFill>
            <w14:solidFill>
              <w14:schemeClr w14:val="tx1"/>
            </w14:solidFill>
          </w14:textFill>
        </w:rPr>
      </w:pPr>
    </w:p>
    <w:p>
      <w:pPr>
        <w:pStyle w:val="2"/>
        <w:rPr>
          <w:rFonts w:hint="eastAsia" w:ascii="宋体" w:hAnsi="宋体" w:cs="宋体"/>
          <w:b/>
          <w:color w:val="000000" w:themeColor="text1"/>
          <w:kern w:val="0"/>
          <w:sz w:val="24"/>
          <w:highlight w:val="none"/>
          <w14:textFill>
            <w14:solidFill>
              <w14:schemeClr w14:val="tx1"/>
            </w14:solidFill>
          </w14:textFill>
        </w:rPr>
      </w:pPr>
    </w:p>
    <w:p>
      <w:pPr>
        <w:rPr>
          <w:rFonts w:hint="eastAsia" w:ascii="宋体" w:hAnsi="宋体" w:cs="宋体"/>
          <w:b/>
          <w:color w:val="000000" w:themeColor="text1"/>
          <w:kern w:val="0"/>
          <w:sz w:val="24"/>
          <w:highlight w:val="none"/>
          <w14:textFill>
            <w14:solidFill>
              <w14:schemeClr w14:val="tx1"/>
            </w14:solidFill>
          </w14:textFill>
        </w:rPr>
      </w:pPr>
    </w:p>
    <w:p>
      <w:pPr>
        <w:pStyle w:val="2"/>
        <w:rPr>
          <w:rFonts w:hint="eastAsia" w:ascii="宋体" w:hAnsi="宋体" w:cs="宋体"/>
          <w:b/>
          <w:color w:val="000000" w:themeColor="text1"/>
          <w:kern w:val="0"/>
          <w:sz w:val="24"/>
          <w:highlight w:val="none"/>
          <w14:textFill>
            <w14:solidFill>
              <w14:schemeClr w14:val="tx1"/>
            </w14:solidFill>
          </w14:textFill>
        </w:rPr>
      </w:pPr>
    </w:p>
    <w:p>
      <w:pPr>
        <w:rPr>
          <w:rFonts w:hint="eastAsia" w:ascii="宋体" w:hAnsi="宋体" w:cs="宋体"/>
          <w:b/>
          <w:color w:val="000000" w:themeColor="text1"/>
          <w:kern w:val="0"/>
          <w:sz w:val="24"/>
          <w:highlight w:val="none"/>
          <w14:textFill>
            <w14:solidFill>
              <w14:schemeClr w14:val="tx1"/>
            </w14:solidFill>
          </w14:textFill>
        </w:rPr>
      </w:pPr>
    </w:p>
    <w:p>
      <w:pPr>
        <w:pStyle w:val="2"/>
        <w:rPr>
          <w:rFonts w:hint="eastAsia" w:ascii="宋体" w:hAnsi="宋体" w:cs="宋体"/>
          <w:b/>
          <w:color w:val="000000" w:themeColor="text1"/>
          <w:kern w:val="0"/>
          <w:sz w:val="24"/>
          <w:highlight w:val="none"/>
          <w14:textFill>
            <w14:solidFill>
              <w14:schemeClr w14:val="tx1"/>
            </w14:solidFill>
          </w14:textFill>
        </w:rPr>
      </w:pPr>
    </w:p>
    <w:p>
      <w:pPr>
        <w:rPr>
          <w:rFonts w:hint="eastAsia" w:ascii="宋体" w:hAnsi="宋体" w:cs="宋体"/>
          <w:b/>
          <w:color w:val="000000" w:themeColor="text1"/>
          <w:kern w:val="0"/>
          <w:sz w:val="24"/>
          <w:highlight w:val="none"/>
          <w14:textFill>
            <w14:solidFill>
              <w14:schemeClr w14:val="tx1"/>
            </w14:solidFill>
          </w14:textFill>
        </w:rPr>
      </w:pPr>
    </w:p>
    <w:p>
      <w:pPr>
        <w:pStyle w:val="2"/>
        <w:rPr>
          <w:rFonts w:hint="eastAsia" w:ascii="宋体" w:hAnsi="宋体" w:cs="宋体"/>
          <w:b/>
          <w:color w:val="000000" w:themeColor="text1"/>
          <w:kern w:val="0"/>
          <w:sz w:val="24"/>
          <w:highlight w:val="none"/>
          <w14:textFill>
            <w14:solidFill>
              <w14:schemeClr w14:val="tx1"/>
            </w14:solidFill>
          </w14:textFill>
        </w:rPr>
      </w:pPr>
    </w:p>
    <w:p>
      <w:pPr>
        <w:rPr>
          <w:rFonts w:hint="eastAsia" w:ascii="宋体" w:hAnsi="宋体" w:cs="宋体"/>
          <w:b/>
          <w:color w:val="000000" w:themeColor="text1"/>
          <w:kern w:val="0"/>
          <w:sz w:val="24"/>
          <w:highlight w:val="none"/>
          <w14:textFill>
            <w14:solidFill>
              <w14:schemeClr w14:val="tx1"/>
            </w14:solidFill>
          </w14:textFill>
        </w:rPr>
      </w:pPr>
    </w:p>
    <w:p>
      <w:pPr>
        <w:pStyle w:val="2"/>
        <w:rPr>
          <w:rFonts w:hint="eastAsia" w:ascii="宋体" w:hAnsi="宋体" w:cs="宋体"/>
          <w:b/>
          <w:color w:val="000000" w:themeColor="text1"/>
          <w:kern w:val="0"/>
          <w:sz w:val="24"/>
          <w:highlight w:val="none"/>
          <w14:textFill>
            <w14:solidFill>
              <w14:schemeClr w14:val="tx1"/>
            </w14:solidFill>
          </w14:textFill>
        </w:rPr>
      </w:pPr>
    </w:p>
    <w:p>
      <w:pPr>
        <w:rPr>
          <w:rFonts w:hint="eastAsia" w:ascii="宋体" w:hAnsi="宋体" w:cs="宋体"/>
          <w:b/>
          <w:color w:val="000000" w:themeColor="text1"/>
          <w:kern w:val="0"/>
          <w:sz w:val="24"/>
          <w:highlight w:val="none"/>
          <w14:textFill>
            <w14:solidFill>
              <w14:schemeClr w14:val="tx1"/>
            </w14:solidFill>
          </w14:textFill>
        </w:rPr>
      </w:pPr>
    </w:p>
    <w:p>
      <w:pPr>
        <w:pStyle w:val="2"/>
        <w:rPr>
          <w:rFonts w:hint="eastAsia" w:ascii="宋体" w:hAnsi="宋体" w:cs="宋体"/>
          <w:b/>
          <w:color w:val="000000" w:themeColor="text1"/>
          <w:kern w:val="0"/>
          <w:sz w:val="24"/>
          <w:highlight w:val="none"/>
          <w14:textFill>
            <w14:solidFill>
              <w14:schemeClr w14:val="tx1"/>
            </w14:solidFill>
          </w14:textFill>
        </w:rPr>
      </w:pPr>
    </w:p>
    <w:p>
      <w:pPr>
        <w:rPr>
          <w:rFonts w:hint="eastAsia" w:ascii="宋体" w:hAnsi="宋体" w:cs="宋体"/>
          <w:b/>
          <w:color w:val="000000" w:themeColor="text1"/>
          <w:kern w:val="0"/>
          <w:sz w:val="24"/>
          <w:highlight w:val="none"/>
          <w14:textFill>
            <w14:solidFill>
              <w14:schemeClr w14:val="tx1"/>
            </w14:solidFill>
          </w14:textFill>
        </w:rPr>
      </w:pPr>
    </w:p>
    <w:p>
      <w:pPr>
        <w:pStyle w:val="2"/>
        <w:rPr>
          <w:rFonts w:hint="eastAsia" w:ascii="宋体" w:hAnsi="宋体" w:cs="宋体"/>
          <w:b/>
          <w:color w:val="000000" w:themeColor="text1"/>
          <w:kern w:val="0"/>
          <w:sz w:val="24"/>
          <w:highlight w:val="none"/>
          <w14:textFill>
            <w14:solidFill>
              <w14:schemeClr w14:val="tx1"/>
            </w14:solidFill>
          </w14:textFill>
        </w:rPr>
      </w:pPr>
    </w:p>
    <w:p>
      <w:pPr>
        <w:rPr>
          <w:rFonts w:hint="eastAsia"/>
        </w:rPr>
      </w:pPr>
    </w:p>
    <w:p>
      <w:pPr>
        <w:pStyle w:val="3"/>
        <w:spacing w:before="0" w:after="0" w:line="360" w:lineRule="auto"/>
        <w:jc w:val="center"/>
        <w:rPr>
          <w:rFonts w:ascii="宋体" w:hAnsi="宋体" w:cs="宋体"/>
          <w:highlight w:val="none"/>
        </w:rPr>
      </w:pPr>
      <w:bookmarkStart w:id="180" w:name="_Toc2064"/>
      <w:r>
        <w:rPr>
          <w:rFonts w:hint="eastAsia" w:ascii="宋体" w:hAnsi="宋体" w:cs="宋体"/>
          <w:highlight w:val="none"/>
        </w:rPr>
        <w:t>第六章  图  纸</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pPr>
        <w:jc w:val="center"/>
        <w:rPr>
          <w:rFonts w:hint="eastAsia" w:ascii="宋体" w:hAnsi="宋体" w:cs="宋体"/>
          <w:b/>
          <w:highlight w:val="none"/>
        </w:rPr>
      </w:pPr>
      <w:bookmarkStart w:id="181" w:name="_Toc513633964"/>
      <w:bookmarkStart w:id="182" w:name="_Toc152045785"/>
      <w:bookmarkStart w:id="183" w:name="_Toc179632804"/>
      <w:bookmarkStart w:id="184" w:name="_Toc514858707"/>
      <w:bookmarkStart w:id="185" w:name="_Toc152042574"/>
      <w:bookmarkStart w:id="186" w:name="_Toc246996353"/>
      <w:bookmarkStart w:id="187" w:name="_Toc247085870"/>
      <w:bookmarkStart w:id="188" w:name="_Toc447827049"/>
      <w:bookmarkStart w:id="189" w:name="_Toc246997096"/>
      <w:bookmarkStart w:id="190" w:name="_Toc15316"/>
      <w:bookmarkStart w:id="191" w:name="_Toc2000411"/>
      <w:bookmarkStart w:id="192" w:name="_Toc144974854"/>
      <w:bookmarkStart w:id="193" w:name="_Toc503951043"/>
      <w:r>
        <w:rPr>
          <w:rFonts w:hint="eastAsia" w:ascii="宋体" w:hAnsi="宋体" w:cs="宋体"/>
          <w:b/>
          <w:kern w:val="0"/>
          <w:sz w:val="24"/>
          <w:highlight w:val="none"/>
          <w:lang w:val="en-US" w:eastAsia="zh-CN"/>
        </w:rPr>
        <w:t>无要求</w:t>
      </w:r>
      <w:r>
        <w:rPr>
          <w:rFonts w:hint="eastAsia" w:ascii="宋体" w:hAnsi="宋体" w:cs="宋体"/>
          <w:b/>
          <w:kern w:val="0"/>
          <w:sz w:val="24"/>
          <w:highlight w:val="none"/>
        </w:rPr>
        <w:t>。</w:t>
      </w:r>
    </w:p>
    <w:p>
      <w:pPr>
        <w:pStyle w:val="3"/>
        <w:spacing w:before="0" w:after="0" w:line="360" w:lineRule="auto"/>
        <w:jc w:val="center"/>
        <w:rPr>
          <w:rFonts w:hint="eastAsia" w:ascii="宋体" w:hAnsi="宋体" w:cs="宋体"/>
          <w:highlight w:val="none"/>
        </w:rPr>
      </w:pPr>
    </w:p>
    <w:p>
      <w:pPr>
        <w:pStyle w:val="3"/>
        <w:spacing w:before="0" w:after="0" w:line="360" w:lineRule="auto"/>
        <w:jc w:val="center"/>
        <w:rPr>
          <w:rFonts w:hint="eastAsia" w:ascii="宋体" w:hAnsi="宋体" w:cs="宋体"/>
          <w:highlight w:val="none"/>
        </w:rPr>
      </w:pPr>
    </w:p>
    <w:p>
      <w:pPr>
        <w:pStyle w:val="3"/>
        <w:spacing w:before="0" w:after="0" w:line="360" w:lineRule="auto"/>
        <w:jc w:val="center"/>
        <w:rPr>
          <w:rFonts w:hint="eastAsia" w:ascii="宋体" w:hAnsi="宋体" w:cs="宋体"/>
          <w:highlight w:val="none"/>
        </w:rPr>
      </w:pPr>
    </w:p>
    <w:p>
      <w:pPr>
        <w:pStyle w:val="3"/>
        <w:spacing w:before="0" w:after="0" w:line="360" w:lineRule="auto"/>
        <w:jc w:val="center"/>
        <w:rPr>
          <w:rFonts w:hint="eastAsia" w:ascii="宋体" w:hAnsi="宋体" w:cs="宋体"/>
          <w:highlight w:val="none"/>
        </w:rPr>
      </w:pPr>
    </w:p>
    <w:p>
      <w:pPr>
        <w:pStyle w:val="3"/>
        <w:spacing w:before="0" w:after="0" w:line="360" w:lineRule="auto"/>
        <w:jc w:val="center"/>
        <w:rPr>
          <w:rFonts w:hint="eastAsia" w:ascii="宋体" w:hAnsi="宋体" w:cs="宋体"/>
          <w:highlight w:val="none"/>
        </w:rPr>
      </w:pPr>
    </w:p>
    <w:p>
      <w:pPr>
        <w:pStyle w:val="3"/>
        <w:spacing w:before="0" w:after="0" w:line="360" w:lineRule="auto"/>
        <w:jc w:val="center"/>
        <w:rPr>
          <w:rFonts w:hint="eastAsia" w:ascii="宋体" w:hAnsi="宋体" w:cs="宋体"/>
          <w:highlight w:val="none"/>
        </w:rPr>
      </w:pPr>
    </w:p>
    <w:p>
      <w:pPr>
        <w:pStyle w:val="3"/>
        <w:spacing w:before="0" w:after="0" w:line="360" w:lineRule="auto"/>
        <w:jc w:val="center"/>
        <w:rPr>
          <w:rFonts w:hint="eastAsia" w:ascii="宋体" w:hAnsi="宋体" w:cs="宋体"/>
          <w:highlight w:val="none"/>
        </w:rPr>
      </w:pPr>
    </w:p>
    <w:p>
      <w:pPr>
        <w:pStyle w:val="3"/>
        <w:spacing w:before="0" w:after="0" w:line="360" w:lineRule="auto"/>
        <w:jc w:val="center"/>
        <w:rPr>
          <w:rFonts w:hint="eastAsia" w:ascii="宋体" w:hAnsi="宋体" w:cs="宋体"/>
          <w:highlight w:val="none"/>
        </w:rPr>
      </w:pPr>
    </w:p>
    <w:p>
      <w:pPr>
        <w:pStyle w:val="3"/>
        <w:spacing w:before="0" w:after="0" w:line="360" w:lineRule="auto"/>
        <w:jc w:val="center"/>
        <w:rPr>
          <w:rFonts w:hint="eastAsia" w:ascii="宋体" w:hAnsi="宋体" w:cs="宋体"/>
          <w:highlight w:val="none"/>
        </w:rPr>
      </w:pPr>
    </w:p>
    <w:p>
      <w:pPr>
        <w:pStyle w:val="3"/>
        <w:spacing w:before="0" w:after="0" w:line="360" w:lineRule="auto"/>
        <w:jc w:val="center"/>
        <w:rPr>
          <w:rFonts w:hint="eastAsia" w:ascii="宋体" w:hAnsi="宋体" w:cs="宋体"/>
          <w:highlight w:val="none"/>
        </w:rPr>
      </w:pPr>
    </w:p>
    <w:p>
      <w:pPr>
        <w:pStyle w:val="3"/>
        <w:spacing w:before="0" w:after="0" w:line="360" w:lineRule="auto"/>
        <w:jc w:val="center"/>
        <w:rPr>
          <w:rFonts w:hint="eastAsia" w:ascii="宋体" w:hAnsi="宋体" w:cs="宋体"/>
          <w:highlight w:val="none"/>
        </w:rPr>
      </w:pPr>
    </w:p>
    <w:p>
      <w:pPr>
        <w:rPr>
          <w:rFonts w:hint="eastAsia" w:ascii="宋体" w:hAnsi="宋体" w:cs="宋体"/>
          <w:highlight w:val="none"/>
        </w:rPr>
      </w:pPr>
    </w:p>
    <w:p>
      <w:pPr>
        <w:pStyle w:val="42"/>
        <w:rPr>
          <w:rFonts w:hint="eastAsia" w:ascii="宋体" w:hAnsi="宋体" w:cs="宋体"/>
          <w:highlight w:val="none"/>
        </w:rPr>
      </w:pPr>
    </w:p>
    <w:p>
      <w:pPr>
        <w:pStyle w:val="42"/>
        <w:rPr>
          <w:rFonts w:hint="eastAsia" w:ascii="宋体" w:hAnsi="宋体" w:cs="宋体"/>
          <w:highlight w:val="none"/>
        </w:rPr>
      </w:pPr>
    </w:p>
    <w:p>
      <w:pPr>
        <w:pStyle w:val="42"/>
        <w:rPr>
          <w:rFonts w:hint="eastAsia" w:ascii="宋体" w:hAnsi="宋体" w:cs="宋体"/>
          <w:highlight w:val="none"/>
        </w:rPr>
      </w:pPr>
    </w:p>
    <w:p>
      <w:pPr>
        <w:pStyle w:val="42"/>
        <w:rPr>
          <w:rFonts w:hint="eastAsia" w:ascii="宋体" w:hAnsi="宋体" w:cs="宋体"/>
          <w:highlight w:val="none"/>
        </w:rPr>
      </w:pPr>
    </w:p>
    <w:p>
      <w:pPr>
        <w:pStyle w:val="42"/>
        <w:rPr>
          <w:rFonts w:hint="eastAsia" w:ascii="宋体" w:hAnsi="宋体" w:cs="宋体"/>
          <w:highlight w:val="none"/>
        </w:rPr>
      </w:pPr>
    </w:p>
    <w:p>
      <w:pPr>
        <w:pStyle w:val="42"/>
        <w:rPr>
          <w:rFonts w:hint="eastAsia" w:ascii="宋体" w:hAnsi="宋体" w:cs="宋体"/>
          <w:highlight w:val="none"/>
        </w:rPr>
      </w:pPr>
    </w:p>
    <w:p>
      <w:pPr>
        <w:pStyle w:val="42"/>
        <w:rPr>
          <w:rFonts w:hint="eastAsia" w:ascii="宋体" w:hAnsi="宋体" w:cs="宋体"/>
          <w:highlight w:val="none"/>
        </w:rPr>
      </w:pPr>
    </w:p>
    <w:p>
      <w:pPr>
        <w:pStyle w:val="42"/>
        <w:rPr>
          <w:rFonts w:hint="eastAsia" w:ascii="宋体" w:hAnsi="宋体" w:cs="宋体"/>
          <w:highlight w:val="none"/>
        </w:rPr>
      </w:pPr>
    </w:p>
    <w:p>
      <w:pPr>
        <w:pStyle w:val="42"/>
        <w:rPr>
          <w:rFonts w:hint="eastAsia" w:ascii="宋体" w:hAnsi="宋体" w:cs="宋体"/>
          <w:highlight w:val="none"/>
        </w:rPr>
      </w:pPr>
    </w:p>
    <w:p>
      <w:pPr>
        <w:pStyle w:val="42"/>
        <w:rPr>
          <w:rFonts w:hint="eastAsia" w:ascii="宋体" w:hAnsi="宋体" w:cs="宋体"/>
          <w:highlight w:val="none"/>
        </w:rPr>
      </w:pPr>
    </w:p>
    <w:p>
      <w:pPr>
        <w:pStyle w:val="42"/>
        <w:rPr>
          <w:rFonts w:hint="eastAsia" w:ascii="宋体" w:hAnsi="宋体" w:cs="宋体"/>
          <w:highlight w:val="none"/>
        </w:rPr>
      </w:pPr>
    </w:p>
    <w:p>
      <w:pPr>
        <w:pStyle w:val="3"/>
        <w:spacing w:before="0" w:after="0" w:line="360" w:lineRule="auto"/>
        <w:jc w:val="center"/>
        <w:rPr>
          <w:rFonts w:ascii="宋体" w:hAnsi="宋体" w:cs="宋体"/>
          <w:highlight w:val="none"/>
        </w:rPr>
      </w:pPr>
      <w:r>
        <w:rPr>
          <w:rFonts w:hint="eastAsia" w:ascii="宋体" w:hAnsi="宋体" w:cs="宋体"/>
          <w:highlight w:val="none"/>
        </w:rPr>
        <w:t>第七章  技术标准和工作要求</w:t>
      </w:r>
      <w:bookmarkEnd w:id="181"/>
      <w:bookmarkEnd w:id="182"/>
      <w:bookmarkEnd w:id="183"/>
      <w:bookmarkEnd w:id="184"/>
      <w:bookmarkEnd w:id="185"/>
      <w:bookmarkEnd w:id="186"/>
      <w:bookmarkEnd w:id="187"/>
      <w:bookmarkEnd w:id="188"/>
      <w:bookmarkEnd w:id="189"/>
      <w:bookmarkEnd w:id="190"/>
      <w:bookmarkEnd w:id="191"/>
      <w:bookmarkEnd w:id="192"/>
      <w:bookmarkEnd w:id="193"/>
    </w:p>
    <w:bookmarkEnd w:id="160"/>
    <w:bookmarkEnd w:id="161"/>
    <w:bookmarkEnd w:id="162"/>
    <w:bookmarkEnd w:id="163"/>
    <w:bookmarkEnd w:id="164"/>
    <w:bookmarkEnd w:id="165"/>
    <w:bookmarkEnd w:id="166"/>
    <w:p>
      <w:pPr>
        <w:jc w:val="center"/>
        <w:rPr>
          <w:rFonts w:hint="eastAsia" w:ascii="宋体" w:hAnsi="宋体" w:eastAsia="宋体" w:cs="宋体"/>
          <w:b/>
          <w:kern w:val="0"/>
          <w:sz w:val="24"/>
          <w:highlight w:val="none"/>
          <w:lang w:val="en-US" w:eastAsia="zh-CN"/>
        </w:rPr>
      </w:pPr>
      <w:bookmarkStart w:id="194" w:name="_Toc513633965"/>
      <w:bookmarkStart w:id="195" w:name="_Toc247085873"/>
      <w:bookmarkStart w:id="196" w:name="_Toc152042576"/>
      <w:bookmarkStart w:id="197" w:name="_Toc246996355"/>
      <w:bookmarkStart w:id="198" w:name="_Toc179632807"/>
      <w:bookmarkStart w:id="199" w:name="_Toc144974856"/>
      <w:bookmarkStart w:id="200" w:name="_Toc507320039"/>
      <w:bookmarkStart w:id="201" w:name="_Toc152045787"/>
      <w:bookmarkStart w:id="202" w:name="_Toc246997098"/>
      <w:r>
        <w:rPr>
          <w:rFonts w:hint="eastAsia" w:ascii="宋体" w:hAnsi="宋体" w:cs="宋体"/>
          <w:b/>
          <w:kern w:val="0"/>
          <w:sz w:val="24"/>
          <w:highlight w:val="none"/>
          <w:lang w:val="en-US" w:eastAsia="zh-CN"/>
        </w:rPr>
        <w:t>无要求</w:t>
      </w:r>
      <w:r>
        <w:rPr>
          <w:rFonts w:hint="eastAsia" w:ascii="宋体" w:hAnsi="宋体" w:eastAsia="宋体" w:cs="宋体"/>
          <w:b/>
          <w:kern w:val="0"/>
          <w:sz w:val="24"/>
          <w:highlight w:val="none"/>
          <w:lang w:val="en-US" w:eastAsia="zh-CN"/>
        </w:rPr>
        <w:t>。</w:t>
      </w:r>
    </w:p>
    <w:p>
      <w:pPr>
        <w:pStyle w:val="3"/>
        <w:spacing w:before="0" w:after="0" w:line="360" w:lineRule="auto"/>
        <w:jc w:val="center"/>
        <w:rPr>
          <w:rFonts w:hint="eastAsia" w:ascii="宋体" w:hAnsi="宋体" w:cs="宋体"/>
          <w:color w:val="000000" w:themeColor="text1"/>
          <w:highlight w:val="none"/>
          <w14:textFill>
            <w14:solidFill>
              <w14:schemeClr w14:val="tx1"/>
            </w14:solidFill>
          </w14:textFill>
        </w:rPr>
      </w:pPr>
      <w:bookmarkStart w:id="203" w:name="_Toc15140"/>
    </w:p>
    <w:p>
      <w:pPr>
        <w:rPr>
          <w:rFonts w:hint="eastAsia" w:ascii="宋体" w:hAnsi="宋体" w:cs="宋体"/>
          <w:color w:val="000000" w:themeColor="text1"/>
          <w:highlight w:val="none"/>
          <w14:textFill>
            <w14:solidFill>
              <w14:schemeClr w14:val="tx1"/>
            </w14:solidFill>
          </w14:textFill>
        </w:rPr>
      </w:pPr>
    </w:p>
    <w:p>
      <w:pPr>
        <w:pStyle w:val="2"/>
        <w:rPr>
          <w:rFonts w:hint="eastAsia"/>
        </w:rPr>
      </w:pPr>
    </w:p>
    <w:p>
      <w:pPr>
        <w:rPr>
          <w:rFonts w:hint="eastAsia" w:ascii="宋体" w:hAnsi="宋体" w:cs="宋体"/>
          <w:color w:val="000000" w:themeColor="text1"/>
          <w:highlight w:val="none"/>
          <w14:textFill>
            <w14:solidFill>
              <w14:schemeClr w14:val="tx1"/>
            </w14:solidFill>
          </w14:textFill>
        </w:rPr>
      </w:pPr>
    </w:p>
    <w:p>
      <w:pPr>
        <w:pStyle w:val="2"/>
        <w:rPr>
          <w:rFonts w:hint="eastAsia"/>
        </w:rPr>
      </w:pPr>
    </w:p>
    <w:p>
      <w:pPr>
        <w:pStyle w:val="3"/>
        <w:spacing w:before="0" w:after="0" w:line="360" w:lineRule="auto"/>
        <w:jc w:val="center"/>
        <w:rPr>
          <w:rFonts w:hint="eastAsia" w:ascii="宋体" w:hAnsi="宋体" w:cs="宋体"/>
          <w:color w:val="000000" w:themeColor="text1"/>
          <w:highlight w:val="none"/>
          <w14:textFill>
            <w14:solidFill>
              <w14:schemeClr w14:val="tx1"/>
            </w14:solidFill>
          </w14:textFill>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3"/>
        <w:spacing w:before="0" w:after="0"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第八章  合同范本</w:t>
      </w:r>
      <w:bookmarkEnd w:id="203"/>
    </w:p>
    <w:p>
      <w:pPr>
        <w:pStyle w:val="3"/>
        <w:wordWrap w:val="0"/>
        <w:jc w:val="center"/>
        <w:rPr>
          <w:rFonts w:hint="eastAsia" w:ascii="仿宋" w:hAnsi="仿宋" w:eastAsia="仿宋" w:cs="仿宋"/>
          <w:bCs/>
          <w:sz w:val="48"/>
          <w:szCs w:val="48"/>
        </w:rPr>
      </w:pPr>
      <w:bookmarkStart w:id="204" w:name="_Toc357601099"/>
      <w:r>
        <w:rPr>
          <w:rFonts w:hint="eastAsia" w:ascii="仿宋" w:hAnsi="仿宋" w:eastAsia="仿宋" w:cs="仿宋"/>
          <w:bCs/>
          <w:sz w:val="48"/>
          <w:szCs w:val="48"/>
        </w:rPr>
        <w:t>委托咨询服务协议</w:t>
      </w:r>
      <w:bookmarkEnd w:id="204"/>
    </w:p>
    <w:p>
      <w:pPr>
        <w:rPr>
          <w:rFonts w:hint="eastAsia"/>
        </w:rPr>
      </w:pPr>
    </w:p>
    <w:p>
      <w:pPr>
        <w:wordWrap w:val="0"/>
        <w:spacing w:line="520" w:lineRule="exact"/>
        <w:ind w:firstLine="643" w:firstLineChars="200"/>
        <w:jc w:val="left"/>
        <w:textAlignment w:val="center"/>
        <w:rPr>
          <w:rFonts w:hint="eastAsia" w:ascii="仿宋" w:hAnsi="仿宋" w:eastAsia="仿宋" w:cs="仿宋"/>
          <w:b/>
          <w:bCs/>
          <w:sz w:val="32"/>
          <w:szCs w:val="32"/>
        </w:rPr>
      </w:pPr>
    </w:p>
    <w:p>
      <w:pPr>
        <w:wordWrap w:val="0"/>
        <w:spacing w:line="500" w:lineRule="exact"/>
        <w:ind w:firstLine="562" w:firstLineChars="200"/>
        <w:jc w:val="left"/>
        <w:textAlignment w:val="center"/>
        <w:rPr>
          <w:rFonts w:hint="eastAsia" w:ascii="仿宋" w:hAnsi="仿宋" w:eastAsia="仿宋" w:cs="仿宋"/>
          <w:b/>
          <w:bCs/>
          <w:sz w:val="28"/>
          <w:szCs w:val="28"/>
        </w:rPr>
      </w:pPr>
      <w:r>
        <w:rPr>
          <w:rFonts w:hint="eastAsia" w:ascii="仿宋" w:hAnsi="仿宋" w:eastAsia="仿宋" w:cs="仿宋"/>
          <w:b/>
          <w:bCs/>
          <w:sz w:val="28"/>
          <w:szCs w:val="28"/>
        </w:rPr>
        <w:t>甲方：重庆首讯科技股份有限公司</w:t>
      </w:r>
    </w:p>
    <w:p>
      <w:pPr>
        <w:wordWrap w:val="0"/>
        <w:spacing w:line="500" w:lineRule="exact"/>
        <w:ind w:firstLine="562" w:firstLineChars="200"/>
        <w:jc w:val="left"/>
        <w:textAlignment w:val="center"/>
        <w:rPr>
          <w:rFonts w:hint="eastAsia" w:ascii="仿宋" w:hAnsi="仿宋" w:eastAsia="仿宋" w:cs="仿宋"/>
          <w:b/>
          <w:bCs/>
          <w:sz w:val="28"/>
          <w:szCs w:val="28"/>
        </w:rPr>
      </w:pPr>
      <w:r>
        <w:rPr>
          <w:rFonts w:hint="eastAsia" w:ascii="仿宋" w:hAnsi="仿宋" w:eastAsia="仿宋" w:cs="仿宋"/>
          <w:b/>
          <w:bCs/>
          <w:sz w:val="28"/>
          <w:szCs w:val="28"/>
        </w:rPr>
        <w:t>乙方：</w:t>
      </w:r>
    </w:p>
    <w:p>
      <w:pPr>
        <w:wordWrap w:val="0"/>
        <w:spacing w:line="500" w:lineRule="exact"/>
        <w:ind w:firstLine="560" w:firstLineChars="200"/>
        <w:jc w:val="left"/>
        <w:textAlignment w:val="center"/>
        <w:rPr>
          <w:rFonts w:hint="eastAsia" w:ascii="仿宋" w:hAnsi="仿宋" w:eastAsia="仿宋" w:cs="仿宋"/>
          <w:sz w:val="28"/>
          <w:szCs w:val="28"/>
        </w:rPr>
      </w:pPr>
      <w:r>
        <w:rPr>
          <w:rFonts w:hint="eastAsia" w:ascii="仿宋" w:hAnsi="仿宋" w:eastAsia="仿宋" w:cs="仿宋"/>
          <w:sz w:val="28"/>
          <w:szCs w:val="28"/>
        </w:rPr>
        <w:t>根据《</w:t>
      </w:r>
      <w:r>
        <w:rPr>
          <w:rFonts w:hint="eastAsia" w:ascii="仿宋" w:hAnsi="仿宋" w:eastAsia="仿宋" w:cs="仿宋"/>
          <w:sz w:val="28"/>
          <w:szCs w:val="28"/>
          <w:lang w:val="en-US" w:eastAsia="zh-CN"/>
        </w:rPr>
        <w:t>中华人民共和国民法典</w:t>
      </w:r>
      <w:r>
        <w:rPr>
          <w:rFonts w:hint="eastAsia" w:ascii="仿宋" w:hAnsi="仿宋" w:eastAsia="仿宋" w:cs="仿宋"/>
          <w:sz w:val="28"/>
          <w:szCs w:val="28"/>
        </w:rPr>
        <w:t>》等有关法律规定，甲乙双方本着平等互利、诚实信用、友好合作的意愿，经协商一致，达成本协议，供双方共同遵守：</w:t>
      </w:r>
    </w:p>
    <w:p>
      <w:pPr>
        <w:pStyle w:val="4"/>
        <w:numPr>
          <w:ilvl w:val="0"/>
          <w:numId w:val="5"/>
        </w:numPr>
        <w:wordWrap w:val="0"/>
        <w:spacing w:line="500" w:lineRule="exact"/>
        <w:ind w:firstLineChars="0"/>
        <w:jc w:val="left"/>
        <w:rPr>
          <w:rFonts w:hint="eastAsia" w:ascii="仿宋" w:hAnsi="仿宋" w:eastAsia="仿宋" w:cs="仿宋"/>
          <w:b/>
          <w:bCs/>
          <w:szCs w:val="28"/>
        </w:rPr>
      </w:pPr>
      <w:r>
        <w:rPr>
          <w:rFonts w:hint="eastAsia" w:ascii="仿宋" w:hAnsi="仿宋" w:eastAsia="仿宋" w:cs="仿宋"/>
          <w:b/>
          <w:bCs/>
          <w:szCs w:val="28"/>
        </w:rPr>
        <w:t>委托事项与委托期限</w:t>
      </w:r>
    </w:p>
    <w:p>
      <w:pPr>
        <w:wordWrap w:val="0"/>
        <w:spacing w:line="500" w:lineRule="exact"/>
        <w:ind w:firstLine="560" w:firstLineChars="200"/>
        <w:jc w:val="left"/>
        <w:textAlignment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甲方按本协议的约定，委托乙方为甲方申办</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eastAsia="zh-CN"/>
        </w:rPr>
        <w:t>机电工程施工总承包二级资质</w:t>
      </w:r>
      <w:r>
        <w:rPr>
          <w:rFonts w:hint="eastAsia" w:ascii="仿宋" w:hAnsi="仿宋" w:eastAsia="仿宋" w:cs="仿宋"/>
          <w:color w:val="auto"/>
          <w:sz w:val="28"/>
          <w:szCs w:val="28"/>
          <w:highlight w:val="none"/>
        </w:rPr>
        <w:t>提供咨询服务。乙方</w:t>
      </w:r>
      <w:r>
        <w:rPr>
          <w:rFonts w:hint="eastAsia" w:ascii="仿宋" w:hAnsi="仿宋" w:eastAsia="仿宋" w:cs="仿宋"/>
          <w:color w:val="auto"/>
          <w:sz w:val="28"/>
          <w:szCs w:val="28"/>
          <w:highlight w:val="none"/>
          <w:lang w:val="en-US" w:eastAsia="zh-CN"/>
        </w:rPr>
        <w:t>负责推荐申报机电工程施工总承包二级资质所需技术负责人（技术负责人具备以下条件：（1）具有8年以上从事工程施工技术管理工作经历，且具有机电工程相关专业高级职称或机电工程专业一级注册建造师执业资格；（2）技术负责人（或注册建造师）主持完成过本类别资质二级以上标准要求的工程业绩不少2项。机电工程指：机械、电子、轻工、纺织、航天航空、船舶、兵器等工业工程的机电安装（港口与航道、水利水电、电力、矿山、冶金、石油化工、通信工程的机电安装不算）以及2名专业工程师（暖通专业中级职称1名，给排水专业高级职称1名，给排水专业高级职称工程师且有8年以上从事消防设施工程施工技术管理工作经历）和1名建筑专业二级建造师、申办方案编制、资料收集及整理、修订，申办资料汇总、送审，与资质审批主管部门沟通协调促进资质顺利获取，直至甲方领取主管部门核发的机电工程施工总承包二级资质证书为止。</w:t>
      </w:r>
    </w:p>
    <w:p>
      <w:pPr>
        <w:wordWrap w:val="0"/>
        <w:spacing w:line="500" w:lineRule="exact"/>
        <w:ind w:firstLine="560" w:firstLineChars="200"/>
        <w:jc w:val="left"/>
        <w:textAlignment w:val="center"/>
        <w:rPr>
          <w:rFonts w:ascii="仿宋" w:hAnsi="仿宋" w:eastAsia="仿宋" w:cs="仿宋"/>
          <w:sz w:val="28"/>
          <w:szCs w:val="28"/>
        </w:rPr>
      </w:pPr>
      <w:r>
        <w:rPr>
          <w:rFonts w:hint="eastAsia" w:ascii="仿宋" w:hAnsi="仿宋" w:eastAsia="仿宋" w:cs="仿宋"/>
          <w:sz w:val="28"/>
          <w:szCs w:val="28"/>
          <w:lang w:val="en-US" w:eastAsia="zh-CN"/>
        </w:rPr>
        <w:t>预计服务期限</w:t>
      </w:r>
      <w:r>
        <w:rPr>
          <w:rFonts w:hint="eastAsia" w:ascii="仿宋" w:hAnsi="仿宋" w:eastAsia="仿宋" w:cs="仿宋"/>
          <w:sz w:val="28"/>
          <w:szCs w:val="28"/>
          <w:highlight w:val="none"/>
          <w:lang w:val="en-US" w:eastAsia="zh-CN"/>
        </w:rPr>
        <w:t>为2024年9月10日至2024年11月31日。</w:t>
      </w:r>
    </w:p>
    <w:p>
      <w:pPr>
        <w:wordWrap w:val="0"/>
        <w:spacing w:line="500" w:lineRule="exact"/>
        <w:ind w:firstLine="562" w:firstLineChars="200"/>
        <w:jc w:val="left"/>
        <w:textAlignment w:val="center"/>
        <w:rPr>
          <w:rFonts w:hint="eastAsia" w:ascii="仿宋" w:hAnsi="仿宋" w:eastAsia="仿宋" w:cs="仿宋"/>
          <w:b/>
          <w:bCs/>
          <w:sz w:val="28"/>
          <w:szCs w:val="28"/>
        </w:rPr>
      </w:pPr>
      <w:r>
        <w:rPr>
          <w:rFonts w:hint="eastAsia" w:ascii="仿宋" w:hAnsi="仿宋" w:eastAsia="仿宋" w:cs="仿宋"/>
          <w:b/>
          <w:bCs/>
          <w:sz w:val="28"/>
          <w:szCs w:val="28"/>
        </w:rPr>
        <w:t>二、时间要求：</w:t>
      </w:r>
    </w:p>
    <w:p>
      <w:pPr>
        <w:wordWrap w:val="0"/>
        <w:spacing w:line="500" w:lineRule="exact"/>
        <w:ind w:firstLine="560" w:firstLineChars="200"/>
        <w:jc w:val="left"/>
        <w:textAlignment w:val="center"/>
        <w:rPr>
          <w:rFonts w:hint="eastAsia" w:ascii="仿宋" w:hAnsi="仿宋" w:eastAsia="仿宋" w:cs="仿宋"/>
          <w:bCs w:val="0"/>
          <w:sz w:val="28"/>
          <w:szCs w:val="28"/>
          <w:lang w:eastAsia="zh-CN"/>
        </w:rPr>
      </w:pPr>
      <w:r>
        <w:rPr>
          <w:rFonts w:hint="eastAsia" w:ascii="仿宋" w:hAnsi="仿宋" w:eastAsia="仿宋" w:cs="仿宋"/>
          <w:bCs w:val="0"/>
          <w:sz w:val="28"/>
          <w:szCs w:val="28"/>
        </w:rPr>
        <w:t>1、协议签订后</w:t>
      </w:r>
      <w:r>
        <w:rPr>
          <w:rFonts w:hint="eastAsia" w:ascii="仿宋" w:hAnsi="仿宋" w:eastAsia="仿宋" w:cs="仿宋"/>
          <w:bCs w:val="0"/>
          <w:sz w:val="28"/>
          <w:szCs w:val="28"/>
          <w:u w:val="single"/>
          <w:lang w:val="en-US" w:eastAsia="zh-CN"/>
        </w:rPr>
        <w:t xml:space="preserve"> 30 </w:t>
      </w:r>
      <w:r>
        <w:rPr>
          <w:rFonts w:hint="eastAsia" w:ascii="仿宋" w:hAnsi="仿宋" w:eastAsia="仿宋" w:cs="仿宋"/>
          <w:bCs w:val="0"/>
          <w:sz w:val="28"/>
          <w:szCs w:val="28"/>
        </w:rPr>
        <w:t>日历日内乙方必须完成申办</w:t>
      </w:r>
      <w:r>
        <w:rPr>
          <w:rFonts w:hint="eastAsia" w:ascii="仿宋" w:hAnsi="仿宋" w:eastAsia="仿宋" w:cs="仿宋"/>
          <w:bCs w:val="0"/>
          <w:sz w:val="28"/>
          <w:szCs w:val="28"/>
          <w:lang w:val="en-US" w:eastAsia="zh-CN"/>
        </w:rPr>
        <w:t>机电工程施工总承包二级资质</w:t>
      </w:r>
      <w:r>
        <w:rPr>
          <w:rFonts w:hint="eastAsia" w:ascii="仿宋" w:hAnsi="仿宋" w:eastAsia="仿宋" w:cs="仿宋"/>
          <w:bCs w:val="0"/>
          <w:sz w:val="28"/>
          <w:szCs w:val="28"/>
        </w:rPr>
        <w:t>申办方案编制、所需资料收集及整理、修订，</w:t>
      </w:r>
      <w:r>
        <w:rPr>
          <w:rFonts w:hint="eastAsia" w:ascii="仿宋" w:hAnsi="仿宋" w:eastAsia="仿宋" w:cs="仿宋"/>
          <w:bCs w:val="0"/>
          <w:sz w:val="28"/>
          <w:szCs w:val="28"/>
          <w:lang w:val="en-US" w:eastAsia="zh-CN"/>
        </w:rPr>
        <w:t>并</w:t>
      </w:r>
      <w:r>
        <w:rPr>
          <w:rFonts w:hint="eastAsia" w:ascii="仿宋" w:hAnsi="仿宋" w:eastAsia="仿宋" w:cs="仿宋"/>
          <w:bCs w:val="0"/>
          <w:sz w:val="28"/>
          <w:szCs w:val="28"/>
        </w:rPr>
        <w:t>将</w:t>
      </w:r>
      <w:r>
        <w:rPr>
          <w:rFonts w:hint="eastAsia" w:ascii="仿宋" w:hAnsi="仿宋" w:eastAsia="仿宋" w:cs="仿宋"/>
          <w:bCs w:val="0"/>
          <w:sz w:val="28"/>
          <w:szCs w:val="28"/>
          <w:lang w:val="en-US" w:eastAsia="zh-CN"/>
        </w:rPr>
        <w:t>相关资料</w:t>
      </w:r>
      <w:r>
        <w:rPr>
          <w:rFonts w:hint="eastAsia" w:ascii="仿宋" w:hAnsi="仿宋" w:eastAsia="仿宋" w:cs="仿宋"/>
          <w:bCs w:val="0"/>
          <w:sz w:val="28"/>
          <w:szCs w:val="28"/>
        </w:rPr>
        <w:t>报送主管部门审查</w:t>
      </w:r>
      <w:r>
        <w:rPr>
          <w:rFonts w:hint="eastAsia" w:ascii="仿宋" w:hAnsi="仿宋" w:eastAsia="仿宋" w:cs="仿宋"/>
          <w:bCs w:val="0"/>
          <w:sz w:val="28"/>
          <w:szCs w:val="28"/>
          <w:lang w:eastAsia="zh-CN"/>
        </w:rPr>
        <w:t>；</w:t>
      </w:r>
    </w:p>
    <w:p>
      <w:pPr>
        <w:wordWrap w:val="0"/>
        <w:spacing w:line="500" w:lineRule="exact"/>
        <w:ind w:firstLine="560" w:firstLineChars="200"/>
        <w:jc w:val="left"/>
        <w:textAlignment w:val="center"/>
        <w:rPr>
          <w:rFonts w:hint="eastAsia" w:ascii="仿宋" w:hAnsi="仿宋" w:eastAsia="仿宋" w:cs="仿宋"/>
          <w:bCs w:val="0"/>
          <w:sz w:val="28"/>
          <w:szCs w:val="28"/>
        </w:rPr>
      </w:pPr>
      <w:r>
        <w:rPr>
          <w:rFonts w:hint="eastAsia" w:ascii="仿宋" w:hAnsi="仿宋" w:eastAsia="仿宋" w:cs="仿宋"/>
          <w:bCs w:val="0"/>
          <w:sz w:val="28"/>
          <w:szCs w:val="28"/>
          <w:lang w:val="en-US" w:eastAsia="zh-CN"/>
        </w:rPr>
        <w:t>2</w:t>
      </w:r>
      <w:r>
        <w:rPr>
          <w:rFonts w:hint="eastAsia" w:ascii="仿宋" w:hAnsi="仿宋" w:eastAsia="仿宋" w:cs="仿宋"/>
          <w:bCs w:val="0"/>
          <w:sz w:val="28"/>
          <w:szCs w:val="28"/>
        </w:rPr>
        <w:t>、乙方承诺甲方在202</w:t>
      </w:r>
      <w:r>
        <w:rPr>
          <w:rFonts w:hint="eastAsia" w:ascii="仿宋" w:hAnsi="仿宋" w:eastAsia="仿宋" w:cs="仿宋"/>
          <w:bCs w:val="0"/>
          <w:sz w:val="28"/>
          <w:szCs w:val="28"/>
          <w:lang w:val="en-US" w:eastAsia="zh-CN"/>
        </w:rPr>
        <w:t>4</w:t>
      </w:r>
      <w:r>
        <w:rPr>
          <w:rFonts w:hint="eastAsia" w:ascii="仿宋" w:hAnsi="仿宋" w:eastAsia="仿宋" w:cs="仿宋"/>
          <w:bCs w:val="0"/>
          <w:sz w:val="28"/>
          <w:szCs w:val="28"/>
        </w:rPr>
        <w:t>年1</w:t>
      </w:r>
      <w:r>
        <w:rPr>
          <w:rFonts w:hint="eastAsia" w:ascii="仿宋" w:hAnsi="仿宋" w:eastAsia="仿宋" w:cs="仿宋"/>
          <w:bCs w:val="0"/>
          <w:sz w:val="28"/>
          <w:szCs w:val="28"/>
          <w:lang w:eastAsia="zh-CN"/>
        </w:rPr>
        <w:t>1</w:t>
      </w:r>
      <w:r>
        <w:rPr>
          <w:rFonts w:hint="eastAsia" w:ascii="仿宋" w:hAnsi="仿宋" w:eastAsia="仿宋" w:cs="仿宋"/>
          <w:bCs w:val="0"/>
          <w:sz w:val="28"/>
          <w:szCs w:val="28"/>
        </w:rPr>
        <w:t>月3</w:t>
      </w:r>
      <w:r>
        <w:rPr>
          <w:rFonts w:hint="eastAsia" w:ascii="仿宋" w:hAnsi="仿宋" w:eastAsia="仿宋" w:cs="仿宋"/>
          <w:bCs w:val="0"/>
          <w:sz w:val="28"/>
          <w:szCs w:val="28"/>
          <w:lang w:eastAsia="zh-CN"/>
        </w:rPr>
        <w:t>0</w:t>
      </w:r>
      <w:r>
        <w:rPr>
          <w:rFonts w:hint="eastAsia" w:ascii="仿宋" w:hAnsi="仿宋" w:eastAsia="仿宋" w:cs="仿宋"/>
          <w:bCs w:val="0"/>
          <w:sz w:val="28"/>
          <w:szCs w:val="28"/>
        </w:rPr>
        <w:t>日前取得证书。</w:t>
      </w:r>
    </w:p>
    <w:p>
      <w:pPr>
        <w:pStyle w:val="4"/>
        <w:wordWrap w:val="0"/>
        <w:spacing w:line="500" w:lineRule="exact"/>
        <w:ind w:firstLine="562"/>
        <w:jc w:val="left"/>
        <w:rPr>
          <w:rFonts w:hint="eastAsia" w:ascii="仿宋" w:hAnsi="仿宋" w:eastAsia="仿宋" w:cs="仿宋"/>
          <w:szCs w:val="28"/>
        </w:rPr>
      </w:pPr>
      <w:r>
        <w:rPr>
          <w:rFonts w:hint="eastAsia" w:ascii="仿宋" w:hAnsi="仿宋" w:eastAsia="仿宋" w:cs="仿宋"/>
          <w:b/>
          <w:bCs/>
          <w:szCs w:val="28"/>
        </w:rPr>
        <w:t>三、合同费用与支付方式</w:t>
      </w:r>
    </w:p>
    <w:p>
      <w:pPr>
        <w:wordWrap w:val="0"/>
        <w:spacing w:line="500" w:lineRule="exact"/>
        <w:ind w:firstLine="560" w:firstLineChars="200"/>
        <w:jc w:val="left"/>
        <w:textAlignment w:val="center"/>
        <w:rPr>
          <w:rFonts w:hint="eastAsia" w:ascii="仿宋" w:hAnsi="仿宋" w:eastAsia="仿宋" w:cs="仿宋"/>
          <w:sz w:val="28"/>
          <w:szCs w:val="28"/>
        </w:rPr>
      </w:pPr>
      <w:r>
        <w:rPr>
          <w:rFonts w:hint="eastAsia" w:ascii="仿宋" w:hAnsi="仿宋" w:eastAsia="仿宋" w:cs="仿宋"/>
          <w:sz w:val="28"/>
          <w:szCs w:val="28"/>
        </w:rPr>
        <w:t>本协议的咨询服务费总额为人民币</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元（大写：人民币</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元整</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含  税率</w:t>
      </w:r>
      <w:r>
        <w:rPr>
          <w:rFonts w:hint="eastAsia" w:ascii="仿宋" w:hAnsi="仿宋" w:eastAsia="仿宋" w:cs="仿宋"/>
          <w:sz w:val="28"/>
          <w:szCs w:val="28"/>
        </w:rPr>
        <w:t>）。咨询服务费采取如下方式付款：</w:t>
      </w:r>
    </w:p>
    <w:p>
      <w:pPr>
        <w:wordWrap w:val="0"/>
        <w:spacing w:line="500" w:lineRule="exact"/>
        <w:ind w:firstLine="560" w:firstLineChars="200"/>
        <w:jc w:val="left"/>
        <w:textAlignment w:val="center"/>
        <w:outlineLvl w:val="1"/>
        <w:rPr>
          <w:rFonts w:hint="default" w:ascii="仿宋" w:hAnsi="仿宋" w:eastAsia="仿宋" w:cs="仿宋"/>
          <w:b/>
          <w:color w:val="auto"/>
          <w:sz w:val="28"/>
          <w:szCs w:val="28"/>
          <w:highlight w:val="none"/>
          <w:lang w:val="en-US" w:eastAsia="zh-CN"/>
        </w:rPr>
      </w:pPr>
      <w:r>
        <w:rPr>
          <w:rFonts w:hint="eastAsia" w:ascii="仿宋" w:hAnsi="仿宋" w:eastAsia="仿宋" w:cs="仿宋"/>
          <w:color w:val="FF0000"/>
          <w:sz w:val="28"/>
          <w:szCs w:val="28"/>
          <w:highlight w:val="none"/>
          <w:lang w:val="en-US" w:eastAsia="zh-CN"/>
        </w:rPr>
        <w:t>乙方将机电工程施工总承包二级资质申报资料录入到重庆市住建委资质申报系统后，甲方向乙方支付合同金额的35%；甲方机电工程施工总承包二级资质申办成功公示后，扣除乙方需支付的违约金后（如有违约情况发生），支付至合同金额的60%；</w:t>
      </w:r>
      <w:r>
        <w:rPr>
          <w:rFonts w:hint="eastAsia" w:ascii="仿宋" w:hAnsi="仿宋" w:eastAsia="仿宋" w:cs="仿宋"/>
          <w:color w:val="auto"/>
          <w:sz w:val="28"/>
          <w:szCs w:val="28"/>
          <w:highlight w:val="none"/>
          <w:lang w:val="en-US" w:eastAsia="zh-CN"/>
        </w:rPr>
        <w:t>甲方</w:t>
      </w:r>
      <w:r>
        <w:rPr>
          <w:rFonts w:hint="eastAsia" w:ascii="仿宋" w:hAnsi="仿宋" w:eastAsia="仿宋" w:cs="仿宋"/>
          <w:color w:val="auto"/>
          <w:sz w:val="28"/>
          <w:szCs w:val="28"/>
          <w:highlight w:val="none"/>
        </w:rPr>
        <w:t>取得证书后，扣除乙方需支付的违约金后（如有违约情况发生）</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支付</w:t>
      </w:r>
      <w:r>
        <w:rPr>
          <w:rFonts w:hint="eastAsia" w:ascii="仿宋" w:hAnsi="仿宋" w:eastAsia="仿宋" w:cs="仿宋"/>
          <w:color w:val="auto"/>
          <w:sz w:val="28"/>
          <w:szCs w:val="28"/>
          <w:highlight w:val="none"/>
          <w:lang w:val="en-US" w:eastAsia="zh-CN"/>
        </w:rPr>
        <w:t>至合同金额的100%</w:t>
      </w:r>
      <w:r>
        <w:rPr>
          <w:rFonts w:hint="eastAsia" w:ascii="仿宋" w:hAnsi="仿宋" w:eastAsia="仿宋" w:cs="仿宋"/>
          <w:color w:val="auto"/>
          <w:sz w:val="28"/>
          <w:szCs w:val="28"/>
          <w:highlight w:val="none"/>
        </w:rPr>
        <w:t>。甲方在收到乙方开具对应金额的增值税发票</w:t>
      </w:r>
      <w:r>
        <w:rPr>
          <w:rFonts w:hint="eastAsia" w:ascii="仿宋" w:hAnsi="仿宋" w:eastAsia="仿宋" w:cs="仿宋"/>
          <w:color w:val="auto"/>
          <w:sz w:val="28"/>
          <w:szCs w:val="28"/>
          <w:highlight w:val="none"/>
          <w:lang w:val="en-US" w:eastAsia="zh-CN"/>
        </w:rPr>
        <w:t>十</w:t>
      </w:r>
      <w:r>
        <w:rPr>
          <w:rFonts w:hint="eastAsia" w:ascii="仿宋" w:hAnsi="仿宋" w:eastAsia="仿宋" w:cs="仿宋"/>
          <w:color w:val="auto"/>
          <w:sz w:val="28"/>
          <w:szCs w:val="28"/>
          <w:highlight w:val="none"/>
        </w:rPr>
        <w:t>日内（节假日除外）</w:t>
      </w:r>
      <w:r>
        <w:rPr>
          <w:rFonts w:hint="eastAsia" w:ascii="仿宋" w:hAnsi="仿宋" w:eastAsia="仿宋" w:cs="仿宋"/>
          <w:color w:val="auto"/>
          <w:sz w:val="28"/>
          <w:szCs w:val="28"/>
          <w:highlight w:val="none"/>
          <w:lang w:val="en-US" w:eastAsia="zh-CN"/>
        </w:rPr>
        <w:t>完成支付。</w:t>
      </w:r>
    </w:p>
    <w:p>
      <w:pPr>
        <w:pStyle w:val="4"/>
        <w:wordWrap w:val="0"/>
        <w:spacing w:line="500" w:lineRule="exact"/>
        <w:ind w:firstLine="562"/>
        <w:jc w:val="left"/>
        <w:rPr>
          <w:rFonts w:hint="eastAsia" w:ascii="仿宋" w:hAnsi="仿宋" w:eastAsia="仿宋" w:cs="仿宋"/>
          <w:b/>
          <w:bCs/>
          <w:szCs w:val="28"/>
        </w:rPr>
      </w:pPr>
      <w:r>
        <w:rPr>
          <w:rFonts w:hint="eastAsia" w:ascii="仿宋" w:hAnsi="仿宋" w:eastAsia="仿宋" w:cs="仿宋"/>
          <w:b/>
          <w:bCs/>
          <w:szCs w:val="28"/>
        </w:rPr>
        <w:t>四、甲方的责任及义务</w:t>
      </w:r>
    </w:p>
    <w:p>
      <w:pPr>
        <w:wordWrap w:val="0"/>
        <w:spacing w:line="500" w:lineRule="exact"/>
        <w:ind w:firstLine="560" w:firstLineChars="200"/>
        <w:jc w:val="left"/>
        <w:textAlignment w:val="center"/>
        <w:rPr>
          <w:rFonts w:hint="eastAsia" w:ascii="仿宋" w:hAnsi="仿宋" w:eastAsia="仿宋" w:cs="仿宋"/>
          <w:sz w:val="28"/>
          <w:szCs w:val="28"/>
        </w:rPr>
      </w:pPr>
      <w:r>
        <w:rPr>
          <w:rFonts w:hint="eastAsia" w:ascii="仿宋" w:hAnsi="仿宋" w:eastAsia="仿宋" w:cs="仿宋"/>
          <w:sz w:val="28"/>
          <w:szCs w:val="28"/>
        </w:rPr>
        <w:t>1.甲方及时向乙方提供处理委托事项所需全部材料和信息，对所提供材料和信息的真实性、合法性和完整性负责。</w:t>
      </w:r>
    </w:p>
    <w:p>
      <w:pPr>
        <w:wordWrap w:val="0"/>
        <w:spacing w:line="500" w:lineRule="exact"/>
        <w:ind w:firstLine="560" w:firstLineChars="200"/>
        <w:jc w:val="left"/>
        <w:textAlignment w:val="center"/>
        <w:rPr>
          <w:rFonts w:hint="eastAsia" w:ascii="仿宋" w:hAnsi="仿宋" w:eastAsia="仿宋" w:cs="仿宋"/>
          <w:sz w:val="28"/>
          <w:szCs w:val="28"/>
        </w:rPr>
      </w:pPr>
      <w:r>
        <w:rPr>
          <w:rFonts w:hint="eastAsia" w:ascii="仿宋" w:hAnsi="仿宋" w:eastAsia="仿宋" w:cs="仿宋"/>
          <w:sz w:val="28"/>
          <w:szCs w:val="28"/>
        </w:rPr>
        <w:t>2.协助乙方开展咨询服务工作，派专人与乙方进行对接，配合乙方办理委托事项。</w:t>
      </w:r>
    </w:p>
    <w:p>
      <w:pPr>
        <w:wordWrap w:val="0"/>
        <w:spacing w:line="500" w:lineRule="exact"/>
        <w:ind w:firstLine="560" w:firstLineChars="200"/>
        <w:jc w:val="left"/>
        <w:textAlignment w:val="center"/>
        <w:rPr>
          <w:rFonts w:hint="eastAsia" w:ascii="仿宋" w:hAnsi="仿宋" w:eastAsia="仿宋" w:cs="仿宋"/>
          <w:sz w:val="28"/>
          <w:szCs w:val="28"/>
        </w:rPr>
      </w:pPr>
      <w:r>
        <w:rPr>
          <w:rFonts w:hint="eastAsia" w:ascii="仿宋" w:hAnsi="仿宋" w:eastAsia="仿宋" w:cs="仿宋"/>
          <w:sz w:val="28"/>
          <w:szCs w:val="28"/>
        </w:rPr>
        <w:t>3.按合同约定向乙方支付合同费用。</w:t>
      </w:r>
    </w:p>
    <w:p>
      <w:pPr>
        <w:pStyle w:val="4"/>
        <w:wordWrap w:val="0"/>
        <w:spacing w:line="500" w:lineRule="exact"/>
        <w:ind w:firstLine="562"/>
        <w:jc w:val="left"/>
        <w:rPr>
          <w:rFonts w:hint="eastAsia" w:ascii="仿宋" w:hAnsi="仿宋" w:eastAsia="仿宋" w:cs="仿宋"/>
          <w:b/>
          <w:bCs/>
          <w:szCs w:val="28"/>
        </w:rPr>
      </w:pPr>
      <w:r>
        <w:rPr>
          <w:rFonts w:hint="eastAsia" w:ascii="仿宋" w:hAnsi="仿宋" w:eastAsia="仿宋" w:cs="仿宋"/>
          <w:b/>
          <w:bCs/>
          <w:szCs w:val="28"/>
        </w:rPr>
        <w:t>五、乙方的责任及义务</w:t>
      </w:r>
    </w:p>
    <w:p>
      <w:pPr>
        <w:wordWrap w:val="0"/>
        <w:spacing w:line="500" w:lineRule="exact"/>
        <w:ind w:firstLine="560" w:firstLineChars="200"/>
        <w:jc w:val="left"/>
        <w:textAlignment w:val="center"/>
        <w:rPr>
          <w:rFonts w:hint="eastAsia" w:ascii="仿宋" w:hAnsi="仿宋" w:eastAsia="仿宋" w:cs="仿宋"/>
          <w:sz w:val="28"/>
          <w:szCs w:val="28"/>
        </w:rPr>
      </w:pPr>
      <w:r>
        <w:rPr>
          <w:rFonts w:hint="eastAsia" w:ascii="仿宋" w:hAnsi="仿宋" w:eastAsia="仿宋" w:cs="仿宋"/>
          <w:sz w:val="28"/>
          <w:szCs w:val="28"/>
        </w:rPr>
        <w:t>1.在国家法律、法规和政策允许范围内，按照协议约定为甲方提供咨询服务</w:t>
      </w:r>
      <w:r>
        <w:rPr>
          <w:rFonts w:hint="eastAsia" w:ascii="仿宋" w:hAnsi="仿宋" w:eastAsia="仿宋" w:cs="仿宋"/>
          <w:sz w:val="28"/>
          <w:szCs w:val="28"/>
          <w:lang w:val="en-US" w:eastAsia="zh-CN"/>
        </w:rPr>
        <w:t>及人员推荐</w:t>
      </w:r>
      <w:r>
        <w:rPr>
          <w:rFonts w:hint="eastAsia" w:ascii="仿宋" w:hAnsi="仿宋" w:eastAsia="仿宋" w:cs="仿宋"/>
          <w:sz w:val="28"/>
          <w:szCs w:val="28"/>
        </w:rPr>
        <w:t>并确保顺利通过。</w:t>
      </w:r>
    </w:p>
    <w:p>
      <w:pPr>
        <w:wordWrap w:val="0"/>
        <w:spacing w:line="500" w:lineRule="exact"/>
        <w:ind w:firstLine="560" w:firstLineChars="200"/>
        <w:jc w:val="left"/>
        <w:textAlignment w:val="center"/>
        <w:rPr>
          <w:rFonts w:hint="eastAsia"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组织精干人员按时</w:t>
      </w:r>
      <w:r>
        <w:rPr>
          <w:rFonts w:hint="eastAsia" w:ascii="仿宋" w:hAnsi="仿宋" w:eastAsia="仿宋" w:cs="仿宋"/>
          <w:sz w:val="28"/>
          <w:szCs w:val="28"/>
        </w:rPr>
        <w:t>完成甲方</w:t>
      </w:r>
      <w:r>
        <w:rPr>
          <w:rFonts w:ascii="仿宋" w:hAnsi="仿宋" w:eastAsia="仿宋" w:cs="仿宋"/>
          <w:sz w:val="28"/>
          <w:szCs w:val="28"/>
        </w:rPr>
        <w:t>委托事项</w:t>
      </w:r>
      <w:r>
        <w:rPr>
          <w:rFonts w:hint="eastAsia" w:ascii="仿宋" w:hAnsi="仿宋" w:eastAsia="仿宋" w:cs="仿宋"/>
          <w:sz w:val="28"/>
          <w:szCs w:val="28"/>
        </w:rPr>
        <w:t>，提供</w:t>
      </w:r>
      <w:r>
        <w:rPr>
          <w:rFonts w:ascii="仿宋" w:hAnsi="仿宋" w:eastAsia="仿宋" w:cs="仿宋"/>
          <w:sz w:val="28"/>
          <w:szCs w:val="28"/>
        </w:rPr>
        <w:t>专业</w:t>
      </w:r>
      <w:r>
        <w:rPr>
          <w:rFonts w:hint="eastAsia" w:ascii="仿宋" w:hAnsi="仿宋" w:eastAsia="仿宋" w:cs="仿宋"/>
          <w:sz w:val="28"/>
          <w:szCs w:val="28"/>
        </w:rPr>
        <w:t>、</w:t>
      </w:r>
      <w:r>
        <w:rPr>
          <w:rFonts w:ascii="仿宋" w:hAnsi="仿宋" w:eastAsia="仿宋" w:cs="仿宋"/>
          <w:sz w:val="28"/>
          <w:szCs w:val="28"/>
        </w:rPr>
        <w:t>积极</w:t>
      </w:r>
      <w:r>
        <w:rPr>
          <w:rFonts w:hint="eastAsia" w:ascii="仿宋" w:hAnsi="仿宋" w:eastAsia="仿宋" w:cs="仿宋"/>
          <w:sz w:val="28"/>
          <w:szCs w:val="28"/>
        </w:rPr>
        <w:t>、</w:t>
      </w:r>
      <w:r>
        <w:rPr>
          <w:rFonts w:ascii="仿宋" w:hAnsi="仿宋" w:eastAsia="仿宋" w:cs="仿宋"/>
          <w:sz w:val="28"/>
          <w:szCs w:val="28"/>
        </w:rPr>
        <w:t>主动</w:t>
      </w:r>
      <w:r>
        <w:rPr>
          <w:rFonts w:hint="eastAsia" w:ascii="仿宋" w:hAnsi="仿宋" w:eastAsia="仿宋" w:cs="仿宋"/>
          <w:sz w:val="28"/>
          <w:szCs w:val="28"/>
        </w:rPr>
        <w:t>、</w:t>
      </w:r>
      <w:r>
        <w:rPr>
          <w:rFonts w:ascii="仿宋" w:hAnsi="仿宋" w:eastAsia="仿宋" w:cs="仿宋"/>
          <w:sz w:val="28"/>
          <w:szCs w:val="28"/>
        </w:rPr>
        <w:t>高效的</w:t>
      </w:r>
      <w:r>
        <w:rPr>
          <w:rFonts w:hint="eastAsia" w:ascii="仿宋" w:hAnsi="仿宋" w:eastAsia="仿宋" w:cs="仿宋"/>
          <w:sz w:val="28"/>
          <w:szCs w:val="28"/>
        </w:rPr>
        <w:t>服务。</w:t>
      </w:r>
    </w:p>
    <w:p>
      <w:pPr>
        <w:wordWrap w:val="0"/>
        <w:spacing w:line="500" w:lineRule="exact"/>
        <w:ind w:firstLine="560" w:firstLineChars="200"/>
        <w:jc w:val="left"/>
        <w:textAlignment w:val="center"/>
        <w:rPr>
          <w:rFonts w:ascii="仿宋" w:hAnsi="仿宋" w:eastAsia="仿宋" w:cs="仿宋"/>
          <w:sz w:val="28"/>
          <w:szCs w:val="28"/>
        </w:rPr>
      </w:pPr>
      <w:r>
        <w:rPr>
          <w:rFonts w:hint="eastAsia" w:ascii="仿宋" w:hAnsi="仿宋" w:eastAsia="仿宋" w:cs="仿宋"/>
          <w:sz w:val="28"/>
          <w:szCs w:val="28"/>
        </w:rPr>
        <w:t>3.保证甲方取得的证书真实有效。</w:t>
      </w:r>
    </w:p>
    <w:p>
      <w:pPr>
        <w:wordWrap w:val="0"/>
        <w:spacing w:line="500" w:lineRule="exact"/>
        <w:ind w:firstLine="562" w:firstLineChars="200"/>
        <w:jc w:val="left"/>
        <w:textAlignment w:val="center"/>
        <w:rPr>
          <w:rFonts w:hint="eastAsia" w:ascii="仿宋" w:hAnsi="仿宋" w:eastAsia="仿宋" w:cs="仿宋"/>
          <w:b/>
          <w:bCs/>
          <w:sz w:val="28"/>
          <w:szCs w:val="28"/>
        </w:rPr>
      </w:pPr>
      <w:r>
        <w:rPr>
          <w:rFonts w:hint="eastAsia" w:ascii="仿宋" w:hAnsi="仿宋" w:eastAsia="仿宋" w:cs="仿宋"/>
          <w:b/>
          <w:bCs/>
          <w:sz w:val="28"/>
          <w:szCs w:val="28"/>
        </w:rPr>
        <w:t>六、协议终止</w:t>
      </w:r>
    </w:p>
    <w:p>
      <w:pPr>
        <w:wordWrap w:val="0"/>
        <w:spacing w:line="500" w:lineRule="exact"/>
        <w:ind w:firstLine="560" w:firstLineChars="200"/>
        <w:jc w:val="left"/>
        <w:textAlignment w:val="center"/>
        <w:rPr>
          <w:rFonts w:hint="eastAsia" w:ascii="仿宋" w:hAnsi="仿宋" w:eastAsia="仿宋" w:cs="仿宋"/>
          <w:sz w:val="28"/>
          <w:szCs w:val="28"/>
        </w:rPr>
      </w:pPr>
      <w:r>
        <w:rPr>
          <w:rFonts w:hint="eastAsia" w:ascii="仿宋" w:hAnsi="仿宋" w:eastAsia="仿宋" w:cs="仿宋"/>
          <w:sz w:val="28"/>
          <w:szCs w:val="28"/>
        </w:rPr>
        <w:t>1、甲方取得了所委托办理的资质，且向乙方支付完合同全部费用时，该协议即为终止。</w:t>
      </w:r>
    </w:p>
    <w:p>
      <w:pPr>
        <w:wordWrap w:val="0"/>
        <w:spacing w:line="500" w:lineRule="exact"/>
        <w:ind w:firstLine="560" w:firstLineChars="200"/>
        <w:jc w:val="left"/>
        <w:textAlignment w:val="center"/>
        <w:rPr>
          <w:rFonts w:hint="eastAsia" w:ascii="仿宋" w:hAnsi="仿宋" w:eastAsia="仿宋" w:cs="仿宋"/>
          <w:sz w:val="28"/>
          <w:szCs w:val="28"/>
        </w:rPr>
      </w:pPr>
      <w:r>
        <w:rPr>
          <w:rFonts w:hint="eastAsia" w:ascii="仿宋" w:hAnsi="仿宋" w:eastAsia="仿宋" w:cs="仿宋"/>
          <w:sz w:val="28"/>
          <w:szCs w:val="28"/>
        </w:rPr>
        <w:t>2、甲方按合同约定</w:t>
      </w:r>
      <w:r>
        <w:rPr>
          <w:rFonts w:hint="eastAsia" w:ascii="仿宋" w:hAnsi="仿宋" w:eastAsia="仿宋" w:cs="仿宋"/>
          <w:bCs w:val="0"/>
          <w:sz w:val="28"/>
          <w:szCs w:val="28"/>
        </w:rPr>
        <w:t>终止合同的情形。</w:t>
      </w:r>
    </w:p>
    <w:p>
      <w:pPr>
        <w:pStyle w:val="4"/>
        <w:wordWrap w:val="0"/>
        <w:spacing w:line="500" w:lineRule="exact"/>
        <w:ind w:firstLine="562"/>
        <w:jc w:val="left"/>
        <w:rPr>
          <w:rFonts w:hint="eastAsia" w:ascii="仿宋" w:hAnsi="仿宋" w:eastAsia="仿宋" w:cs="仿宋"/>
          <w:b/>
          <w:bCs/>
          <w:szCs w:val="28"/>
        </w:rPr>
      </w:pPr>
      <w:r>
        <w:rPr>
          <w:rFonts w:hint="eastAsia" w:ascii="仿宋" w:hAnsi="仿宋" w:eastAsia="仿宋" w:cs="仿宋"/>
          <w:b/>
          <w:bCs/>
          <w:szCs w:val="28"/>
        </w:rPr>
        <w:t>七、违约责任</w:t>
      </w:r>
    </w:p>
    <w:p>
      <w:pPr>
        <w:wordWrap w:val="0"/>
        <w:spacing w:line="500" w:lineRule="exact"/>
        <w:ind w:firstLine="560" w:firstLineChars="200"/>
        <w:jc w:val="left"/>
        <w:textAlignment w:val="center"/>
        <w:rPr>
          <w:rFonts w:hint="eastAsia" w:ascii="仿宋" w:hAnsi="仿宋" w:eastAsia="仿宋" w:cs="仿宋"/>
          <w:sz w:val="28"/>
          <w:szCs w:val="28"/>
        </w:rPr>
      </w:pPr>
      <w:r>
        <w:rPr>
          <w:rFonts w:hint="eastAsia" w:ascii="仿宋" w:hAnsi="仿宋" w:eastAsia="仿宋" w:cs="仿宋"/>
          <w:sz w:val="28"/>
          <w:szCs w:val="28"/>
        </w:rPr>
        <w:t>1.甲方未按照协议约定完成甲方义务，由甲方承担违约责任。</w:t>
      </w:r>
    </w:p>
    <w:p>
      <w:pPr>
        <w:wordWrap w:val="0"/>
        <w:spacing w:line="500" w:lineRule="exact"/>
        <w:ind w:firstLine="560" w:firstLineChars="200"/>
        <w:jc w:val="left"/>
        <w:textAlignment w:val="center"/>
        <w:rPr>
          <w:rFonts w:hint="eastAsia" w:ascii="仿宋" w:hAnsi="仿宋" w:eastAsia="仿宋" w:cs="仿宋"/>
          <w:sz w:val="28"/>
          <w:szCs w:val="28"/>
        </w:rPr>
      </w:pPr>
      <w:r>
        <w:rPr>
          <w:rFonts w:hint="eastAsia" w:ascii="仿宋" w:hAnsi="仿宋" w:eastAsia="仿宋" w:cs="仿宋"/>
          <w:sz w:val="28"/>
          <w:szCs w:val="28"/>
        </w:rPr>
        <w:t>2.如乙方未能按约定完成甲方委托，应向甲方支付相应的违约金并承担承担相应损失。</w:t>
      </w:r>
    </w:p>
    <w:p>
      <w:pPr>
        <w:pStyle w:val="2"/>
        <w:ind w:firstLine="560"/>
        <w:rPr>
          <w:rFonts w:hint="eastAsia" w:ascii="仿宋" w:hAnsi="仿宋" w:eastAsia="仿宋" w:cs="仿宋"/>
          <w:bCs w:val="0"/>
          <w:sz w:val="28"/>
          <w:szCs w:val="28"/>
          <w:lang w:eastAsia="zh-CN"/>
        </w:rPr>
      </w:pPr>
      <w:r>
        <w:rPr>
          <w:rFonts w:hint="eastAsia" w:ascii="仿宋" w:hAnsi="仿宋" w:eastAsia="仿宋" w:cs="仿宋"/>
          <w:sz w:val="28"/>
          <w:szCs w:val="28"/>
          <w:lang w:val="en-US" w:eastAsia="zh-CN"/>
        </w:rPr>
        <w:t>3.</w:t>
      </w:r>
      <w:r>
        <w:rPr>
          <w:rFonts w:hint="eastAsia" w:ascii="仿宋" w:hAnsi="仿宋" w:eastAsia="仿宋" w:cs="仿宋"/>
          <w:bCs w:val="0"/>
          <w:sz w:val="28"/>
          <w:szCs w:val="28"/>
        </w:rPr>
        <w:t>乙方必须</w:t>
      </w:r>
      <w:r>
        <w:rPr>
          <w:rFonts w:hint="eastAsia" w:ascii="仿宋" w:hAnsi="仿宋" w:eastAsia="仿宋" w:cs="仿宋"/>
          <w:bCs w:val="0"/>
          <w:sz w:val="28"/>
          <w:szCs w:val="28"/>
          <w:lang w:val="en-US" w:eastAsia="zh-CN"/>
        </w:rPr>
        <w:t>在合同签订30日</w:t>
      </w:r>
      <w:r>
        <w:rPr>
          <w:rFonts w:hint="eastAsia" w:ascii="仿宋" w:hAnsi="仿宋" w:eastAsia="仿宋" w:cs="仿宋"/>
          <w:bCs w:val="0"/>
          <w:sz w:val="28"/>
          <w:szCs w:val="28"/>
        </w:rPr>
        <w:t>历日内完成申办</w:t>
      </w:r>
      <w:r>
        <w:rPr>
          <w:rFonts w:hint="eastAsia" w:ascii="仿宋" w:hAnsi="仿宋" w:eastAsia="仿宋" w:cs="仿宋"/>
          <w:bCs w:val="0"/>
          <w:sz w:val="28"/>
          <w:szCs w:val="28"/>
          <w:lang w:val="en-US" w:eastAsia="zh-CN"/>
        </w:rPr>
        <w:t>机电工程施工总承包二级资质</w:t>
      </w:r>
      <w:r>
        <w:rPr>
          <w:rFonts w:hint="eastAsia" w:ascii="仿宋" w:hAnsi="仿宋" w:eastAsia="仿宋" w:cs="仿宋"/>
          <w:bCs w:val="0"/>
          <w:sz w:val="28"/>
          <w:szCs w:val="28"/>
        </w:rPr>
        <w:t>申办方案编制、所需资料收集及整理、修订，</w:t>
      </w:r>
      <w:r>
        <w:rPr>
          <w:rFonts w:hint="eastAsia" w:ascii="仿宋" w:hAnsi="仿宋" w:eastAsia="仿宋" w:cs="仿宋"/>
          <w:bCs w:val="0"/>
          <w:sz w:val="28"/>
          <w:szCs w:val="28"/>
          <w:lang w:val="en-US" w:eastAsia="zh-CN"/>
        </w:rPr>
        <w:t>并</w:t>
      </w:r>
      <w:r>
        <w:rPr>
          <w:rFonts w:hint="eastAsia" w:ascii="仿宋" w:hAnsi="仿宋" w:eastAsia="仿宋" w:cs="仿宋"/>
          <w:bCs w:val="0"/>
          <w:sz w:val="28"/>
          <w:szCs w:val="28"/>
        </w:rPr>
        <w:t>将</w:t>
      </w:r>
      <w:r>
        <w:rPr>
          <w:rFonts w:hint="eastAsia" w:ascii="仿宋" w:hAnsi="仿宋" w:eastAsia="仿宋" w:cs="仿宋"/>
          <w:bCs w:val="0"/>
          <w:sz w:val="28"/>
          <w:szCs w:val="28"/>
          <w:lang w:val="en-US" w:eastAsia="zh-CN"/>
        </w:rPr>
        <w:t>相关资料</w:t>
      </w:r>
      <w:r>
        <w:rPr>
          <w:rFonts w:hint="eastAsia" w:ascii="仿宋" w:hAnsi="仿宋" w:eastAsia="仿宋" w:cs="仿宋"/>
          <w:bCs w:val="0"/>
          <w:sz w:val="28"/>
          <w:szCs w:val="28"/>
        </w:rPr>
        <w:t>报送主管部门审查</w:t>
      </w:r>
      <w:r>
        <w:rPr>
          <w:rFonts w:hint="eastAsia" w:ascii="仿宋" w:hAnsi="仿宋" w:eastAsia="仿宋" w:cs="仿宋"/>
          <w:bCs w:val="0"/>
          <w:sz w:val="28"/>
          <w:szCs w:val="28"/>
          <w:lang w:eastAsia="zh-CN"/>
        </w:rPr>
        <w:t>，</w:t>
      </w:r>
      <w:r>
        <w:rPr>
          <w:rFonts w:hint="eastAsia" w:ascii="仿宋" w:hAnsi="仿宋" w:eastAsia="仿宋" w:cs="仿宋"/>
          <w:bCs w:val="0"/>
          <w:sz w:val="28"/>
          <w:szCs w:val="28"/>
        </w:rPr>
        <w:t>每延期一天乙方向甲方支付</w:t>
      </w:r>
      <w:r>
        <w:rPr>
          <w:rFonts w:hint="eastAsia" w:ascii="仿宋" w:hAnsi="仿宋" w:eastAsia="仿宋" w:cs="仿宋"/>
          <w:bCs w:val="0"/>
          <w:sz w:val="28"/>
          <w:szCs w:val="28"/>
          <w:lang w:val="en-US" w:eastAsia="zh-CN"/>
        </w:rPr>
        <w:t>1</w:t>
      </w:r>
      <w:r>
        <w:rPr>
          <w:rFonts w:hint="eastAsia" w:ascii="仿宋" w:hAnsi="仿宋" w:eastAsia="仿宋" w:cs="仿宋"/>
          <w:bCs w:val="0"/>
          <w:sz w:val="28"/>
          <w:szCs w:val="28"/>
        </w:rPr>
        <w:t>000元违约金</w:t>
      </w:r>
      <w:r>
        <w:rPr>
          <w:rFonts w:hint="eastAsia" w:ascii="仿宋" w:hAnsi="仿宋" w:eastAsia="仿宋" w:cs="仿宋"/>
          <w:bCs w:val="0"/>
          <w:sz w:val="28"/>
          <w:szCs w:val="28"/>
          <w:lang w:eastAsia="zh-CN"/>
        </w:rPr>
        <w:t>。</w:t>
      </w:r>
    </w:p>
    <w:p>
      <w:pPr>
        <w:wordWrap w:val="0"/>
        <w:spacing w:line="500" w:lineRule="exact"/>
        <w:ind w:firstLine="560" w:firstLineChars="200"/>
        <w:jc w:val="left"/>
        <w:textAlignment w:val="center"/>
        <w:rPr>
          <w:rFonts w:hint="eastAsia" w:ascii="仿宋" w:hAnsi="仿宋" w:eastAsia="仿宋" w:cs="仿宋"/>
          <w:bCs w:val="0"/>
          <w:kern w:val="0"/>
          <w:sz w:val="28"/>
          <w:szCs w:val="28"/>
        </w:rPr>
      </w:pPr>
      <w:r>
        <w:rPr>
          <w:rFonts w:hint="eastAsia" w:ascii="仿宋" w:hAnsi="仿宋" w:eastAsia="仿宋" w:cs="仿宋"/>
          <w:kern w:val="0"/>
          <w:sz w:val="28"/>
          <w:szCs w:val="28"/>
          <w:lang w:val="en-US" w:eastAsia="zh-CN"/>
        </w:rPr>
        <w:t>4.</w:t>
      </w:r>
      <w:r>
        <w:rPr>
          <w:rFonts w:hint="eastAsia" w:ascii="仿宋" w:hAnsi="仿宋" w:eastAsia="仿宋" w:cs="仿宋"/>
          <w:bCs w:val="0"/>
          <w:kern w:val="0"/>
          <w:sz w:val="28"/>
          <w:szCs w:val="28"/>
        </w:rPr>
        <w:t>如因</w:t>
      </w:r>
      <w:r>
        <w:rPr>
          <w:rFonts w:hint="eastAsia" w:ascii="仿宋" w:hAnsi="仿宋" w:eastAsia="仿宋" w:cs="仿宋"/>
          <w:bCs w:val="0"/>
          <w:kern w:val="0"/>
          <w:sz w:val="28"/>
          <w:szCs w:val="28"/>
          <w:lang w:val="en-US" w:eastAsia="zh-CN"/>
        </w:rPr>
        <w:t>乙方推荐的</w:t>
      </w:r>
      <w:r>
        <w:rPr>
          <w:rFonts w:hint="eastAsia" w:ascii="仿宋" w:hAnsi="仿宋" w:eastAsia="仿宋" w:cs="仿宋"/>
          <w:kern w:val="0"/>
          <w:sz w:val="28"/>
          <w:szCs w:val="28"/>
          <w:lang w:val="en-US" w:eastAsia="zh-CN"/>
        </w:rPr>
        <w:t>技术负责人以及2名专业工程师（暖通专业中级职称1名；给排水专业高级职称1名）和</w:t>
      </w:r>
      <w:r>
        <w:rPr>
          <w:rFonts w:hint="eastAsia" w:ascii="仿宋" w:hAnsi="仿宋" w:eastAsia="仿宋" w:cs="仿宋"/>
          <w:color w:val="auto"/>
          <w:kern w:val="0"/>
          <w:sz w:val="28"/>
          <w:szCs w:val="28"/>
          <w:highlight w:val="none"/>
          <w:lang w:val="en-US" w:eastAsia="zh-CN"/>
        </w:rPr>
        <w:t>1名建筑专业二级建造师</w:t>
      </w:r>
      <w:r>
        <w:rPr>
          <w:rFonts w:hint="eastAsia" w:ascii="仿宋" w:hAnsi="仿宋" w:eastAsia="仿宋" w:cs="仿宋"/>
          <w:bCs w:val="0"/>
          <w:kern w:val="0"/>
          <w:sz w:val="28"/>
          <w:szCs w:val="28"/>
        </w:rPr>
        <w:t>未通过</w:t>
      </w:r>
      <w:r>
        <w:rPr>
          <w:rFonts w:hint="eastAsia" w:ascii="仿宋" w:hAnsi="仿宋" w:eastAsia="仿宋" w:cs="仿宋"/>
          <w:bCs w:val="0"/>
          <w:kern w:val="0"/>
          <w:sz w:val="28"/>
          <w:szCs w:val="28"/>
          <w:lang w:val="en-US" w:eastAsia="zh-CN"/>
        </w:rPr>
        <w:t>主管部门审核</w:t>
      </w:r>
      <w:r>
        <w:rPr>
          <w:rFonts w:hint="eastAsia" w:ascii="仿宋" w:hAnsi="仿宋" w:eastAsia="仿宋" w:cs="仿宋"/>
          <w:bCs w:val="0"/>
          <w:kern w:val="0"/>
          <w:sz w:val="28"/>
          <w:szCs w:val="28"/>
          <w:lang w:eastAsia="zh-CN"/>
        </w:rPr>
        <w:t>，</w:t>
      </w:r>
      <w:r>
        <w:rPr>
          <w:rFonts w:hint="eastAsia" w:ascii="仿宋" w:hAnsi="仿宋" w:eastAsia="仿宋" w:cs="仿宋"/>
          <w:bCs w:val="0"/>
          <w:kern w:val="0"/>
          <w:sz w:val="28"/>
          <w:szCs w:val="28"/>
        </w:rPr>
        <w:t>乙方向甲方支付</w:t>
      </w:r>
      <w:r>
        <w:rPr>
          <w:rFonts w:hint="eastAsia" w:ascii="仿宋" w:hAnsi="仿宋" w:eastAsia="仿宋" w:cs="仿宋"/>
          <w:bCs w:val="0"/>
          <w:kern w:val="0"/>
          <w:sz w:val="28"/>
          <w:szCs w:val="28"/>
          <w:lang w:val="en-US" w:eastAsia="zh-CN"/>
        </w:rPr>
        <w:t>合同金额的100%作为</w:t>
      </w:r>
      <w:r>
        <w:rPr>
          <w:rFonts w:hint="eastAsia" w:ascii="仿宋" w:hAnsi="仿宋" w:eastAsia="仿宋" w:cs="仿宋"/>
          <w:bCs w:val="0"/>
          <w:kern w:val="0"/>
          <w:sz w:val="28"/>
          <w:szCs w:val="28"/>
        </w:rPr>
        <w:t>违约金，</w:t>
      </w:r>
      <w:r>
        <w:rPr>
          <w:rFonts w:hint="eastAsia" w:ascii="仿宋" w:hAnsi="仿宋" w:eastAsia="仿宋" w:cs="仿宋"/>
          <w:bCs w:val="0"/>
          <w:kern w:val="0"/>
          <w:sz w:val="28"/>
          <w:szCs w:val="28"/>
          <w:lang w:val="en-US" w:eastAsia="zh-CN"/>
        </w:rPr>
        <w:t>如给甲方造成损失的，甲方有权向乙方索赔相应损失，</w:t>
      </w:r>
      <w:r>
        <w:rPr>
          <w:rFonts w:hint="eastAsia" w:ascii="仿宋" w:hAnsi="仿宋" w:eastAsia="仿宋" w:cs="仿宋"/>
          <w:bCs w:val="0"/>
          <w:kern w:val="0"/>
          <w:sz w:val="28"/>
          <w:szCs w:val="28"/>
        </w:rPr>
        <w:t>且甲方有权终止合同。</w:t>
      </w:r>
    </w:p>
    <w:p>
      <w:pPr>
        <w:pStyle w:val="2"/>
        <w:rPr>
          <w:rFonts w:hint="default" w:ascii="Times New Roman" w:hAnsi="Times New Roman" w:eastAsia="仿宋" w:cs="Times New Roman"/>
          <w:bCs w:val="0"/>
          <w:sz w:val="20"/>
          <w:szCs w:val="24"/>
        </w:rPr>
      </w:pPr>
      <w:r>
        <w:rPr>
          <w:rFonts w:hint="eastAsia" w:ascii="仿宋" w:hAnsi="仿宋" w:eastAsia="仿宋" w:cs="仿宋"/>
          <w:bCs w:val="0"/>
          <w:kern w:val="0"/>
          <w:sz w:val="28"/>
          <w:szCs w:val="28"/>
          <w:lang w:val="en-US" w:eastAsia="zh-CN"/>
        </w:rPr>
        <w:t xml:space="preserve">   5.甲方</w:t>
      </w:r>
      <w:r>
        <w:rPr>
          <w:rFonts w:hint="eastAsia" w:ascii="仿宋" w:hAnsi="仿宋" w:eastAsia="仿宋" w:cs="仿宋"/>
          <w:bCs w:val="0"/>
          <w:sz w:val="28"/>
          <w:szCs w:val="28"/>
        </w:rPr>
        <w:t>若未在202</w:t>
      </w:r>
      <w:r>
        <w:rPr>
          <w:rFonts w:hint="eastAsia" w:ascii="仿宋" w:hAnsi="仿宋" w:eastAsia="仿宋" w:cs="仿宋"/>
          <w:bCs w:val="0"/>
          <w:sz w:val="28"/>
          <w:szCs w:val="28"/>
          <w:lang w:val="en-US" w:eastAsia="zh-CN"/>
        </w:rPr>
        <w:t>4</w:t>
      </w:r>
      <w:r>
        <w:rPr>
          <w:rFonts w:hint="eastAsia" w:ascii="仿宋" w:hAnsi="仿宋" w:eastAsia="仿宋" w:cs="仿宋"/>
          <w:bCs w:val="0"/>
          <w:sz w:val="28"/>
          <w:szCs w:val="28"/>
        </w:rPr>
        <w:t>年1</w:t>
      </w:r>
      <w:r>
        <w:rPr>
          <w:rFonts w:hint="eastAsia" w:ascii="仿宋" w:hAnsi="仿宋" w:eastAsia="仿宋" w:cs="仿宋"/>
          <w:bCs w:val="0"/>
          <w:sz w:val="28"/>
          <w:szCs w:val="28"/>
          <w:lang w:eastAsia="zh-CN"/>
        </w:rPr>
        <w:t>1</w:t>
      </w:r>
      <w:r>
        <w:rPr>
          <w:rFonts w:hint="eastAsia" w:ascii="仿宋" w:hAnsi="仿宋" w:eastAsia="仿宋" w:cs="仿宋"/>
          <w:bCs w:val="0"/>
          <w:sz w:val="28"/>
          <w:szCs w:val="28"/>
        </w:rPr>
        <w:t>月3</w:t>
      </w:r>
      <w:r>
        <w:rPr>
          <w:rFonts w:hint="eastAsia" w:ascii="仿宋" w:hAnsi="仿宋" w:eastAsia="仿宋" w:cs="仿宋"/>
          <w:bCs w:val="0"/>
          <w:sz w:val="28"/>
          <w:szCs w:val="28"/>
          <w:lang w:eastAsia="zh-CN"/>
        </w:rPr>
        <w:t>0</w:t>
      </w:r>
      <w:r>
        <w:rPr>
          <w:rFonts w:hint="eastAsia" w:ascii="仿宋" w:hAnsi="仿宋" w:eastAsia="仿宋" w:cs="仿宋"/>
          <w:bCs w:val="0"/>
          <w:sz w:val="28"/>
          <w:szCs w:val="28"/>
        </w:rPr>
        <w:t>日前取得证书，每延期一天乙方向甲方支付</w:t>
      </w:r>
      <w:r>
        <w:rPr>
          <w:rFonts w:hint="eastAsia" w:ascii="仿宋" w:hAnsi="仿宋" w:eastAsia="仿宋" w:cs="仿宋"/>
          <w:bCs w:val="0"/>
          <w:sz w:val="28"/>
          <w:szCs w:val="28"/>
          <w:lang w:val="en-US" w:eastAsia="zh-CN"/>
        </w:rPr>
        <w:t>1</w:t>
      </w:r>
      <w:r>
        <w:rPr>
          <w:rFonts w:hint="eastAsia" w:ascii="仿宋" w:hAnsi="仿宋" w:eastAsia="仿宋" w:cs="仿宋"/>
          <w:bCs w:val="0"/>
          <w:sz w:val="28"/>
          <w:szCs w:val="28"/>
        </w:rPr>
        <w:t>000元违约金。</w:t>
      </w:r>
    </w:p>
    <w:p>
      <w:pPr>
        <w:ind w:firstLine="560"/>
        <w:rPr>
          <w:rFonts w:hint="default"/>
          <w:lang w:val="en-US" w:eastAsia="zh-CN"/>
        </w:rPr>
      </w:pPr>
    </w:p>
    <w:p>
      <w:pPr>
        <w:pStyle w:val="4"/>
        <w:wordWrap w:val="0"/>
        <w:spacing w:line="500" w:lineRule="exact"/>
        <w:ind w:firstLine="562"/>
        <w:jc w:val="left"/>
        <w:rPr>
          <w:rFonts w:hint="eastAsia" w:ascii="仿宋" w:hAnsi="仿宋" w:eastAsia="仿宋" w:cs="仿宋"/>
          <w:b/>
          <w:bCs/>
          <w:szCs w:val="28"/>
        </w:rPr>
      </w:pPr>
      <w:r>
        <w:rPr>
          <w:rFonts w:hint="eastAsia" w:ascii="仿宋" w:hAnsi="仿宋" w:eastAsia="仿宋" w:cs="仿宋"/>
          <w:b/>
          <w:bCs/>
          <w:szCs w:val="28"/>
        </w:rPr>
        <w:t>八、其他约定</w:t>
      </w:r>
    </w:p>
    <w:p>
      <w:pPr>
        <w:wordWrap w:val="0"/>
        <w:spacing w:line="500" w:lineRule="exact"/>
        <w:ind w:firstLine="560" w:firstLineChars="200"/>
        <w:jc w:val="left"/>
        <w:textAlignment w:val="center"/>
        <w:rPr>
          <w:rFonts w:hint="eastAsia" w:ascii="仿宋" w:hAnsi="仿宋" w:eastAsia="仿宋" w:cs="仿宋"/>
          <w:sz w:val="28"/>
          <w:szCs w:val="28"/>
        </w:rPr>
      </w:pPr>
      <w:r>
        <w:rPr>
          <w:rFonts w:hint="eastAsia" w:ascii="仿宋" w:hAnsi="仿宋" w:eastAsia="仿宋" w:cs="仿宋"/>
          <w:sz w:val="28"/>
          <w:szCs w:val="28"/>
        </w:rPr>
        <w:t>1.本协议在履行过程中发生的争议，由双方协商解决；协商不成的，可依法向甲方注册所在地人民法院提起诉讼。</w:t>
      </w:r>
    </w:p>
    <w:p>
      <w:pPr>
        <w:wordWrap w:val="0"/>
        <w:spacing w:line="500" w:lineRule="exact"/>
        <w:ind w:firstLine="560" w:firstLineChars="200"/>
        <w:jc w:val="left"/>
        <w:textAlignment w:val="center"/>
        <w:rPr>
          <w:rFonts w:hint="eastAsia" w:ascii="仿宋" w:hAnsi="仿宋" w:eastAsia="仿宋" w:cs="仿宋"/>
          <w:sz w:val="28"/>
          <w:szCs w:val="28"/>
        </w:rPr>
      </w:pPr>
      <w:r>
        <w:rPr>
          <w:rFonts w:hint="eastAsia" w:ascii="仿宋" w:hAnsi="仿宋" w:eastAsia="仿宋" w:cs="仿宋"/>
          <w:sz w:val="28"/>
          <w:szCs w:val="28"/>
        </w:rPr>
        <w:t>2.本协议如有未尽事宜，经甲乙双方协商一致，可另行签订补充协议。补充协议与本协议具有同等法律效力。</w:t>
      </w:r>
    </w:p>
    <w:p>
      <w:pPr>
        <w:wordWrap w:val="0"/>
        <w:spacing w:line="500" w:lineRule="exact"/>
        <w:ind w:firstLine="528" w:firstLineChars="200"/>
        <w:jc w:val="left"/>
        <w:textAlignment w:val="center"/>
        <w:rPr>
          <w:rFonts w:hint="eastAsia" w:ascii="仿宋" w:hAnsi="仿宋" w:eastAsia="仿宋" w:cs="仿宋"/>
          <w:spacing w:val="-8"/>
          <w:sz w:val="28"/>
          <w:szCs w:val="28"/>
        </w:rPr>
      </w:pPr>
      <w:r>
        <w:rPr>
          <w:rFonts w:hint="eastAsia" w:ascii="仿宋" w:hAnsi="仿宋" w:eastAsia="仿宋" w:cs="仿宋"/>
          <w:spacing w:val="-8"/>
          <w:sz w:val="28"/>
          <w:szCs w:val="28"/>
        </w:rPr>
        <w:t>3.本协议经双方签字盖章后生效。本协议一式陆份，甲方执</w:t>
      </w:r>
      <w:r>
        <w:rPr>
          <w:rFonts w:hint="eastAsia" w:ascii="仿宋" w:hAnsi="仿宋" w:eastAsia="仿宋" w:cs="仿宋"/>
          <w:spacing w:val="-8"/>
          <w:sz w:val="28"/>
          <w:szCs w:val="28"/>
          <w:u w:val="single"/>
        </w:rPr>
        <w:t xml:space="preserve"> 肆 </w:t>
      </w:r>
      <w:r>
        <w:rPr>
          <w:rFonts w:hint="eastAsia" w:ascii="仿宋" w:hAnsi="仿宋" w:eastAsia="仿宋" w:cs="仿宋"/>
          <w:spacing w:val="-8"/>
          <w:sz w:val="28"/>
          <w:szCs w:val="28"/>
        </w:rPr>
        <w:t>份，乙方执</w:t>
      </w:r>
      <w:r>
        <w:rPr>
          <w:rFonts w:hint="eastAsia" w:ascii="仿宋" w:hAnsi="仿宋" w:eastAsia="仿宋" w:cs="仿宋"/>
          <w:spacing w:val="-8"/>
          <w:sz w:val="28"/>
          <w:szCs w:val="28"/>
          <w:u w:val="single"/>
        </w:rPr>
        <w:t xml:space="preserve"> 贰 </w:t>
      </w:r>
      <w:r>
        <w:rPr>
          <w:rFonts w:hint="eastAsia" w:ascii="仿宋" w:hAnsi="仿宋" w:eastAsia="仿宋" w:cs="仿宋"/>
          <w:spacing w:val="-8"/>
          <w:sz w:val="28"/>
          <w:szCs w:val="28"/>
        </w:rPr>
        <w:t>份。</w:t>
      </w:r>
    </w:p>
    <w:p>
      <w:pPr>
        <w:wordWrap w:val="0"/>
        <w:spacing w:line="500" w:lineRule="exact"/>
        <w:jc w:val="left"/>
        <w:textAlignment w:val="center"/>
        <w:rPr>
          <w:rFonts w:hint="eastAsia" w:ascii="仿宋" w:hAnsi="仿宋" w:eastAsia="仿宋" w:cs="仿宋"/>
          <w:sz w:val="28"/>
          <w:szCs w:val="28"/>
        </w:rPr>
      </w:pPr>
    </w:p>
    <w:p>
      <w:pPr>
        <w:wordWrap w:val="0"/>
        <w:spacing w:line="500" w:lineRule="exact"/>
        <w:jc w:val="left"/>
        <w:textAlignment w:val="center"/>
        <w:rPr>
          <w:rFonts w:hint="eastAsia" w:ascii="仿宋" w:hAnsi="仿宋" w:eastAsia="仿宋" w:cs="仿宋"/>
          <w:sz w:val="28"/>
          <w:szCs w:val="28"/>
        </w:rPr>
      </w:pPr>
    </w:p>
    <w:p>
      <w:pPr>
        <w:wordWrap w:val="0"/>
        <w:spacing w:line="500" w:lineRule="exact"/>
        <w:jc w:val="left"/>
        <w:textAlignment w:val="center"/>
        <w:rPr>
          <w:rFonts w:hint="eastAsia" w:ascii="仿宋" w:hAnsi="仿宋" w:eastAsia="仿宋" w:cs="仿宋"/>
          <w:sz w:val="28"/>
          <w:szCs w:val="28"/>
        </w:rPr>
      </w:pPr>
      <w:r>
        <w:rPr>
          <w:rFonts w:hint="eastAsia" w:ascii="仿宋" w:hAnsi="仿宋" w:eastAsia="仿宋" w:cs="仿宋"/>
          <w:sz w:val="28"/>
          <w:szCs w:val="28"/>
        </w:rPr>
        <w:t>甲方（盖章）：                    乙方（盖章）：</w:t>
      </w:r>
    </w:p>
    <w:p>
      <w:pPr>
        <w:wordWrap w:val="0"/>
        <w:spacing w:line="500" w:lineRule="exact"/>
        <w:jc w:val="left"/>
        <w:textAlignment w:val="center"/>
        <w:rPr>
          <w:rFonts w:hint="eastAsia" w:ascii="仿宋" w:hAnsi="仿宋" w:eastAsia="仿宋" w:cs="仿宋"/>
          <w:sz w:val="28"/>
          <w:szCs w:val="28"/>
        </w:rPr>
      </w:pPr>
      <w:r>
        <w:rPr>
          <w:rFonts w:hint="eastAsia" w:ascii="仿宋" w:hAnsi="仿宋" w:eastAsia="仿宋" w:cs="仿宋"/>
          <w:sz w:val="28"/>
          <w:szCs w:val="28"/>
        </w:rPr>
        <w:t>委托代理人（签名）               委托代理人（签名）</w:t>
      </w:r>
    </w:p>
    <w:p>
      <w:pPr>
        <w:wordWrap w:val="0"/>
        <w:spacing w:line="500" w:lineRule="exact"/>
        <w:jc w:val="left"/>
        <w:textAlignment w:val="center"/>
        <w:rPr>
          <w:rFonts w:hint="eastAsia" w:ascii="仿宋" w:hAnsi="仿宋" w:eastAsia="仿宋" w:cs="仿宋"/>
          <w:sz w:val="28"/>
          <w:szCs w:val="28"/>
        </w:rPr>
      </w:pPr>
      <w:r>
        <w:rPr>
          <w:rFonts w:hint="eastAsia" w:ascii="仿宋" w:hAnsi="仿宋" w:eastAsia="仿宋" w:cs="仿宋"/>
          <w:sz w:val="28"/>
          <w:szCs w:val="28"/>
        </w:rPr>
        <w:t>联系电话：                       联系电话：</w:t>
      </w:r>
    </w:p>
    <w:p>
      <w:pPr>
        <w:wordWrap w:val="0"/>
        <w:spacing w:line="500" w:lineRule="exact"/>
        <w:ind w:firstLine="280" w:firstLineChars="100"/>
        <w:jc w:val="left"/>
        <w:textAlignment w:val="center"/>
        <w:rPr>
          <w:rFonts w:hint="eastAsia" w:ascii="仿宋" w:hAnsi="仿宋" w:eastAsia="仿宋" w:cs="仿宋"/>
          <w:sz w:val="28"/>
          <w:szCs w:val="28"/>
        </w:rPr>
      </w:pPr>
      <w:r>
        <w:rPr>
          <w:rFonts w:hint="eastAsia" w:ascii="仿宋" w:hAnsi="仿宋" w:eastAsia="仿宋" w:cs="仿宋"/>
          <w:sz w:val="28"/>
          <w:szCs w:val="28"/>
        </w:rPr>
        <w:t xml:space="preserve">年   月   日                     年   月   日  </w:t>
      </w: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pPr>
    </w:p>
    <w:p>
      <w:pPr>
        <w:rPr>
          <w:rFonts w:ascii="宋体" w:hAnsi="宋体" w:cs="宋体"/>
          <w:color w:val="000000" w:themeColor="text1"/>
          <w14:textFill>
            <w14:solidFill>
              <w14:schemeClr w14:val="tx1"/>
            </w14:solidFill>
          </w14:textFill>
        </w:rPr>
        <w:sectPr>
          <w:pgSz w:w="11906" w:h="16838"/>
          <w:pgMar w:top="1440" w:right="1803" w:bottom="1440" w:left="1803" w:header="851" w:footer="992" w:gutter="0"/>
          <w:cols w:space="720" w:num="1"/>
          <w:titlePg/>
          <w:docGrid w:type="lines" w:linePitch="319" w:charSpace="0"/>
        </w:sectPr>
      </w:pPr>
    </w:p>
    <w:p>
      <w:pPr>
        <w:pStyle w:val="3"/>
        <w:spacing w:before="0" w:after="0" w:line="360" w:lineRule="auto"/>
        <w:jc w:val="center"/>
        <w:rPr>
          <w:rFonts w:ascii="宋体" w:hAnsi="宋体" w:cs="宋体"/>
          <w:highlight w:val="none"/>
        </w:rPr>
      </w:pPr>
      <w:bookmarkStart w:id="205" w:name="_Toc2000413"/>
      <w:bookmarkStart w:id="206" w:name="_Toc514858709"/>
      <w:bookmarkStart w:id="207" w:name="_Toc10514"/>
      <w:r>
        <w:rPr>
          <w:rFonts w:hint="eastAsia" w:ascii="宋体" w:hAnsi="宋体" w:cs="宋体"/>
          <w:highlight w:val="none"/>
        </w:rPr>
        <w:t>第</w:t>
      </w:r>
      <w:r>
        <w:rPr>
          <w:rFonts w:hint="eastAsia" w:ascii="宋体" w:hAnsi="宋体" w:cs="宋体"/>
          <w:highlight w:val="none"/>
          <w:lang w:val="en-US" w:eastAsia="zh-CN"/>
        </w:rPr>
        <w:t>九</w:t>
      </w:r>
      <w:r>
        <w:rPr>
          <w:rFonts w:hint="eastAsia" w:ascii="宋体" w:hAnsi="宋体" w:cs="宋体"/>
          <w:highlight w:val="none"/>
        </w:rPr>
        <w:t>章  竞争性比选响应文件格式</w:t>
      </w:r>
      <w:bookmarkEnd w:id="194"/>
      <w:bookmarkEnd w:id="205"/>
      <w:bookmarkEnd w:id="206"/>
      <w:bookmarkEnd w:id="207"/>
    </w:p>
    <w:p>
      <w:pPr>
        <w:rPr>
          <w:rFonts w:ascii="宋体" w:hAnsi="宋体" w:cs="宋体"/>
          <w:highlight w:val="none"/>
        </w:rPr>
        <w:sectPr>
          <w:footerReference r:id="rId9" w:type="default"/>
          <w:pgSz w:w="11906" w:h="16838"/>
          <w:pgMar w:top="1440" w:right="1803" w:bottom="1440" w:left="1803" w:header="851" w:footer="992" w:gutter="0"/>
          <w:cols w:space="720" w:num="1"/>
          <w:titlePg/>
          <w:docGrid w:type="lines" w:linePitch="319" w:charSpace="0"/>
        </w:sectPr>
      </w:pPr>
    </w:p>
    <w:p>
      <w:pPr>
        <w:jc w:val="center"/>
        <w:rPr>
          <w:rFonts w:ascii="宋体" w:hAnsi="宋体" w:cs="宋体"/>
          <w:sz w:val="52"/>
          <w:szCs w:val="52"/>
          <w:highlight w:val="none"/>
          <w:u w:val="single"/>
        </w:rPr>
      </w:pPr>
      <w:bookmarkStart w:id="208" w:name="_Toc514858710"/>
      <w:bookmarkStart w:id="209" w:name="_Toc513646738"/>
      <w:bookmarkStart w:id="210" w:name="_Toc503951046"/>
      <w:bookmarkStart w:id="211" w:name="_Toc513633967"/>
      <w:bookmarkStart w:id="212" w:name="_Toc503971829"/>
      <w:r>
        <w:rPr>
          <w:rFonts w:hint="eastAsia" w:ascii="宋体" w:hAnsi="宋体" w:cs="宋体"/>
          <w:highlight w:val="none"/>
          <w:u w:val="single"/>
        </w:rPr>
        <w:t xml:space="preserve">                           </w:t>
      </w:r>
      <w:r>
        <w:rPr>
          <w:rFonts w:hint="eastAsia" w:ascii="宋体" w:hAnsi="宋体" w:cs="宋体"/>
          <w:sz w:val="52"/>
          <w:szCs w:val="52"/>
          <w:highlight w:val="none"/>
          <w:u w:val="single"/>
        </w:rPr>
        <w:t>（项目名称）</w:t>
      </w:r>
      <w:bookmarkEnd w:id="208"/>
      <w:bookmarkEnd w:id="209"/>
      <w:bookmarkEnd w:id="210"/>
      <w:bookmarkEnd w:id="211"/>
      <w:bookmarkEnd w:id="212"/>
      <w:r>
        <w:rPr>
          <w:rFonts w:hint="eastAsia" w:ascii="宋体" w:hAnsi="宋体" w:cs="宋体"/>
          <w:sz w:val="52"/>
          <w:szCs w:val="52"/>
          <w:highlight w:val="none"/>
          <w:u w:val="single"/>
        </w:rPr>
        <w:t xml:space="preserve"> </w:t>
      </w:r>
    </w:p>
    <w:p>
      <w:pPr>
        <w:rPr>
          <w:rFonts w:ascii="宋体" w:hAnsi="宋体" w:cs="宋体"/>
          <w:sz w:val="20"/>
          <w:szCs w:val="20"/>
          <w:highlight w:val="none"/>
        </w:rPr>
      </w:pPr>
    </w:p>
    <w:p>
      <w:pPr>
        <w:jc w:val="center"/>
        <w:rPr>
          <w:rFonts w:ascii="宋体" w:hAnsi="宋体" w:cs="宋体"/>
          <w:sz w:val="44"/>
          <w:szCs w:val="44"/>
          <w:highlight w:val="none"/>
        </w:rPr>
      </w:pPr>
      <w:r>
        <w:rPr>
          <w:rFonts w:hint="eastAsia" w:ascii="宋体" w:hAnsi="宋体" w:cs="宋体"/>
          <w:sz w:val="44"/>
          <w:szCs w:val="44"/>
          <w:highlight w:val="none"/>
        </w:rPr>
        <w:t xml:space="preserve"> </w:t>
      </w:r>
    </w:p>
    <w:p>
      <w:pPr>
        <w:rPr>
          <w:rFonts w:ascii="宋体" w:hAnsi="宋体" w:cs="宋体"/>
          <w:sz w:val="28"/>
          <w:szCs w:val="28"/>
          <w:highlight w:val="none"/>
        </w:rPr>
      </w:pPr>
    </w:p>
    <w:p>
      <w:pPr>
        <w:rPr>
          <w:rFonts w:ascii="宋体" w:hAnsi="宋体" w:cs="宋体"/>
          <w:sz w:val="28"/>
          <w:szCs w:val="28"/>
          <w:highlight w:val="none"/>
        </w:rPr>
      </w:pPr>
    </w:p>
    <w:p>
      <w:pPr>
        <w:rPr>
          <w:rFonts w:ascii="宋体" w:hAnsi="宋体" w:cs="宋体"/>
          <w:sz w:val="28"/>
          <w:szCs w:val="28"/>
          <w:highlight w:val="none"/>
        </w:rPr>
      </w:pPr>
    </w:p>
    <w:p>
      <w:pPr>
        <w:jc w:val="center"/>
        <w:rPr>
          <w:rFonts w:ascii="宋体" w:hAnsi="宋体" w:cs="宋体"/>
          <w:b/>
          <w:sz w:val="72"/>
          <w:szCs w:val="44"/>
          <w:highlight w:val="none"/>
        </w:rPr>
      </w:pPr>
      <w:r>
        <w:rPr>
          <w:rFonts w:hint="eastAsia" w:ascii="宋体" w:hAnsi="宋体" w:cs="宋体"/>
          <w:b/>
          <w:sz w:val="72"/>
          <w:szCs w:val="44"/>
          <w:highlight w:val="none"/>
        </w:rPr>
        <w:t>竞争性比选响应文件</w:t>
      </w:r>
    </w:p>
    <w:p>
      <w:pPr>
        <w:jc w:val="center"/>
        <w:rPr>
          <w:rFonts w:ascii="宋体" w:hAnsi="宋体" w:cs="宋体"/>
          <w:b/>
          <w:sz w:val="32"/>
          <w:szCs w:val="32"/>
          <w:highlight w:val="none"/>
        </w:rPr>
      </w:pPr>
    </w:p>
    <w:p>
      <w:pPr>
        <w:rPr>
          <w:rFonts w:ascii="宋体" w:hAnsi="宋体" w:cs="宋体"/>
          <w:sz w:val="28"/>
          <w:szCs w:val="28"/>
          <w:highlight w:val="none"/>
        </w:rPr>
      </w:pPr>
    </w:p>
    <w:p>
      <w:pPr>
        <w:rPr>
          <w:rFonts w:ascii="宋体" w:hAnsi="宋体" w:cs="宋体"/>
          <w:sz w:val="28"/>
          <w:szCs w:val="28"/>
          <w:highlight w:val="none"/>
        </w:rPr>
      </w:pPr>
    </w:p>
    <w:p>
      <w:pPr>
        <w:rPr>
          <w:rFonts w:ascii="宋体" w:hAnsi="宋体" w:cs="宋体"/>
          <w:sz w:val="28"/>
          <w:szCs w:val="28"/>
          <w:highlight w:val="none"/>
        </w:rPr>
      </w:pPr>
    </w:p>
    <w:p>
      <w:pPr>
        <w:rPr>
          <w:rFonts w:ascii="宋体" w:hAnsi="宋体" w:cs="宋体"/>
          <w:sz w:val="28"/>
          <w:szCs w:val="28"/>
          <w:highlight w:val="none"/>
        </w:rPr>
      </w:pPr>
    </w:p>
    <w:p>
      <w:pPr>
        <w:rPr>
          <w:rFonts w:ascii="宋体" w:hAnsi="宋体" w:cs="宋体"/>
          <w:sz w:val="28"/>
          <w:szCs w:val="28"/>
          <w:highlight w:val="none"/>
        </w:rPr>
      </w:pPr>
    </w:p>
    <w:p>
      <w:pPr>
        <w:pStyle w:val="28"/>
        <w:rPr>
          <w:highlight w:val="none"/>
        </w:rPr>
      </w:pPr>
    </w:p>
    <w:p>
      <w:pPr>
        <w:rPr>
          <w:highlight w:val="none"/>
        </w:rPr>
      </w:pPr>
    </w:p>
    <w:p>
      <w:pPr>
        <w:pStyle w:val="28"/>
        <w:rPr>
          <w:highlight w:val="none"/>
        </w:rPr>
      </w:pPr>
    </w:p>
    <w:p>
      <w:pPr>
        <w:rPr>
          <w:highlight w:val="none"/>
        </w:rPr>
      </w:pPr>
    </w:p>
    <w:p>
      <w:pPr>
        <w:pStyle w:val="28"/>
        <w:rPr>
          <w:highlight w:val="none"/>
        </w:rPr>
      </w:pPr>
    </w:p>
    <w:p>
      <w:pPr>
        <w:jc w:val="center"/>
        <w:rPr>
          <w:rFonts w:ascii="宋体" w:hAnsi="宋体" w:cs="宋体"/>
          <w:sz w:val="28"/>
          <w:szCs w:val="28"/>
          <w:highlight w:val="none"/>
          <w:u w:val="single"/>
        </w:rPr>
      </w:pPr>
      <w:r>
        <w:rPr>
          <w:rFonts w:hint="eastAsia" w:ascii="宋体" w:hAnsi="宋体" w:cs="宋体"/>
          <w:sz w:val="28"/>
          <w:szCs w:val="28"/>
          <w:highlight w:val="none"/>
        </w:rPr>
        <w:t>报价人：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（盖单位鲜公章）</w:t>
      </w:r>
    </w:p>
    <w:p>
      <w:pPr>
        <w:jc w:val="center"/>
        <w:rPr>
          <w:rFonts w:ascii="宋体" w:hAnsi="宋体" w:cs="宋体"/>
          <w:sz w:val="28"/>
          <w:szCs w:val="28"/>
          <w:highlight w:val="none"/>
        </w:rPr>
      </w:pPr>
      <w:r>
        <w:rPr>
          <w:rFonts w:hint="eastAsia" w:ascii="宋体" w:hAnsi="宋体" w:cs="宋体"/>
          <w:sz w:val="28"/>
          <w:szCs w:val="28"/>
          <w:highlight w:val="none"/>
        </w:rPr>
        <w:t>法定代表人或其委托代理人：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（签字）</w:t>
      </w:r>
    </w:p>
    <w:p>
      <w:pPr>
        <w:jc w:val="center"/>
        <w:rPr>
          <w:rFonts w:ascii="宋体" w:hAnsi="宋体" w:cs="宋体"/>
          <w:sz w:val="20"/>
          <w:szCs w:val="20"/>
          <w:highlight w:val="none"/>
        </w:rPr>
      </w:pPr>
      <w:r>
        <w:rPr>
          <w:rFonts w:hint="eastAsia" w:ascii="宋体" w:hAnsi="宋体" w:cs="宋体"/>
          <w:sz w:val="28"/>
          <w:szCs w:val="28"/>
          <w:highlight w:val="none"/>
          <w:u w:val="single"/>
        </w:rPr>
        <w:t xml:space="preserve">        </w:t>
      </w:r>
      <w:r>
        <w:rPr>
          <w:rFonts w:hint="eastAsia" w:ascii="宋体" w:hAnsi="宋体" w:cs="宋体"/>
          <w:sz w:val="28"/>
          <w:szCs w:val="28"/>
          <w:highlight w:val="none"/>
        </w:rPr>
        <w:t>年</w:t>
      </w:r>
      <w:r>
        <w:rPr>
          <w:rFonts w:hint="eastAsia" w:ascii="宋体" w:hAnsi="宋体" w:cs="宋体"/>
          <w:sz w:val="28"/>
          <w:szCs w:val="28"/>
          <w:highlight w:val="none"/>
          <w:u w:val="single"/>
        </w:rPr>
        <w:t xml:space="preserve">        </w:t>
      </w:r>
      <w:r>
        <w:rPr>
          <w:rFonts w:hint="eastAsia" w:ascii="宋体" w:hAnsi="宋体" w:cs="宋体"/>
          <w:sz w:val="28"/>
          <w:szCs w:val="28"/>
          <w:highlight w:val="none"/>
        </w:rPr>
        <w:t>月</w:t>
      </w:r>
      <w:r>
        <w:rPr>
          <w:rFonts w:hint="eastAsia" w:ascii="宋体" w:hAnsi="宋体" w:cs="宋体"/>
          <w:sz w:val="28"/>
          <w:szCs w:val="28"/>
          <w:highlight w:val="none"/>
          <w:u w:val="single"/>
        </w:rPr>
        <w:t xml:space="preserve">        </w:t>
      </w:r>
      <w:r>
        <w:rPr>
          <w:rFonts w:hint="eastAsia" w:ascii="宋体" w:hAnsi="宋体" w:cs="宋体"/>
          <w:sz w:val="28"/>
          <w:szCs w:val="28"/>
          <w:highlight w:val="none"/>
        </w:rPr>
        <w:t>日</w:t>
      </w: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pStyle w:val="4"/>
        <w:jc w:val="center"/>
        <w:rPr>
          <w:rFonts w:ascii="宋体" w:hAnsi="宋体" w:eastAsia="宋体" w:cs="宋体"/>
          <w:highlight w:val="none"/>
        </w:rPr>
      </w:pPr>
      <w:bookmarkStart w:id="213" w:name="_Toc11329273"/>
      <w:bookmarkStart w:id="214" w:name="_Toc1368"/>
      <w:bookmarkStart w:id="215" w:name="_Toc5459"/>
      <w:bookmarkStart w:id="216" w:name="_Toc10395"/>
      <w:bookmarkStart w:id="217" w:name="_Toc28780"/>
      <w:r>
        <w:rPr>
          <w:rFonts w:hint="eastAsia" w:ascii="宋体" w:hAnsi="宋体" w:eastAsia="宋体" w:cs="宋体"/>
          <w:highlight w:val="none"/>
        </w:rPr>
        <w:t>目    录</w:t>
      </w:r>
      <w:bookmarkEnd w:id="195"/>
      <w:bookmarkEnd w:id="196"/>
      <w:bookmarkEnd w:id="197"/>
      <w:bookmarkEnd w:id="198"/>
      <w:bookmarkEnd w:id="199"/>
      <w:bookmarkEnd w:id="200"/>
      <w:bookmarkEnd w:id="201"/>
      <w:bookmarkEnd w:id="202"/>
      <w:bookmarkEnd w:id="213"/>
      <w:bookmarkEnd w:id="214"/>
      <w:bookmarkEnd w:id="215"/>
      <w:bookmarkEnd w:id="216"/>
      <w:bookmarkEnd w:id="217"/>
    </w:p>
    <w:p>
      <w:pPr>
        <w:numPr>
          <w:ilvl w:val="0"/>
          <w:numId w:val="6"/>
        </w:numPr>
        <w:spacing w:line="400" w:lineRule="exact"/>
        <w:rPr>
          <w:rFonts w:ascii="宋体" w:hAnsi="宋体" w:cs="宋体"/>
          <w:highlight w:val="none"/>
        </w:rPr>
      </w:pPr>
      <w:r>
        <w:rPr>
          <w:rFonts w:hint="eastAsia" w:ascii="宋体" w:hAnsi="宋体" w:cs="宋体"/>
          <w:highlight w:val="none"/>
        </w:rPr>
        <w:t>竞争性响应声明书</w:t>
      </w:r>
    </w:p>
    <w:p>
      <w:pPr>
        <w:numPr>
          <w:ilvl w:val="0"/>
          <w:numId w:val="6"/>
        </w:numPr>
        <w:spacing w:line="400" w:lineRule="exact"/>
        <w:rPr>
          <w:rFonts w:ascii="宋体" w:hAnsi="宋体" w:cs="宋体"/>
          <w:highlight w:val="none"/>
        </w:rPr>
      </w:pPr>
      <w:r>
        <w:rPr>
          <w:rFonts w:ascii="宋体" w:hAnsi="宋体" w:cs="宋体"/>
          <w:highlight w:val="none"/>
        </w:rPr>
        <w:t>法定代表人身份证明或法定代表人授权委托书</w:t>
      </w:r>
    </w:p>
    <w:p>
      <w:pPr>
        <w:spacing w:line="400" w:lineRule="exact"/>
        <w:rPr>
          <w:rFonts w:ascii="宋体" w:hAnsi="宋体" w:cs="宋体"/>
          <w:highlight w:val="none"/>
        </w:rPr>
      </w:pPr>
      <w:r>
        <w:rPr>
          <w:rFonts w:hint="eastAsia" w:ascii="宋体" w:hAnsi="宋体" w:cs="宋体"/>
          <w:highlight w:val="none"/>
        </w:rPr>
        <w:t>三、报价一览表</w:t>
      </w:r>
    </w:p>
    <w:p>
      <w:pPr>
        <w:spacing w:line="400" w:lineRule="exact"/>
        <w:rPr>
          <w:rFonts w:ascii="宋体" w:hAnsi="宋体" w:cs="宋体"/>
          <w:highlight w:val="none"/>
        </w:rPr>
      </w:pPr>
      <w:r>
        <w:rPr>
          <w:rFonts w:hint="eastAsia" w:ascii="宋体" w:hAnsi="宋体" w:cs="宋体"/>
          <w:highlight w:val="none"/>
        </w:rPr>
        <w:t>四、资格审查资料</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rPr>
        <w:t>五、报价人须知前附表规定要求的资料</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rPr>
        <w:t xml:space="preserve">六、报价人基本信息及其他材料 </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rPr>
        <w:t>七、现场安全负责人承诺书</w:t>
      </w:r>
    </w:p>
    <w:p>
      <w:pPr>
        <w:pStyle w:val="2"/>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r>
        <w:rPr>
          <w:rFonts w:ascii="宋体" w:hAnsi="宋体" w:cs="宋体"/>
          <w:highlight w:val="none"/>
        </w:rPr>
        <w:br w:type="page"/>
      </w:r>
    </w:p>
    <w:p>
      <w:pPr>
        <w:pStyle w:val="4"/>
        <w:spacing w:before="0" w:after="0" w:line="360" w:lineRule="auto"/>
        <w:jc w:val="center"/>
        <w:rPr>
          <w:rFonts w:ascii="宋体" w:hAnsi="宋体" w:eastAsia="宋体" w:cs="宋体"/>
          <w:sz w:val="28"/>
          <w:highlight w:val="none"/>
        </w:rPr>
      </w:pPr>
      <w:bookmarkStart w:id="218" w:name="_Toc11329274"/>
      <w:bookmarkStart w:id="219" w:name="_Toc8870"/>
      <w:bookmarkStart w:id="220" w:name="_Toc29547"/>
      <w:bookmarkStart w:id="221" w:name="_Toc25874"/>
      <w:bookmarkStart w:id="222" w:name="_Toc26417"/>
      <w:bookmarkStart w:id="223" w:name="_Toc15863"/>
      <w:bookmarkStart w:id="224" w:name="_Toc513633969"/>
      <w:bookmarkStart w:id="225" w:name="_Toc447827053"/>
      <w:bookmarkStart w:id="226" w:name="_Toc503951048"/>
      <w:r>
        <w:rPr>
          <w:rFonts w:hint="eastAsia" w:ascii="宋体" w:hAnsi="宋体" w:eastAsia="宋体" w:cs="宋体"/>
          <w:sz w:val="28"/>
          <w:highlight w:val="none"/>
        </w:rPr>
        <w:t>一、</w:t>
      </w:r>
      <w:bookmarkEnd w:id="218"/>
      <w:bookmarkEnd w:id="219"/>
      <w:r>
        <w:rPr>
          <w:rFonts w:hint="eastAsia" w:ascii="宋体" w:hAnsi="宋体" w:eastAsia="宋体" w:cs="宋体"/>
          <w:sz w:val="28"/>
          <w:highlight w:val="none"/>
        </w:rPr>
        <w:t>竞争比选响应声明书</w:t>
      </w:r>
      <w:bookmarkEnd w:id="220"/>
      <w:bookmarkEnd w:id="221"/>
      <w:bookmarkEnd w:id="222"/>
      <w:bookmarkEnd w:id="223"/>
    </w:p>
    <w:p>
      <w:pPr>
        <w:tabs>
          <w:tab w:val="left" w:pos="900"/>
        </w:tabs>
        <w:spacing w:line="300" w:lineRule="auto"/>
        <w:rPr>
          <w:rFonts w:ascii="Arial" w:hAnsi="Arial" w:cs="Arial"/>
          <w:color w:val="000000"/>
          <w:sz w:val="24"/>
          <w:highlight w:val="none"/>
        </w:rPr>
      </w:pPr>
      <w:r>
        <w:rPr>
          <w:rFonts w:ascii="Arial" w:hAnsi="Arial" w:cs="Arial"/>
          <w:color w:val="000000"/>
          <w:sz w:val="24"/>
          <w:highlight w:val="none"/>
        </w:rPr>
        <w:t xml:space="preserve"> </w:t>
      </w:r>
      <w:r>
        <w:rPr>
          <w:rFonts w:hint="eastAsia" w:ascii="Arial" w:hAnsi="Arial" w:cs="Arial"/>
          <w:b/>
          <w:color w:val="000000"/>
          <w:sz w:val="24"/>
          <w:highlight w:val="none"/>
        </w:rPr>
        <w:t>致：</w:t>
      </w:r>
      <w:r>
        <w:rPr>
          <w:rFonts w:hint="eastAsia" w:ascii="Arial" w:hAnsi="Arial" w:cs="Arial"/>
          <w:b/>
          <w:bCs/>
          <w:color w:val="000000"/>
          <w:sz w:val="24"/>
          <w:highlight w:val="none"/>
          <w:u w:val="single"/>
        </w:rPr>
        <w:t>重庆首讯科技股份有限公司</w:t>
      </w:r>
    </w:p>
    <w:p>
      <w:pPr>
        <w:spacing w:line="700" w:lineRule="atLeast"/>
        <w:ind w:firstLine="480" w:firstLineChars="200"/>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根据贵方为</w:t>
      </w:r>
      <w:r>
        <w:rPr>
          <w:rFonts w:hint="eastAsia" w:ascii="Arial" w:hAnsi="Arial" w:cs="Arial"/>
          <w:color w:val="000000" w:themeColor="text1"/>
          <w:sz w:val="24"/>
          <w:u w:val="single"/>
          <w:lang w:val="en-US" w:eastAsia="zh-CN"/>
          <w14:textFill>
            <w14:solidFill>
              <w14:schemeClr w14:val="tx1"/>
            </w14:solidFill>
          </w14:textFill>
        </w:rPr>
        <w:t>机电工程施工总承包二级资质申报咨询服务</w:t>
      </w:r>
      <w:r>
        <w:rPr>
          <w:rFonts w:hint="eastAsia" w:ascii="Arial" w:hAnsi="Arial" w:cs="Arial"/>
          <w:color w:val="000000" w:themeColor="text1"/>
          <w:sz w:val="24"/>
          <w14:textFill>
            <w14:solidFill>
              <w14:schemeClr w14:val="tx1"/>
            </w14:solidFill>
          </w14:textFill>
        </w:rPr>
        <w:t>竞争比选项目及服务的竞争比选邀请，签字代表</w:t>
      </w:r>
      <w:r>
        <w:rPr>
          <w:rFonts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u w:val="single"/>
          <w14:textFill>
            <w14:solidFill>
              <w14:schemeClr w14:val="tx1"/>
            </w14:solidFill>
          </w14:textFill>
        </w:rPr>
        <w:t>（全名、职务）</w:t>
      </w:r>
      <w:r>
        <w:rPr>
          <w:rFonts w:hint="eastAsia" w:ascii="Arial" w:hAnsi="Arial" w:cs="Arial"/>
          <w:color w:val="000000" w:themeColor="text1"/>
          <w:sz w:val="24"/>
          <w14:textFill>
            <w14:solidFill>
              <w14:schemeClr w14:val="tx1"/>
            </w14:solidFill>
          </w14:textFill>
        </w:rPr>
        <w:t>经正式授权并代表竞争比选响应单位</w:t>
      </w:r>
      <w:r>
        <w:rPr>
          <w:rFonts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u w:val="single"/>
          <w14:textFill>
            <w14:solidFill>
              <w14:schemeClr w14:val="tx1"/>
            </w14:solidFill>
          </w14:textFill>
        </w:rPr>
        <w:t>（竞争比选响应单位名称）</w:t>
      </w:r>
      <w:r>
        <w:rPr>
          <w:rFonts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提交报价文件。</w:t>
      </w:r>
    </w:p>
    <w:p>
      <w:pPr>
        <w:spacing w:line="700" w:lineRule="atLeast"/>
        <w:ind w:firstLine="480" w:firstLineChars="200"/>
        <w:rPr>
          <w:rFonts w:ascii="Arial" w:hAnsi="Arial" w:cs="Arial"/>
          <w:color w:val="000000" w:themeColor="text1"/>
          <w:sz w:val="24"/>
          <w:u w:val="single"/>
          <w14:textFill>
            <w14:solidFill>
              <w14:schemeClr w14:val="tx1"/>
            </w14:solidFill>
          </w14:textFill>
        </w:rPr>
      </w:pPr>
      <w:r>
        <w:rPr>
          <w:rFonts w:hint="eastAsia" w:ascii="Arial" w:hAnsi="Arial" w:cs="Arial"/>
          <w:color w:val="000000" w:themeColor="text1"/>
          <w:sz w:val="24"/>
          <w:u w:val="single"/>
          <w14:textFill>
            <w14:solidFill>
              <w14:schemeClr w14:val="tx1"/>
            </w14:solidFill>
          </w14:textFill>
        </w:rPr>
        <w:t>我方愿以报价金额</w:t>
      </w:r>
      <w:r>
        <w:rPr>
          <w:rFonts w:hint="eastAsia" w:ascii="Arial" w:hAnsi="Arial" w:cs="Arial"/>
          <w:color w:val="000000" w:themeColor="text1"/>
          <w:sz w:val="24"/>
          <w:u w:val="single"/>
          <w:lang w:val="en-US" w:eastAsia="zh-CN"/>
          <w14:textFill>
            <w14:solidFill>
              <w14:schemeClr w14:val="tx1"/>
            </w14:solidFill>
          </w14:textFill>
        </w:rPr>
        <w:t>：</w:t>
      </w:r>
      <w:r>
        <w:rPr>
          <w:rFonts w:hint="default" w:ascii="Arial" w:hAnsi="Arial" w:cs="Arial"/>
          <w:color w:val="000000" w:themeColor="text1"/>
          <w:sz w:val="24"/>
          <w:u w:val="single"/>
          <w:lang w:eastAsia="zh-CN"/>
          <w14:textFill>
            <w14:solidFill>
              <w14:schemeClr w14:val="tx1"/>
            </w14:solidFill>
          </w14:textFill>
        </w:rPr>
        <w:t xml:space="preserve">           </w:t>
      </w:r>
      <w:r>
        <w:rPr>
          <w:rFonts w:hint="eastAsia"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u w:val="single"/>
          <w:lang w:val="en-US" w:eastAsia="zh-CN"/>
          <w14:textFill>
            <w14:solidFill>
              <w14:schemeClr w14:val="tx1"/>
            </w14:solidFill>
          </w14:textFill>
        </w:rPr>
        <w:t>元</w:t>
      </w:r>
      <w:r>
        <w:rPr>
          <w:rFonts w:hint="eastAsia" w:ascii="Arial" w:hAnsi="Arial" w:cs="Arial"/>
          <w:color w:val="000000" w:themeColor="text1"/>
          <w:sz w:val="24"/>
          <w14:textFill>
            <w14:solidFill>
              <w14:schemeClr w14:val="tx1"/>
            </w14:solidFill>
          </w14:textFill>
        </w:rPr>
        <w:t>；</w:t>
      </w:r>
    </w:p>
    <w:p>
      <w:pPr>
        <w:spacing w:line="700" w:lineRule="atLeast"/>
        <w:ind w:firstLine="480" w:firstLineChars="200"/>
        <w:rPr>
          <w:rFonts w:ascii="Arial" w:hAnsi="Arial" w:cs="Arial"/>
          <w:color w:val="000000" w:themeColor="text1"/>
          <w:sz w:val="24"/>
          <w:u w:val="single"/>
          <w14:textFill>
            <w14:solidFill>
              <w14:schemeClr w14:val="tx1"/>
            </w14:solidFill>
          </w14:textFill>
        </w:rPr>
      </w:pPr>
      <w:r>
        <w:rPr>
          <w:rFonts w:hint="eastAsia" w:ascii="Arial" w:hAnsi="Arial" w:cs="Arial"/>
          <w:color w:val="000000" w:themeColor="text1"/>
          <w:sz w:val="24"/>
          <w:u w:val="single"/>
          <w14:textFill>
            <w14:solidFill>
              <w14:schemeClr w14:val="tx1"/>
            </w14:solidFill>
          </w14:textFill>
        </w:rPr>
        <w:t>按照竞争比选文件的要求，承担本次竞争性比选文件要求的工程。</w:t>
      </w:r>
    </w:p>
    <w:p>
      <w:pPr>
        <w:tabs>
          <w:tab w:val="left" w:pos="540"/>
          <w:tab w:val="left" w:pos="900"/>
        </w:tabs>
        <w:spacing w:line="300" w:lineRule="auto"/>
        <w:rPr>
          <w:rFonts w:ascii="Arial" w:hAnsi="Arial" w:cs="Arial"/>
          <w:color w:val="000000" w:themeColor="text1"/>
          <w:sz w:val="24"/>
          <w14:textFill>
            <w14:solidFill>
              <w14:schemeClr w14:val="tx1"/>
            </w14:solidFill>
          </w14:textFill>
        </w:rPr>
      </w:pPr>
    </w:p>
    <w:p>
      <w:pPr>
        <w:tabs>
          <w:tab w:val="left" w:pos="540"/>
          <w:tab w:val="left" w:pos="900"/>
        </w:tabs>
        <w:spacing w:line="300" w:lineRule="auto"/>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据此函，签字代表宣布同意如下：</w:t>
      </w:r>
    </w:p>
    <w:p>
      <w:pPr>
        <w:tabs>
          <w:tab w:val="left" w:pos="540"/>
          <w:tab w:val="left" w:pos="900"/>
        </w:tabs>
        <w:spacing w:line="300" w:lineRule="auto"/>
        <w:rPr>
          <w:rFonts w:ascii="Arial" w:hAnsi="Arial" w:cs="Arial"/>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1</w:t>
      </w:r>
      <w:r>
        <w:rPr>
          <w:rFonts w:hint="eastAsia" w:ascii="Arial" w:hAnsi="Arial" w:cs="Arial"/>
          <w:color w:val="000000" w:themeColor="text1"/>
          <w:sz w:val="24"/>
          <w14:textFill>
            <w14:solidFill>
              <w14:schemeClr w14:val="tx1"/>
            </w14:solidFill>
          </w14:textFill>
        </w:rPr>
        <w:t>、竞争比选响应单位将按竞争比选文件规定履行合同责任和义务。</w:t>
      </w:r>
    </w:p>
    <w:p>
      <w:pPr>
        <w:tabs>
          <w:tab w:val="left" w:pos="900"/>
        </w:tabs>
        <w:spacing w:line="300" w:lineRule="auto"/>
        <w:rPr>
          <w:rFonts w:ascii="Arial" w:hAnsi="Arial" w:cs="Arial"/>
          <w:b/>
          <w:color w:val="000000" w:themeColor="text1"/>
          <w:sz w:val="24"/>
          <w14:textFill>
            <w14:solidFill>
              <w14:schemeClr w14:val="tx1"/>
            </w14:solidFill>
          </w14:textFill>
        </w:rPr>
      </w:pPr>
      <w:r>
        <w:rPr>
          <w:rFonts w:ascii="Arial" w:hAnsi="Arial" w:cs="Arial"/>
          <w:color w:val="000000" w:themeColor="text1"/>
          <w:sz w:val="24"/>
          <w14:textFill>
            <w14:solidFill>
              <w14:schemeClr w14:val="tx1"/>
            </w14:solidFill>
          </w14:textFill>
        </w:rPr>
        <w:t>2</w:t>
      </w:r>
      <w:r>
        <w:rPr>
          <w:rFonts w:hint="eastAsia" w:ascii="Arial" w:hAnsi="Arial" w:cs="Arial"/>
          <w:color w:val="000000" w:themeColor="text1"/>
          <w:sz w:val="24"/>
          <w14:textFill>
            <w14:solidFill>
              <w14:schemeClr w14:val="tx1"/>
            </w14:solidFill>
          </w14:textFill>
        </w:rPr>
        <w:t>、竞争比选响应单位已详细审查全部竞争比选文件，包括修改文件（如有的话）以及全部参考资料和相关附件。我们完全理解并同意放弃对这方面有不明及误解的权利。</w:t>
      </w:r>
    </w:p>
    <w:p>
      <w:pPr>
        <w:tabs>
          <w:tab w:val="left" w:pos="900"/>
        </w:tabs>
        <w:spacing w:line="300" w:lineRule="auto"/>
        <w:rPr>
          <w:rFonts w:ascii="Arial" w:hAnsi="Arial" w:cs="Arial"/>
          <w:b/>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3、竞争比选响应单位同意提供采购人可能要求的与其竞争比选响应文件有关的一切数据或资料，完全理解采购人不一定要接受最低报价的竞争比选响应或收到的任何报价。</w:t>
      </w:r>
    </w:p>
    <w:p>
      <w:pPr>
        <w:tabs>
          <w:tab w:val="left" w:pos="900"/>
        </w:tabs>
        <w:spacing w:line="300" w:lineRule="auto"/>
        <w:rPr>
          <w:rFonts w:ascii="Arial" w:hAnsi="Arial" w:cs="Arial"/>
          <w:b/>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4、与本竞争比选响应有关的一切正式往来通讯请寄：</w:t>
      </w:r>
    </w:p>
    <w:p>
      <w:pPr>
        <w:tabs>
          <w:tab w:val="left" w:pos="900"/>
        </w:tabs>
        <w:spacing w:line="300" w:lineRule="auto"/>
        <w:rPr>
          <w:rFonts w:ascii="Arial" w:hAnsi="Arial" w:cs="Arial"/>
          <w:b/>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地址：</w:t>
      </w:r>
      <w:r>
        <w:rPr>
          <w:rFonts w:ascii="Arial" w:hAnsi="Arial" w:cs="Arial"/>
          <w:color w:val="000000" w:themeColor="text1"/>
          <w:sz w:val="24"/>
          <w:u w:val="single"/>
          <w14:textFill>
            <w14:solidFill>
              <w14:schemeClr w14:val="tx1"/>
            </w14:solidFill>
          </w14:textFill>
        </w:rPr>
        <w:t xml:space="preserve">                         </w:t>
      </w:r>
      <w:r>
        <w:rPr>
          <w:rFonts w:ascii="Arial" w:hAnsi="Arial" w:cs="Arial"/>
          <w:color w:val="000000" w:themeColor="text1"/>
          <w:sz w:val="24"/>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邮编：</w:t>
      </w:r>
      <w:r>
        <w:rPr>
          <w:rFonts w:ascii="Arial" w:hAnsi="Arial" w:cs="Arial"/>
          <w:color w:val="000000" w:themeColor="text1"/>
          <w:sz w:val="24"/>
          <w:u w:val="single"/>
          <w14:textFill>
            <w14:solidFill>
              <w14:schemeClr w14:val="tx1"/>
            </w14:solidFill>
          </w14:textFill>
        </w:rPr>
        <w:t xml:space="preserve">            </w:t>
      </w:r>
      <w:r>
        <w:rPr>
          <w:rFonts w:ascii="Arial" w:hAnsi="Arial" w:cs="Arial"/>
          <w:b/>
          <w:color w:val="000000" w:themeColor="text1"/>
          <w:sz w:val="24"/>
          <w14:textFill>
            <w14:solidFill>
              <w14:schemeClr w14:val="tx1"/>
            </w14:solidFill>
          </w14:textFill>
        </w:rPr>
        <w:t xml:space="preserve">  </w:t>
      </w:r>
    </w:p>
    <w:p>
      <w:pPr>
        <w:tabs>
          <w:tab w:val="left" w:pos="900"/>
        </w:tabs>
        <w:spacing w:line="300" w:lineRule="auto"/>
        <w:rPr>
          <w:rFonts w:ascii="Arial" w:hAnsi="Arial" w:cs="Arial"/>
          <w:color w:val="000000" w:themeColor="text1"/>
          <w:sz w:val="24"/>
          <w:u w:val="single"/>
          <w14:textFill>
            <w14:solidFill>
              <w14:schemeClr w14:val="tx1"/>
            </w14:solidFill>
          </w14:textFill>
        </w:rPr>
      </w:pPr>
      <w:r>
        <w:rPr>
          <w:rFonts w:hint="eastAsia" w:ascii="Arial" w:hAnsi="Arial" w:cs="Arial"/>
          <w:color w:val="000000" w:themeColor="text1"/>
          <w:sz w:val="24"/>
          <w14:textFill>
            <w14:solidFill>
              <w14:schemeClr w14:val="tx1"/>
            </w14:solidFill>
          </w14:textFill>
        </w:rPr>
        <w:t>电话：</w:t>
      </w:r>
      <w:r>
        <w:rPr>
          <w:rFonts w:ascii="Arial" w:hAnsi="Arial" w:cs="Arial"/>
          <w:color w:val="000000" w:themeColor="text1"/>
          <w:sz w:val="24"/>
          <w:u w:val="single"/>
          <w14:textFill>
            <w14:solidFill>
              <w14:schemeClr w14:val="tx1"/>
            </w14:solidFill>
          </w14:textFill>
        </w:rPr>
        <w:t xml:space="preserve">                   </w:t>
      </w:r>
      <w:r>
        <w:rPr>
          <w:rFonts w:ascii="Arial" w:hAnsi="Arial" w:cs="Arial"/>
          <w:color w:val="000000" w:themeColor="text1"/>
          <w:sz w:val="24"/>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传真：</w:t>
      </w:r>
      <w:r>
        <w:rPr>
          <w:rFonts w:ascii="Arial" w:hAnsi="Arial" w:cs="Arial"/>
          <w:color w:val="000000" w:themeColor="text1"/>
          <w:sz w:val="24"/>
          <w:u w:val="single"/>
          <w14:textFill>
            <w14:solidFill>
              <w14:schemeClr w14:val="tx1"/>
            </w14:solidFill>
          </w14:textFill>
        </w:rPr>
        <w:t xml:space="preserve">            </w:t>
      </w:r>
    </w:p>
    <w:p>
      <w:pPr>
        <w:tabs>
          <w:tab w:val="left" w:pos="900"/>
        </w:tabs>
        <w:spacing w:line="300" w:lineRule="auto"/>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竞争比选响应单位法定代表人或授权代表人（签字）：</w:t>
      </w:r>
      <w:r>
        <w:rPr>
          <w:rFonts w:ascii="Arial" w:hAnsi="Arial" w:cs="Arial"/>
          <w:color w:val="000000" w:themeColor="text1"/>
          <w:sz w:val="24"/>
          <w:u w:val="single"/>
          <w14:textFill>
            <w14:solidFill>
              <w14:schemeClr w14:val="tx1"/>
            </w14:solidFill>
          </w14:textFill>
        </w:rPr>
        <w:t xml:space="preserve">             </w:t>
      </w:r>
      <w:r>
        <w:rPr>
          <w:rFonts w:ascii="Arial" w:hAnsi="Arial" w:cs="Arial"/>
          <w:color w:val="000000" w:themeColor="text1"/>
          <w:sz w:val="24"/>
          <w14:textFill>
            <w14:solidFill>
              <w14:schemeClr w14:val="tx1"/>
            </w14:solidFill>
          </w14:textFill>
        </w:rPr>
        <w:t xml:space="preserve">  </w:t>
      </w:r>
    </w:p>
    <w:p>
      <w:pPr>
        <w:tabs>
          <w:tab w:val="left" w:pos="900"/>
        </w:tabs>
        <w:spacing w:line="300" w:lineRule="auto"/>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竞争比选响应单位法定代表人或授权代表人职务：</w:t>
      </w:r>
      <w:r>
        <w:rPr>
          <w:rFonts w:ascii="Arial" w:hAnsi="Arial" w:cs="Arial"/>
          <w:color w:val="000000" w:themeColor="text1"/>
          <w:sz w:val="24"/>
          <w:u w:val="single"/>
          <w14:textFill>
            <w14:solidFill>
              <w14:schemeClr w14:val="tx1"/>
            </w14:solidFill>
          </w14:textFill>
        </w:rPr>
        <w:t xml:space="preserve">             </w:t>
      </w:r>
      <w:r>
        <w:rPr>
          <w:rFonts w:ascii="Arial" w:hAnsi="Arial" w:cs="Arial"/>
          <w:color w:val="000000" w:themeColor="text1"/>
          <w:sz w:val="24"/>
          <w14:textFill>
            <w14:solidFill>
              <w14:schemeClr w14:val="tx1"/>
            </w14:solidFill>
          </w14:textFill>
        </w:rPr>
        <w:t xml:space="preserve">               </w:t>
      </w:r>
    </w:p>
    <w:p>
      <w:pPr>
        <w:tabs>
          <w:tab w:val="left" w:pos="900"/>
        </w:tabs>
        <w:spacing w:line="300" w:lineRule="auto"/>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竞争比选响应单位名称（加盖公章）：</w:t>
      </w:r>
      <w:r>
        <w:rPr>
          <w:rFonts w:ascii="Arial" w:hAnsi="Arial" w:cs="Arial"/>
          <w:color w:val="000000" w:themeColor="text1"/>
          <w:sz w:val="24"/>
          <w:u w:val="single"/>
          <w14:textFill>
            <w14:solidFill>
              <w14:schemeClr w14:val="tx1"/>
            </w14:solidFill>
          </w14:textFill>
        </w:rPr>
        <w:t xml:space="preserve">                                 </w:t>
      </w:r>
    </w:p>
    <w:p>
      <w:pPr>
        <w:tabs>
          <w:tab w:val="left" w:pos="900"/>
        </w:tabs>
        <w:spacing w:line="300" w:lineRule="auto"/>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日期：</w:t>
      </w:r>
      <w:r>
        <w:rPr>
          <w:rFonts w:hint="eastAsia"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年</w:t>
      </w:r>
      <w:r>
        <w:rPr>
          <w:rFonts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月</w:t>
      </w:r>
      <w:r>
        <w:rPr>
          <w:rFonts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日</w:t>
      </w:r>
      <w:r>
        <w:rPr>
          <w:rFonts w:ascii="Arial" w:hAnsi="Arial" w:cs="Arial"/>
          <w:color w:val="000000" w:themeColor="text1"/>
          <w:sz w:val="24"/>
          <w14:textFill>
            <w14:solidFill>
              <w14:schemeClr w14:val="tx1"/>
            </w14:solidFill>
          </w14:textFill>
        </w:rPr>
        <w:t xml:space="preserve"> </w:t>
      </w:r>
    </w:p>
    <w:p>
      <w:pPr>
        <w:outlineLvl w:val="0"/>
        <w:rPr>
          <w:b/>
          <w:sz w:val="24"/>
          <w:highlight w:val="none"/>
        </w:rPr>
      </w:pPr>
    </w:p>
    <w:p>
      <w:pPr>
        <w:outlineLvl w:val="0"/>
        <w:rPr>
          <w:b/>
          <w:sz w:val="24"/>
          <w:highlight w:val="none"/>
        </w:rPr>
      </w:pPr>
    </w:p>
    <w:p>
      <w:pPr>
        <w:pStyle w:val="28"/>
        <w:rPr>
          <w:highlight w:val="none"/>
        </w:rPr>
      </w:pPr>
    </w:p>
    <w:p>
      <w:pPr>
        <w:outlineLvl w:val="0"/>
        <w:rPr>
          <w:b/>
          <w:sz w:val="24"/>
          <w:highlight w:val="none"/>
        </w:rPr>
      </w:pPr>
    </w:p>
    <w:p>
      <w:pPr>
        <w:pStyle w:val="4"/>
        <w:jc w:val="center"/>
        <w:rPr>
          <w:rFonts w:ascii="宋体" w:hAnsi="宋体" w:eastAsia="宋体" w:cs="宋体"/>
          <w:sz w:val="28"/>
          <w:szCs w:val="28"/>
          <w:highlight w:val="none"/>
        </w:rPr>
      </w:pPr>
      <w:bookmarkStart w:id="227" w:name="_Toc26697"/>
      <w:bookmarkStart w:id="228" w:name="_Toc27815"/>
      <w:bookmarkStart w:id="229" w:name="_Toc491883232"/>
      <w:r>
        <w:rPr>
          <w:rFonts w:hint="eastAsia" w:ascii="宋体" w:hAnsi="宋体" w:eastAsia="宋体" w:cs="宋体"/>
          <w:sz w:val="28"/>
          <w:szCs w:val="28"/>
          <w:highlight w:val="none"/>
        </w:rPr>
        <w:t>二、法定代表人身份证明或法定代表人授权委托书</w:t>
      </w:r>
      <w:bookmarkEnd w:id="227"/>
      <w:bookmarkEnd w:id="228"/>
    </w:p>
    <w:p>
      <w:pPr>
        <w:pStyle w:val="4"/>
        <w:jc w:val="center"/>
        <w:rPr>
          <w:rFonts w:ascii="宋体" w:hAnsi="宋体" w:eastAsia="宋体" w:cs="宋体"/>
          <w:sz w:val="24"/>
          <w:szCs w:val="24"/>
          <w:highlight w:val="none"/>
        </w:rPr>
      </w:pPr>
      <w:bookmarkStart w:id="230" w:name="_Toc14141"/>
      <w:bookmarkStart w:id="231" w:name="_Toc4391"/>
      <w:r>
        <w:rPr>
          <w:rFonts w:hint="eastAsia" w:ascii="宋体" w:hAnsi="宋体" w:eastAsia="宋体" w:cs="宋体"/>
          <w:sz w:val="24"/>
          <w:szCs w:val="24"/>
          <w:highlight w:val="none"/>
        </w:rPr>
        <w:t>（一）法定代表人身份证明</w:t>
      </w:r>
      <w:bookmarkEnd w:id="229"/>
      <w:bookmarkEnd w:id="230"/>
      <w:bookmarkEnd w:id="231"/>
    </w:p>
    <w:p>
      <w:pPr>
        <w:spacing w:line="440" w:lineRule="exact"/>
        <w:rPr>
          <w:rFonts w:ascii="宋体" w:hAnsi="宋体"/>
          <w:sz w:val="21"/>
          <w:szCs w:val="21"/>
          <w:highlight w:val="none"/>
        </w:rPr>
      </w:pPr>
      <w:r>
        <w:rPr>
          <w:rFonts w:hint="eastAsia" w:ascii="宋体" w:hAnsi="宋体"/>
          <w:sz w:val="21"/>
          <w:szCs w:val="21"/>
          <w:highlight w:val="none"/>
        </w:rPr>
        <w:t>报价人</w:t>
      </w:r>
      <w:r>
        <w:rPr>
          <w:rFonts w:ascii="宋体" w:hAnsi="宋体"/>
          <w:sz w:val="21"/>
          <w:szCs w:val="21"/>
          <w:highlight w:val="none"/>
        </w:rPr>
        <w:t>名称：</w:t>
      </w:r>
      <w:r>
        <w:rPr>
          <w:rFonts w:ascii="宋体" w:hAnsi="宋体"/>
          <w:sz w:val="21"/>
          <w:szCs w:val="21"/>
          <w:highlight w:val="none"/>
          <w:u w:val="single"/>
        </w:rPr>
        <w:t xml:space="preserve">                        </w:t>
      </w:r>
    </w:p>
    <w:p>
      <w:pPr>
        <w:spacing w:line="440" w:lineRule="exact"/>
        <w:rPr>
          <w:rFonts w:ascii="宋体" w:hAnsi="宋体"/>
          <w:sz w:val="21"/>
          <w:szCs w:val="21"/>
          <w:highlight w:val="none"/>
        </w:rPr>
      </w:pPr>
      <w:r>
        <w:rPr>
          <w:rFonts w:ascii="宋体" w:hAnsi="宋体"/>
          <w:sz w:val="21"/>
          <w:szCs w:val="21"/>
          <w:highlight w:val="none"/>
        </w:rPr>
        <w:t>姓名：</w:t>
      </w:r>
      <w:r>
        <w:rPr>
          <w:rFonts w:ascii="宋体" w:hAnsi="宋体"/>
          <w:sz w:val="21"/>
          <w:szCs w:val="21"/>
          <w:highlight w:val="none"/>
          <w:u w:val="single"/>
        </w:rPr>
        <w:t xml:space="preserve">                </w:t>
      </w:r>
      <w:r>
        <w:rPr>
          <w:rFonts w:ascii="宋体" w:hAnsi="宋体"/>
          <w:sz w:val="21"/>
          <w:szCs w:val="21"/>
          <w:highlight w:val="none"/>
        </w:rPr>
        <w:t>性别：</w:t>
      </w:r>
      <w:bookmarkStart w:id="232" w:name="_Toc27897"/>
      <w:bookmarkStart w:id="233" w:name="_Toc369531698"/>
      <w:bookmarkStart w:id="234" w:name="_Toc352691662"/>
      <w:r>
        <w:rPr>
          <w:rFonts w:ascii="宋体" w:hAnsi="宋体"/>
          <w:sz w:val="21"/>
          <w:szCs w:val="21"/>
          <w:highlight w:val="none"/>
          <w:u w:val="single"/>
        </w:rPr>
        <w:t xml:space="preserve">        </w:t>
      </w:r>
      <w:r>
        <w:rPr>
          <w:rFonts w:ascii="宋体" w:hAnsi="宋体"/>
          <w:sz w:val="21"/>
          <w:szCs w:val="21"/>
          <w:highlight w:val="none"/>
        </w:rPr>
        <w:t>年</w:t>
      </w:r>
      <w:bookmarkEnd w:id="232"/>
      <w:bookmarkEnd w:id="233"/>
      <w:bookmarkEnd w:id="234"/>
      <w:r>
        <w:rPr>
          <w:rFonts w:ascii="宋体" w:hAnsi="宋体"/>
          <w:sz w:val="21"/>
          <w:szCs w:val="21"/>
          <w:highlight w:val="none"/>
        </w:rPr>
        <w:t>龄</w:t>
      </w:r>
      <w:bookmarkStart w:id="235" w:name="_Toc361508754"/>
      <w:bookmarkStart w:id="236" w:name="_Toc144974858"/>
      <w:bookmarkStart w:id="237" w:name="_Toc352691663"/>
      <w:bookmarkStart w:id="238" w:name="_Toc15573"/>
      <w:bookmarkStart w:id="239" w:name="_Toc152045789"/>
      <w:bookmarkStart w:id="240" w:name="_Toc369531699"/>
      <w:bookmarkStart w:id="241" w:name="_Toc152042578"/>
      <w:bookmarkStart w:id="242" w:name="_Toc300835211"/>
      <w:bookmarkStart w:id="243" w:name="_Toc247514248"/>
      <w:bookmarkStart w:id="244" w:name="_Toc384308377"/>
      <w:bookmarkStart w:id="245" w:name="_Toc247527829"/>
      <w:r>
        <w:rPr>
          <w:rFonts w:ascii="宋体" w:hAnsi="宋体"/>
          <w:sz w:val="21"/>
          <w:szCs w:val="21"/>
          <w:highlight w:val="none"/>
        </w:rPr>
        <w:t>：</w:t>
      </w:r>
      <w:bookmarkEnd w:id="235"/>
      <w:bookmarkEnd w:id="236"/>
      <w:bookmarkEnd w:id="237"/>
      <w:bookmarkEnd w:id="238"/>
      <w:bookmarkEnd w:id="239"/>
      <w:bookmarkEnd w:id="240"/>
      <w:bookmarkEnd w:id="241"/>
      <w:bookmarkEnd w:id="242"/>
      <w:bookmarkEnd w:id="243"/>
      <w:bookmarkEnd w:id="244"/>
      <w:bookmarkEnd w:id="245"/>
      <w:r>
        <w:rPr>
          <w:rFonts w:ascii="宋体" w:hAnsi="宋体"/>
          <w:sz w:val="21"/>
          <w:szCs w:val="21"/>
          <w:highlight w:val="none"/>
          <w:u w:val="single"/>
        </w:rPr>
        <w:t xml:space="preserve">        </w:t>
      </w:r>
      <w:r>
        <w:rPr>
          <w:rFonts w:ascii="宋体" w:hAnsi="宋体"/>
          <w:sz w:val="21"/>
          <w:szCs w:val="21"/>
          <w:highlight w:val="none"/>
        </w:rPr>
        <w:t>职务：</w:t>
      </w:r>
      <w:r>
        <w:rPr>
          <w:rFonts w:ascii="宋体" w:hAnsi="宋体"/>
          <w:sz w:val="21"/>
          <w:szCs w:val="21"/>
          <w:highlight w:val="none"/>
          <w:u w:val="single"/>
        </w:rPr>
        <w:t xml:space="preserve">        </w:t>
      </w:r>
    </w:p>
    <w:p>
      <w:pPr>
        <w:spacing w:line="440" w:lineRule="exact"/>
        <w:rPr>
          <w:rFonts w:ascii="宋体" w:hAnsi="宋体"/>
          <w:sz w:val="21"/>
          <w:szCs w:val="21"/>
          <w:highlight w:val="none"/>
        </w:rPr>
      </w:pPr>
      <w:r>
        <w:rPr>
          <w:rFonts w:ascii="宋体" w:hAnsi="宋体"/>
          <w:sz w:val="21"/>
          <w:szCs w:val="21"/>
          <w:highlight w:val="none"/>
        </w:rPr>
        <w:t>系</w:t>
      </w:r>
      <w:r>
        <w:rPr>
          <w:rFonts w:ascii="宋体" w:hAnsi="宋体"/>
          <w:sz w:val="21"/>
          <w:szCs w:val="21"/>
          <w:highlight w:val="none"/>
          <w:u w:val="single"/>
        </w:rPr>
        <w:t xml:space="preserve">                        </w:t>
      </w:r>
      <w:r>
        <w:rPr>
          <w:rFonts w:ascii="宋体" w:hAnsi="宋体"/>
          <w:sz w:val="21"/>
          <w:szCs w:val="21"/>
          <w:highlight w:val="none"/>
        </w:rPr>
        <w:t>（</w:t>
      </w:r>
      <w:r>
        <w:rPr>
          <w:rFonts w:hint="eastAsia" w:ascii="宋体" w:hAnsi="宋体"/>
          <w:sz w:val="21"/>
          <w:szCs w:val="21"/>
          <w:highlight w:val="none"/>
        </w:rPr>
        <w:t>报价人</w:t>
      </w:r>
      <w:r>
        <w:rPr>
          <w:rFonts w:ascii="宋体" w:hAnsi="宋体"/>
          <w:sz w:val="21"/>
          <w:szCs w:val="21"/>
          <w:highlight w:val="none"/>
        </w:rPr>
        <w:t>名称）的法定代表人。</w:t>
      </w:r>
    </w:p>
    <w:p>
      <w:pPr>
        <w:spacing w:line="440" w:lineRule="exact"/>
        <w:ind w:firstLine="420" w:firstLineChars="200"/>
        <w:rPr>
          <w:rFonts w:ascii="宋体" w:hAnsi="宋体"/>
          <w:sz w:val="21"/>
          <w:szCs w:val="21"/>
          <w:highlight w:val="none"/>
        </w:rPr>
      </w:pPr>
      <w:r>
        <w:rPr>
          <w:rFonts w:ascii="宋体" w:hAnsi="宋体"/>
          <w:sz w:val="21"/>
          <w:szCs w:val="21"/>
          <w:highlight w:val="none"/>
        </w:rPr>
        <w:t>特此证明。</w:t>
      </w:r>
    </w:p>
    <w:p>
      <w:pPr>
        <w:spacing w:line="440" w:lineRule="exact"/>
        <w:rPr>
          <w:rFonts w:ascii="宋体" w:hAnsi="宋体"/>
          <w:sz w:val="21"/>
          <w:szCs w:val="21"/>
          <w:highlight w:val="none"/>
        </w:rPr>
      </w:pPr>
    </w:p>
    <w:p>
      <w:pPr>
        <w:spacing w:line="440" w:lineRule="exact"/>
        <w:rPr>
          <w:rFonts w:ascii="宋体" w:hAnsi="宋体"/>
          <w:sz w:val="21"/>
          <w:szCs w:val="21"/>
          <w:highlight w:val="none"/>
        </w:rPr>
      </w:pPr>
      <w:r>
        <w:rPr>
          <w:rFonts w:ascii="宋体" w:hAnsi="宋体"/>
          <w:sz w:val="21"/>
          <w:szCs w:val="21"/>
          <w:highlight w:val="none"/>
        </w:rPr>
        <w:t>附：法定代表人身份证复印件</w:t>
      </w:r>
      <w:r>
        <w:rPr>
          <w:rFonts w:hint="eastAsia" w:ascii="宋体" w:hAnsi="宋体"/>
          <w:sz w:val="21"/>
          <w:szCs w:val="21"/>
          <w:highlight w:val="none"/>
        </w:rPr>
        <w:t>（正、反面）</w:t>
      </w:r>
      <w:r>
        <w:rPr>
          <w:rFonts w:ascii="宋体" w:hAnsi="宋体"/>
          <w:sz w:val="21"/>
          <w:szCs w:val="21"/>
          <w:highlight w:val="none"/>
        </w:rPr>
        <w:t>。</w:t>
      </w:r>
    </w:p>
    <w:p>
      <w:pPr>
        <w:spacing w:line="440" w:lineRule="exact"/>
        <w:rPr>
          <w:rFonts w:ascii="宋体" w:hAnsi="宋体"/>
          <w:sz w:val="21"/>
          <w:szCs w:val="21"/>
          <w:highlight w:val="none"/>
        </w:rPr>
      </w:pPr>
    </w:p>
    <w:p>
      <w:pPr>
        <w:spacing w:line="440" w:lineRule="exact"/>
        <w:rPr>
          <w:rFonts w:ascii="宋体" w:hAnsi="宋体"/>
          <w:sz w:val="21"/>
          <w:szCs w:val="21"/>
          <w:highlight w:val="none"/>
        </w:rPr>
      </w:pPr>
    </w:p>
    <w:p>
      <w:pPr>
        <w:spacing w:line="440" w:lineRule="exact"/>
        <w:rPr>
          <w:rFonts w:ascii="宋体" w:hAnsi="宋体"/>
          <w:sz w:val="21"/>
          <w:szCs w:val="21"/>
          <w:highlight w:val="none"/>
        </w:rPr>
      </w:pPr>
    </w:p>
    <w:p>
      <w:pPr>
        <w:spacing w:line="440" w:lineRule="exact"/>
        <w:rPr>
          <w:rFonts w:ascii="宋体" w:hAnsi="宋体"/>
          <w:sz w:val="21"/>
          <w:szCs w:val="21"/>
          <w:highlight w:val="none"/>
        </w:rPr>
      </w:pPr>
    </w:p>
    <w:p>
      <w:pPr>
        <w:spacing w:line="440" w:lineRule="exact"/>
        <w:rPr>
          <w:rFonts w:ascii="宋体" w:hAnsi="宋体"/>
          <w:sz w:val="21"/>
          <w:szCs w:val="21"/>
          <w:highlight w:val="none"/>
        </w:rPr>
      </w:pPr>
    </w:p>
    <w:p>
      <w:pPr>
        <w:spacing w:line="440" w:lineRule="exact"/>
        <w:rPr>
          <w:rFonts w:ascii="宋体" w:hAnsi="宋体"/>
          <w:sz w:val="21"/>
          <w:szCs w:val="21"/>
          <w:highlight w:val="none"/>
        </w:rPr>
      </w:pPr>
    </w:p>
    <w:p>
      <w:pPr>
        <w:spacing w:line="440" w:lineRule="exact"/>
        <w:rPr>
          <w:rFonts w:ascii="宋体" w:hAnsi="宋体"/>
          <w:sz w:val="21"/>
          <w:szCs w:val="21"/>
          <w:highlight w:val="none"/>
        </w:rPr>
      </w:pPr>
    </w:p>
    <w:p>
      <w:pPr>
        <w:spacing w:line="440" w:lineRule="exact"/>
        <w:rPr>
          <w:rFonts w:ascii="宋体" w:hAnsi="宋体"/>
          <w:sz w:val="21"/>
          <w:szCs w:val="21"/>
          <w:highlight w:val="none"/>
        </w:rPr>
      </w:pPr>
    </w:p>
    <w:p>
      <w:pPr>
        <w:spacing w:line="440" w:lineRule="exact"/>
        <w:jc w:val="center"/>
        <w:rPr>
          <w:rFonts w:ascii="宋体" w:hAnsi="宋体"/>
          <w:sz w:val="21"/>
          <w:szCs w:val="21"/>
          <w:highlight w:val="none"/>
        </w:rPr>
      </w:pPr>
      <w:r>
        <w:rPr>
          <w:rFonts w:ascii="宋体" w:hAnsi="宋体"/>
          <w:sz w:val="21"/>
          <w:szCs w:val="21"/>
          <w:highlight w:val="none"/>
        </w:rPr>
        <w:t xml:space="preserve">                              </w:t>
      </w:r>
      <w:r>
        <w:rPr>
          <w:rFonts w:hint="eastAsia" w:ascii="宋体" w:hAnsi="宋体"/>
          <w:sz w:val="21"/>
          <w:szCs w:val="21"/>
          <w:highlight w:val="none"/>
        </w:rPr>
        <w:t>报价人</w:t>
      </w:r>
      <w:r>
        <w:rPr>
          <w:rFonts w:ascii="宋体" w:hAnsi="宋体"/>
          <w:sz w:val="21"/>
          <w:szCs w:val="21"/>
          <w:highlight w:val="none"/>
        </w:rPr>
        <w:t>：</w:t>
      </w:r>
      <w:r>
        <w:rPr>
          <w:rFonts w:ascii="宋体" w:hAnsi="宋体"/>
          <w:sz w:val="21"/>
          <w:szCs w:val="21"/>
          <w:highlight w:val="none"/>
          <w:u w:val="single"/>
        </w:rPr>
        <w:t xml:space="preserve">          </w:t>
      </w:r>
      <w:r>
        <w:rPr>
          <w:rFonts w:ascii="宋体" w:hAnsi="宋体"/>
          <w:sz w:val="21"/>
          <w:szCs w:val="21"/>
          <w:highlight w:val="none"/>
          <w:u w:val="single"/>
        </w:rPr>
        <w:tab/>
      </w:r>
      <w:r>
        <w:rPr>
          <w:rFonts w:ascii="宋体" w:hAnsi="宋体"/>
          <w:sz w:val="21"/>
          <w:szCs w:val="21"/>
          <w:highlight w:val="none"/>
        </w:rPr>
        <w:t>（</w:t>
      </w:r>
      <w:r>
        <w:rPr>
          <w:rFonts w:hint="eastAsia" w:ascii="宋体" w:hAnsi="宋体"/>
          <w:sz w:val="21"/>
          <w:szCs w:val="21"/>
          <w:highlight w:val="none"/>
        </w:rPr>
        <w:t>盖</w:t>
      </w:r>
      <w:r>
        <w:rPr>
          <w:rFonts w:ascii="宋体" w:hAnsi="宋体"/>
          <w:sz w:val="21"/>
          <w:szCs w:val="21"/>
          <w:highlight w:val="none"/>
        </w:rPr>
        <w:t>单位</w:t>
      </w:r>
      <w:r>
        <w:rPr>
          <w:rFonts w:hint="eastAsia" w:ascii="宋体" w:hAnsi="宋体"/>
          <w:sz w:val="21"/>
          <w:szCs w:val="21"/>
          <w:highlight w:val="none"/>
        </w:rPr>
        <w:t>公章</w:t>
      </w:r>
      <w:r>
        <w:rPr>
          <w:rFonts w:ascii="宋体" w:hAnsi="宋体"/>
          <w:sz w:val="21"/>
          <w:szCs w:val="21"/>
          <w:highlight w:val="none"/>
        </w:rPr>
        <w:t>）</w:t>
      </w:r>
    </w:p>
    <w:p>
      <w:pPr>
        <w:spacing w:line="440" w:lineRule="exact"/>
        <w:rPr>
          <w:rFonts w:ascii="宋体" w:hAnsi="宋体"/>
          <w:sz w:val="21"/>
          <w:szCs w:val="21"/>
          <w:highlight w:val="none"/>
        </w:rPr>
      </w:pPr>
    </w:p>
    <w:p>
      <w:pPr>
        <w:spacing w:line="440" w:lineRule="exact"/>
        <w:ind w:firstLine="4620" w:firstLineChars="2200"/>
        <w:rPr>
          <w:rFonts w:ascii="宋体" w:hAnsi="宋体"/>
          <w:sz w:val="21"/>
          <w:szCs w:val="21"/>
          <w:highlight w:val="none"/>
        </w:rPr>
      </w:pPr>
      <w:r>
        <w:rPr>
          <w:rFonts w:ascii="宋体" w:hAnsi="宋体"/>
          <w:sz w:val="21"/>
          <w:szCs w:val="21"/>
          <w:highlight w:val="none"/>
          <w:u w:val="single"/>
        </w:rPr>
        <w:t xml:space="preserve">      </w:t>
      </w:r>
      <w:r>
        <w:rPr>
          <w:rFonts w:ascii="宋体" w:hAnsi="宋体"/>
          <w:sz w:val="21"/>
          <w:szCs w:val="21"/>
          <w:highlight w:val="none"/>
        </w:rPr>
        <w:t>年</w:t>
      </w:r>
      <w:r>
        <w:rPr>
          <w:rFonts w:ascii="宋体" w:hAnsi="宋体"/>
          <w:sz w:val="21"/>
          <w:szCs w:val="21"/>
          <w:highlight w:val="none"/>
          <w:u w:val="single"/>
        </w:rPr>
        <w:t xml:space="preserve">      </w:t>
      </w:r>
      <w:r>
        <w:rPr>
          <w:rFonts w:ascii="宋体" w:hAnsi="宋体"/>
          <w:sz w:val="21"/>
          <w:szCs w:val="21"/>
          <w:highlight w:val="none"/>
        </w:rPr>
        <w:t>月</w:t>
      </w:r>
      <w:r>
        <w:rPr>
          <w:rFonts w:ascii="宋体" w:hAnsi="宋体"/>
          <w:sz w:val="21"/>
          <w:szCs w:val="21"/>
          <w:highlight w:val="none"/>
          <w:u w:val="single"/>
        </w:rPr>
        <w:t xml:space="preserve">      </w:t>
      </w:r>
      <w:r>
        <w:rPr>
          <w:rFonts w:ascii="宋体" w:hAnsi="宋体"/>
          <w:sz w:val="21"/>
          <w:szCs w:val="21"/>
          <w:highlight w:val="none"/>
        </w:rPr>
        <w:t>日</w:t>
      </w:r>
    </w:p>
    <w:p>
      <w:pPr>
        <w:rPr>
          <w:rFonts w:ascii="宋体" w:hAnsi="宋体"/>
          <w:sz w:val="21"/>
          <w:szCs w:val="21"/>
          <w:highlight w:val="none"/>
        </w:rPr>
      </w:pPr>
    </w:p>
    <w:p>
      <w:pPr>
        <w:rPr>
          <w:rFonts w:ascii="宋体" w:hAnsi="宋体"/>
          <w:sz w:val="21"/>
          <w:szCs w:val="21"/>
          <w:highlight w:val="none"/>
        </w:rPr>
      </w:pPr>
    </w:p>
    <w:p>
      <w:pPr>
        <w:spacing w:line="440" w:lineRule="exact"/>
        <w:rPr>
          <w:rFonts w:ascii="宋体" w:hAnsi="宋体"/>
          <w:sz w:val="21"/>
          <w:szCs w:val="21"/>
          <w:highlight w:val="none"/>
        </w:rPr>
      </w:pPr>
      <w:r>
        <w:rPr>
          <w:rFonts w:ascii="宋体" w:hAnsi="宋体"/>
          <w:sz w:val="21"/>
          <w:szCs w:val="21"/>
          <w:highlight w:val="none"/>
        </w:rPr>
        <w:t>注：本身份证明需由</w:t>
      </w:r>
      <w:r>
        <w:rPr>
          <w:rFonts w:hint="eastAsia" w:ascii="宋体" w:hAnsi="宋体"/>
          <w:sz w:val="21"/>
          <w:szCs w:val="21"/>
          <w:highlight w:val="none"/>
        </w:rPr>
        <w:t>报价人</w:t>
      </w:r>
      <w:r>
        <w:rPr>
          <w:rFonts w:ascii="宋体" w:hAnsi="宋体"/>
          <w:sz w:val="21"/>
          <w:szCs w:val="21"/>
          <w:highlight w:val="none"/>
        </w:rPr>
        <w:t>加盖单位</w:t>
      </w:r>
      <w:r>
        <w:rPr>
          <w:rFonts w:hint="eastAsia" w:ascii="宋体" w:hAnsi="宋体"/>
          <w:sz w:val="21"/>
          <w:szCs w:val="21"/>
          <w:highlight w:val="none"/>
        </w:rPr>
        <w:t>公章</w:t>
      </w:r>
      <w:r>
        <w:rPr>
          <w:rFonts w:ascii="宋体" w:hAnsi="宋体"/>
          <w:sz w:val="21"/>
          <w:szCs w:val="21"/>
          <w:highlight w:val="none"/>
        </w:rPr>
        <w:t>。</w:t>
      </w:r>
    </w:p>
    <w:p>
      <w:pPr>
        <w:spacing w:line="440" w:lineRule="exact"/>
        <w:rPr>
          <w:rFonts w:ascii="宋体" w:hAnsi="宋体"/>
          <w:sz w:val="21"/>
          <w:szCs w:val="21"/>
          <w:highlight w:val="none"/>
        </w:rPr>
      </w:pPr>
    </w:p>
    <w:p>
      <w:pPr>
        <w:spacing w:line="20" w:lineRule="exact"/>
        <w:jc w:val="center"/>
        <w:rPr>
          <w:rFonts w:ascii="宋体" w:hAnsi="宋体"/>
          <w:sz w:val="20"/>
          <w:highlight w:val="none"/>
        </w:rPr>
      </w:pPr>
      <w:r>
        <w:rPr>
          <w:rFonts w:ascii="宋体" w:hAnsi="宋体"/>
          <w:sz w:val="20"/>
          <w:highlight w:val="none"/>
        </w:rPr>
        <w:br w:type="page"/>
      </w:r>
    </w:p>
    <w:p>
      <w:pPr>
        <w:pStyle w:val="4"/>
        <w:jc w:val="center"/>
        <w:rPr>
          <w:rFonts w:ascii="宋体" w:hAnsi="宋体"/>
          <w:sz w:val="28"/>
          <w:szCs w:val="28"/>
          <w:highlight w:val="none"/>
        </w:rPr>
      </w:pPr>
      <w:bookmarkStart w:id="246" w:name="_Toc491883233"/>
      <w:bookmarkStart w:id="247" w:name="_Toc10767"/>
      <w:bookmarkStart w:id="248" w:name="_Toc58"/>
      <w:r>
        <w:rPr>
          <w:rFonts w:hint="eastAsia" w:ascii="宋体" w:hAnsi="宋体" w:eastAsia="宋体" w:cs="宋体"/>
          <w:sz w:val="24"/>
          <w:szCs w:val="24"/>
          <w:highlight w:val="none"/>
        </w:rPr>
        <w:t>（二）</w:t>
      </w:r>
      <w:bookmarkEnd w:id="246"/>
      <w:r>
        <w:rPr>
          <w:rFonts w:hint="eastAsia" w:ascii="宋体" w:hAnsi="宋体" w:eastAsia="宋体" w:cs="宋体"/>
          <w:sz w:val="24"/>
          <w:szCs w:val="24"/>
          <w:highlight w:val="none"/>
        </w:rPr>
        <w:t>法定代表人授权委托书</w:t>
      </w:r>
      <w:bookmarkEnd w:id="247"/>
      <w:bookmarkEnd w:id="248"/>
    </w:p>
    <w:p>
      <w:pPr>
        <w:topLinePunct/>
        <w:spacing w:line="440" w:lineRule="exact"/>
        <w:ind w:firstLine="420" w:firstLineChars="200"/>
        <w:rPr>
          <w:rFonts w:ascii="宋体" w:hAnsi="宋体"/>
          <w:sz w:val="21"/>
          <w:szCs w:val="21"/>
          <w:highlight w:val="none"/>
        </w:rPr>
      </w:pPr>
      <w:r>
        <w:rPr>
          <w:rFonts w:ascii="宋体" w:hAnsi="宋体"/>
          <w:sz w:val="21"/>
          <w:szCs w:val="21"/>
          <w:highlight w:val="none"/>
        </w:rPr>
        <w:t>本人</w:t>
      </w:r>
      <w:r>
        <w:rPr>
          <w:rFonts w:ascii="宋体" w:hAnsi="宋体"/>
          <w:sz w:val="21"/>
          <w:szCs w:val="21"/>
          <w:highlight w:val="none"/>
          <w:u w:val="single"/>
        </w:rPr>
        <w:t xml:space="preserve">              </w:t>
      </w:r>
      <w:r>
        <w:rPr>
          <w:rFonts w:ascii="宋体" w:hAnsi="宋体"/>
          <w:sz w:val="21"/>
          <w:szCs w:val="21"/>
          <w:highlight w:val="none"/>
        </w:rPr>
        <w:t>（姓名）系</w:t>
      </w:r>
      <w:r>
        <w:rPr>
          <w:rFonts w:ascii="宋体" w:hAnsi="宋体"/>
          <w:sz w:val="21"/>
          <w:szCs w:val="21"/>
          <w:highlight w:val="none"/>
          <w:u w:val="single"/>
        </w:rPr>
        <w:t xml:space="preserve">                    </w:t>
      </w:r>
      <w:r>
        <w:rPr>
          <w:rFonts w:ascii="宋体" w:hAnsi="宋体"/>
          <w:sz w:val="21"/>
          <w:szCs w:val="21"/>
          <w:highlight w:val="none"/>
        </w:rPr>
        <w:t>（</w:t>
      </w:r>
      <w:r>
        <w:rPr>
          <w:rFonts w:hint="eastAsia" w:ascii="宋体" w:hAnsi="宋体"/>
          <w:sz w:val="21"/>
          <w:szCs w:val="21"/>
          <w:highlight w:val="none"/>
        </w:rPr>
        <w:t>报价人</w:t>
      </w:r>
      <w:r>
        <w:rPr>
          <w:rFonts w:ascii="宋体" w:hAnsi="宋体"/>
          <w:sz w:val="21"/>
          <w:szCs w:val="21"/>
          <w:highlight w:val="none"/>
        </w:rPr>
        <w:t>名称）的法定代表人，现委托</w:t>
      </w:r>
      <w:r>
        <w:rPr>
          <w:rFonts w:ascii="宋体" w:hAnsi="宋体"/>
          <w:sz w:val="21"/>
          <w:szCs w:val="21"/>
          <w:highlight w:val="none"/>
          <w:u w:val="single"/>
        </w:rPr>
        <w:t xml:space="preserve">            </w:t>
      </w:r>
      <w:r>
        <w:rPr>
          <w:rFonts w:ascii="宋体" w:hAnsi="宋体"/>
          <w:sz w:val="21"/>
          <w:szCs w:val="21"/>
          <w:highlight w:val="none"/>
        </w:rPr>
        <w:t>（姓名）为我方代理人。代理人根据授权，以我方名义签署、澄清确认、递交、撤回、修改招标项目</w:t>
      </w:r>
      <w:r>
        <w:rPr>
          <w:rFonts w:hint="eastAsia" w:ascii="宋体" w:hAnsi="宋体"/>
          <w:sz w:val="21"/>
          <w:szCs w:val="21"/>
          <w:highlight w:val="none"/>
        </w:rPr>
        <w:t>比选</w:t>
      </w:r>
      <w:r>
        <w:rPr>
          <w:rFonts w:ascii="宋体" w:hAnsi="宋体"/>
          <w:sz w:val="21"/>
          <w:szCs w:val="21"/>
          <w:highlight w:val="none"/>
        </w:rPr>
        <w:t>文件、签订合同和处理有关事宜，其法律后果由我方承担。</w:t>
      </w:r>
    </w:p>
    <w:p>
      <w:pPr>
        <w:spacing w:line="440" w:lineRule="exact"/>
        <w:rPr>
          <w:rFonts w:ascii="宋体" w:hAnsi="宋体"/>
          <w:sz w:val="21"/>
          <w:szCs w:val="21"/>
          <w:highlight w:val="none"/>
        </w:rPr>
      </w:pPr>
      <w:r>
        <w:rPr>
          <w:rFonts w:ascii="宋体" w:hAnsi="宋体"/>
          <w:sz w:val="21"/>
          <w:szCs w:val="21"/>
          <w:highlight w:val="none"/>
        </w:rPr>
        <w:t>委托期限：</w:t>
      </w:r>
      <w:r>
        <w:rPr>
          <w:rFonts w:ascii="宋体" w:hAnsi="宋体"/>
          <w:sz w:val="21"/>
          <w:szCs w:val="21"/>
          <w:highlight w:val="none"/>
          <w:u w:val="single"/>
        </w:rPr>
        <w:t xml:space="preserve">                       </w:t>
      </w:r>
      <w:r>
        <w:rPr>
          <w:rFonts w:ascii="宋体" w:hAnsi="宋体"/>
          <w:sz w:val="21"/>
          <w:szCs w:val="21"/>
          <w:highlight w:val="none"/>
        </w:rPr>
        <w:t>。</w:t>
      </w:r>
    </w:p>
    <w:p>
      <w:pPr>
        <w:spacing w:line="440" w:lineRule="exact"/>
        <w:ind w:firstLine="420" w:firstLineChars="200"/>
        <w:rPr>
          <w:rFonts w:ascii="宋体" w:hAnsi="宋体"/>
          <w:sz w:val="21"/>
          <w:szCs w:val="21"/>
          <w:highlight w:val="none"/>
        </w:rPr>
      </w:pPr>
      <w:r>
        <w:rPr>
          <w:rFonts w:ascii="宋体" w:hAnsi="宋体"/>
          <w:sz w:val="21"/>
          <w:szCs w:val="21"/>
          <w:highlight w:val="none"/>
        </w:rPr>
        <w:t>代理人无转委托权。</w:t>
      </w:r>
    </w:p>
    <w:p>
      <w:pPr>
        <w:spacing w:line="440" w:lineRule="exact"/>
        <w:ind w:firstLine="420" w:firstLineChars="200"/>
        <w:rPr>
          <w:rFonts w:ascii="宋体" w:hAnsi="宋体"/>
          <w:sz w:val="21"/>
          <w:szCs w:val="21"/>
          <w:highlight w:val="none"/>
        </w:rPr>
      </w:pPr>
    </w:p>
    <w:p>
      <w:pPr>
        <w:spacing w:line="440" w:lineRule="exact"/>
        <w:rPr>
          <w:rFonts w:ascii="宋体" w:hAnsi="宋体"/>
          <w:sz w:val="21"/>
          <w:szCs w:val="21"/>
          <w:highlight w:val="none"/>
        </w:rPr>
      </w:pPr>
      <w:r>
        <w:rPr>
          <w:rFonts w:ascii="宋体" w:hAnsi="宋体"/>
          <w:sz w:val="21"/>
          <w:szCs w:val="21"/>
          <w:highlight w:val="none"/>
        </w:rPr>
        <w:t>附：法定代表人身份证复印件及委托代理人身份证复印件</w:t>
      </w:r>
      <w:r>
        <w:rPr>
          <w:rFonts w:hint="eastAsia" w:ascii="宋体" w:hAnsi="宋体"/>
          <w:sz w:val="21"/>
          <w:szCs w:val="21"/>
          <w:highlight w:val="none"/>
        </w:rPr>
        <w:t>（正、反面）</w:t>
      </w:r>
    </w:p>
    <w:p>
      <w:pPr>
        <w:spacing w:line="440" w:lineRule="exact"/>
        <w:rPr>
          <w:rFonts w:ascii="宋体" w:hAnsi="宋体"/>
          <w:sz w:val="21"/>
          <w:szCs w:val="21"/>
          <w:highlight w:val="none"/>
        </w:rPr>
      </w:pPr>
    </w:p>
    <w:p>
      <w:pPr>
        <w:spacing w:line="440" w:lineRule="exact"/>
        <w:rPr>
          <w:rFonts w:ascii="宋体" w:hAnsi="宋体"/>
          <w:sz w:val="21"/>
          <w:szCs w:val="21"/>
          <w:highlight w:val="none"/>
        </w:rPr>
      </w:pPr>
    </w:p>
    <w:p>
      <w:pPr>
        <w:spacing w:line="440" w:lineRule="exact"/>
        <w:rPr>
          <w:rFonts w:ascii="宋体" w:hAnsi="宋体"/>
          <w:sz w:val="21"/>
          <w:szCs w:val="21"/>
          <w:highlight w:val="none"/>
        </w:rPr>
      </w:pPr>
    </w:p>
    <w:p>
      <w:pPr>
        <w:spacing w:line="440" w:lineRule="exact"/>
        <w:rPr>
          <w:rFonts w:ascii="宋体" w:hAnsi="宋体"/>
          <w:sz w:val="21"/>
          <w:szCs w:val="21"/>
          <w:highlight w:val="none"/>
        </w:rPr>
      </w:pPr>
    </w:p>
    <w:p>
      <w:pPr>
        <w:spacing w:line="440" w:lineRule="exact"/>
        <w:rPr>
          <w:rFonts w:ascii="宋体" w:hAnsi="宋体"/>
          <w:sz w:val="21"/>
          <w:szCs w:val="21"/>
          <w:highlight w:val="none"/>
        </w:rPr>
      </w:pPr>
    </w:p>
    <w:p>
      <w:pPr>
        <w:spacing w:line="440" w:lineRule="exact"/>
        <w:rPr>
          <w:rFonts w:ascii="宋体" w:hAnsi="宋体"/>
          <w:sz w:val="21"/>
          <w:szCs w:val="21"/>
          <w:highlight w:val="none"/>
        </w:rPr>
      </w:pPr>
    </w:p>
    <w:p>
      <w:pPr>
        <w:spacing w:line="440" w:lineRule="exact"/>
        <w:rPr>
          <w:rFonts w:ascii="宋体" w:hAnsi="宋体"/>
          <w:sz w:val="21"/>
          <w:szCs w:val="21"/>
          <w:highlight w:val="none"/>
        </w:rPr>
      </w:pPr>
    </w:p>
    <w:p>
      <w:pPr>
        <w:spacing w:line="440" w:lineRule="exact"/>
        <w:rPr>
          <w:rFonts w:ascii="宋体" w:hAnsi="宋体"/>
          <w:sz w:val="21"/>
          <w:szCs w:val="21"/>
          <w:highlight w:val="none"/>
        </w:rPr>
      </w:pPr>
    </w:p>
    <w:p>
      <w:pPr>
        <w:spacing w:line="440" w:lineRule="exact"/>
        <w:ind w:firstLine="2692" w:firstLineChars="1282"/>
        <w:rPr>
          <w:rFonts w:ascii="宋体" w:hAnsi="宋体"/>
          <w:sz w:val="21"/>
          <w:szCs w:val="21"/>
          <w:highlight w:val="none"/>
        </w:rPr>
      </w:pPr>
      <w:r>
        <w:rPr>
          <w:rFonts w:hint="eastAsia" w:ascii="宋体" w:hAnsi="宋体"/>
          <w:sz w:val="21"/>
          <w:szCs w:val="21"/>
          <w:highlight w:val="none"/>
        </w:rPr>
        <w:t>报  价  人</w:t>
      </w:r>
      <w:r>
        <w:rPr>
          <w:rFonts w:ascii="宋体" w:hAnsi="宋体"/>
          <w:sz w:val="21"/>
          <w:szCs w:val="21"/>
          <w:highlight w:val="none"/>
        </w:rPr>
        <w:t>：</w:t>
      </w:r>
      <w:r>
        <w:rPr>
          <w:rFonts w:ascii="宋体" w:hAnsi="宋体"/>
          <w:sz w:val="21"/>
          <w:szCs w:val="21"/>
          <w:highlight w:val="none"/>
          <w:u w:val="single"/>
        </w:rPr>
        <w:tab/>
      </w:r>
      <w:r>
        <w:rPr>
          <w:rFonts w:ascii="宋体" w:hAnsi="宋体"/>
          <w:sz w:val="21"/>
          <w:szCs w:val="21"/>
          <w:highlight w:val="none"/>
          <w:u w:val="single"/>
        </w:rPr>
        <w:tab/>
      </w:r>
      <w:r>
        <w:rPr>
          <w:rFonts w:ascii="宋体" w:hAnsi="宋体"/>
          <w:sz w:val="21"/>
          <w:szCs w:val="21"/>
          <w:highlight w:val="none"/>
          <w:u w:val="single"/>
        </w:rPr>
        <w:tab/>
      </w:r>
      <w:r>
        <w:rPr>
          <w:rFonts w:ascii="宋体" w:hAnsi="宋体"/>
          <w:sz w:val="21"/>
          <w:szCs w:val="21"/>
          <w:highlight w:val="none"/>
          <w:u w:val="single"/>
        </w:rPr>
        <w:t xml:space="preserve">               </w:t>
      </w:r>
      <w:r>
        <w:rPr>
          <w:rFonts w:ascii="宋体" w:hAnsi="宋体"/>
          <w:sz w:val="21"/>
          <w:szCs w:val="21"/>
          <w:highlight w:val="none"/>
          <w:u w:val="single"/>
        </w:rPr>
        <w:tab/>
      </w:r>
      <w:r>
        <w:rPr>
          <w:rFonts w:ascii="宋体" w:hAnsi="宋体"/>
          <w:sz w:val="21"/>
          <w:szCs w:val="21"/>
          <w:highlight w:val="none"/>
        </w:rPr>
        <w:t>（</w:t>
      </w:r>
      <w:r>
        <w:rPr>
          <w:rFonts w:hint="eastAsia" w:ascii="宋体" w:hAnsi="宋体"/>
          <w:sz w:val="21"/>
          <w:szCs w:val="21"/>
          <w:highlight w:val="none"/>
        </w:rPr>
        <w:t>盖</w:t>
      </w:r>
      <w:r>
        <w:rPr>
          <w:rFonts w:ascii="宋体" w:hAnsi="宋体"/>
          <w:sz w:val="21"/>
          <w:szCs w:val="21"/>
          <w:highlight w:val="none"/>
        </w:rPr>
        <w:t>单位</w:t>
      </w:r>
      <w:r>
        <w:rPr>
          <w:rFonts w:hint="eastAsia" w:ascii="宋体" w:hAnsi="宋体"/>
          <w:sz w:val="21"/>
          <w:szCs w:val="21"/>
          <w:highlight w:val="none"/>
        </w:rPr>
        <w:t>公章</w:t>
      </w:r>
      <w:r>
        <w:rPr>
          <w:rFonts w:ascii="宋体" w:hAnsi="宋体"/>
          <w:sz w:val="21"/>
          <w:szCs w:val="21"/>
          <w:highlight w:val="none"/>
        </w:rPr>
        <w:t>）</w:t>
      </w:r>
    </w:p>
    <w:p>
      <w:pPr>
        <w:spacing w:line="440" w:lineRule="exact"/>
        <w:ind w:firstLine="2690" w:firstLineChars="1281"/>
        <w:jc w:val="left"/>
        <w:rPr>
          <w:rFonts w:ascii="宋体" w:hAnsi="宋体"/>
          <w:sz w:val="21"/>
          <w:szCs w:val="21"/>
          <w:highlight w:val="none"/>
        </w:rPr>
      </w:pPr>
      <w:r>
        <w:rPr>
          <w:rFonts w:ascii="宋体" w:hAnsi="宋体"/>
          <w:sz w:val="21"/>
          <w:szCs w:val="21"/>
          <w:highlight w:val="none"/>
        </w:rPr>
        <w:t>法定代表人：</w:t>
      </w:r>
      <w:r>
        <w:rPr>
          <w:rFonts w:ascii="宋体" w:hAnsi="宋体"/>
          <w:sz w:val="21"/>
          <w:szCs w:val="21"/>
          <w:highlight w:val="none"/>
          <w:u w:val="single"/>
        </w:rPr>
        <w:tab/>
      </w:r>
      <w:r>
        <w:rPr>
          <w:rFonts w:ascii="宋体" w:hAnsi="宋体"/>
          <w:sz w:val="21"/>
          <w:szCs w:val="21"/>
          <w:highlight w:val="none"/>
          <w:u w:val="single"/>
        </w:rPr>
        <w:tab/>
      </w:r>
      <w:r>
        <w:rPr>
          <w:rFonts w:ascii="宋体" w:hAnsi="宋体"/>
          <w:sz w:val="21"/>
          <w:szCs w:val="21"/>
          <w:highlight w:val="none"/>
          <w:u w:val="single"/>
        </w:rPr>
        <w:tab/>
      </w:r>
      <w:r>
        <w:rPr>
          <w:rFonts w:ascii="宋体" w:hAnsi="宋体"/>
          <w:sz w:val="21"/>
          <w:szCs w:val="21"/>
          <w:highlight w:val="none"/>
          <w:u w:val="single"/>
        </w:rPr>
        <w:t xml:space="preserve">       </w:t>
      </w:r>
      <w:r>
        <w:rPr>
          <w:rFonts w:hint="eastAsia" w:ascii="宋体" w:hAnsi="宋体"/>
          <w:sz w:val="21"/>
          <w:szCs w:val="21"/>
          <w:highlight w:val="none"/>
          <w:u w:val="single"/>
        </w:rPr>
        <w:t xml:space="preserve">      </w:t>
      </w:r>
      <w:r>
        <w:rPr>
          <w:rFonts w:ascii="宋体" w:hAnsi="宋体"/>
          <w:sz w:val="21"/>
          <w:szCs w:val="21"/>
          <w:highlight w:val="none"/>
          <w:u w:val="single"/>
        </w:rPr>
        <w:t xml:space="preserve"> </w:t>
      </w:r>
      <w:r>
        <w:rPr>
          <w:rFonts w:hint="eastAsia" w:ascii="宋体" w:hAnsi="宋体"/>
          <w:sz w:val="21"/>
          <w:szCs w:val="21"/>
          <w:highlight w:val="none"/>
          <w:u w:val="single"/>
        </w:rPr>
        <w:t xml:space="preserve">  </w:t>
      </w:r>
      <w:r>
        <w:rPr>
          <w:rFonts w:ascii="宋体" w:hAnsi="宋体"/>
          <w:sz w:val="21"/>
          <w:szCs w:val="21"/>
          <w:highlight w:val="none"/>
          <w:u w:val="single"/>
        </w:rPr>
        <w:tab/>
      </w:r>
      <w:r>
        <w:rPr>
          <w:rFonts w:ascii="宋体" w:hAnsi="宋体"/>
          <w:sz w:val="21"/>
          <w:szCs w:val="21"/>
          <w:highlight w:val="none"/>
        </w:rPr>
        <w:t>（签字</w:t>
      </w:r>
      <w:r>
        <w:rPr>
          <w:rFonts w:hint="eastAsia" w:ascii="宋体" w:hAnsi="宋体"/>
          <w:sz w:val="21"/>
          <w:szCs w:val="21"/>
          <w:highlight w:val="none"/>
        </w:rPr>
        <w:t xml:space="preserve"> </w:t>
      </w:r>
      <w:r>
        <w:rPr>
          <w:rFonts w:ascii="宋体" w:hAnsi="宋体"/>
          <w:sz w:val="21"/>
          <w:szCs w:val="21"/>
          <w:highlight w:val="none"/>
        </w:rPr>
        <w:t>）</w:t>
      </w:r>
    </w:p>
    <w:p>
      <w:pPr>
        <w:spacing w:line="440" w:lineRule="exact"/>
        <w:ind w:firstLine="2692" w:firstLineChars="1282"/>
        <w:rPr>
          <w:rFonts w:ascii="宋体" w:hAnsi="宋体"/>
          <w:sz w:val="21"/>
          <w:szCs w:val="21"/>
          <w:highlight w:val="none"/>
        </w:rPr>
      </w:pPr>
      <w:r>
        <w:rPr>
          <w:rFonts w:ascii="宋体" w:hAnsi="宋体"/>
          <w:sz w:val="21"/>
          <w:szCs w:val="21"/>
          <w:highlight w:val="none"/>
        </w:rPr>
        <w:t>身份证号码：</w:t>
      </w:r>
      <w:r>
        <w:rPr>
          <w:rFonts w:ascii="宋体" w:hAnsi="宋体"/>
          <w:sz w:val="21"/>
          <w:szCs w:val="21"/>
          <w:highlight w:val="none"/>
          <w:u w:val="single"/>
        </w:rPr>
        <w:tab/>
      </w:r>
      <w:r>
        <w:rPr>
          <w:rFonts w:ascii="宋体" w:hAnsi="宋体"/>
          <w:sz w:val="21"/>
          <w:szCs w:val="21"/>
          <w:highlight w:val="none"/>
          <w:u w:val="single"/>
        </w:rPr>
        <w:tab/>
      </w:r>
      <w:r>
        <w:rPr>
          <w:rFonts w:ascii="宋体" w:hAnsi="宋体"/>
          <w:sz w:val="21"/>
          <w:szCs w:val="21"/>
          <w:highlight w:val="none"/>
          <w:u w:val="single"/>
        </w:rPr>
        <w:tab/>
      </w:r>
      <w:r>
        <w:rPr>
          <w:rFonts w:ascii="宋体" w:hAnsi="宋体"/>
          <w:sz w:val="21"/>
          <w:szCs w:val="21"/>
          <w:highlight w:val="none"/>
          <w:u w:val="single"/>
        </w:rPr>
        <w:t xml:space="preserve">                            </w:t>
      </w:r>
      <w:r>
        <w:rPr>
          <w:rFonts w:ascii="宋体" w:hAnsi="宋体"/>
          <w:sz w:val="21"/>
          <w:szCs w:val="21"/>
          <w:highlight w:val="none"/>
          <w:u w:val="single"/>
        </w:rPr>
        <w:tab/>
      </w:r>
    </w:p>
    <w:p>
      <w:pPr>
        <w:spacing w:line="440" w:lineRule="exact"/>
        <w:ind w:firstLine="2692" w:firstLineChars="1282"/>
        <w:rPr>
          <w:rFonts w:ascii="宋体" w:hAnsi="宋体"/>
          <w:sz w:val="21"/>
          <w:szCs w:val="21"/>
          <w:highlight w:val="none"/>
        </w:rPr>
      </w:pPr>
      <w:r>
        <w:rPr>
          <w:rFonts w:ascii="宋体" w:hAnsi="宋体"/>
          <w:sz w:val="21"/>
          <w:szCs w:val="21"/>
          <w:highlight w:val="none"/>
        </w:rPr>
        <w:t>委托代理人：</w:t>
      </w:r>
      <w:r>
        <w:rPr>
          <w:rFonts w:ascii="宋体" w:hAnsi="宋体"/>
          <w:sz w:val="21"/>
          <w:szCs w:val="21"/>
          <w:highlight w:val="none"/>
          <w:u w:val="single"/>
        </w:rPr>
        <w:tab/>
      </w:r>
      <w:r>
        <w:rPr>
          <w:rFonts w:ascii="宋体" w:hAnsi="宋体"/>
          <w:sz w:val="21"/>
          <w:szCs w:val="21"/>
          <w:highlight w:val="none"/>
          <w:u w:val="single"/>
        </w:rPr>
        <w:tab/>
      </w:r>
      <w:r>
        <w:rPr>
          <w:rFonts w:ascii="宋体" w:hAnsi="宋体"/>
          <w:sz w:val="21"/>
          <w:szCs w:val="21"/>
          <w:highlight w:val="none"/>
          <w:u w:val="single"/>
        </w:rPr>
        <w:tab/>
      </w:r>
      <w:r>
        <w:rPr>
          <w:rFonts w:ascii="宋体" w:hAnsi="宋体"/>
          <w:sz w:val="21"/>
          <w:szCs w:val="21"/>
          <w:highlight w:val="none"/>
          <w:u w:val="single"/>
        </w:rPr>
        <w:t xml:space="preserve">                     </w:t>
      </w:r>
      <w:r>
        <w:rPr>
          <w:rFonts w:ascii="宋体" w:hAnsi="宋体"/>
          <w:sz w:val="21"/>
          <w:szCs w:val="21"/>
          <w:highlight w:val="none"/>
          <w:u w:val="single"/>
        </w:rPr>
        <w:tab/>
      </w:r>
      <w:r>
        <w:rPr>
          <w:rFonts w:ascii="宋体" w:hAnsi="宋体"/>
          <w:sz w:val="21"/>
          <w:szCs w:val="21"/>
          <w:highlight w:val="none"/>
        </w:rPr>
        <w:t>（签字）</w:t>
      </w:r>
    </w:p>
    <w:p>
      <w:pPr>
        <w:spacing w:line="440" w:lineRule="exact"/>
        <w:ind w:firstLine="2692" w:firstLineChars="1282"/>
        <w:rPr>
          <w:rFonts w:ascii="宋体" w:hAnsi="宋体"/>
          <w:sz w:val="21"/>
          <w:szCs w:val="21"/>
          <w:highlight w:val="none"/>
        </w:rPr>
      </w:pPr>
      <w:r>
        <w:rPr>
          <w:rFonts w:ascii="宋体" w:hAnsi="宋体"/>
          <w:sz w:val="21"/>
          <w:szCs w:val="21"/>
          <w:highlight w:val="none"/>
        </w:rPr>
        <w:t>身份证号码：</w:t>
      </w:r>
      <w:r>
        <w:rPr>
          <w:rFonts w:ascii="宋体" w:hAnsi="宋体"/>
          <w:sz w:val="21"/>
          <w:szCs w:val="21"/>
          <w:highlight w:val="none"/>
          <w:u w:val="single"/>
        </w:rPr>
        <w:tab/>
      </w:r>
      <w:r>
        <w:rPr>
          <w:rFonts w:ascii="宋体" w:hAnsi="宋体"/>
          <w:sz w:val="21"/>
          <w:szCs w:val="21"/>
          <w:highlight w:val="none"/>
          <w:u w:val="single"/>
        </w:rPr>
        <w:tab/>
      </w:r>
      <w:r>
        <w:rPr>
          <w:rFonts w:ascii="宋体" w:hAnsi="宋体"/>
          <w:sz w:val="21"/>
          <w:szCs w:val="21"/>
          <w:highlight w:val="none"/>
          <w:u w:val="single"/>
        </w:rPr>
        <w:tab/>
      </w:r>
      <w:r>
        <w:rPr>
          <w:rFonts w:ascii="宋体" w:hAnsi="宋体"/>
          <w:sz w:val="21"/>
          <w:szCs w:val="21"/>
          <w:highlight w:val="none"/>
          <w:u w:val="single"/>
        </w:rPr>
        <w:t xml:space="preserve">                            </w:t>
      </w:r>
      <w:r>
        <w:rPr>
          <w:rFonts w:ascii="宋体" w:hAnsi="宋体"/>
          <w:sz w:val="21"/>
          <w:szCs w:val="21"/>
          <w:highlight w:val="none"/>
          <w:u w:val="single"/>
        </w:rPr>
        <w:tab/>
      </w:r>
    </w:p>
    <w:p>
      <w:pPr>
        <w:spacing w:line="440" w:lineRule="exact"/>
        <w:ind w:firstLine="2692" w:firstLineChars="1282"/>
        <w:rPr>
          <w:rFonts w:ascii="宋体" w:hAnsi="宋体"/>
          <w:sz w:val="21"/>
          <w:szCs w:val="21"/>
          <w:highlight w:val="none"/>
        </w:rPr>
      </w:pPr>
    </w:p>
    <w:p>
      <w:pPr>
        <w:spacing w:line="440" w:lineRule="exact"/>
        <w:ind w:firstLine="4057" w:firstLineChars="1932"/>
        <w:jc w:val="right"/>
        <w:rPr>
          <w:rFonts w:ascii="宋体" w:hAnsi="宋体"/>
          <w:sz w:val="21"/>
          <w:szCs w:val="21"/>
          <w:highlight w:val="none"/>
        </w:rPr>
      </w:pPr>
      <w:r>
        <w:rPr>
          <w:rFonts w:ascii="宋体" w:hAnsi="宋体"/>
          <w:sz w:val="21"/>
          <w:szCs w:val="21"/>
          <w:highlight w:val="none"/>
          <w:u w:val="single"/>
        </w:rPr>
        <w:t xml:space="preserve">       </w:t>
      </w:r>
      <w:r>
        <w:rPr>
          <w:rFonts w:ascii="宋体" w:hAnsi="宋体"/>
          <w:sz w:val="21"/>
          <w:szCs w:val="21"/>
          <w:highlight w:val="none"/>
        </w:rPr>
        <w:t>年</w:t>
      </w:r>
      <w:r>
        <w:rPr>
          <w:rFonts w:ascii="宋体" w:hAnsi="宋体"/>
          <w:sz w:val="21"/>
          <w:szCs w:val="21"/>
          <w:highlight w:val="none"/>
          <w:u w:val="single"/>
        </w:rPr>
        <w:t xml:space="preserve">       </w:t>
      </w:r>
      <w:r>
        <w:rPr>
          <w:rFonts w:ascii="宋体" w:hAnsi="宋体"/>
          <w:sz w:val="21"/>
          <w:szCs w:val="21"/>
          <w:highlight w:val="none"/>
        </w:rPr>
        <w:t>月</w:t>
      </w:r>
      <w:r>
        <w:rPr>
          <w:rFonts w:ascii="宋体" w:hAnsi="宋体"/>
          <w:sz w:val="21"/>
          <w:szCs w:val="21"/>
          <w:highlight w:val="none"/>
          <w:u w:val="single"/>
        </w:rPr>
        <w:t xml:space="preserve">       </w:t>
      </w:r>
      <w:r>
        <w:rPr>
          <w:rFonts w:ascii="宋体" w:hAnsi="宋体"/>
          <w:sz w:val="21"/>
          <w:szCs w:val="21"/>
          <w:highlight w:val="none"/>
        </w:rPr>
        <w:t>日</w:t>
      </w:r>
    </w:p>
    <w:p>
      <w:pPr>
        <w:rPr>
          <w:rFonts w:ascii="宋体" w:hAnsi="宋体"/>
          <w:sz w:val="21"/>
          <w:szCs w:val="21"/>
          <w:highlight w:val="none"/>
        </w:rPr>
      </w:pPr>
    </w:p>
    <w:p>
      <w:pPr>
        <w:rPr>
          <w:rFonts w:ascii="宋体" w:hAnsi="宋体"/>
          <w:sz w:val="21"/>
          <w:szCs w:val="21"/>
          <w:highlight w:val="none"/>
        </w:rPr>
      </w:pPr>
    </w:p>
    <w:p>
      <w:pPr>
        <w:spacing w:line="440" w:lineRule="exact"/>
        <w:rPr>
          <w:rFonts w:ascii="宋体" w:hAnsi="宋体"/>
          <w:sz w:val="21"/>
          <w:szCs w:val="21"/>
          <w:highlight w:val="none"/>
        </w:rPr>
      </w:pPr>
      <w:r>
        <w:rPr>
          <w:rFonts w:ascii="宋体" w:hAnsi="宋体"/>
          <w:sz w:val="21"/>
          <w:szCs w:val="21"/>
          <w:highlight w:val="none"/>
        </w:rPr>
        <w:t>注：本授权委托书需由</w:t>
      </w:r>
      <w:r>
        <w:rPr>
          <w:rFonts w:hint="eastAsia" w:ascii="宋体" w:hAnsi="宋体"/>
          <w:sz w:val="21"/>
          <w:szCs w:val="21"/>
          <w:highlight w:val="none"/>
        </w:rPr>
        <w:t>报价人</w:t>
      </w:r>
      <w:r>
        <w:rPr>
          <w:rFonts w:ascii="宋体" w:hAnsi="宋体"/>
          <w:sz w:val="21"/>
          <w:szCs w:val="21"/>
          <w:highlight w:val="none"/>
        </w:rPr>
        <w:t>加盖单位</w:t>
      </w:r>
      <w:r>
        <w:rPr>
          <w:rFonts w:hint="eastAsia" w:ascii="宋体" w:hAnsi="宋体"/>
          <w:sz w:val="21"/>
          <w:szCs w:val="21"/>
          <w:highlight w:val="none"/>
        </w:rPr>
        <w:t>公章</w:t>
      </w:r>
      <w:r>
        <w:rPr>
          <w:rFonts w:ascii="宋体" w:hAnsi="宋体"/>
          <w:sz w:val="21"/>
          <w:szCs w:val="21"/>
          <w:highlight w:val="none"/>
        </w:rPr>
        <w:t>并由其法定代表人和委托代理人签字。</w:t>
      </w:r>
    </w:p>
    <w:p>
      <w:pPr>
        <w:pStyle w:val="28"/>
        <w:rPr>
          <w:sz w:val="21"/>
          <w:szCs w:val="21"/>
          <w:highlight w:val="none"/>
        </w:rPr>
        <w:sectPr>
          <w:pgSz w:w="11906" w:h="16838"/>
          <w:pgMar w:top="1440" w:right="1803" w:bottom="1440" w:left="1803" w:header="851" w:footer="992" w:gutter="0"/>
          <w:cols w:space="720" w:num="1"/>
          <w:titlePg/>
          <w:docGrid w:type="lines" w:linePitch="319" w:charSpace="0"/>
        </w:sectPr>
      </w:pPr>
    </w:p>
    <w:p>
      <w:pPr>
        <w:jc w:val="center"/>
        <w:rPr>
          <w:rFonts w:ascii="宋体" w:hAnsi="宋体" w:cs="宋体"/>
          <w:b/>
          <w:highlight w:val="none"/>
        </w:rPr>
      </w:pPr>
      <w:bookmarkStart w:id="249" w:name="_Toc11329275"/>
      <w:r>
        <w:rPr>
          <w:rFonts w:hint="eastAsia" w:ascii="宋体" w:hAnsi="宋体" w:cs="宋体"/>
          <w:b/>
          <w:bCs/>
          <w:kern w:val="0"/>
          <w:sz w:val="28"/>
          <w:szCs w:val="32"/>
          <w:highlight w:val="none"/>
        </w:rPr>
        <w:t>三、</w:t>
      </w:r>
      <w:bookmarkEnd w:id="224"/>
      <w:bookmarkEnd w:id="225"/>
      <w:bookmarkEnd w:id="226"/>
      <w:bookmarkEnd w:id="249"/>
      <w:r>
        <w:rPr>
          <w:rFonts w:hint="eastAsia" w:ascii="宋体" w:hAnsi="宋体" w:cs="宋体"/>
          <w:b/>
          <w:bCs/>
          <w:kern w:val="0"/>
          <w:sz w:val="28"/>
          <w:szCs w:val="32"/>
          <w:highlight w:val="none"/>
        </w:rPr>
        <w:t>报价一览表</w:t>
      </w:r>
    </w:p>
    <w:p>
      <w:pPr>
        <w:ind w:left="765"/>
        <w:jc w:val="center"/>
        <w:rPr>
          <w:rFonts w:ascii="宋体" w:hAnsi="宋体" w:cs="宋体"/>
          <w:szCs w:val="21"/>
          <w:highlight w:val="none"/>
        </w:rPr>
      </w:pPr>
    </w:p>
    <w:p>
      <w:pPr>
        <w:pStyle w:val="38"/>
        <w:jc w:val="both"/>
        <w:rPr>
          <w:rFonts w:hAnsi="宋体"/>
          <w:highlight w:val="none"/>
        </w:rPr>
      </w:pPr>
      <w:r>
        <w:rPr>
          <w:rFonts w:hint="eastAsia" w:hAnsi="宋体"/>
          <w:highlight w:val="none"/>
        </w:rPr>
        <w:t>重庆首讯科技股份有限公司：</w:t>
      </w:r>
    </w:p>
    <w:p>
      <w:pPr>
        <w:spacing w:line="360" w:lineRule="auto"/>
        <w:ind w:firstLine="420" w:firstLineChars="200"/>
        <w:jc w:val="left"/>
        <w:rPr>
          <w:rFonts w:ascii="宋体" w:hAnsi="宋体"/>
          <w:b/>
          <w:color w:val="000000"/>
          <w:sz w:val="24"/>
          <w:highlight w:val="none"/>
        </w:rPr>
      </w:pPr>
      <w:r>
        <w:rPr>
          <w:rFonts w:hint="eastAsia" w:ascii="宋体" w:hAnsi="宋体" w:eastAsia="宋体" w:cs="Times New Roman"/>
          <w:highlight w:val="none"/>
        </w:rPr>
        <w:t>在研究了竞争比选文件中所有文件后，我司对</w:t>
      </w:r>
      <w:r>
        <w:rPr>
          <w:rFonts w:hint="eastAsia" w:ascii="宋体" w:hAnsi="宋体" w:cs="Times New Roman"/>
          <w:highlight w:val="none"/>
          <w:u w:val="single"/>
          <w:lang w:val="en-US" w:eastAsia="zh-CN"/>
        </w:rPr>
        <w:t>机电工程施工总承包二级资质申报咨询服务</w:t>
      </w:r>
      <w:r>
        <w:rPr>
          <w:rFonts w:hint="eastAsia" w:ascii="宋体" w:hAnsi="宋体" w:eastAsia="宋体" w:cs="Times New Roman"/>
          <w:highlight w:val="none"/>
        </w:rPr>
        <w:t>竞争比选响应报价如下：</w:t>
      </w:r>
      <w:r>
        <w:rPr>
          <w:rFonts w:hint="eastAsia" w:ascii="宋体" w:hAnsi="宋体"/>
          <w:b/>
          <w:color w:val="000000"/>
          <w:sz w:val="24"/>
          <w:highlight w:val="none"/>
        </w:rPr>
        <w:t xml:space="preserve"> </w:t>
      </w:r>
    </w:p>
    <w:p>
      <w:pPr>
        <w:spacing w:line="360" w:lineRule="auto"/>
        <w:ind w:firstLine="422" w:firstLineChars="200"/>
        <w:jc w:val="left"/>
        <w:rPr>
          <w:rFonts w:hint="eastAsia" w:ascii="宋体" w:hAnsi="宋体" w:eastAsia="宋体" w:cs="Times New Roman"/>
          <w:b/>
          <w:bCs/>
          <w:highlight w:val="none"/>
        </w:rPr>
      </w:pPr>
      <w:r>
        <w:rPr>
          <w:rFonts w:hint="eastAsia" w:ascii="宋体" w:hAnsi="宋体" w:eastAsia="宋体" w:cs="Times New Roman"/>
          <w:b/>
          <w:bCs/>
          <w:highlight w:val="none"/>
        </w:rPr>
        <w:t xml:space="preserve"> </w:t>
      </w:r>
      <w:r>
        <w:rPr>
          <w:rFonts w:hint="eastAsia" w:ascii="宋体" w:hAnsi="宋体" w:eastAsia="宋体" w:cs="Times New Roman"/>
          <w:b/>
          <w:bCs/>
          <w:highlight w:val="none"/>
          <w:lang w:eastAsia="zh-CN"/>
        </w:rPr>
        <w:t>报价采用表格形式，见“工程量清单”。</w:t>
      </w:r>
      <w:r>
        <w:rPr>
          <w:rFonts w:hint="eastAsia" w:ascii="宋体" w:hAnsi="宋体" w:eastAsia="宋体" w:cs="Times New Roman"/>
          <w:b/>
          <w:bCs/>
          <w:highlight w:val="none"/>
        </w:rPr>
        <w:t xml:space="preserve"> </w:t>
      </w:r>
    </w:p>
    <w:p>
      <w:pPr>
        <w:tabs>
          <w:tab w:val="left" w:pos="1680"/>
          <w:tab w:val="left" w:pos="4215"/>
          <w:tab w:val="left" w:pos="4305"/>
          <w:tab w:val="left" w:pos="8000"/>
        </w:tabs>
        <w:autoSpaceDE w:val="0"/>
        <w:autoSpaceDN w:val="0"/>
        <w:adjustRightInd w:val="0"/>
        <w:snapToGrid w:val="0"/>
        <w:spacing w:line="360" w:lineRule="auto"/>
        <w:ind w:firstLine="420" w:firstLineChars="200"/>
        <w:rPr>
          <w:rFonts w:ascii="宋体" w:hAnsi="宋体" w:cs="宋体"/>
          <w:kern w:val="0"/>
          <w:szCs w:val="21"/>
          <w:highlight w:val="none"/>
        </w:rPr>
      </w:pPr>
    </w:p>
    <w:p>
      <w:pPr>
        <w:pStyle w:val="4"/>
        <w:spacing w:before="0" w:after="0" w:line="360" w:lineRule="auto"/>
        <w:jc w:val="center"/>
        <w:rPr>
          <w:rFonts w:ascii="宋体" w:hAnsi="宋体" w:eastAsia="宋体" w:cs="宋体"/>
          <w:sz w:val="28"/>
          <w:highlight w:val="none"/>
        </w:rPr>
      </w:pPr>
      <w:bookmarkStart w:id="250" w:name="_Toc503951050"/>
      <w:bookmarkStart w:id="251" w:name="_Toc513633971"/>
      <w:bookmarkStart w:id="252" w:name="_Toc11329278"/>
      <w:bookmarkStart w:id="253" w:name="_Toc447827058"/>
      <w:bookmarkStart w:id="254" w:name="_Toc246996369"/>
      <w:bookmarkStart w:id="255" w:name="_Toc152042592"/>
      <w:bookmarkStart w:id="256" w:name="_Toc247085887"/>
      <w:bookmarkStart w:id="257" w:name="_Toc246997112"/>
      <w:bookmarkStart w:id="258" w:name="_Toc144974871"/>
      <w:bookmarkStart w:id="259" w:name="_Toc179632823"/>
      <w:bookmarkStart w:id="260" w:name="_Toc152045803"/>
      <w:r>
        <w:rPr>
          <w:rFonts w:hint="eastAsia" w:ascii="宋体" w:hAnsi="宋体" w:eastAsia="宋体" w:cs="宋体"/>
          <w:sz w:val="28"/>
          <w:highlight w:val="none"/>
        </w:rPr>
        <w:br w:type="page"/>
      </w:r>
      <w:bookmarkStart w:id="261" w:name="_Toc18757"/>
      <w:bookmarkStart w:id="262" w:name="_Toc11961"/>
      <w:bookmarkStart w:id="263" w:name="_Toc12910"/>
      <w:bookmarkStart w:id="264" w:name="_Toc7430"/>
      <w:r>
        <w:rPr>
          <w:rFonts w:hint="eastAsia" w:ascii="宋体" w:hAnsi="宋体" w:eastAsia="宋体" w:cs="宋体"/>
          <w:sz w:val="28"/>
          <w:highlight w:val="none"/>
        </w:rPr>
        <w:t>四、资格审查资料</w:t>
      </w:r>
      <w:bookmarkEnd w:id="250"/>
      <w:bookmarkEnd w:id="251"/>
      <w:bookmarkEnd w:id="252"/>
      <w:bookmarkEnd w:id="261"/>
      <w:bookmarkEnd w:id="262"/>
      <w:bookmarkEnd w:id="263"/>
      <w:bookmarkEnd w:id="264"/>
    </w:p>
    <w:p>
      <w:pPr>
        <w:pStyle w:val="4"/>
        <w:spacing w:before="0" w:after="0" w:line="360" w:lineRule="auto"/>
        <w:jc w:val="center"/>
        <w:rPr>
          <w:rFonts w:ascii="宋体" w:hAnsi="宋体" w:eastAsia="宋体" w:cs="宋体"/>
          <w:sz w:val="28"/>
          <w:highlight w:val="none"/>
        </w:rPr>
      </w:pPr>
      <w:bookmarkStart w:id="265" w:name="_Toc22003"/>
      <w:bookmarkStart w:id="266" w:name="_Toc25219"/>
      <w:bookmarkStart w:id="267" w:name="_Toc17915"/>
      <w:bookmarkStart w:id="268" w:name="_Toc32456"/>
      <w:r>
        <w:rPr>
          <w:rFonts w:hint="eastAsia" w:ascii="宋体" w:hAnsi="宋体" w:eastAsia="宋体" w:cs="宋体"/>
          <w:sz w:val="28"/>
          <w:highlight w:val="none"/>
        </w:rPr>
        <w:t>（营业执照、资质证书、业绩要求、</w:t>
      </w:r>
      <w:r>
        <w:rPr>
          <w:rFonts w:hint="eastAsia" w:ascii="宋体" w:hAnsi="宋体" w:eastAsia="宋体" w:cs="宋体"/>
          <w:sz w:val="28"/>
          <w:highlight w:val="none"/>
          <w:lang w:val="en-US" w:eastAsia="zh-CN"/>
        </w:rPr>
        <w:t>信誉要求</w:t>
      </w:r>
      <w:r>
        <w:rPr>
          <w:rFonts w:hint="eastAsia" w:ascii="宋体" w:hAnsi="宋体" w:eastAsia="宋体" w:cs="宋体"/>
          <w:sz w:val="28"/>
          <w:highlight w:val="none"/>
        </w:rPr>
        <w:t>等）</w:t>
      </w:r>
      <w:bookmarkEnd w:id="265"/>
      <w:bookmarkEnd w:id="266"/>
      <w:bookmarkEnd w:id="267"/>
      <w:bookmarkEnd w:id="268"/>
    </w:p>
    <w:p>
      <w:pPr>
        <w:spacing w:line="360" w:lineRule="auto"/>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lang w:val="en-US" w:eastAsia="zh-CN"/>
        </w:rPr>
        <w:t>1.</w:t>
      </w:r>
      <w:r>
        <w:rPr>
          <w:rFonts w:hint="eastAsia" w:ascii="宋体" w:hAnsi="宋体" w:eastAsia="宋体" w:cs="Times New Roman"/>
          <w:sz w:val="21"/>
          <w:szCs w:val="21"/>
          <w:highlight w:val="none"/>
        </w:rPr>
        <w:t>营业执照</w:t>
      </w:r>
      <w:r>
        <w:rPr>
          <w:rFonts w:hint="eastAsia" w:ascii="宋体" w:hAnsi="宋体" w:eastAsia="宋体" w:cs="Times New Roman"/>
          <w:sz w:val="21"/>
          <w:szCs w:val="21"/>
          <w:highlight w:val="none"/>
          <w:lang w:val="en-US" w:eastAsia="zh-CN"/>
        </w:rPr>
        <w:t>及资质证书</w:t>
      </w:r>
    </w:p>
    <w:p>
      <w:pPr>
        <w:spacing w:line="360" w:lineRule="auto"/>
        <w:ind w:left="840" w:leftChars="200" w:hanging="420" w:hanging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注：</w:t>
      </w:r>
      <w:r>
        <w:rPr>
          <w:rFonts w:hint="eastAsia" w:ascii="宋体" w:hAnsi="宋体" w:eastAsia="宋体" w:cs="Times New Roman"/>
          <w:sz w:val="21"/>
          <w:szCs w:val="21"/>
          <w:highlight w:val="none"/>
          <w:lang w:eastAsia="zh-CN"/>
        </w:rPr>
        <w:t>（</w:t>
      </w:r>
      <w:r>
        <w:rPr>
          <w:rFonts w:hint="eastAsia" w:ascii="宋体" w:hAnsi="宋体" w:eastAsia="宋体" w:cs="Times New Roman"/>
          <w:sz w:val="21"/>
          <w:szCs w:val="21"/>
          <w:highlight w:val="none"/>
          <w:lang w:val="en-US" w:eastAsia="zh-CN"/>
        </w:rPr>
        <w:t>1</w:t>
      </w:r>
      <w:r>
        <w:rPr>
          <w:rFonts w:hint="eastAsia" w:ascii="宋体" w:hAnsi="宋体" w:eastAsia="宋体" w:cs="Times New Roman"/>
          <w:sz w:val="21"/>
          <w:szCs w:val="21"/>
          <w:highlight w:val="none"/>
          <w:lang w:eastAsia="zh-CN"/>
        </w:rPr>
        <w:t>）</w:t>
      </w:r>
      <w:r>
        <w:rPr>
          <w:rFonts w:hint="eastAsia" w:ascii="宋体" w:hAnsi="宋体" w:eastAsia="宋体" w:cs="Times New Roman"/>
          <w:sz w:val="21"/>
          <w:szCs w:val="21"/>
          <w:highlight w:val="none"/>
          <w:lang w:val="en-US" w:eastAsia="zh-CN"/>
        </w:rPr>
        <w:t>具有独立法人资格和有效的营业执照</w:t>
      </w:r>
      <w:r>
        <w:rPr>
          <w:rFonts w:hint="eastAsia" w:ascii="宋体" w:hAnsi="宋体" w:eastAsia="宋体" w:cs="Times New Roman"/>
          <w:sz w:val="21"/>
          <w:szCs w:val="21"/>
          <w:highlight w:val="none"/>
        </w:rPr>
        <w:t>，并加盖报价人公章；</w:t>
      </w:r>
    </w:p>
    <w:p>
      <w:pPr>
        <w:spacing w:line="360" w:lineRule="auto"/>
        <w:ind w:left="842" w:leftChars="200" w:hanging="422" w:hangingChars="200"/>
        <w:jc w:val="left"/>
        <w:rPr>
          <w:rFonts w:hint="eastAsia" w:ascii="宋体" w:hAnsi="宋体" w:eastAsia="宋体" w:cs="Times New Roman"/>
          <w:b/>
          <w:bCs/>
          <w:sz w:val="21"/>
          <w:szCs w:val="21"/>
          <w:highlight w:val="none"/>
          <w:lang w:val="en-US" w:eastAsia="zh-CN"/>
        </w:rPr>
      </w:pPr>
      <w:r>
        <w:rPr>
          <w:rFonts w:hint="eastAsia" w:ascii="宋体" w:hAnsi="宋体" w:eastAsia="宋体" w:cs="Times New Roman"/>
          <w:b/>
          <w:bCs/>
          <w:sz w:val="21"/>
          <w:szCs w:val="21"/>
          <w:highlight w:val="none"/>
          <w:lang w:val="en-US" w:eastAsia="zh-CN"/>
        </w:rPr>
        <w:t>提供公司营业执照及资质证书复印件，并加盖报价人鲜章。</w:t>
      </w:r>
    </w:p>
    <w:p>
      <w:pPr>
        <w:spacing w:line="360" w:lineRule="auto"/>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lang w:val="en-US" w:eastAsia="zh-CN"/>
        </w:rPr>
        <w:t>2.</w:t>
      </w:r>
      <w:r>
        <w:rPr>
          <w:rFonts w:hint="eastAsia" w:ascii="宋体" w:hAnsi="宋体" w:eastAsia="宋体" w:cs="Times New Roman"/>
          <w:sz w:val="21"/>
          <w:szCs w:val="21"/>
          <w:highlight w:val="none"/>
        </w:rPr>
        <w:t>业绩要求</w:t>
      </w:r>
    </w:p>
    <w:p>
      <w:pPr>
        <w:pStyle w:val="13"/>
        <w:adjustRightInd w:val="0"/>
        <w:spacing w:line="400" w:lineRule="exact"/>
        <w:rPr>
          <w:rFonts w:hint="eastAsia" w:ascii="宋体" w:hAnsi="宋体" w:eastAsia="宋体" w:cs="宋体"/>
          <w:highlight w:val="yellow"/>
          <w:lang w:val="en-US" w:eastAsia="zh-CN"/>
        </w:rPr>
      </w:pPr>
      <w:r>
        <w:rPr>
          <w:rFonts w:hint="eastAsia" w:ascii="宋体" w:hAnsi="宋体" w:eastAsia="宋体" w:cs="Times New Roman"/>
          <w:sz w:val="21"/>
          <w:szCs w:val="21"/>
          <w:highlight w:val="none"/>
        </w:rPr>
        <w:t>注：</w:t>
      </w:r>
      <w:r>
        <w:rPr>
          <w:rFonts w:hint="eastAsia" w:ascii="宋体" w:hAnsi="宋体" w:eastAsia="宋体" w:cs="Times New Roman"/>
          <w:sz w:val="21"/>
          <w:szCs w:val="21"/>
          <w:highlight w:val="none"/>
          <w:lang w:val="en-US" w:eastAsia="zh-CN"/>
        </w:rPr>
        <w:t>报价人在2021年1月1日至报价截止日期（以合同签订时间为准）至少独立完成一项合同金额不低于20万元的中国境内企业资质办理咨询服务合作案例。（合同签订时间为准，提供申报成功的证书和官网证书查询信息截图）</w:t>
      </w:r>
      <w:r>
        <w:rPr>
          <w:rFonts w:hint="eastAsia" w:ascii="宋体" w:hAnsi="宋体" w:cs="Times New Roman"/>
          <w:sz w:val="21"/>
          <w:szCs w:val="21"/>
          <w:highlight w:val="none"/>
          <w:lang w:val="en-US" w:eastAsia="zh-CN"/>
        </w:rPr>
        <w:t>。</w:t>
      </w:r>
    </w:p>
    <w:p>
      <w:pPr>
        <w:spacing w:line="360" w:lineRule="auto"/>
        <w:ind w:firstLine="422" w:firstLineChars="200"/>
        <w:jc w:val="left"/>
        <w:rPr>
          <w:rFonts w:hint="eastAsia" w:ascii="宋体" w:hAnsi="宋体" w:eastAsia="宋体" w:cs="Times New Roman"/>
          <w:b/>
          <w:bCs/>
          <w:sz w:val="21"/>
          <w:szCs w:val="21"/>
          <w:highlight w:val="none"/>
          <w:lang w:val="en-US" w:eastAsia="zh-CN"/>
        </w:rPr>
      </w:pPr>
      <w:r>
        <w:rPr>
          <w:rFonts w:hint="eastAsia" w:ascii="宋体" w:hAnsi="宋体" w:eastAsia="宋体" w:cs="Times New Roman"/>
          <w:b/>
          <w:bCs/>
          <w:sz w:val="21"/>
          <w:szCs w:val="21"/>
          <w:highlight w:val="none"/>
          <w:lang w:val="en-US" w:eastAsia="zh-CN"/>
        </w:rPr>
        <w:t>提供合同复印件（合同需清晰反映上述业绩要求的主要内容，包括但不限于合同金额及工作内容）</w:t>
      </w:r>
      <w:r>
        <w:rPr>
          <w:rFonts w:hint="eastAsia" w:ascii="宋体" w:hAnsi="宋体" w:cs="Times New Roman"/>
          <w:b/>
          <w:bCs/>
          <w:sz w:val="21"/>
          <w:szCs w:val="21"/>
          <w:highlight w:val="none"/>
          <w:lang w:val="en-US" w:eastAsia="zh-CN"/>
        </w:rPr>
        <w:t>及增值税发票复印件</w:t>
      </w:r>
      <w:r>
        <w:rPr>
          <w:rFonts w:hint="eastAsia" w:ascii="宋体" w:hAnsi="宋体" w:eastAsia="宋体" w:cs="Times New Roman"/>
          <w:b/>
          <w:bCs/>
          <w:sz w:val="21"/>
          <w:szCs w:val="21"/>
          <w:highlight w:val="none"/>
          <w:lang w:val="en-US" w:eastAsia="zh-CN"/>
        </w:rPr>
        <w:t>，并加盖报价人鲜章。</w:t>
      </w:r>
    </w:p>
    <w:p>
      <w:pPr>
        <w:spacing w:line="360" w:lineRule="auto"/>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lang w:val="en-US" w:eastAsia="zh-CN"/>
        </w:rPr>
        <w:t>3.</w:t>
      </w:r>
      <w:r>
        <w:rPr>
          <w:rFonts w:hint="eastAsia" w:ascii="宋体" w:hAnsi="宋体" w:eastAsia="宋体" w:cs="Times New Roman"/>
          <w:sz w:val="21"/>
          <w:szCs w:val="21"/>
          <w:highlight w:val="none"/>
        </w:rPr>
        <w:t>信誉要求</w:t>
      </w:r>
    </w:p>
    <w:p>
      <w:pPr>
        <w:spacing w:line="360" w:lineRule="auto"/>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注：请附在国家企业信用信息公示系统（http://www.gsxt.gov.cn/）中未被列入严重违法失信企业名单（黑名单）信息，及在“信用中国”网站（http://www.creditchina.gov.cn/）中未被列入失信惩戒执行人名单截图，并加盖报价人公章；</w:t>
      </w:r>
    </w:p>
    <w:p>
      <w:pPr>
        <w:spacing w:line="360" w:lineRule="auto"/>
        <w:ind w:firstLine="420" w:firstLineChars="200"/>
        <w:jc w:val="left"/>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4.人员资料</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lang w:eastAsia="zh-CN"/>
        </w:rPr>
      </w:pPr>
      <w:r>
        <w:rPr>
          <w:rFonts w:hint="eastAsia" w:ascii="宋体" w:hAnsi="宋体" w:cs="宋体"/>
          <w:b/>
          <w:szCs w:val="21"/>
          <w:highlight w:val="none"/>
        </w:rPr>
        <w:t>管理人员</w:t>
      </w:r>
      <w:r>
        <w:rPr>
          <w:rFonts w:hint="eastAsia" w:ascii="宋体" w:hAnsi="宋体" w:cs="宋体"/>
          <w:b/>
          <w:szCs w:val="21"/>
          <w:highlight w:val="none"/>
          <w:lang w:val="en-US" w:eastAsia="zh-CN"/>
        </w:rPr>
        <w:t>名单</w:t>
      </w:r>
    </w:p>
    <w:tbl>
      <w:tblPr>
        <w:tblStyle w:val="43"/>
        <w:tblW w:w="71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334"/>
        <w:gridCol w:w="1191"/>
        <w:gridCol w:w="2808"/>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序号</w:t>
            </w:r>
          </w:p>
        </w:tc>
        <w:tc>
          <w:tcPr>
            <w:tcW w:w="13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人  员</w:t>
            </w:r>
          </w:p>
        </w:tc>
        <w:tc>
          <w:tcPr>
            <w:tcW w:w="119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姓名</w:t>
            </w:r>
          </w:p>
        </w:tc>
        <w:tc>
          <w:tcPr>
            <w:tcW w:w="2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身份证号码</w:t>
            </w:r>
          </w:p>
        </w:tc>
        <w:tc>
          <w:tcPr>
            <w:tcW w:w="100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1</w:t>
            </w:r>
          </w:p>
        </w:tc>
        <w:tc>
          <w:tcPr>
            <w:tcW w:w="13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项目负责人</w:t>
            </w:r>
          </w:p>
        </w:tc>
        <w:tc>
          <w:tcPr>
            <w:tcW w:w="119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highlight w:val="none"/>
                <w:lang w:val="en-US" w:eastAsia="zh-CN"/>
              </w:rPr>
            </w:pPr>
          </w:p>
        </w:tc>
        <w:tc>
          <w:tcPr>
            <w:tcW w:w="2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szCs w:val="21"/>
                <w:highlight w:val="none"/>
                <w:lang w:val="en-US" w:eastAsia="zh-CN"/>
              </w:rPr>
            </w:pPr>
          </w:p>
        </w:tc>
        <w:tc>
          <w:tcPr>
            <w:tcW w:w="100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2</w:t>
            </w:r>
          </w:p>
        </w:tc>
        <w:tc>
          <w:tcPr>
            <w:tcW w:w="13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项目团队</w:t>
            </w:r>
          </w:p>
        </w:tc>
        <w:tc>
          <w:tcPr>
            <w:tcW w:w="119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p>
        </w:tc>
        <w:tc>
          <w:tcPr>
            <w:tcW w:w="2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lang w:val="en-US" w:eastAsia="zh-CN"/>
              </w:rPr>
            </w:pPr>
          </w:p>
        </w:tc>
        <w:tc>
          <w:tcPr>
            <w:tcW w:w="100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3</w:t>
            </w:r>
          </w:p>
        </w:tc>
        <w:tc>
          <w:tcPr>
            <w:tcW w:w="13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项目团队</w:t>
            </w:r>
          </w:p>
        </w:tc>
        <w:tc>
          <w:tcPr>
            <w:tcW w:w="119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p>
        </w:tc>
        <w:tc>
          <w:tcPr>
            <w:tcW w:w="2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lang w:val="en-US" w:eastAsia="zh-CN"/>
              </w:rPr>
            </w:pPr>
          </w:p>
        </w:tc>
        <w:tc>
          <w:tcPr>
            <w:tcW w:w="100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4</w:t>
            </w:r>
          </w:p>
        </w:tc>
        <w:tc>
          <w:tcPr>
            <w:tcW w:w="13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项目团队</w:t>
            </w:r>
          </w:p>
        </w:tc>
        <w:tc>
          <w:tcPr>
            <w:tcW w:w="119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p>
        </w:tc>
        <w:tc>
          <w:tcPr>
            <w:tcW w:w="2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lang w:val="en-US" w:eastAsia="zh-CN"/>
              </w:rPr>
            </w:pPr>
          </w:p>
        </w:tc>
        <w:tc>
          <w:tcPr>
            <w:tcW w:w="100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lang w:val="en-US" w:eastAsia="zh-CN"/>
              </w:rPr>
            </w:pPr>
          </w:p>
        </w:tc>
      </w:tr>
    </w:tbl>
    <w:p>
      <w:pPr>
        <w:pStyle w:val="149"/>
        <w:adjustRightInd/>
        <w:spacing w:line="360" w:lineRule="auto"/>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注：</w:t>
      </w:r>
      <w:r>
        <w:rPr>
          <w:rFonts w:hint="eastAsia" w:ascii="Times New Roman" w:hAnsi="宋体" w:cs="Times New Roman"/>
          <w:b w:val="0"/>
          <w:bCs w:val="0"/>
          <w:color w:val="auto"/>
          <w:sz w:val="21"/>
          <w:szCs w:val="21"/>
          <w:highlight w:val="none"/>
          <w:lang w:val="en-US" w:eastAsia="zh-CN"/>
        </w:rPr>
        <w:t>注：需提供项目主要管理人员</w:t>
      </w:r>
      <w:r>
        <w:rPr>
          <w:rFonts w:hint="eastAsia" w:hAnsi="宋体" w:cs="Times New Roman"/>
          <w:b w:val="0"/>
          <w:bCs w:val="0"/>
          <w:color w:val="auto"/>
          <w:sz w:val="21"/>
          <w:szCs w:val="21"/>
          <w:highlight w:val="none"/>
          <w:lang w:val="en-US" w:eastAsia="zh-CN"/>
        </w:rPr>
        <w:t>名单（表格形式），</w:t>
      </w:r>
      <w:r>
        <w:rPr>
          <w:rFonts w:hint="eastAsia" w:ascii="Times New Roman" w:hAnsi="宋体" w:cs="Times New Roman"/>
          <w:b w:val="0"/>
          <w:bCs w:val="0"/>
          <w:color w:val="auto"/>
          <w:sz w:val="21"/>
          <w:szCs w:val="21"/>
          <w:highlight w:val="none"/>
          <w:lang w:val="en-US" w:eastAsia="zh-CN"/>
        </w:rPr>
        <w:t>以上人员相关资质证件</w:t>
      </w:r>
      <w:r>
        <w:rPr>
          <w:rFonts w:hint="eastAsia" w:hAnsi="宋体" w:cs="Times New Roman"/>
          <w:b w:val="0"/>
          <w:bCs w:val="0"/>
          <w:color w:val="auto"/>
          <w:sz w:val="21"/>
          <w:szCs w:val="21"/>
          <w:highlight w:val="none"/>
          <w:lang w:val="en-US" w:eastAsia="zh-CN"/>
        </w:rPr>
        <w:t>、</w:t>
      </w:r>
      <w:r>
        <w:rPr>
          <w:rFonts w:hint="eastAsia" w:ascii="Times New Roman" w:hAnsi="宋体" w:cs="Times New Roman"/>
          <w:b w:val="0"/>
          <w:bCs w:val="0"/>
          <w:color w:val="auto"/>
          <w:sz w:val="21"/>
          <w:szCs w:val="21"/>
          <w:highlight w:val="none"/>
          <w:lang w:val="en-US" w:eastAsia="zh-CN"/>
        </w:rPr>
        <w:t>身份证复印件</w:t>
      </w:r>
      <w:r>
        <w:rPr>
          <w:rFonts w:hint="eastAsia" w:hAnsi="宋体" w:cs="Times New Roman"/>
          <w:b w:val="0"/>
          <w:bCs w:val="0"/>
          <w:color w:val="auto"/>
          <w:sz w:val="21"/>
          <w:szCs w:val="21"/>
          <w:highlight w:val="none"/>
          <w:lang w:val="en-US" w:eastAsia="zh-CN"/>
        </w:rPr>
        <w:t>及由社保局出具的报价人为以上人员缴纳2024年4月至2024年6月连续三个月的养老保险证明（仅提供项目负责人即可）（带有社保部门公章或社保部门的有效电子印章）</w:t>
      </w:r>
      <w:r>
        <w:rPr>
          <w:rFonts w:hint="eastAsia" w:hAnsi="宋体"/>
          <w:b w:val="0"/>
          <w:bCs w:val="0"/>
          <w:color w:val="auto"/>
          <w:sz w:val="21"/>
          <w:szCs w:val="21"/>
          <w:highlight w:val="none"/>
        </w:rPr>
        <w:t>，</w:t>
      </w:r>
      <w:r>
        <w:rPr>
          <w:rFonts w:hint="eastAsia" w:hAnsi="宋体"/>
          <w:b w:val="0"/>
          <w:bCs w:val="0"/>
          <w:color w:val="auto"/>
          <w:sz w:val="21"/>
          <w:szCs w:val="21"/>
          <w:highlight w:val="none"/>
          <w:lang w:val="en-US" w:eastAsia="zh-CN"/>
        </w:rPr>
        <w:t>并</w:t>
      </w:r>
      <w:r>
        <w:rPr>
          <w:rFonts w:hint="eastAsia" w:hAnsi="宋体"/>
          <w:b w:val="0"/>
          <w:bCs w:val="0"/>
          <w:color w:val="auto"/>
          <w:sz w:val="21"/>
          <w:szCs w:val="21"/>
          <w:highlight w:val="none"/>
        </w:rPr>
        <w:t>加盖单位鲜公章</w:t>
      </w:r>
      <w:r>
        <w:rPr>
          <w:rFonts w:hint="eastAsia" w:ascii="宋体" w:hAnsi="宋体" w:eastAsia="宋体" w:cs="Times New Roman"/>
          <w:color w:val="auto"/>
          <w:kern w:val="2"/>
          <w:sz w:val="21"/>
          <w:szCs w:val="21"/>
          <w:highlight w:val="none"/>
          <w:lang w:val="en-US" w:eastAsia="zh-CN" w:bidi="ar-SA"/>
        </w:rPr>
        <w:t>。</w:t>
      </w:r>
    </w:p>
    <w:p>
      <w:pPr>
        <w:pStyle w:val="2"/>
        <w:rPr>
          <w:rFonts w:hint="eastAsia" w:hAnsi="宋体"/>
          <w:color w:val="auto"/>
          <w:sz w:val="21"/>
          <w:szCs w:val="21"/>
          <w:highlight w:val="none"/>
        </w:rPr>
      </w:pPr>
      <w:r>
        <w:rPr>
          <w:rFonts w:hint="eastAsia" w:ascii="宋体" w:hAnsi="宋体" w:eastAsia="宋体" w:cs="宋体"/>
          <w:sz w:val="28"/>
          <w:highlight w:val="none"/>
        </w:rPr>
        <w:br w:type="page"/>
      </w:r>
      <w:bookmarkEnd w:id="253"/>
      <w:bookmarkEnd w:id="254"/>
      <w:bookmarkEnd w:id="255"/>
      <w:bookmarkEnd w:id="256"/>
      <w:bookmarkEnd w:id="257"/>
      <w:bookmarkEnd w:id="258"/>
      <w:bookmarkEnd w:id="259"/>
      <w:bookmarkEnd w:id="260"/>
      <w:bookmarkStart w:id="269" w:name="_Toc447827068"/>
      <w:bookmarkStart w:id="270" w:name="_Toc503951055"/>
      <w:bookmarkStart w:id="271" w:name="_Toc513633973"/>
      <w:bookmarkStart w:id="272" w:name="_Toc11672"/>
      <w:bookmarkStart w:id="273" w:name="_Toc11329281"/>
    </w:p>
    <w:bookmarkEnd w:id="269"/>
    <w:bookmarkEnd w:id="270"/>
    <w:bookmarkEnd w:id="271"/>
    <w:p>
      <w:pPr>
        <w:pStyle w:val="4"/>
        <w:numPr>
          <w:ilvl w:val="0"/>
          <w:numId w:val="7"/>
        </w:numPr>
        <w:spacing w:before="0" w:after="0" w:line="360" w:lineRule="auto"/>
        <w:jc w:val="center"/>
        <w:rPr>
          <w:rFonts w:hint="eastAsia" w:ascii="宋体" w:hAnsi="宋体" w:eastAsia="宋体" w:cs="宋体"/>
          <w:sz w:val="28"/>
          <w:highlight w:val="none"/>
        </w:rPr>
      </w:pPr>
      <w:bookmarkStart w:id="274" w:name="_Toc11243"/>
      <w:bookmarkStart w:id="275" w:name="_Toc29559"/>
      <w:bookmarkStart w:id="276" w:name="_Toc28818"/>
      <w:r>
        <w:rPr>
          <w:rFonts w:hint="eastAsia" w:ascii="宋体" w:hAnsi="宋体" w:eastAsia="宋体" w:cs="宋体"/>
          <w:sz w:val="28"/>
          <w:highlight w:val="none"/>
        </w:rPr>
        <w:t>报价人须知前附表规定的材料</w:t>
      </w:r>
      <w:bookmarkEnd w:id="272"/>
      <w:bookmarkEnd w:id="273"/>
      <w:bookmarkEnd w:id="274"/>
      <w:bookmarkEnd w:id="275"/>
      <w:bookmarkEnd w:id="276"/>
    </w:p>
    <w:p>
      <w:pPr>
        <w:spacing w:line="360" w:lineRule="auto"/>
        <w:jc w:val="center"/>
        <w:outlineLvl w:val="1"/>
        <w:rPr>
          <w:rFonts w:ascii="宋体" w:hAnsi="宋体" w:cs="宋体"/>
          <w:b/>
          <w:bCs/>
          <w:color w:val="000000" w:themeColor="text1"/>
          <w:sz w:val="24"/>
          <w:szCs w:val="28"/>
          <w:highlight w:val="none"/>
          <w14:textFill>
            <w14:solidFill>
              <w14:schemeClr w14:val="tx1"/>
            </w14:solidFill>
          </w14:textFill>
        </w:rPr>
      </w:pPr>
      <w:bookmarkStart w:id="277" w:name="_Toc8299"/>
      <w:bookmarkStart w:id="278" w:name="_Toc15805"/>
      <w:bookmarkStart w:id="279" w:name="bookmark81"/>
      <w:bookmarkStart w:id="280" w:name="_Toc503951058"/>
      <w:bookmarkStart w:id="281" w:name="_Toc513633974"/>
      <w:r>
        <w:rPr>
          <w:rFonts w:hint="eastAsia" w:ascii="宋体" w:hAnsi="宋体" w:cs="宋体"/>
          <w:b/>
          <w:bCs/>
          <w:kern w:val="0"/>
          <w:sz w:val="28"/>
          <w:szCs w:val="32"/>
          <w:highlight w:val="none"/>
        </w:rPr>
        <w:t>（</w:t>
      </w:r>
      <w:r>
        <w:rPr>
          <w:rFonts w:hint="eastAsia" w:ascii="宋体" w:hAnsi="宋体" w:cs="宋体"/>
          <w:b/>
          <w:bCs/>
          <w:kern w:val="0"/>
          <w:sz w:val="28"/>
          <w:szCs w:val="32"/>
          <w:highlight w:val="none"/>
          <w:lang w:val="en-US" w:eastAsia="zh-CN"/>
        </w:rPr>
        <w:t>一</w:t>
      </w:r>
      <w:r>
        <w:rPr>
          <w:rFonts w:hint="eastAsia" w:ascii="宋体" w:hAnsi="宋体" w:cs="宋体"/>
          <w:b/>
          <w:bCs/>
          <w:kern w:val="0"/>
          <w:sz w:val="28"/>
          <w:szCs w:val="32"/>
          <w:highlight w:val="none"/>
        </w:rPr>
        <w:t>）商务评分资料</w:t>
      </w:r>
      <w:bookmarkEnd w:id="277"/>
      <w:bookmarkEnd w:id="278"/>
    </w:p>
    <w:p>
      <w:pPr>
        <w:pStyle w:val="172"/>
        <w:ind w:firstLine="480"/>
        <w:jc w:val="center"/>
        <w:rPr>
          <w:rFonts w:hint="eastAsia" w:ascii="宋体" w:hAnsi="宋体" w:eastAsia="宋体" w:cs="Times New Roman"/>
          <w:kern w:val="2"/>
          <w:sz w:val="21"/>
          <w:szCs w:val="24"/>
          <w:highlight w:val="none"/>
          <w:lang w:val="en-US" w:eastAsia="zh-CN" w:bidi="ar-SA"/>
        </w:rPr>
      </w:pPr>
      <w:bookmarkStart w:id="282" w:name="OLE_LINK34"/>
      <w:r>
        <w:rPr>
          <w:rFonts w:hint="eastAsia" w:ascii="宋体" w:hAnsi="宋体" w:eastAsia="宋体" w:cs="Times New Roman"/>
          <w:kern w:val="2"/>
          <w:sz w:val="21"/>
          <w:szCs w:val="24"/>
          <w:highlight w:val="none"/>
          <w:lang w:val="en-US" w:eastAsia="zh-CN" w:bidi="ar-SA"/>
        </w:rPr>
        <w:t>商务及技术部分</w:t>
      </w:r>
      <w:bookmarkEnd w:id="282"/>
      <w:r>
        <w:rPr>
          <w:rFonts w:hint="eastAsia" w:ascii="宋体" w:hAnsi="宋体" w:eastAsia="宋体" w:cs="Times New Roman"/>
          <w:kern w:val="2"/>
          <w:sz w:val="21"/>
          <w:szCs w:val="24"/>
          <w:highlight w:val="none"/>
          <w:lang w:val="en-US" w:eastAsia="zh-CN" w:bidi="ar-SA"/>
        </w:rPr>
        <w:t>资料目录</w:t>
      </w:r>
    </w:p>
    <w:tbl>
      <w:tblPr>
        <w:tblStyle w:val="43"/>
        <w:tblW w:w="94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029"/>
        <w:gridCol w:w="2492"/>
        <w:gridCol w:w="1736"/>
        <w:gridCol w:w="1395"/>
        <w:gridCol w:w="1052"/>
        <w:gridCol w:w="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725" w:type="dxa"/>
            <w:vAlign w:val="center"/>
          </w:tcPr>
          <w:p>
            <w:pPr>
              <w:pStyle w:val="173"/>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val="0"/>
                <w:kern w:val="0"/>
                <w:sz w:val="18"/>
                <w:szCs w:val="18"/>
                <w:highlight w:val="none"/>
              </w:rPr>
            </w:pPr>
            <w:r>
              <w:rPr>
                <w:rFonts w:hint="eastAsia" w:asciiTheme="minorEastAsia" w:hAnsiTheme="minorEastAsia" w:eastAsiaTheme="minorEastAsia" w:cstheme="minorEastAsia"/>
                <w:b w:val="0"/>
                <w:kern w:val="0"/>
                <w:sz w:val="18"/>
                <w:szCs w:val="18"/>
                <w:highlight w:val="none"/>
              </w:rPr>
              <w:t>序号</w:t>
            </w:r>
          </w:p>
        </w:tc>
        <w:tc>
          <w:tcPr>
            <w:tcW w:w="1029" w:type="dxa"/>
            <w:vAlign w:val="center"/>
          </w:tcPr>
          <w:p>
            <w:pPr>
              <w:pStyle w:val="173"/>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val="0"/>
                <w:kern w:val="0"/>
                <w:sz w:val="18"/>
                <w:szCs w:val="18"/>
                <w:highlight w:val="none"/>
              </w:rPr>
            </w:pPr>
            <w:r>
              <w:rPr>
                <w:rFonts w:hint="eastAsia" w:asciiTheme="minorEastAsia" w:hAnsiTheme="minorEastAsia" w:eastAsiaTheme="minorEastAsia" w:cstheme="minorEastAsia"/>
                <w:b w:val="0"/>
                <w:bCs/>
                <w:sz w:val="18"/>
                <w:szCs w:val="18"/>
                <w:highlight w:val="none"/>
              </w:rPr>
              <w:t>对应评分标准</w:t>
            </w:r>
          </w:p>
        </w:tc>
        <w:tc>
          <w:tcPr>
            <w:tcW w:w="2492" w:type="dxa"/>
            <w:vAlign w:val="center"/>
          </w:tcPr>
          <w:p>
            <w:pPr>
              <w:pStyle w:val="173"/>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val="0"/>
                <w:kern w:val="0"/>
                <w:sz w:val="18"/>
                <w:szCs w:val="18"/>
                <w:highlight w:val="none"/>
              </w:rPr>
            </w:pPr>
            <w:r>
              <w:rPr>
                <w:rFonts w:hint="eastAsia" w:asciiTheme="minorEastAsia" w:hAnsiTheme="minorEastAsia" w:eastAsiaTheme="minorEastAsia" w:cstheme="minorEastAsia"/>
                <w:b w:val="0"/>
                <w:kern w:val="0"/>
                <w:sz w:val="18"/>
                <w:szCs w:val="18"/>
                <w:highlight w:val="none"/>
              </w:rPr>
              <w:t>对应评分细则</w:t>
            </w:r>
          </w:p>
        </w:tc>
        <w:tc>
          <w:tcPr>
            <w:tcW w:w="1736" w:type="dxa"/>
            <w:vAlign w:val="center"/>
          </w:tcPr>
          <w:p>
            <w:pPr>
              <w:pStyle w:val="173"/>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val="0"/>
                <w:kern w:val="0"/>
                <w:sz w:val="18"/>
                <w:szCs w:val="18"/>
                <w:highlight w:val="none"/>
              </w:rPr>
            </w:pPr>
            <w:r>
              <w:rPr>
                <w:rFonts w:hint="eastAsia" w:asciiTheme="minorEastAsia" w:hAnsiTheme="minorEastAsia" w:eastAsiaTheme="minorEastAsia" w:cstheme="minorEastAsia"/>
                <w:b w:val="0"/>
                <w:kern w:val="0"/>
                <w:sz w:val="18"/>
                <w:szCs w:val="18"/>
                <w:highlight w:val="none"/>
              </w:rPr>
              <w:t>证明材料名称</w:t>
            </w:r>
          </w:p>
        </w:tc>
        <w:tc>
          <w:tcPr>
            <w:tcW w:w="1395" w:type="dxa"/>
            <w:vAlign w:val="center"/>
          </w:tcPr>
          <w:p>
            <w:pPr>
              <w:pStyle w:val="173"/>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val="0"/>
                <w:kern w:val="0"/>
                <w:sz w:val="18"/>
                <w:szCs w:val="18"/>
                <w:highlight w:val="none"/>
                <w:lang w:val="en-US" w:eastAsia="zh-CN"/>
              </w:rPr>
            </w:pPr>
            <w:r>
              <w:rPr>
                <w:rFonts w:hint="eastAsia" w:asciiTheme="minorEastAsia" w:hAnsiTheme="minorEastAsia" w:eastAsiaTheme="minorEastAsia" w:cstheme="minorEastAsia"/>
                <w:b w:val="0"/>
                <w:kern w:val="0"/>
                <w:sz w:val="18"/>
                <w:szCs w:val="18"/>
                <w:highlight w:val="none"/>
                <w:lang w:val="en-US" w:eastAsia="zh-CN"/>
              </w:rPr>
              <w:t>应加分数</w:t>
            </w:r>
          </w:p>
        </w:tc>
        <w:tc>
          <w:tcPr>
            <w:tcW w:w="1052" w:type="dxa"/>
            <w:vAlign w:val="center"/>
          </w:tcPr>
          <w:p>
            <w:pPr>
              <w:pStyle w:val="173"/>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val="0"/>
                <w:kern w:val="0"/>
                <w:sz w:val="18"/>
                <w:szCs w:val="18"/>
                <w:highlight w:val="none"/>
                <w:lang w:val="en-US" w:eastAsia="zh-CN"/>
              </w:rPr>
            </w:pPr>
            <w:r>
              <w:rPr>
                <w:rFonts w:hint="eastAsia" w:asciiTheme="minorEastAsia" w:hAnsiTheme="minorEastAsia" w:eastAsiaTheme="minorEastAsia" w:cstheme="minorEastAsia"/>
                <w:b w:val="0"/>
                <w:kern w:val="0"/>
                <w:sz w:val="18"/>
                <w:szCs w:val="18"/>
                <w:highlight w:val="none"/>
              </w:rPr>
              <w:t>证明材料对应编号</w:t>
            </w:r>
          </w:p>
        </w:tc>
        <w:tc>
          <w:tcPr>
            <w:tcW w:w="998" w:type="dxa"/>
            <w:vAlign w:val="center"/>
          </w:tcPr>
          <w:p>
            <w:pPr>
              <w:pStyle w:val="173"/>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b w:val="0"/>
                <w:kern w:val="0"/>
                <w:sz w:val="18"/>
                <w:szCs w:val="18"/>
                <w:highlight w:val="none"/>
                <w:lang w:val="en-US" w:eastAsia="zh-CN"/>
              </w:rPr>
            </w:pPr>
            <w:r>
              <w:rPr>
                <w:rFonts w:hint="eastAsia" w:asciiTheme="minorEastAsia" w:hAnsiTheme="minorEastAsia" w:eastAsiaTheme="minorEastAsia" w:cstheme="minorEastAsia"/>
                <w:b w:val="0"/>
                <w:kern w:val="0"/>
                <w:sz w:val="18"/>
                <w:szCs w:val="18"/>
                <w:highlight w:val="none"/>
                <w:lang w:val="en-US" w:eastAsia="zh-CN"/>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25" w:type="dxa"/>
            <w:vAlign w:val="center"/>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例</w:t>
            </w:r>
          </w:p>
        </w:tc>
        <w:tc>
          <w:tcPr>
            <w:tcW w:w="1029"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sz w:val="18"/>
                <w:szCs w:val="18"/>
                <w:highlight w:val="none"/>
              </w:rPr>
            </w:pPr>
          </w:p>
        </w:tc>
        <w:tc>
          <w:tcPr>
            <w:tcW w:w="2492"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sz w:val="18"/>
                <w:szCs w:val="18"/>
                <w:highlight w:val="none"/>
              </w:rPr>
            </w:pPr>
          </w:p>
        </w:tc>
        <w:tc>
          <w:tcPr>
            <w:tcW w:w="1736"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sz w:val="18"/>
                <w:szCs w:val="18"/>
                <w:highlight w:val="none"/>
              </w:rPr>
            </w:pPr>
          </w:p>
        </w:tc>
        <w:tc>
          <w:tcPr>
            <w:tcW w:w="1395"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sz w:val="18"/>
                <w:szCs w:val="18"/>
                <w:highlight w:val="none"/>
              </w:rPr>
            </w:pPr>
          </w:p>
        </w:tc>
        <w:tc>
          <w:tcPr>
            <w:tcW w:w="1052"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sz w:val="18"/>
                <w:szCs w:val="18"/>
                <w:highlight w:val="none"/>
              </w:rPr>
            </w:pPr>
          </w:p>
        </w:tc>
        <w:tc>
          <w:tcPr>
            <w:tcW w:w="998"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725" w:type="dxa"/>
            <w:vAlign w:val="center"/>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1</w:t>
            </w:r>
          </w:p>
        </w:tc>
        <w:tc>
          <w:tcPr>
            <w:tcW w:w="1029" w:type="dxa"/>
            <w:vAlign w:val="center"/>
          </w:tcPr>
          <w:p>
            <w:pPr>
              <w:keepNext w:val="0"/>
              <w:keepLines w:val="0"/>
              <w:suppressLineNumbers w:val="0"/>
              <w:snapToGrid w:val="0"/>
              <w:spacing w:before="0" w:beforeAutospacing="0" w:after="0" w:afterAutospacing="0" w:line="400" w:lineRule="exact"/>
              <w:ind w:left="0" w:leftChars="0" w:right="0" w:rightChars="0"/>
              <w:jc w:val="center"/>
              <w:rPr>
                <w:rFonts w:hint="default"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sz w:val="18"/>
                <w:szCs w:val="18"/>
                <w:highlight w:val="none"/>
                <w:lang w:val="en-US" w:eastAsia="zh-CN"/>
              </w:rPr>
              <w:t>业绩材料</w:t>
            </w:r>
          </w:p>
        </w:tc>
        <w:tc>
          <w:tcPr>
            <w:tcW w:w="2492" w:type="dxa"/>
            <w:vAlign w:val="center"/>
          </w:tcPr>
          <w:p>
            <w:pPr>
              <w:keepNext w:val="0"/>
              <w:keepLines w:val="0"/>
              <w:suppressLineNumbers w:val="0"/>
              <w:snapToGrid w:val="0"/>
              <w:spacing w:before="0" w:beforeAutospacing="0" w:after="0" w:afterAutospacing="0" w:line="400" w:lineRule="exact"/>
              <w:ind w:left="0" w:leftChars="0" w:right="0" w:rightChars="0"/>
              <w:jc w:val="both"/>
              <w:rPr>
                <w:rFonts w:hint="default"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满足资格要求基础业绩条件得4分。</w:t>
            </w:r>
          </w:p>
        </w:tc>
        <w:tc>
          <w:tcPr>
            <w:tcW w:w="1736" w:type="dxa"/>
            <w:vAlign w:val="center"/>
          </w:tcPr>
          <w:p>
            <w:pPr>
              <w:keepNext w:val="0"/>
              <w:keepLines w:val="0"/>
              <w:suppressLineNumbers w:val="0"/>
              <w:snapToGrid w:val="0"/>
              <w:spacing w:before="0" w:beforeAutospacing="0" w:after="0" w:afterAutospacing="0" w:line="400" w:lineRule="exact"/>
              <w:ind w:left="0" w:leftChars="0" w:right="0" w:rightChars="0"/>
              <w:jc w:val="center"/>
              <w:rPr>
                <w:rFonts w:hint="default"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XX业绩复印件</w:t>
            </w:r>
          </w:p>
        </w:tc>
        <w:tc>
          <w:tcPr>
            <w:tcW w:w="1395" w:type="dxa"/>
            <w:vAlign w:val="center"/>
          </w:tcPr>
          <w:p>
            <w:pPr>
              <w:keepNext w:val="0"/>
              <w:keepLines w:val="0"/>
              <w:suppressLineNumbers w:val="0"/>
              <w:snapToGrid w:val="0"/>
              <w:spacing w:before="0" w:beforeAutospacing="0" w:after="0" w:afterAutospacing="0" w:line="400" w:lineRule="exact"/>
              <w:ind w:left="0" w:leftChars="0" w:right="0" w:rightChars="0"/>
              <w:jc w:val="center"/>
              <w:rPr>
                <w:rFonts w:hint="default"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4分</w:t>
            </w:r>
          </w:p>
        </w:tc>
        <w:tc>
          <w:tcPr>
            <w:tcW w:w="1052" w:type="dxa"/>
            <w:vAlign w:val="center"/>
          </w:tcPr>
          <w:p>
            <w:pPr>
              <w:keepNext w:val="0"/>
              <w:keepLines w:val="0"/>
              <w:suppressLineNumbers w:val="0"/>
              <w:snapToGrid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证明材料1</w:t>
            </w:r>
          </w:p>
        </w:tc>
        <w:tc>
          <w:tcPr>
            <w:tcW w:w="998" w:type="dxa"/>
            <w:vAlign w:val="center"/>
          </w:tcPr>
          <w:p>
            <w:pPr>
              <w:keepNext w:val="0"/>
              <w:keepLines w:val="0"/>
              <w:suppressLineNumbers w:val="0"/>
              <w:snapToGrid w:val="0"/>
              <w:spacing w:before="0" w:beforeAutospacing="0" w:after="0" w:afterAutospacing="0" w:line="400" w:lineRule="exact"/>
              <w:ind w:left="0" w:leftChars="0" w:right="0" w:rightChars="0"/>
              <w:jc w:val="center"/>
              <w:rPr>
                <w:rFonts w:hint="default"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XX页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725" w:type="dxa"/>
            <w:vAlign w:val="center"/>
          </w:tcPr>
          <w:p>
            <w:pPr>
              <w:keepNext w:val="0"/>
              <w:keepLines w:val="0"/>
              <w:suppressLineNumbers w:val="0"/>
              <w:snapToGrid w:val="0"/>
              <w:spacing w:before="0" w:beforeAutospacing="0" w:after="0" w:afterAutospacing="0" w:line="400" w:lineRule="exact"/>
              <w:ind w:left="0" w:leftChars="0" w:right="0" w:rightChars="0"/>
              <w:jc w:val="center"/>
              <w:rPr>
                <w:rFonts w:hint="default" w:asciiTheme="minorEastAsia" w:hAnsiTheme="minorEastAsia" w:eastAsiaTheme="minorEastAsia" w:cstheme="minorEastAsia"/>
                <w:sz w:val="18"/>
                <w:szCs w:val="18"/>
                <w:highlight w:val="none"/>
                <w:lang w:val="en-US" w:eastAsia="zh-CN"/>
              </w:rPr>
            </w:pPr>
          </w:p>
        </w:tc>
        <w:tc>
          <w:tcPr>
            <w:tcW w:w="1029" w:type="dxa"/>
            <w:vAlign w:val="center"/>
          </w:tcPr>
          <w:p>
            <w:pPr>
              <w:keepNext w:val="0"/>
              <w:keepLines w:val="0"/>
              <w:suppressLineNumbers w:val="0"/>
              <w:snapToGrid w:val="0"/>
              <w:spacing w:before="0" w:beforeAutospacing="0" w:after="0" w:afterAutospacing="0" w:line="400" w:lineRule="exact"/>
              <w:ind w:left="0" w:leftChars="0" w:right="0" w:rightChars="0"/>
              <w:jc w:val="center"/>
              <w:rPr>
                <w:rFonts w:hint="default" w:asciiTheme="minorEastAsia" w:hAnsiTheme="minorEastAsia" w:eastAsiaTheme="minorEastAsia" w:cstheme="minorEastAsia"/>
                <w:sz w:val="18"/>
                <w:szCs w:val="18"/>
                <w:highlight w:val="none"/>
                <w:lang w:val="en-US" w:eastAsia="zh-CN"/>
              </w:rPr>
            </w:pPr>
          </w:p>
        </w:tc>
        <w:tc>
          <w:tcPr>
            <w:tcW w:w="2492" w:type="dxa"/>
            <w:vAlign w:val="center"/>
          </w:tcPr>
          <w:p>
            <w:pPr>
              <w:keepNext w:val="0"/>
              <w:keepLines w:val="0"/>
              <w:suppressLineNumbers w:val="0"/>
              <w:snapToGrid w:val="0"/>
              <w:spacing w:before="0" w:beforeAutospacing="0" w:after="0" w:afterAutospacing="0" w:line="400" w:lineRule="exact"/>
              <w:ind w:left="0" w:leftChars="0" w:right="0" w:rightChars="0"/>
              <w:jc w:val="both"/>
              <w:rPr>
                <w:rFonts w:hint="eastAsia" w:asciiTheme="minorEastAsia" w:hAnsiTheme="minorEastAsia" w:eastAsiaTheme="minorEastAsia" w:cstheme="minorEastAsia"/>
                <w:sz w:val="18"/>
                <w:szCs w:val="18"/>
                <w:highlight w:val="none"/>
                <w:lang w:val="en-US" w:eastAsia="zh-CN"/>
              </w:rPr>
            </w:pPr>
          </w:p>
        </w:tc>
        <w:tc>
          <w:tcPr>
            <w:tcW w:w="1736" w:type="dxa"/>
            <w:vAlign w:val="center"/>
          </w:tcPr>
          <w:p>
            <w:pPr>
              <w:keepNext w:val="0"/>
              <w:keepLines w:val="0"/>
              <w:suppressLineNumbers w:val="0"/>
              <w:snapToGrid w:val="0"/>
              <w:spacing w:before="0" w:beforeAutospacing="0" w:after="0" w:afterAutospacing="0" w:line="400" w:lineRule="exact"/>
              <w:ind w:left="0" w:leftChars="0" w:right="0" w:rightChars="0"/>
              <w:jc w:val="center"/>
              <w:rPr>
                <w:rFonts w:hint="default" w:asciiTheme="minorEastAsia" w:hAnsiTheme="minorEastAsia" w:eastAsiaTheme="minorEastAsia" w:cstheme="minorEastAsia"/>
                <w:sz w:val="18"/>
                <w:szCs w:val="18"/>
                <w:highlight w:val="none"/>
                <w:lang w:val="en-US" w:eastAsia="zh-CN"/>
              </w:rPr>
            </w:pPr>
          </w:p>
        </w:tc>
        <w:tc>
          <w:tcPr>
            <w:tcW w:w="1395" w:type="dxa"/>
            <w:vAlign w:val="center"/>
          </w:tcPr>
          <w:p>
            <w:pPr>
              <w:keepNext w:val="0"/>
              <w:keepLines w:val="0"/>
              <w:suppressLineNumbers w:val="0"/>
              <w:snapToGrid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sz w:val="18"/>
                <w:szCs w:val="18"/>
                <w:highlight w:val="none"/>
                <w:lang w:val="en-US" w:eastAsia="zh-CN"/>
              </w:rPr>
            </w:pPr>
          </w:p>
        </w:tc>
        <w:tc>
          <w:tcPr>
            <w:tcW w:w="1052" w:type="dxa"/>
            <w:vAlign w:val="center"/>
          </w:tcPr>
          <w:p>
            <w:pPr>
              <w:keepNext w:val="0"/>
              <w:keepLines w:val="0"/>
              <w:suppressLineNumbers w:val="0"/>
              <w:snapToGrid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sz w:val="18"/>
                <w:szCs w:val="18"/>
                <w:highlight w:val="none"/>
                <w:lang w:val="en-US" w:eastAsia="zh-CN"/>
              </w:rPr>
            </w:pPr>
          </w:p>
        </w:tc>
        <w:tc>
          <w:tcPr>
            <w:tcW w:w="998" w:type="dxa"/>
            <w:vAlign w:val="center"/>
          </w:tcPr>
          <w:p>
            <w:pPr>
              <w:keepNext w:val="0"/>
              <w:keepLines w:val="0"/>
              <w:suppressLineNumbers w:val="0"/>
              <w:snapToGrid w:val="0"/>
              <w:spacing w:before="0" w:beforeAutospacing="0" w:after="0" w:afterAutospacing="0" w:line="400" w:lineRule="exact"/>
              <w:ind w:left="0" w:leftChars="0" w:right="0" w:rightChars="0"/>
              <w:jc w:val="center"/>
              <w:rPr>
                <w:rFonts w:hint="default" w:asciiTheme="minorEastAsia" w:hAnsiTheme="minorEastAsia" w:eastAsiaTheme="minorEastAsia" w:cstheme="minorEastAsia"/>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725" w:type="dxa"/>
            <w:vAlign w:val="center"/>
          </w:tcPr>
          <w:p>
            <w:pPr>
              <w:keepNext w:val="0"/>
              <w:keepLines w:val="0"/>
              <w:suppressLineNumbers w:val="0"/>
              <w:snapToGrid w:val="0"/>
              <w:spacing w:before="0" w:beforeAutospacing="0" w:after="0" w:afterAutospacing="0" w:line="400" w:lineRule="exact"/>
              <w:ind w:left="0" w:leftChars="0" w:right="0" w:rightChars="0"/>
              <w:jc w:val="center"/>
              <w:rPr>
                <w:rFonts w:hint="default" w:asciiTheme="minorEastAsia" w:hAnsiTheme="minorEastAsia" w:eastAsiaTheme="minorEastAsia" w:cstheme="minorEastAsia"/>
                <w:sz w:val="18"/>
                <w:szCs w:val="18"/>
                <w:highlight w:val="none"/>
                <w:lang w:val="en-US" w:eastAsia="zh-CN"/>
              </w:rPr>
            </w:pPr>
          </w:p>
        </w:tc>
        <w:tc>
          <w:tcPr>
            <w:tcW w:w="1029" w:type="dxa"/>
            <w:vAlign w:val="center"/>
          </w:tcPr>
          <w:p>
            <w:pPr>
              <w:keepNext w:val="0"/>
              <w:keepLines w:val="0"/>
              <w:suppressLineNumbers w:val="0"/>
              <w:snapToGrid w:val="0"/>
              <w:spacing w:before="0" w:beforeAutospacing="0" w:after="0" w:afterAutospacing="0" w:line="400" w:lineRule="exact"/>
              <w:ind w:left="0" w:leftChars="0" w:right="0" w:rightChars="0"/>
              <w:jc w:val="both"/>
              <w:rPr>
                <w:rFonts w:hint="default" w:asciiTheme="minorEastAsia" w:hAnsiTheme="minorEastAsia" w:eastAsiaTheme="minorEastAsia" w:cstheme="minorEastAsia"/>
                <w:sz w:val="18"/>
                <w:szCs w:val="18"/>
                <w:highlight w:val="none"/>
                <w:lang w:val="en-US" w:eastAsia="zh-CN"/>
              </w:rPr>
            </w:pPr>
          </w:p>
        </w:tc>
        <w:tc>
          <w:tcPr>
            <w:tcW w:w="2492" w:type="dxa"/>
            <w:vAlign w:val="center"/>
          </w:tcPr>
          <w:p>
            <w:pPr>
              <w:keepNext w:val="0"/>
              <w:keepLines w:val="0"/>
              <w:suppressLineNumbers w:val="0"/>
              <w:snapToGrid w:val="0"/>
              <w:spacing w:before="0" w:beforeAutospacing="0" w:after="0" w:afterAutospacing="0" w:line="400" w:lineRule="exact"/>
              <w:ind w:left="0" w:leftChars="0" w:right="0" w:rightChars="0"/>
              <w:jc w:val="both"/>
              <w:rPr>
                <w:rFonts w:hint="default" w:asciiTheme="minorEastAsia" w:hAnsiTheme="minorEastAsia" w:eastAsiaTheme="minorEastAsia" w:cstheme="minorEastAsia"/>
                <w:sz w:val="18"/>
                <w:szCs w:val="18"/>
                <w:highlight w:val="none"/>
                <w:lang w:val="en-US" w:eastAsia="zh-CN"/>
              </w:rPr>
            </w:pPr>
          </w:p>
        </w:tc>
        <w:tc>
          <w:tcPr>
            <w:tcW w:w="1736" w:type="dxa"/>
            <w:vAlign w:val="center"/>
          </w:tcPr>
          <w:p>
            <w:pPr>
              <w:keepNext w:val="0"/>
              <w:keepLines w:val="0"/>
              <w:suppressLineNumbers w:val="0"/>
              <w:snapToGrid w:val="0"/>
              <w:spacing w:before="0" w:beforeAutospacing="0" w:after="0" w:afterAutospacing="0" w:line="400" w:lineRule="exact"/>
              <w:ind w:left="0" w:leftChars="0" w:right="0" w:rightChars="0"/>
              <w:jc w:val="center"/>
              <w:rPr>
                <w:rFonts w:hint="default" w:asciiTheme="minorEastAsia" w:hAnsiTheme="minorEastAsia" w:eastAsiaTheme="minorEastAsia" w:cstheme="minorEastAsia"/>
                <w:sz w:val="18"/>
                <w:szCs w:val="18"/>
                <w:highlight w:val="none"/>
                <w:lang w:val="en-US" w:eastAsia="zh-CN"/>
              </w:rPr>
            </w:pPr>
          </w:p>
        </w:tc>
        <w:tc>
          <w:tcPr>
            <w:tcW w:w="1395" w:type="dxa"/>
            <w:vAlign w:val="center"/>
          </w:tcPr>
          <w:p>
            <w:pPr>
              <w:keepNext w:val="0"/>
              <w:keepLines w:val="0"/>
              <w:suppressLineNumbers w:val="0"/>
              <w:snapToGrid w:val="0"/>
              <w:spacing w:before="0" w:beforeAutospacing="0" w:after="0" w:afterAutospacing="0" w:line="400" w:lineRule="exact"/>
              <w:ind w:left="0" w:leftChars="0" w:right="0" w:rightChars="0"/>
              <w:jc w:val="center"/>
              <w:rPr>
                <w:rFonts w:hint="default" w:asciiTheme="minorEastAsia" w:hAnsiTheme="minorEastAsia" w:eastAsiaTheme="minorEastAsia" w:cstheme="minorEastAsia"/>
                <w:sz w:val="18"/>
                <w:szCs w:val="18"/>
                <w:highlight w:val="none"/>
                <w:lang w:val="en-US" w:eastAsia="zh-CN"/>
              </w:rPr>
            </w:pPr>
          </w:p>
        </w:tc>
        <w:tc>
          <w:tcPr>
            <w:tcW w:w="1052" w:type="dxa"/>
            <w:vAlign w:val="center"/>
          </w:tcPr>
          <w:p>
            <w:pPr>
              <w:keepNext w:val="0"/>
              <w:keepLines w:val="0"/>
              <w:suppressLineNumbers w:val="0"/>
              <w:snapToGrid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sz w:val="18"/>
                <w:szCs w:val="18"/>
                <w:highlight w:val="none"/>
                <w:lang w:val="en-US" w:eastAsia="zh-CN"/>
              </w:rPr>
            </w:pPr>
          </w:p>
        </w:tc>
        <w:tc>
          <w:tcPr>
            <w:tcW w:w="998" w:type="dxa"/>
            <w:vAlign w:val="center"/>
          </w:tcPr>
          <w:p>
            <w:pPr>
              <w:keepNext w:val="0"/>
              <w:keepLines w:val="0"/>
              <w:suppressLineNumbers w:val="0"/>
              <w:snapToGrid w:val="0"/>
              <w:spacing w:before="0" w:beforeAutospacing="0" w:after="0" w:afterAutospacing="0" w:line="400" w:lineRule="exact"/>
              <w:ind w:left="0" w:leftChars="0" w:right="0" w:rightChars="0"/>
              <w:jc w:val="center"/>
              <w:rPr>
                <w:rFonts w:hint="default" w:asciiTheme="minorEastAsia" w:hAnsiTheme="minorEastAsia" w:eastAsiaTheme="minorEastAsia" w:cstheme="minorEastAsia"/>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725" w:type="dxa"/>
            <w:vAlign w:val="center"/>
          </w:tcPr>
          <w:p>
            <w:pPr>
              <w:keepNext w:val="0"/>
              <w:keepLines w:val="0"/>
              <w:suppressLineNumbers w:val="0"/>
              <w:snapToGrid w:val="0"/>
              <w:spacing w:before="0" w:beforeAutospacing="0" w:after="0" w:afterAutospacing="0" w:line="400" w:lineRule="exact"/>
              <w:ind w:left="0" w:right="0"/>
              <w:jc w:val="center"/>
              <w:rPr>
                <w:rFonts w:hint="eastAsia" w:asciiTheme="minorEastAsia" w:hAnsiTheme="minorEastAsia" w:eastAsiaTheme="minorEastAsia" w:cstheme="minorEastAsia"/>
                <w:sz w:val="18"/>
                <w:szCs w:val="18"/>
                <w:highlight w:val="none"/>
                <w:lang w:val="en-US" w:eastAsia="zh-CN"/>
              </w:rPr>
            </w:pPr>
          </w:p>
        </w:tc>
        <w:tc>
          <w:tcPr>
            <w:tcW w:w="1029" w:type="dxa"/>
            <w:vAlign w:val="center"/>
          </w:tcPr>
          <w:p>
            <w:pPr>
              <w:keepNext w:val="0"/>
              <w:keepLines w:val="0"/>
              <w:suppressLineNumbers w:val="0"/>
              <w:snapToGrid w:val="0"/>
              <w:spacing w:before="0" w:beforeAutospacing="0" w:after="0" w:afterAutospacing="0" w:line="400" w:lineRule="exact"/>
              <w:ind w:left="0" w:leftChars="0" w:right="0" w:rightChars="0"/>
              <w:jc w:val="center"/>
              <w:rPr>
                <w:rFonts w:hint="default" w:asciiTheme="minorEastAsia" w:hAnsiTheme="minorEastAsia" w:eastAsiaTheme="minorEastAsia" w:cstheme="minorEastAsia"/>
                <w:sz w:val="18"/>
                <w:szCs w:val="18"/>
                <w:highlight w:val="none"/>
                <w:lang w:val="en-US" w:eastAsia="zh-CN"/>
              </w:rPr>
            </w:pPr>
          </w:p>
        </w:tc>
        <w:tc>
          <w:tcPr>
            <w:tcW w:w="2492" w:type="dxa"/>
          </w:tcPr>
          <w:p>
            <w:pPr>
              <w:keepNext w:val="0"/>
              <w:keepLines w:val="0"/>
              <w:suppressLineNumbers w:val="0"/>
              <w:snapToGrid w:val="0"/>
              <w:spacing w:before="0" w:beforeAutospacing="0" w:after="0" w:afterAutospacing="0" w:line="400" w:lineRule="exact"/>
              <w:ind w:left="0" w:leftChars="0" w:right="0" w:rightChars="0"/>
              <w:jc w:val="both"/>
              <w:rPr>
                <w:rFonts w:hint="default" w:asciiTheme="minorEastAsia" w:hAnsiTheme="minorEastAsia" w:eastAsiaTheme="minorEastAsia" w:cstheme="minorEastAsia"/>
                <w:sz w:val="18"/>
                <w:szCs w:val="18"/>
                <w:highlight w:val="none"/>
                <w:lang w:val="en-US" w:eastAsia="zh-CN"/>
              </w:rPr>
            </w:pPr>
          </w:p>
        </w:tc>
        <w:tc>
          <w:tcPr>
            <w:tcW w:w="1736" w:type="dxa"/>
            <w:vAlign w:val="center"/>
          </w:tcPr>
          <w:p>
            <w:pPr>
              <w:keepNext w:val="0"/>
              <w:keepLines w:val="0"/>
              <w:suppressLineNumbers w:val="0"/>
              <w:snapToGrid w:val="0"/>
              <w:spacing w:before="0" w:beforeAutospacing="0" w:after="0" w:afterAutospacing="0" w:line="400" w:lineRule="exact"/>
              <w:ind w:left="0" w:leftChars="0" w:right="0" w:rightChars="0"/>
              <w:jc w:val="center"/>
              <w:rPr>
                <w:rFonts w:hint="default" w:asciiTheme="minorEastAsia" w:hAnsiTheme="minorEastAsia" w:eastAsiaTheme="minorEastAsia" w:cstheme="minorEastAsia"/>
                <w:sz w:val="18"/>
                <w:szCs w:val="18"/>
                <w:highlight w:val="none"/>
                <w:lang w:val="en-US" w:eastAsia="zh-CN"/>
              </w:rPr>
            </w:pPr>
          </w:p>
        </w:tc>
        <w:tc>
          <w:tcPr>
            <w:tcW w:w="1395" w:type="dxa"/>
            <w:vAlign w:val="center"/>
          </w:tcPr>
          <w:p>
            <w:pPr>
              <w:keepNext w:val="0"/>
              <w:keepLines w:val="0"/>
              <w:suppressLineNumbers w:val="0"/>
              <w:snapToGrid w:val="0"/>
              <w:spacing w:before="0" w:beforeAutospacing="0" w:after="0" w:afterAutospacing="0" w:line="400" w:lineRule="exact"/>
              <w:ind w:left="0" w:leftChars="0" w:right="0" w:rightChars="0"/>
              <w:jc w:val="center"/>
              <w:rPr>
                <w:rFonts w:hint="default" w:asciiTheme="minorEastAsia" w:hAnsiTheme="minorEastAsia" w:eastAsiaTheme="minorEastAsia" w:cstheme="minorEastAsia"/>
                <w:sz w:val="18"/>
                <w:szCs w:val="18"/>
                <w:highlight w:val="none"/>
                <w:lang w:val="en-US" w:eastAsia="zh-CN"/>
              </w:rPr>
            </w:pPr>
          </w:p>
        </w:tc>
        <w:tc>
          <w:tcPr>
            <w:tcW w:w="1052" w:type="dxa"/>
            <w:vAlign w:val="center"/>
          </w:tcPr>
          <w:p>
            <w:pPr>
              <w:keepNext w:val="0"/>
              <w:keepLines w:val="0"/>
              <w:suppressLineNumbers w:val="0"/>
              <w:snapToGrid w:val="0"/>
              <w:spacing w:before="0" w:beforeAutospacing="0" w:after="0" w:afterAutospacing="0" w:line="400" w:lineRule="exact"/>
              <w:ind w:left="0" w:leftChars="0" w:right="0" w:rightChars="0"/>
              <w:jc w:val="center"/>
              <w:rPr>
                <w:rFonts w:hint="default" w:asciiTheme="minorEastAsia" w:hAnsiTheme="minorEastAsia" w:eastAsiaTheme="minorEastAsia" w:cstheme="minorEastAsia"/>
                <w:sz w:val="18"/>
                <w:szCs w:val="18"/>
                <w:highlight w:val="none"/>
                <w:lang w:val="en-US" w:eastAsia="zh-CN"/>
              </w:rPr>
            </w:pPr>
          </w:p>
        </w:tc>
        <w:tc>
          <w:tcPr>
            <w:tcW w:w="998" w:type="dxa"/>
            <w:vAlign w:val="center"/>
          </w:tcPr>
          <w:p>
            <w:pPr>
              <w:keepNext w:val="0"/>
              <w:keepLines w:val="0"/>
              <w:suppressLineNumbers w:val="0"/>
              <w:snapToGrid w:val="0"/>
              <w:spacing w:before="0" w:beforeAutospacing="0" w:after="0" w:afterAutospacing="0" w:line="400" w:lineRule="exact"/>
              <w:ind w:left="0" w:leftChars="0" w:right="0" w:rightChars="0"/>
              <w:jc w:val="center"/>
              <w:rPr>
                <w:rFonts w:hint="default" w:asciiTheme="minorEastAsia" w:hAnsiTheme="minorEastAsia" w:eastAsiaTheme="minorEastAsia" w:cstheme="minorEastAsia"/>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725" w:type="dxa"/>
            <w:vAlign w:val="center"/>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sz w:val="18"/>
                <w:szCs w:val="18"/>
                <w:highlight w:val="none"/>
                <w:lang w:val="en-US" w:eastAsia="zh-CN"/>
              </w:rPr>
            </w:pPr>
          </w:p>
        </w:tc>
        <w:tc>
          <w:tcPr>
            <w:tcW w:w="1029" w:type="dxa"/>
            <w:vAlign w:val="center"/>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sz w:val="18"/>
                <w:szCs w:val="18"/>
                <w:highlight w:val="none"/>
                <w:lang w:val="en-US" w:eastAsia="zh-CN"/>
              </w:rPr>
            </w:pPr>
          </w:p>
        </w:tc>
        <w:tc>
          <w:tcPr>
            <w:tcW w:w="2492" w:type="dxa"/>
          </w:tcPr>
          <w:p>
            <w:pPr>
              <w:keepNext w:val="0"/>
              <w:keepLines w:val="0"/>
              <w:suppressLineNumbers w:val="0"/>
              <w:spacing w:before="0" w:beforeAutospacing="0" w:after="0" w:afterAutospacing="0" w:line="360" w:lineRule="auto"/>
              <w:ind w:left="0" w:right="0"/>
              <w:jc w:val="center"/>
              <w:rPr>
                <w:rFonts w:hint="default"/>
                <w:b/>
                <w:sz w:val="28"/>
                <w:szCs w:val="28"/>
                <w:highlight w:val="none"/>
              </w:rPr>
            </w:pPr>
          </w:p>
        </w:tc>
        <w:tc>
          <w:tcPr>
            <w:tcW w:w="1736" w:type="dxa"/>
          </w:tcPr>
          <w:p>
            <w:pPr>
              <w:keepNext w:val="0"/>
              <w:keepLines w:val="0"/>
              <w:suppressLineNumbers w:val="0"/>
              <w:spacing w:before="0" w:beforeAutospacing="0" w:after="0" w:afterAutospacing="0" w:line="360" w:lineRule="auto"/>
              <w:ind w:left="0" w:right="0"/>
              <w:jc w:val="center"/>
              <w:rPr>
                <w:rFonts w:hint="default"/>
                <w:b/>
                <w:sz w:val="28"/>
                <w:szCs w:val="28"/>
                <w:highlight w:val="none"/>
              </w:rPr>
            </w:pPr>
          </w:p>
        </w:tc>
        <w:tc>
          <w:tcPr>
            <w:tcW w:w="1395" w:type="dxa"/>
          </w:tcPr>
          <w:p>
            <w:pPr>
              <w:keepNext w:val="0"/>
              <w:keepLines w:val="0"/>
              <w:suppressLineNumbers w:val="0"/>
              <w:spacing w:before="0" w:beforeAutospacing="0" w:after="0" w:afterAutospacing="0" w:line="360" w:lineRule="auto"/>
              <w:ind w:left="0" w:right="0"/>
              <w:jc w:val="center"/>
              <w:rPr>
                <w:rFonts w:hint="default"/>
                <w:b/>
                <w:sz w:val="28"/>
                <w:szCs w:val="28"/>
                <w:highlight w:val="none"/>
              </w:rPr>
            </w:pPr>
          </w:p>
        </w:tc>
        <w:tc>
          <w:tcPr>
            <w:tcW w:w="1052" w:type="dxa"/>
          </w:tcPr>
          <w:p>
            <w:pPr>
              <w:keepNext w:val="0"/>
              <w:keepLines w:val="0"/>
              <w:suppressLineNumbers w:val="0"/>
              <w:spacing w:before="0" w:beforeAutospacing="0" w:after="0" w:afterAutospacing="0" w:line="360" w:lineRule="auto"/>
              <w:ind w:left="0" w:right="0"/>
              <w:jc w:val="center"/>
              <w:rPr>
                <w:rFonts w:hint="default"/>
                <w:b/>
                <w:sz w:val="28"/>
                <w:szCs w:val="28"/>
                <w:highlight w:val="none"/>
              </w:rPr>
            </w:pPr>
          </w:p>
        </w:tc>
        <w:tc>
          <w:tcPr>
            <w:tcW w:w="998" w:type="dxa"/>
          </w:tcPr>
          <w:p>
            <w:pPr>
              <w:keepNext w:val="0"/>
              <w:keepLines w:val="0"/>
              <w:suppressLineNumbers w:val="0"/>
              <w:spacing w:before="0" w:beforeAutospacing="0" w:after="0" w:afterAutospacing="0" w:line="360" w:lineRule="auto"/>
              <w:ind w:left="0" w:right="0"/>
              <w:jc w:val="center"/>
              <w:rPr>
                <w:rFonts w:hint="default"/>
                <w:b/>
                <w:sz w:val="28"/>
                <w:szCs w:val="28"/>
                <w:highlight w:val="none"/>
              </w:rPr>
            </w:pPr>
          </w:p>
        </w:tc>
      </w:tr>
    </w:tbl>
    <w:p>
      <w:pPr>
        <w:pStyle w:val="42"/>
        <w:numPr>
          <w:ilvl w:val="0"/>
          <w:numId w:val="0"/>
        </w:numPr>
        <w:rPr>
          <w:rFonts w:hint="default"/>
          <w:highlight w:val="none"/>
          <w:lang w:val="en-US" w:eastAsia="zh-CN"/>
        </w:rPr>
      </w:pPr>
      <w:bookmarkStart w:id="283" w:name="_Toc30564"/>
      <w:bookmarkStart w:id="284" w:name="_Toc30447"/>
    </w:p>
    <w:p>
      <w:pPr>
        <w:spacing w:line="360" w:lineRule="auto"/>
        <w:jc w:val="center"/>
        <w:outlineLvl w:val="1"/>
        <w:rPr>
          <w:rFonts w:hint="eastAsia" w:ascii="宋体" w:hAnsi="宋体" w:cs="宋体"/>
          <w:b/>
          <w:bCs/>
          <w:kern w:val="0"/>
          <w:sz w:val="28"/>
          <w:szCs w:val="32"/>
          <w:highlight w:val="none"/>
        </w:rPr>
      </w:pPr>
    </w:p>
    <w:p>
      <w:pPr>
        <w:spacing w:line="360" w:lineRule="auto"/>
        <w:jc w:val="center"/>
        <w:outlineLvl w:val="1"/>
        <w:rPr>
          <w:rFonts w:ascii="宋体" w:hAnsi="宋体" w:cs="宋体"/>
          <w:b/>
          <w:bCs/>
          <w:kern w:val="0"/>
          <w:sz w:val="28"/>
          <w:szCs w:val="32"/>
          <w:highlight w:val="none"/>
        </w:rPr>
      </w:pPr>
      <w:r>
        <w:rPr>
          <w:rFonts w:hint="eastAsia" w:ascii="宋体" w:hAnsi="宋体" w:cs="宋体"/>
          <w:b/>
          <w:bCs/>
          <w:kern w:val="0"/>
          <w:sz w:val="28"/>
          <w:szCs w:val="32"/>
          <w:highlight w:val="none"/>
        </w:rPr>
        <w:t>（</w:t>
      </w:r>
      <w:r>
        <w:rPr>
          <w:rFonts w:hint="eastAsia" w:ascii="宋体" w:hAnsi="宋体" w:cs="宋体"/>
          <w:b/>
          <w:bCs/>
          <w:kern w:val="0"/>
          <w:sz w:val="28"/>
          <w:szCs w:val="32"/>
          <w:highlight w:val="none"/>
          <w:lang w:val="en-US" w:eastAsia="zh-CN"/>
        </w:rPr>
        <w:t>二</w:t>
      </w:r>
      <w:r>
        <w:rPr>
          <w:rFonts w:hint="eastAsia" w:ascii="宋体" w:hAnsi="宋体" w:cs="宋体"/>
          <w:b/>
          <w:bCs/>
          <w:kern w:val="0"/>
          <w:sz w:val="28"/>
          <w:szCs w:val="32"/>
          <w:highlight w:val="none"/>
        </w:rPr>
        <w:t>）技术方案</w:t>
      </w:r>
      <w:bookmarkEnd w:id="283"/>
    </w:p>
    <w:p>
      <w:pPr>
        <w:pStyle w:val="37"/>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2"/>
        <w:jc w:val="left"/>
        <w:textAlignment w:val="auto"/>
        <w:rPr>
          <w:rFonts w:hint="eastAsia" w:ascii="宋体" w:hAnsi="宋体" w:eastAsia="宋体" w:cs="Times New Roman"/>
          <w:kern w:val="2"/>
          <w:sz w:val="21"/>
          <w:szCs w:val="24"/>
          <w:highlight w:val="none"/>
          <w:lang w:val="en-US" w:eastAsia="zh-CN" w:bidi="ar-SA"/>
        </w:rPr>
      </w:pPr>
      <w:r>
        <w:rPr>
          <w:rFonts w:hint="eastAsia" w:ascii="宋体" w:hAnsi="宋体" w:eastAsia="宋体" w:cs="Times New Roman"/>
          <w:kern w:val="2"/>
          <w:sz w:val="21"/>
          <w:szCs w:val="24"/>
          <w:highlight w:val="none"/>
          <w:lang w:val="en-US" w:eastAsia="zh-CN" w:bidi="ar-SA"/>
        </w:rPr>
        <w:t>报价人</w:t>
      </w:r>
      <w:r>
        <w:rPr>
          <w:rFonts w:hint="eastAsia" w:cs="Times New Roman"/>
          <w:kern w:val="2"/>
          <w:sz w:val="21"/>
          <w:szCs w:val="24"/>
          <w:highlight w:val="none"/>
          <w:lang w:val="en-US" w:eastAsia="zh-CN" w:bidi="ar-SA"/>
        </w:rPr>
        <w:t>对</w:t>
      </w:r>
      <w:r>
        <w:rPr>
          <w:rFonts w:hint="eastAsia" w:ascii="宋体" w:hAnsi="宋体" w:eastAsia="宋体" w:cs="Times New Roman"/>
          <w:kern w:val="2"/>
          <w:sz w:val="21"/>
          <w:szCs w:val="24"/>
          <w:highlight w:val="none"/>
          <w:lang w:val="en-US" w:eastAsia="zh-CN" w:bidi="ar-SA"/>
        </w:rPr>
        <w:t>本项目理解清晰，业务流程明确、可操作性强。</w:t>
      </w:r>
      <w:r>
        <w:rPr>
          <w:rFonts w:hint="eastAsia" w:ascii="宋体" w:hAnsi="宋体" w:eastAsia="宋体" w:cs="宋体"/>
          <w:bCs w:val="0"/>
          <w:sz w:val="21"/>
          <w:szCs w:val="21"/>
          <w:highlight w:val="none"/>
          <w:u w:val="none"/>
          <w:lang w:bidi="ar"/>
        </w:rPr>
        <w:t>项目实施阶段划分及进度安排，阶段任务、时间节点，业务水准与团队协作能力</w:t>
      </w:r>
      <w:r>
        <w:rPr>
          <w:rFonts w:hint="eastAsia" w:ascii="宋体" w:hAnsi="宋体" w:cs="宋体"/>
          <w:bCs w:val="0"/>
          <w:sz w:val="21"/>
          <w:szCs w:val="21"/>
          <w:highlight w:val="none"/>
          <w:u w:val="none"/>
          <w:lang w:eastAsia="zh-CN" w:bidi="ar"/>
        </w:rPr>
        <w:t>、后续支持服务承诺、措施</w:t>
      </w:r>
      <w:r>
        <w:rPr>
          <w:rFonts w:hint="eastAsia" w:cs="Times New Roman"/>
          <w:kern w:val="2"/>
          <w:sz w:val="21"/>
          <w:szCs w:val="24"/>
          <w:highlight w:val="none"/>
          <w:lang w:val="en-US" w:eastAsia="zh-CN" w:bidi="ar-SA"/>
        </w:rPr>
        <w:t>进行阐述</w:t>
      </w:r>
      <w:r>
        <w:rPr>
          <w:rFonts w:hint="eastAsia" w:ascii="宋体" w:hAnsi="宋体" w:eastAsia="宋体" w:cs="Times New Roman"/>
          <w:kern w:val="2"/>
          <w:sz w:val="21"/>
          <w:szCs w:val="24"/>
          <w:highlight w:val="none"/>
          <w:lang w:val="en-US" w:eastAsia="zh-CN" w:bidi="ar-SA"/>
        </w:rPr>
        <w:t>：</w:t>
      </w:r>
      <w:bookmarkEnd w:id="284"/>
    </w:p>
    <w:p>
      <w:pPr>
        <w:pStyle w:val="37"/>
        <w:keepNext w:val="0"/>
        <w:keepLines w:val="0"/>
        <w:pageBreakBefore w:val="0"/>
        <w:widowControl/>
        <w:numPr>
          <w:ilvl w:val="0"/>
          <w:numId w:val="8"/>
        </w:numPr>
        <w:suppressLineNumbers w:val="0"/>
        <w:kinsoku/>
        <w:wordWrap/>
        <w:overflowPunct/>
        <w:topLinePunct w:val="0"/>
        <w:autoSpaceDE/>
        <w:autoSpaceDN/>
        <w:bidi w:val="0"/>
        <w:adjustRightInd/>
        <w:snapToGrid/>
        <w:spacing w:beforeAutospacing="0" w:afterAutospacing="0" w:line="360" w:lineRule="auto"/>
        <w:ind w:left="0" w:firstLine="482"/>
        <w:jc w:val="left"/>
        <w:textAlignment w:val="auto"/>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服务</w:t>
      </w:r>
      <w:r>
        <w:rPr>
          <w:rFonts w:hint="eastAsia" w:ascii="宋体" w:hAnsi="宋体" w:eastAsia="宋体" w:cs="宋体"/>
          <w:color w:val="auto"/>
          <w:sz w:val="21"/>
          <w:szCs w:val="21"/>
          <w:highlight w:val="none"/>
          <w:lang w:val="en-US" w:eastAsia="zh-CN"/>
        </w:rPr>
        <w:t>方案（</w:t>
      </w:r>
      <w:r>
        <w:rPr>
          <w:rFonts w:hint="eastAsia" w:cs="宋体"/>
          <w:color w:val="auto"/>
          <w:sz w:val="21"/>
          <w:szCs w:val="21"/>
          <w:highlight w:val="none"/>
          <w:lang w:val="en-US" w:eastAsia="zh-CN"/>
        </w:rPr>
        <w:t>20</w:t>
      </w:r>
      <w:r>
        <w:rPr>
          <w:rFonts w:hint="eastAsia" w:ascii="宋体" w:hAnsi="宋体" w:eastAsia="宋体" w:cs="宋体"/>
          <w:color w:val="auto"/>
          <w:sz w:val="21"/>
          <w:szCs w:val="21"/>
          <w:highlight w:val="none"/>
          <w:lang w:val="en-US" w:eastAsia="zh-CN"/>
        </w:rPr>
        <w:t>分）</w:t>
      </w:r>
    </w:p>
    <w:p>
      <w:pPr>
        <w:pStyle w:val="37"/>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2"/>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p>
      <w:pPr>
        <w:pStyle w:val="37"/>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left="482" w:leftChars="0"/>
        <w:jc w:val="left"/>
        <w:textAlignment w:val="auto"/>
        <w:rPr>
          <w:rFonts w:hint="eastAsia" w:ascii="宋体" w:hAnsi="宋体" w:eastAsia="宋体" w:cs="宋体"/>
          <w:color w:val="auto"/>
          <w:sz w:val="21"/>
          <w:szCs w:val="21"/>
          <w:highlight w:val="none"/>
          <w:lang w:val="en-US" w:eastAsia="zh-CN"/>
        </w:rPr>
      </w:pPr>
    </w:p>
    <w:p>
      <w:pPr>
        <w:pStyle w:val="37"/>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left="482" w:leftChars="0"/>
        <w:jc w:val="left"/>
        <w:textAlignment w:val="auto"/>
        <w:rPr>
          <w:rFonts w:hint="eastAsia" w:ascii="宋体" w:hAnsi="宋体" w:eastAsia="宋体" w:cs="宋体"/>
          <w:color w:val="auto"/>
          <w:sz w:val="21"/>
          <w:szCs w:val="21"/>
          <w:highlight w:val="none"/>
          <w:lang w:val="en-US" w:eastAsia="zh-CN"/>
        </w:rPr>
      </w:pPr>
    </w:p>
    <w:p>
      <w:pPr>
        <w:pStyle w:val="37"/>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left="482" w:leftChars="0"/>
        <w:jc w:val="left"/>
        <w:textAlignment w:val="auto"/>
        <w:rPr>
          <w:rFonts w:hint="eastAsia" w:ascii="宋体" w:hAnsi="宋体" w:eastAsia="宋体" w:cs="宋体"/>
          <w:color w:val="auto"/>
          <w:sz w:val="21"/>
          <w:szCs w:val="21"/>
          <w:highlight w:val="none"/>
          <w:lang w:val="en-US" w:eastAsia="zh-CN"/>
        </w:rPr>
      </w:pPr>
    </w:p>
    <w:p>
      <w:pPr>
        <w:pStyle w:val="37"/>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left="482" w:leftChars="0"/>
        <w:jc w:val="left"/>
        <w:textAlignment w:val="auto"/>
        <w:rPr>
          <w:rFonts w:hint="eastAsia" w:ascii="宋体" w:hAnsi="宋体" w:eastAsia="宋体" w:cs="宋体"/>
          <w:color w:val="auto"/>
          <w:sz w:val="21"/>
          <w:szCs w:val="21"/>
          <w:highlight w:val="none"/>
          <w:lang w:val="en-US" w:eastAsia="zh-CN"/>
        </w:rPr>
      </w:pPr>
    </w:p>
    <w:p>
      <w:pPr>
        <w:pStyle w:val="5"/>
        <w:jc w:val="center"/>
        <w:rPr>
          <w:rFonts w:ascii="宋体" w:hAnsi="宋体" w:cs="宋体"/>
          <w:sz w:val="28"/>
          <w:highlight w:val="none"/>
        </w:rPr>
      </w:pPr>
      <w:r>
        <w:rPr>
          <w:rFonts w:hint="eastAsia" w:ascii="宋体" w:hAnsi="宋体" w:cs="宋体"/>
          <w:sz w:val="28"/>
          <w:highlight w:val="none"/>
        </w:rPr>
        <w:t>（</w:t>
      </w:r>
      <w:r>
        <w:rPr>
          <w:rFonts w:hint="eastAsia" w:ascii="宋体" w:hAnsi="宋体" w:cs="宋体"/>
          <w:sz w:val="28"/>
          <w:highlight w:val="none"/>
          <w:lang w:val="en-US" w:eastAsia="zh-CN"/>
        </w:rPr>
        <w:t>三</w:t>
      </w:r>
      <w:r>
        <w:rPr>
          <w:rFonts w:hint="eastAsia" w:ascii="宋体" w:hAnsi="宋体" w:cs="宋体"/>
          <w:sz w:val="28"/>
          <w:highlight w:val="none"/>
        </w:rPr>
        <w:t>）</w:t>
      </w:r>
      <w:bookmarkEnd w:id="279"/>
      <w:bookmarkStart w:id="285" w:name="_Toc507681488"/>
      <w:bookmarkStart w:id="286" w:name="_Toc504639215"/>
      <w:bookmarkStart w:id="287" w:name="_Toc507681700"/>
      <w:r>
        <w:rPr>
          <w:rFonts w:hint="eastAsia" w:ascii="宋体" w:hAnsi="宋体" w:cs="宋体"/>
          <w:sz w:val="28"/>
          <w:highlight w:val="none"/>
        </w:rPr>
        <w:t>报价人自行承诺部分</w:t>
      </w:r>
      <w:bookmarkEnd w:id="285"/>
      <w:bookmarkEnd w:id="286"/>
      <w:bookmarkEnd w:id="287"/>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致：重庆首讯科技股份有限公司</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我公司对</w:t>
      </w:r>
      <w:r>
        <w:rPr>
          <w:rFonts w:hint="eastAsia" w:ascii="宋体" w:hAnsi="宋体" w:eastAsia="宋体" w:cs="宋体"/>
          <w:sz w:val="21"/>
          <w:szCs w:val="21"/>
          <w:highlight w:val="none"/>
          <w:u w:val="single"/>
        </w:rPr>
        <w:t xml:space="preserve">                                 （项目名称）</w:t>
      </w:r>
      <w:r>
        <w:rPr>
          <w:rFonts w:hint="eastAsia" w:ascii="宋体" w:hAnsi="宋体" w:eastAsia="宋体" w:cs="宋体"/>
          <w:sz w:val="21"/>
          <w:szCs w:val="21"/>
          <w:highlight w:val="none"/>
        </w:rPr>
        <w:t>竞争性比选文件中要求内容完全响应做出以下承诺：</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1、我方比选响应文件中所有资料都是真实、准确、完整的；</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2、我方不存在资质挂靠或参与串标、围标情形。所报项目相关人员未在其他项目任职。</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3、完全响应竞争性比选文件中的人员要求</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rPr>
        <w:t>投标内容要求、报价要求、工期要求、质量标准等要求；</w:t>
      </w:r>
    </w:p>
    <w:p>
      <w:pPr>
        <w:spacing w:line="360" w:lineRule="auto"/>
        <w:ind w:firstLine="420" w:firstLineChars="200"/>
        <w:rPr>
          <w:rFonts w:hint="eastAsia" w:ascii="宋体" w:hAnsi="宋体" w:eastAsia="宋体" w:cs="宋体"/>
          <w:bCs w:val="0"/>
          <w:kern w:val="2"/>
          <w:sz w:val="21"/>
          <w:szCs w:val="21"/>
          <w:highlight w:val="none"/>
          <w:lang w:eastAsia="zh-CN"/>
        </w:rPr>
      </w:pPr>
      <w:r>
        <w:rPr>
          <w:rFonts w:hint="eastAsia" w:ascii="宋体" w:hAnsi="宋体" w:cs="宋体"/>
          <w:kern w:val="2"/>
          <w:sz w:val="21"/>
          <w:szCs w:val="21"/>
          <w:highlight w:val="none"/>
          <w:lang w:val="en-US" w:eastAsia="zh-CN"/>
        </w:rPr>
        <w:t>4、</w:t>
      </w:r>
      <w:r>
        <w:rPr>
          <w:rFonts w:hint="eastAsia" w:ascii="宋体" w:hAnsi="宋体" w:cs="宋体"/>
          <w:bCs w:val="0"/>
          <w:kern w:val="2"/>
          <w:sz w:val="21"/>
          <w:szCs w:val="21"/>
          <w:highlight w:val="none"/>
          <w:lang w:val="en-US" w:eastAsia="zh-CN"/>
        </w:rPr>
        <w:t>我</w:t>
      </w:r>
      <w:r>
        <w:rPr>
          <w:rFonts w:hint="eastAsia" w:ascii="宋体" w:hAnsi="宋体" w:eastAsia="宋体" w:cs="宋体"/>
          <w:bCs w:val="0"/>
          <w:kern w:val="2"/>
          <w:sz w:val="21"/>
          <w:szCs w:val="21"/>
          <w:highlight w:val="none"/>
        </w:rPr>
        <w:t>方必须</w:t>
      </w:r>
      <w:r>
        <w:rPr>
          <w:rFonts w:hint="eastAsia" w:ascii="宋体" w:hAnsi="宋体" w:eastAsia="宋体" w:cs="宋体"/>
          <w:bCs w:val="0"/>
          <w:kern w:val="2"/>
          <w:sz w:val="21"/>
          <w:szCs w:val="21"/>
          <w:highlight w:val="none"/>
          <w:lang w:val="en-US" w:eastAsia="zh-CN"/>
        </w:rPr>
        <w:t>在合同签订30日</w:t>
      </w:r>
      <w:r>
        <w:rPr>
          <w:rFonts w:hint="eastAsia" w:ascii="宋体" w:hAnsi="宋体" w:eastAsia="宋体" w:cs="宋体"/>
          <w:bCs w:val="0"/>
          <w:kern w:val="2"/>
          <w:sz w:val="21"/>
          <w:szCs w:val="21"/>
          <w:highlight w:val="none"/>
        </w:rPr>
        <w:t>历日内完成申办</w:t>
      </w:r>
      <w:r>
        <w:rPr>
          <w:rFonts w:hint="eastAsia" w:ascii="宋体" w:hAnsi="宋体" w:eastAsia="宋体" w:cs="宋体"/>
          <w:bCs w:val="0"/>
          <w:kern w:val="2"/>
          <w:sz w:val="21"/>
          <w:szCs w:val="21"/>
          <w:highlight w:val="none"/>
          <w:lang w:val="en-US" w:eastAsia="zh-CN"/>
        </w:rPr>
        <w:t>机电工程施工总承包二级资质</w:t>
      </w:r>
      <w:r>
        <w:rPr>
          <w:rFonts w:hint="eastAsia" w:ascii="宋体" w:hAnsi="宋体" w:eastAsia="宋体" w:cs="宋体"/>
          <w:bCs w:val="0"/>
          <w:kern w:val="2"/>
          <w:sz w:val="21"/>
          <w:szCs w:val="21"/>
          <w:highlight w:val="none"/>
        </w:rPr>
        <w:t>申办方案编制、所需资料收集及整理、修订，</w:t>
      </w:r>
      <w:r>
        <w:rPr>
          <w:rFonts w:hint="eastAsia" w:ascii="宋体" w:hAnsi="宋体" w:eastAsia="宋体" w:cs="宋体"/>
          <w:bCs w:val="0"/>
          <w:kern w:val="2"/>
          <w:sz w:val="21"/>
          <w:szCs w:val="21"/>
          <w:highlight w:val="none"/>
          <w:lang w:val="en-US" w:eastAsia="zh-CN"/>
        </w:rPr>
        <w:t>并</w:t>
      </w:r>
      <w:r>
        <w:rPr>
          <w:rFonts w:hint="eastAsia" w:ascii="宋体" w:hAnsi="宋体" w:eastAsia="宋体" w:cs="宋体"/>
          <w:bCs w:val="0"/>
          <w:kern w:val="2"/>
          <w:sz w:val="21"/>
          <w:szCs w:val="21"/>
          <w:highlight w:val="none"/>
        </w:rPr>
        <w:t>将</w:t>
      </w:r>
      <w:r>
        <w:rPr>
          <w:rFonts w:hint="eastAsia" w:ascii="宋体" w:hAnsi="宋体" w:eastAsia="宋体" w:cs="宋体"/>
          <w:bCs w:val="0"/>
          <w:kern w:val="2"/>
          <w:sz w:val="21"/>
          <w:szCs w:val="21"/>
          <w:highlight w:val="none"/>
          <w:lang w:val="en-US" w:eastAsia="zh-CN"/>
        </w:rPr>
        <w:t>相关资料</w:t>
      </w:r>
      <w:r>
        <w:rPr>
          <w:rFonts w:hint="eastAsia" w:ascii="宋体" w:hAnsi="宋体" w:eastAsia="宋体" w:cs="宋体"/>
          <w:bCs w:val="0"/>
          <w:kern w:val="2"/>
          <w:sz w:val="21"/>
          <w:szCs w:val="21"/>
          <w:highlight w:val="none"/>
        </w:rPr>
        <w:t>报送主管部门审查</w:t>
      </w:r>
      <w:r>
        <w:rPr>
          <w:rFonts w:hint="eastAsia" w:ascii="宋体" w:hAnsi="宋体" w:eastAsia="宋体" w:cs="宋体"/>
          <w:bCs w:val="0"/>
          <w:kern w:val="2"/>
          <w:sz w:val="21"/>
          <w:szCs w:val="21"/>
          <w:highlight w:val="none"/>
          <w:lang w:eastAsia="zh-CN"/>
        </w:rPr>
        <w:t>，</w:t>
      </w:r>
      <w:r>
        <w:rPr>
          <w:rFonts w:hint="eastAsia" w:ascii="宋体" w:hAnsi="宋体" w:eastAsia="宋体" w:cs="宋体"/>
          <w:bCs w:val="0"/>
          <w:kern w:val="2"/>
          <w:sz w:val="21"/>
          <w:szCs w:val="21"/>
          <w:highlight w:val="none"/>
        </w:rPr>
        <w:t>每延期一天</w:t>
      </w:r>
      <w:r>
        <w:rPr>
          <w:rFonts w:hint="eastAsia" w:ascii="宋体" w:hAnsi="宋体" w:cs="宋体"/>
          <w:bCs w:val="0"/>
          <w:kern w:val="2"/>
          <w:sz w:val="21"/>
          <w:szCs w:val="21"/>
          <w:highlight w:val="none"/>
          <w:lang w:val="en-US" w:eastAsia="zh-CN"/>
        </w:rPr>
        <w:t>我</w:t>
      </w:r>
      <w:r>
        <w:rPr>
          <w:rFonts w:hint="eastAsia" w:ascii="宋体" w:hAnsi="宋体" w:eastAsia="宋体" w:cs="宋体"/>
          <w:bCs w:val="0"/>
          <w:kern w:val="2"/>
          <w:sz w:val="21"/>
          <w:szCs w:val="21"/>
          <w:highlight w:val="none"/>
        </w:rPr>
        <w:t>方向</w:t>
      </w:r>
      <w:r>
        <w:rPr>
          <w:rFonts w:hint="eastAsia" w:ascii="宋体" w:hAnsi="宋体" w:cs="宋体"/>
          <w:bCs w:val="0"/>
          <w:kern w:val="2"/>
          <w:sz w:val="21"/>
          <w:szCs w:val="21"/>
          <w:highlight w:val="none"/>
          <w:lang w:val="en-US" w:eastAsia="zh-CN"/>
        </w:rPr>
        <w:t>招标人</w:t>
      </w:r>
      <w:r>
        <w:rPr>
          <w:rFonts w:hint="eastAsia" w:ascii="宋体" w:hAnsi="宋体" w:eastAsia="宋体" w:cs="宋体"/>
          <w:bCs w:val="0"/>
          <w:kern w:val="2"/>
          <w:sz w:val="21"/>
          <w:szCs w:val="21"/>
          <w:highlight w:val="none"/>
        </w:rPr>
        <w:t>支付</w:t>
      </w:r>
      <w:r>
        <w:rPr>
          <w:rFonts w:hint="eastAsia" w:ascii="宋体" w:hAnsi="宋体" w:eastAsia="宋体" w:cs="宋体"/>
          <w:bCs w:val="0"/>
          <w:kern w:val="2"/>
          <w:sz w:val="21"/>
          <w:szCs w:val="21"/>
          <w:highlight w:val="none"/>
          <w:lang w:val="en-US" w:eastAsia="zh-CN"/>
        </w:rPr>
        <w:t>1</w:t>
      </w:r>
      <w:r>
        <w:rPr>
          <w:rFonts w:hint="eastAsia" w:ascii="宋体" w:hAnsi="宋体" w:eastAsia="宋体" w:cs="宋体"/>
          <w:bCs w:val="0"/>
          <w:kern w:val="2"/>
          <w:sz w:val="21"/>
          <w:szCs w:val="21"/>
          <w:highlight w:val="none"/>
        </w:rPr>
        <w:t>000元违约金</w:t>
      </w:r>
      <w:r>
        <w:rPr>
          <w:rFonts w:hint="eastAsia" w:ascii="宋体" w:hAnsi="宋体" w:eastAsia="宋体" w:cs="宋体"/>
          <w:bCs w:val="0"/>
          <w:kern w:val="2"/>
          <w:sz w:val="21"/>
          <w:szCs w:val="21"/>
          <w:highlight w:val="none"/>
          <w:lang w:eastAsia="zh-CN"/>
        </w:rPr>
        <w:t>。</w:t>
      </w:r>
    </w:p>
    <w:p>
      <w:pPr>
        <w:wordWrap/>
        <w:spacing w:line="360" w:lineRule="auto"/>
        <w:ind w:firstLine="420" w:firstLineChars="200"/>
        <w:jc w:val="left"/>
        <w:textAlignment w:val="auto"/>
        <w:rPr>
          <w:rFonts w:hint="eastAsia" w:ascii="宋体" w:hAnsi="宋体" w:eastAsia="宋体" w:cs="宋体"/>
          <w:bCs w:val="0"/>
          <w:kern w:val="2"/>
          <w:sz w:val="21"/>
          <w:szCs w:val="21"/>
          <w:highlight w:val="none"/>
        </w:rPr>
      </w:pPr>
      <w:r>
        <w:rPr>
          <w:rFonts w:hint="eastAsia" w:ascii="宋体" w:hAnsi="宋体" w:cs="宋体"/>
          <w:kern w:val="2"/>
          <w:sz w:val="21"/>
          <w:szCs w:val="21"/>
          <w:highlight w:val="none"/>
          <w:lang w:val="en-US" w:eastAsia="zh-CN"/>
        </w:rPr>
        <w:t>5、</w:t>
      </w:r>
      <w:r>
        <w:rPr>
          <w:rFonts w:hint="eastAsia" w:ascii="宋体" w:hAnsi="宋体" w:eastAsia="宋体" w:cs="宋体"/>
          <w:bCs w:val="0"/>
          <w:kern w:val="2"/>
          <w:sz w:val="21"/>
          <w:szCs w:val="21"/>
          <w:highlight w:val="none"/>
        </w:rPr>
        <w:t>如因</w:t>
      </w:r>
      <w:r>
        <w:rPr>
          <w:rFonts w:hint="eastAsia" w:ascii="宋体" w:hAnsi="宋体" w:cs="宋体"/>
          <w:bCs w:val="0"/>
          <w:kern w:val="2"/>
          <w:sz w:val="21"/>
          <w:szCs w:val="21"/>
          <w:highlight w:val="none"/>
          <w:lang w:val="en-US" w:eastAsia="zh-CN"/>
        </w:rPr>
        <w:t>我</w:t>
      </w:r>
      <w:r>
        <w:rPr>
          <w:rFonts w:hint="eastAsia" w:ascii="宋体" w:hAnsi="宋体" w:eastAsia="宋体" w:cs="宋体"/>
          <w:bCs w:val="0"/>
          <w:kern w:val="2"/>
          <w:sz w:val="21"/>
          <w:szCs w:val="21"/>
          <w:highlight w:val="none"/>
          <w:lang w:val="en-US" w:eastAsia="zh-CN"/>
        </w:rPr>
        <w:t>方推荐的</w:t>
      </w:r>
      <w:r>
        <w:rPr>
          <w:rFonts w:hint="eastAsia" w:ascii="宋体" w:hAnsi="宋体" w:eastAsia="宋体" w:cs="宋体"/>
          <w:kern w:val="2"/>
          <w:sz w:val="21"/>
          <w:szCs w:val="21"/>
          <w:highlight w:val="none"/>
          <w:lang w:val="en-US" w:eastAsia="zh-CN"/>
        </w:rPr>
        <w:t>技术负责人以及2名专业工程师（暖通专业中级职称1名；给排水专业高级职称1名）和1名建筑专业二级建造师</w:t>
      </w:r>
      <w:r>
        <w:rPr>
          <w:rFonts w:hint="eastAsia" w:ascii="宋体" w:hAnsi="宋体" w:eastAsia="宋体" w:cs="宋体"/>
          <w:bCs w:val="0"/>
          <w:kern w:val="2"/>
          <w:sz w:val="21"/>
          <w:szCs w:val="21"/>
          <w:highlight w:val="none"/>
        </w:rPr>
        <w:t>未通过</w:t>
      </w:r>
      <w:r>
        <w:rPr>
          <w:rFonts w:hint="eastAsia" w:ascii="宋体" w:hAnsi="宋体" w:eastAsia="宋体" w:cs="宋体"/>
          <w:bCs w:val="0"/>
          <w:kern w:val="2"/>
          <w:sz w:val="21"/>
          <w:szCs w:val="21"/>
          <w:highlight w:val="none"/>
          <w:lang w:val="en-US" w:eastAsia="zh-CN"/>
        </w:rPr>
        <w:t>主管部门审核</w:t>
      </w:r>
      <w:r>
        <w:rPr>
          <w:rFonts w:hint="eastAsia" w:ascii="宋体" w:hAnsi="宋体" w:eastAsia="宋体" w:cs="宋体"/>
          <w:bCs w:val="0"/>
          <w:kern w:val="2"/>
          <w:sz w:val="21"/>
          <w:szCs w:val="21"/>
          <w:highlight w:val="none"/>
          <w:lang w:eastAsia="zh-CN"/>
        </w:rPr>
        <w:t>，</w:t>
      </w:r>
      <w:r>
        <w:rPr>
          <w:rFonts w:hint="eastAsia" w:ascii="宋体" w:hAnsi="宋体" w:cs="宋体"/>
          <w:bCs w:val="0"/>
          <w:kern w:val="2"/>
          <w:sz w:val="21"/>
          <w:szCs w:val="21"/>
          <w:highlight w:val="none"/>
          <w:lang w:val="en-US" w:eastAsia="zh-CN"/>
        </w:rPr>
        <w:t>我</w:t>
      </w:r>
      <w:r>
        <w:rPr>
          <w:rFonts w:hint="eastAsia" w:ascii="宋体" w:hAnsi="宋体" w:eastAsia="宋体" w:cs="宋体"/>
          <w:bCs w:val="0"/>
          <w:kern w:val="2"/>
          <w:sz w:val="21"/>
          <w:szCs w:val="21"/>
          <w:highlight w:val="none"/>
        </w:rPr>
        <w:t>方向</w:t>
      </w:r>
      <w:r>
        <w:rPr>
          <w:rFonts w:hint="eastAsia" w:ascii="宋体" w:hAnsi="宋体" w:cs="宋体"/>
          <w:bCs w:val="0"/>
          <w:kern w:val="2"/>
          <w:sz w:val="21"/>
          <w:szCs w:val="21"/>
          <w:highlight w:val="none"/>
          <w:lang w:val="en-US" w:eastAsia="zh-CN"/>
        </w:rPr>
        <w:t>招标人</w:t>
      </w:r>
      <w:r>
        <w:rPr>
          <w:rFonts w:hint="eastAsia" w:ascii="宋体" w:hAnsi="宋体" w:eastAsia="宋体" w:cs="宋体"/>
          <w:bCs w:val="0"/>
          <w:kern w:val="2"/>
          <w:sz w:val="21"/>
          <w:szCs w:val="21"/>
          <w:highlight w:val="none"/>
        </w:rPr>
        <w:t>支付</w:t>
      </w:r>
      <w:r>
        <w:rPr>
          <w:rFonts w:hint="eastAsia" w:ascii="宋体" w:hAnsi="宋体" w:eastAsia="宋体" w:cs="宋体"/>
          <w:bCs w:val="0"/>
          <w:kern w:val="2"/>
          <w:sz w:val="21"/>
          <w:szCs w:val="21"/>
          <w:highlight w:val="none"/>
          <w:lang w:val="en-US" w:eastAsia="zh-CN"/>
        </w:rPr>
        <w:t>合同金额的100%作为</w:t>
      </w:r>
      <w:r>
        <w:rPr>
          <w:rFonts w:hint="eastAsia" w:ascii="宋体" w:hAnsi="宋体" w:eastAsia="宋体" w:cs="宋体"/>
          <w:bCs w:val="0"/>
          <w:kern w:val="2"/>
          <w:sz w:val="21"/>
          <w:szCs w:val="21"/>
          <w:highlight w:val="none"/>
        </w:rPr>
        <w:t>违约金，</w:t>
      </w:r>
      <w:r>
        <w:rPr>
          <w:rFonts w:hint="eastAsia" w:ascii="宋体" w:hAnsi="宋体" w:eastAsia="宋体" w:cs="宋体"/>
          <w:bCs w:val="0"/>
          <w:kern w:val="2"/>
          <w:sz w:val="21"/>
          <w:szCs w:val="21"/>
          <w:highlight w:val="none"/>
          <w:lang w:val="en-US" w:eastAsia="zh-CN"/>
        </w:rPr>
        <w:t>如给</w:t>
      </w:r>
      <w:r>
        <w:rPr>
          <w:rFonts w:hint="eastAsia" w:ascii="宋体" w:hAnsi="宋体" w:cs="宋体"/>
          <w:bCs w:val="0"/>
          <w:kern w:val="2"/>
          <w:sz w:val="21"/>
          <w:szCs w:val="21"/>
          <w:highlight w:val="none"/>
          <w:lang w:val="en-US" w:eastAsia="zh-CN"/>
        </w:rPr>
        <w:t>招标人</w:t>
      </w:r>
      <w:r>
        <w:rPr>
          <w:rFonts w:hint="eastAsia" w:ascii="宋体" w:hAnsi="宋体" w:eastAsia="宋体" w:cs="宋体"/>
          <w:bCs w:val="0"/>
          <w:kern w:val="2"/>
          <w:sz w:val="21"/>
          <w:szCs w:val="21"/>
          <w:highlight w:val="none"/>
          <w:lang w:val="en-US" w:eastAsia="zh-CN"/>
        </w:rPr>
        <w:t>造成损失的，</w:t>
      </w:r>
      <w:r>
        <w:rPr>
          <w:rFonts w:hint="eastAsia" w:ascii="宋体" w:hAnsi="宋体" w:cs="宋体"/>
          <w:bCs w:val="0"/>
          <w:kern w:val="2"/>
          <w:sz w:val="21"/>
          <w:szCs w:val="21"/>
          <w:highlight w:val="none"/>
          <w:lang w:val="en-US" w:eastAsia="zh-CN"/>
        </w:rPr>
        <w:t>招标人</w:t>
      </w:r>
      <w:r>
        <w:rPr>
          <w:rFonts w:hint="eastAsia" w:ascii="宋体" w:hAnsi="宋体" w:eastAsia="宋体" w:cs="宋体"/>
          <w:bCs w:val="0"/>
          <w:kern w:val="2"/>
          <w:sz w:val="21"/>
          <w:szCs w:val="21"/>
          <w:highlight w:val="none"/>
          <w:lang w:val="en-US" w:eastAsia="zh-CN"/>
        </w:rPr>
        <w:t>有权向</w:t>
      </w:r>
      <w:r>
        <w:rPr>
          <w:rFonts w:hint="eastAsia" w:ascii="宋体" w:hAnsi="宋体" w:cs="宋体"/>
          <w:bCs w:val="0"/>
          <w:kern w:val="2"/>
          <w:sz w:val="21"/>
          <w:szCs w:val="21"/>
          <w:highlight w:val="none"/>
          <w:lang w:val="en-US" w:eastAsia="zh-CN"/>
        </w:rPr>
        <w:t>我</w:t>
      </w:r>
      <w:r>
        <w:rPr>
          <w:rFonts w:hint="eastAsia" w:ascii="宋体" w:hAnsi="宋体" w:eastAsia="宋体" w:cs="宋体"/>
          <w:bCs w:val="0"/>
          <w:kern w:val="2"/>
          <w:sz w:val="21"/>
          <w:szCs w:val="21"/>
          <w:highlight w:val="none"/>
          <w:lang w:val="en-US" w:eastAsia="zh-CN"/>
        </w:rPr>
        <w:t>方索赔相应损失，</w:t>
      </w:r>
      <w:r>
        <w:rPr>
          <w:rFonts w:hint="eastAsia" w:ascii="宋体" w:hAnsi="宋体" w:eastAsia="宋体" w:cs="宋体"/>
          <w:bCs w:val="0"/>
          <w:kern w:val="2"/>
          <w:sz w:val="21"/>
          <w:szCs w:val="21"/>
          <w:highlight w:val="none"/>
        </w:rPr>
        <w:t>且</w:t>
      </w:r>
      <w:r>
        <w:rPr>
          <w:rFonts w:hint="eastAsia" w:ascii="宋体" w:hAnsi="宋体" w:cs="宋体"/>
          <w:bCs w:val="0"/>
          <w:kern w:val="2"/>
          <w:sz w:val="21"/>
          <w:szCs w:val="21"/>
          <w:highlight w:val="none"/>
          <w:lang w:val="en-US" w:eastAsia="zh-CN"/>
        </w:rPr>
        <w:t>招标人</w:t>
      </w:r>
      <w:r>
        <w:rPr>
          <w:rFonts w:hint="eastAsia" w:ascii="宋体" w:hAnsi="宋体" w:eastAsia="宋体" w:cs="宋体"/>
          <w:bCs w:val="0"/>
          <w:kern w:val="2"/>
          <w:sz w:val="21"/>
          <w:szCs w:val="21"/>
          <w:highlight w:val="none"/>
        </w:rPr>
        <w:t>有权终止合同。</w:t>
      </w:r>
    </w:p>
    <w:p>
      <w:pPr>
        <w:spacing w:line="360" w:lineRule="auto"/>
        <w:ind w:firstLine="420" w:firstLineChars="200"/>
        <w:rPr>
          <w:rFonts w:hint="eastAsia" w:ascii="宋体" w:hAnsi="宋体" w:eastAsia="宋体" w:cs="宋体"/>
          <w:bCs w:val="0"/>
          <w:kern w:val="2"/>
          <w:sz w:val="21"/>
          <w:szCs w:val="21"/>
          <w:highlight w:val="none"/>
        </w:rPr>
      </w:pPr>
      <w:r>
        <w:rPr>
          <w:rFonts w:hint="eastAsia" w:ascii="宋体" w:hAnsi="宋体" w:cs="宋体"/>
          <w:bCs w:val="0"/>
          <w:kern w:val="2"/>
          <w:sz w:val="21"/>
          <w:szCs w:val="21"/>
          <w:highlight w:val="none"/>
          <w:lang w:val="en-US" w:eastAsia="zh-CN"/>
        </w:rPr>
        <w:t>6、招标人</w:t>
      </w:r>
      <w:r>
        <w:rPr>
          <w:rFonts w:hint="eastAsia" w:ascii="宋体" w:hAnsi="宋体" w:eastAsia="宋体" w:cs="宋体"/>
          <w:bCs w:val="0"/>
          <w:kern w:val="2"/>
          <w:sz w:val="21"/>
          <w:szCs w:val="21"/>
          <w:highlight w:val="none"/>
        </w:rPr>
        <w:t>若未在202</w:t>
      </w:r>
      <w:r>
        <w:rPr>
          <w:rFonts w:hint="eastAsia" w:ascii="宋体" w:hAnsi="宋体" w:eastAsia="宋体" w:cs="宋体"/>
          <w:bCs w:val="0"/>
          <w:kern w:val="2"/>
          <w:sz w:val="21"/>
          <w:szCs w:val="21"/>
          <w:highlight w:val="none"/>
          <w:lang w:val="en-US" w:eastAsia="zh-CN"/>
        </w:rPr>
        <w:t>4</w:t>
      </w:r>
      <w:r>
        <w:rPr>
          <w:rFonts w:hint="eastAsia" w:ascii="宋体" w:hAnsi="宋体" w:eastAsia="宋体" w:cs="宋体"/>
          <w:bCs w:val="0"/>
          <w:kern w:val="2"/>
          <w:sz w:val="21"/>
          <w:szCs w:val="21"/>
          <w:highlight w:val="none"/>
        </w:rPr>
        <w:t>年1</w:t>
      </w:r>
      <w:r>
        <w:rPr>
          <w:rFonts w:hint="eastAsia" w:ascii="宋体" w:hAnsi="宋体" w:eastAsia="宋体" w:cs="宋体"/>
          <w:bCs w:val="0"/>
          <w:kern w:val="2"/>
          <w:sz w:val="21"/>
          <w:szCs w:val="21"/>
          <w:highlight w:val="none"/>
          <w:lang w:eastAsia="zh-CN"/>
        </w:rPr>
        <w:t>1</w:t>
      </w:r>
      <w:r>
        <w:rPr>
          <w:rFonts w:hint="eastAsia" w:ascii="宋体" w:hAnsi="宋体" w:eastAsia="宋体" w:cs="宋体"/>
          <w:bCs w:val="0"/>
          <w:kern w:val="2"/>
          <w:sz w:val="21"/>
          <w:szCs w:val="21"/>
          <w:highlight w:val="none"/>
        </w:rPr>
        <w:t>月3</w:t>
      </w:r>
      <w:r>
        <w:rPr>
          <w:rFonts w:hint="eastAsia" w:ascii="宋体" w:hAnsi="宋体" w:eastAsia="宋体" w:cs="宋体"/>
          <w:bCs w:val="0"/>
          <w:kern w:val="2"/>
          <w:sz w:val="21"/>
          <w:szCs w:val="21"/>
          <w:highlight w:val="none"/>
          <w:lang w:eastAsia="zh-CN"/>
        </w:rPr>
        <w:t>0</w:t>
      </w:r>
      <w:r>
        <w:rPr>
          <w:rFonts w:hint="eastAsia" w:ascii="宋体" w:hAnsi="宋体" w:eastAsia="宋体" w:cs="宋体"/>
          <w:bCs w:val="0"/>
          <w:kern w:val="2"/>
          <w:sz w:val="21"/>
          <w:szCs w:val="21"/>
          <w:highlight w:val="none"/>
        </w:rPr>
        <w:t>日前取得证书，每延期一天</w:t>
      </w:r>
      <w:r>
        <w:rPr>
          <w:rFonts w:hint="eastAsia" w:ascii="宋体" w:hAnsi="宋体" w:cs="宋体"/>
          <w:bCs w:val="0"/>
          <w:kern w:val="2"/>
          <w:sz w:val="21"/>
          <w:szCs w:val="21"/>
          <w:highlight w:val="none"/>
          <w:lang w:val="en-US" w:eastAsia="zh-CN"/>
        </w:rPr>
        <w:t>我</w:t>
      </w:r>
      <w:r>
        <w:rPr>
          <w:rFonts w:hint="eastAsia" w:ascii="宋体" w:hAnsi="宋体" w:eastAsia="宋体" w:cs="宋体"/>
          <w:bCs w:val="0"/>
          <w:kern w:val="2"/>
          <w:sz w:val="21"/>
          <w:szCs w:val="21"/>
          <w:highlight w:val="none"/>
        </w:rPr>
        <w:t>方向</w:t>
      </w:r>
      <w:r>
        <w:rPr>
          <w:rFonts w:hint="eastAsia" w:ascii="宋体" w:hAnsi="宋体" w:cs="宋体"/>
          <w:bCs w:val="0"/>
          <w:kern w:val="2"/>
          <w:sz w:val="21"/>
          <w:szCs w:val="21"/>
          <w:highlight w:val="none"/>
          <w:lang w:val="en-US" w:eastAsia="zh-CN"/>
        </w:rPr>
        <w:t>招标人</w:t>
      </w:r>
      <w:r>
        <w:rPr>
          <w:rFonts w:hint="eastAsia" w:ascii="宋体" w:hAnsi="宋体" w:eastAsia="宋体" w:cs="宋体"/>
          <w:bCs w:val="0"/>
          <w:kern w:val="2"/>
          <w:sz w:val="21"/>
          <w:szCs w:val="21"/>
          <w:highlight w:val="none"/>
        </w:rPr>
        <w:t>支付</w:t>
      </w:r>
      <w:r>
        <w:rPr>
          <w:rFonts w:hint="eastAsia" w:ascii="宋体" w:hAnsi="宋体" w:eastAsia="宋体" w:cs="宋体"/>
          <w:bCs w:val="0"/>
          <w:kern w:val="2"/>
          <w:sz w:val="21"/>
          <w:szCs w:val="21"/>
          <w:highlight w:val="none"/>
          <w:lang w:val="en-US" w:eastAsia="zh-CN"/>
        </w:rPr>
        <w:t>1</w:t>
      </w:r>
      <w:r>
        <w:rPr>
          <w:rFonts w:hint="eastAsia" w:ascii="宋体" w:hAnsi="宋体" w:eastAsia="宋体" w:cs="宋体"/>
          <w:bCs w:val="0"/>
          <w:kern w:val="2"/>
          <w:sz w:val="21"/>
          <w:szCs w:val="21"/>
          <w:highlight w:val="none"/>
        </w:rPr>
        <w:t>000元违约金。</w:t>
      </w:r>
    </w:p>
    <w:p>
      <w:pPr>
        <w:pStyle w:val="2"/>
        <w:rPr>
          <w:rFonts w:hint="default" w:eastAsia="宋体"/>
          <w:lang w:val="en-US" w:eastAsia="zh-CN"/>
        </w:rPr>
      </w:pPr>
      <w:r>
        <w:rPr>
          <w:rFonts w:hint="eastAsia"/>
          <w:lang w:val="en-US" w:eastAsia="zh-CN"/>
        </w:rPr>
        <w:t xml:space="preserve">    7、报价人承诺所投项目成员具备相关咨询服务工作经历。</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如我方违反上述承诺，隐瞒、提供虚假资料或不按竞争性比选文件要求组织实施，被贵方发现或被他人举报查实，无条件接受贵司的处罚，对造成的损失，任何法律和经济责任完全由我方承担。</w:t>
      </w: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报价人（单位名称）：</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法定代表人（或委托代理人）签字：</w:t>
      </w: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eastAsia="宋体" w:cs="宋体"/>
          <w:kern w:val="0"/>
          <w:sz w:val="21"/>
          <w:szCs w:val="21"/>
          <w:highlight w:val="none"/>
        </w:rPr>
      </w:pPr>
      <w:r>
        <w:rPr>
          <w:rFonts w:hint="eastAsia" w:ascii="宋体" w:hAnsi="宋体" w:eastAsia="宋体" w:cs="宋体"/>
          <w:sz w:val="21"/>
          <w:szCs w:val="21"/>
          <w:highlight w:val="none"/>
        </w:rPr>
        <w:t xml:space="preserve">     日期：</w:t>
      </w:r>
    </w:p>
    <w:p>
      <w:pPr>
        <w:pStyle w:val="5"/>
        <w:jc w:val="center"/>
        <w:rPr>
          <w:rFonts w:ascii="宋体" w:hAnsi="宋体" w:cs="宋体"/>
          <w:sz w:val="28"/>
          <w:highlight w:val="none"/>
        </w:rPr>
      </w:pPr>
    </w:p>
    <w:p>
      <w:pPr>
        <w:pStyle w:val="5"/>
        <w:jc w:val="center"/>
        <w:rPr>
          <w:rFonts w:ascii="宋体" w:hAnsi="宋体" w:cs="宋体"/>
          <w:sz w:val="28"/>
          <w:highlight w:val="none"/>
        </w:rPr>
      </w:pPr>
    </w:p>
    <w:p>
      <w:pPr>
        <w:pStyle w:val="4"/>
        <w:spacing w:before="0" w:after="0" w:line="360" w:lineRule="auto"/>
        <w:jc w:val="center"/>
        <w:rPr>
          <w:rFonts w:ascii="宋体" w:hAnsi="宋体" w:eastAsia="宋体" w:cs="宋体"/>
          <w:sz w:val="28"/>
          <w:highlight w:val="none"/>
        </w:rPr>
      </w:pPr>
      <w:r>
        <w:rPr>
          <w:rFonts w:hint="eastAsia" w:ascii="宋体" w:hAnsi="宋体" w:cs="宋体"/>
          <w:sz w:val="28"/>
          <w:highlight w:val="none"/>
        </w:rPr>
        <w:br w:type="page"/>
      </w:r>
      <w:bookmarkStart w:id="288" w:name="_Toc4456"/>
      <w:r>
        <w:rPr>
          <w:rFonts w:hint="eastAsia" w:ascii="宋体" w:hAnsi="宋体" w:eastAsia="宋体" w:cs="宋体"/>
          <w:sz w:val="28"/>
          <w:highlight w:val="none"/>
        </w:rPr>
        <w:t>六、报价人基本信息及其他材料</w:t>
      </w:r>
      <w:bookmarkEnd w:id="288"/>
    </w:p>
    <w:p>
      <w:pPr>
        <w:pStyle w:val="5"/>
        <w:spacing w:before="0" w:after="0" w:line="360" w:lineRule="auto"/>
        <w:jc w:val="center"/>
        <w:rPr>
          <w:sz w:val="28"/>
          <w:szCs w:val="28"/>
          <w:highlight w:val="none"/>
        </w:rPr>
      </w:pPr>
      <w:bookmarkStart w:id="289" w:name="_Toc4375"/>
      <w:bookmarkStart w:id="290" w:name="_Toc452107137"/>
      <w:bookmarkStart w:id="291" w:name="_Toc508110857"/>
      <w:r>
        <w:rPr>
          <w:rFonts w:hint="eastAsia"/>
          <w:sz w:val="28"/>
          <w:szCs w:val="28"/>
          <w:highlight w:val="none"/>
        </w:rPr>
        <w:t>（一）报价人基本信息表</w:t>
      </w:r>
      <w:bookmarkEnd w:id="289"/>
      <w:bookmarkEnd w:id="290"/>
      <w:bookmarkEnd w:id="291"/>
    </w:p>
    <w:p>
      <w:pPr>
        <w:pStyle w:val="26"/>
        <w:rPr>
          <w:highlight w:val="none"/>
        </w:rPr>
      </w:pPr>
    </w:p>
    <w:tbl>
      <w:tblPr>
        <w:tblStyle w:val="43"/>
        <w:tblW w:w="8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897"/>
        <w:gridCol w:w="1029"/>
        <w:gridCol w:w="762"/>
        <w:gridCol w:w="420"/>
        <w:gridCol w:w="311"/>
        <w:gridCol w:w="1059"/>
        <w:gridCol w:w="19"/>
        <w:gridCol w:w="490"/>
        <w:gridCol w:w="341"/>
        <w:gridCol w:w="15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报价人名称</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报价人</w:t>
            </w:r>
          </w:p>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公司股权结构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注册地址</w:t>
            </w:r>
          </w:p>
        </w:tc>
        <w:tc>
          <w:tcPr>
            <w:tcW w:w="341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6"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联系方式</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highlight w:val="none"/>
              </w:rPr>
            </w:pP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网址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组织结构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法定代表人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技术负责人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成立时间</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年 月 日</w:t>
            </w:r>
          </w:p>
        </w:tc>
        <w:tc>
          <w:tcPr>
            <w:tcW w:w="4913"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jc w:val="center"/>
              <w:rPr>
                <w:rFonts w:ascii="宋体" w:hAnsi="宋体" w:cs="宋体"/>
                <w:color w:val="000000"/>
                <w:szCs w:val="21"/>
                <w:highlight w:val="none"/>
              </w:rPr>
            </w:pPr>
            <w:r>
              <w:rPr>
                <w:rFonts w:hint="eastAsia" w:ascii="宋体" w:hAnsi="宋体" w:cs="宋体"/>
                <w:color w:val="000000"/>
                <w:szCs w:val="21"/>
                <w:highlight w:val="none"/>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企业资质等级</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c>
          <w:tcPr>
            <w:tcW w:w="762"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其中</w:t>
            </w: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营业执照号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注册资金</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开户银行</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账号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highlight w:val="none"/>
              </w:rPr>
            </w:pPr>
            <w:r>
              <w:rPr>
                <w:rFonts w:hint="eastAsia" w:ascii="宋体" w:hAnsi="宋体" w:cs="宋体"/>
                <w:color w:val="000000"/>
                <w:szCs w:val="21"/>
                <w:highlight w:val="none"/>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1726" w:type="dxa"/>
            <w:tcBorders>
              <w:top w:val="single" w:color="auto" w:sz="4" w:space="0"/>
              <w:left w:val="single" w:color="auto" w:sz="4" w:space="0"/>
              <w:bottom w:val="nil"/>
              <w:right w:val="single" w:color="auto" w:sz="4" w:space="0"/>
            </w:tcBorders>
            <w:vAlign w:val="center"/>
          </w:tcPr>
          <w:p>
            <w:pPr>
              <w:topLinePunct/>
              <w:spacing w:line="440" w:lineRule="exact"/>
              <w:ind w:firstLine="210" w:firstLineChars="100"/>
              <w:jc w:val="center"/>
              <w:rPr>
                <w:rFonts w:ascii="宋体" w:hAnsi="宋体" w:cs="宋体"/>
                <w:color w:val="000000"/>
                <w:szCs w:val="21"/>
                <w:highlight w:val="none"/>
              </w:rPr>
            </w:pPr>
            <w:r>
              <w:rPr>
                <w:rFonts w:hint="eastAsia" w:ascii="宋体" w:hAnsi="宋体" w:cs="宋体"/>
                <w:color w:val="000000"/>
                <w:szCs w:val="21"/>
                <w:highlight w:val="none"/>
              </w:rPr>
              <w:t>经营范围</w:t>
            </w:r>
          </w:p>
        </w:tc>
        <w:tc>
          <w:tcPr>
            <w:tcW w:w="6839" w:type="dxa"/>
            <w:gridSpan w:val="10"/>
            <w:tcBorders>
              <w:top w:val="single" w:color="auto" w:sz="4" w:space="0"/>
              <w:left w:val="single" w:color="auto" w:sz="4" w:space="0"/>
              <w:bottom w:val="nil"/>
              <w:right w:val="single" w:color="auto" w:sz="4" w:space="0"/>
            </w:tcBorders>
            <w:vAlign w:val="center"/>
          </w:tcPr>
          <w:p>
            <w:pPr>
              <w:topLinePunct/>
              <w:spacing w:line="440" w:lineRule="exact"/>
              <w:rPr>
                <w:rFonts w:ascii="宋体" w:hAnsi="宋体" w:cs="宋体"/>
                <w:color w:val="000000"/>
                <w:szCs w:val="21"/>
                <w:highlight w:val="none"/>
              </w:rPr>
            </w:pPr>
            <w:r>
              <w:rPr>
                <w:rFonts w:hint="eastAsia" w:ascii="宋体" w:hAnsi="宋体" w:cs="宋体"/>
                <w:color w:val="000000"/>
                <w:szCs w:val="21"/>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备注</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r>
    </w:tbl>
    <w:p>
      <w:pPr>
        <w:pStyle w:val="5"/>
        <w:jc w:val="center"/>
        <w:rPr>
          <w:rFonts w:ascii="宋体" w:hAnsi="宋体" w:cs="宋体"/>
          <w:sz w:val="28"/>
          <w:highlight w:val="none"/>
        </w:rPr>
      </w:pPr>
      <w:r>
        <w:rPr>
          <w:rFonts w:hint="eastAsia" w:ascii="宋体" w:hAnsi="宋体" w:cs="宋体"/>
          <w:sz w:val="28"/>
          <w:highlight w:val="none"/>
        </w:rPr>
        <w:t>（二）其他材料</w:t>
      </w:r>
    </w:p>
    <w:p>
      <w:pPr>
        <w:pStyle w:val="5"/>
        <w:jc w:val="both"/>
        <w:rPr>
          <w:rFonts w:hint="eastAsia" w:ascii="宋体" w:hAnsi="宋体" w:cs="宋体"/>
          <w:b w:val="0"/>
          <w:bCs w:val="0"/>
          <w:kern w:val="0"/>
          <w:sz w:val="21"/>
          <w:szCs w:val="21"/>
          <w:highlight w:val="none"/>
          <w:lang w:val="en-US" w:eastAsia="zh-CN" w:bidi="ar-SA"/>
        </w:rPr>
      </w:pPr>
      <w:r>
        <w:rPr>
          <w:rFonts w:hint="eastAsia" w:ascii="宋体" w:hAnsi="宋体" w:cs="宋体"/>
          <w:b w:val="0"/>
          <w:bCs w:val="0"/>
          <w:kern w:val="0"/>
          <w:sz w:val="21"/>
          <w:szCs w:val="21"/>
          <w:highlight w:val="none"/>
          <w:lang w:val="en-US" w:eastAsia="zh-CN" w:bidi="ar-SA"/>
        </w:rPr>
        <w:t>投标保证金截图等</w:t>
      </w:r>
    </w:p>
    <w:p>
      <w:pPr>
        <w:rPr>
          <w:rFonts w:hint="eastAsia" w:ascii="宋体" w:hAnsi="宋体" w:eastAsia="宋体" w:cs="宋体"/>
          <w:b w:val="0"/>
          <w:bCs w:val="0"/>
          <w:kern w:val="0"/>
          <w:sz w:val="21"/>
          <w:szCs w:val="21"/>
          <w:highlight w:val="none"/>
          <w:lang w:val="en-US" w:eastAsia="zh-CN" w:bidi="ar-SA"/>
        </w:rPr>
      </w:pPr>
      <w:r>
        <w:rPr>
          <w:rFonts w:hint="eastAsia" w:ascii="宋体" w:hAnsi="宋体" w:eastAsia="宋体" w:cs="宋体"/>
          <w:b w:val="0"/>
          <w:bCs w:val="0"/>
          <w:kern w:val="0"/>
          <w:sz w:val="21"/>
          <w:szCs w:val="21"/>
          <w:highlight w:val="none"/>
          <w:lang w:val="en-US" w:eastAsia="zh-CN" w:bidi="ar-SA"/>
        </w:rPr>
        <w:t>.....</w:t>
      </w:r>
    </w:p>
    <w:p>
      <w:pPr>
        <w:pStyle w:val="2"/>
        <w:rPr>
          <w:rFonts w:hint="eastAsia" w:ascii="宋体" w:hAnsi="宋体" w:eastAsia="宋体" w:cs="宋体"/>
          <w:b w:val="0"/>
          <w:bCs w:val="0"/>
          <w:kern w:val="0"/>
          <w:sz w:val="21"/>
          <w:szCs w:val="21"/>
          <w:highlight w:val="none"/>
          <w:lang w:val="en-US" w:eastAsia="zh-CN" w:bidi="ar-SA"/>
        </w:rPr>
      </w:pPr>
    </w:p>
    <w:p>
      <w:pPr>
        <w:rPr>
          <w:rFonts w:hint="eastAsia" w:ascii="宋体" w:hAnsi="宋体" w:eastAsia="宋体" w:cs="宋体"/>
          <w:b w:val="0"/>
          <w:bCs w:val="0"/>
          <w:kern w:val="0"/>
          <w:sz w:val="21"/>
          <w:szCs w:val="21"/>
          <w:highlight w:val="none"/>
          <w:lang w:val="en-US" w:eastAsia="zh-CN" w:bidi="ar-SA"/>
        </w:rPr>
      </w:pPr>
    </w:p>
    <w:p>
      <w:pPr>
        <w:pStyle w:val="2"/>
        <w:rPr>
          <w:rFonts w:hint="eastAsia" w:ascii="宋体" w:hAnsi="宋体" w:eastAsia="宋体" w:cs="宋体"/>
          <w:b w:val="0"/>
          <w:bCs w:val="0"/>
          <w:kern w:val="0"/>
          <w:sz w:val="21"/>
          <w:szCs w:val="21"/>
          <w:highlight w:val="none"/>
          <w:lang w:val="en-US" w:eastAsia="zh-CN" w:bidi="ar-SA"/>
        </w:rPr>
      </w:pPr>
    </w:p>
    <w:p>
      <w:pPr>
        <w:rPr>
          <w:rFonts w:hint="eastAsia" w:ascii="宋体" w:hAnsi="宋体" w:eastAsia="宋体" w:cs="宋体"/>
          <w:b w:val="0"/>
          <w:bCs w:val="0"/>
          <w:kern w:val="0"/>
          <w:sz w:val="21"/>
          <w:szCs w:val="21"/>
          <w:highlight w:val="none"/>
          <w:lang w:val="en-US" w:eastAsia="zh-CN" w:bidi="ar-SA"/>
        </w:rPr>
      </w:pPr>
    </w:p>
    <w:p>
      <w:pPr>
        <w:pStyle w:val="2"/>
        <w:rPr>
          <w:rFonts w:hint="eastAsia" w:ascii="宋体" w:hAnsi="宋体" w:eastAsia="宋体" w:cs="宋体"/>
          <w:b w:val="0"/>
          <w:bCs w:val="0"/>
          <w:kern w:val="0"/>
          <w:sz w:val="21"/>
          <w:szCs w:val="21"/>
          <w:highlight w:val="none"/>
          <w:lang w:val="en-US" w:eastAsia="zh-CN" w:bidi="ar-SA"/>
        </w:rPr>
      </w:pPr>
    </w:p>
    <w:p>
      <w:pPr>
        <w:rPr>
          <w:rFonts w:hint="eastAsia" w:ascii="宋体" w:hAnsi="宋体" w:eastAsia="宋体" w:cs="宋体"/>
          <w:b w:val="0"/>
          <w:bCs w:val="0"/>
          <w:kern w:val="0"/>
          <w:sz w:val="21"/>
          <w:szCs w:val="21"/>
          <w:highlight w:val="none"/>
          <w:lang w:val="en-US" w:eastAsia="zh-CN" w:bidi="ar-SA"/>
        </w:rPr>
      </w:pPr>
    </w:p>
    <w:p>
      <w:pPr>
        <w:pStyle w:val="2"/>
        <w:rPr>
          <w:rFonts w:hint="eastAsia" w:ascii="宋体" w:hAnsi="宋体" w:eastAsia="宋体" w:cs="宋体"/>
          <w:b w:val="0"/>
          <w:bCs w:val="0"/>
          <w:kern w:val="0"/>
          <w:sz w:val="21"/>
          <w:szCs w:val="21"/>
          <w:highlight w:val="none"/>
          <w:lang w:val="en-US" w:eastAsia="zh-CN" w:bidi="ar-SA"/>
        </w:rPr>
      </w:pPr>
    </w:p>
    <w:p>
      <w:pPr>
        <w:rPr>
          <w:rFonts w:hint="eastAsia" w:ascii="宋体" w:hAnsi="宋体" w:eastAsia="宋体" w:cs="宋体"/>
          <w:b w:val="0"/>
          <w:bCs w:val="0"/>
          <w:kern w:val="0"/>
          <w:sz w:val="21"/>
          <w:szCs w:val="21"/>
          <w:highlight w:val="none"/>
          <w:lang w:val="en-US" w:eastAsia="zh-CN" w:bidi="ar-SA"/>
        </w:rPr>
      </w:pPr>
    </w:p>
    <w:p>
      <w:pPr>
        <w:pStyle w:val="2"/>
        <w:rPr>
          <w:rFonts w:hint="eastAsia" w:ascii="宋体" w:hAnsi="宋体" w:eastAsia="宋体" w:cs="宋体"/>
          <w:b w:val="0"/>
          <w:bCs w:val="0"/>
          <w:kern w:val="0"/>
          <w:sz w:val="21"/>
          <w:szCs w:val="21"/>
          <w:highlight w:val="none"/>
          <w:lang w:val="en-US" w:eastAsia="zh-CN" w:bidi="ar-SA"/>
        </w:rPr>
      </w:pPr>
    </w:p>
    <w:p>
      <w:pPr>
        <w:rPr>
          <w:rFonts w:hint="eastAsia" w:ascii="宋体" w:hAnsi="宋体" w:eastAsia="宋体" w:cs="宋体"/>
          <w:b w:val="0"/>
          <w:bCs w:val="0"/>
          <w:kern w:val="0"/>
          <w:sz w:val="21"/>
          <w:szCs w:val="21"/>
          <w:highlight w:val="none"/>
          <w:lang w:val="en-US" w:eastAsia="zh-CN" w:bidi="ar-SA"/>
        </w:rPr>
      </w:pPr>
    </w:p>
    <w:p>
      <w:pPr>
        <w:pStyle w:val="2"/>
        <w:rPr>
          <w:rFonts w:hint="eastAsia" w:ascii="宋体" w:hAnsi="宋体" w:eastAsia="宋体" w:cs="宋体"/>
          <w:b w:val="0"/>
          <w:bCs w:val="0"/>
          <w:kern w:val="0"/>
          <w:sz w:val="21"/>
          <w:szCs w:val="21"/>
          <w:highlight w:val="none"/>
          <w:lang w:val="en-US" w:eastAsia="zh-CN" w:bidi="ar-SA"/>
        </w:rPr>
      </w:pPr>
    </w:p>
    <w:p>
      <w:pPr>
        <w:rPr>
          <w:rFonts w:hint="eastAsia" w:ascii="宋体" w:hAnsi="宋体" w:eastAsia="宋体" w:cs="宋体"/>
          <w:b w:val="0"/>
          <w:bCs w:val="0"/>
          <w:kern w:val="0"/>
          <w:sz w:val="21"/>
          <w:szCs w:val="21"/>
          <w:highlight w:val="none"/>
          <w:lang w:val="en-US" w:eastAsia="zh-CN" w:bidi="ar-SA"/>
        </w:rPr>
      </w:pPr>
    </w:p>
    <w:p>
      <w:pPr>
        <w:pStyle w:val="2"/>
        <w:rPr>
          <w:rFonts w:hint="eastAsia" w:ascii="宋体" w:hAnsi="宋体" w:eastAsia="宋体" w:cs="宋体"/>
          <w:b w:val="0"/>
          <w:bCs w:val="0"/>
          <w:kern w:val="0"/>
          <w:sz w:val="21"/>
          <w:szCs w:val="21"/>
          <w:highlight w:val="none"/>
          <w:lang w:val="en-US" w:eastAsia="zh-CN" w:bidi="ar-SA"/>
        </w:rPr>
      </w:pPr>
    </w:p>
    <w:p>
      <w:pPr>
        <w:rPr>
          <w:rFonts w:hint="eastAsia" w:ascii="宋体" w:hAnsi="宋体" w:eastAsia="宋体" w:cs="宋体"/>
          <w:b w:val="0"/>
          <w:bCs w:val="0"/>
          <w:kern w:val="0"/>
          <w:sz w:val="21"/>
          <w:szCs w:val="21"/>
          <w:highlight w:val="none"/>
          <w:lang w:val="en-US" w:eastAsia="zh-CN" w:bidi="ar-SA"/>
        </w:rPr>
      </w:pPr>
    </w:p>
    <w:p>
      <w:pPr>
        <w:pStyle w:val="2"/>
        <w:rPr>
          <w:rFonts w:hint="eastAsia" w:ascii="宋体" w:hAnsi="宋体" w:eastAsia="宋体" w:cs="宋体"/>
          <w:b w:val="0"/>
          <w:bCs w:val="0"/>
          <w:kern w:val="0"/>
          <w:sz w:val="21"/>
          <w:szCs w:val="21"/>
          <w:highlight w:val="none"/>
          <w:lang w:val="en-US" w:eastAsia="zh-CN" w:bidi="ar-SA"/>
        </w:rPr>
      </w:pPr>
    </w:p>
    <w:p>
      <w:pPr>
        <w:rPr>
          <w:rFonts w:hint="eastAsia" w:ascii="宋体" w:hAnsi="宋体" w:eastAsia="宋体" w:cs="宋体"/>
          <w:b w:val="0"/>
          <w:bCs w:val="0"/>
          <w:kern w:val="0"/>
          <w:sz w:val="21"/>
          <w:szCs w:val="21"/>
          <w:highlight w:val="none"/>
          <w:lang w:val="en-US" w:eastAsia="zh-CN" w:bidi="ar-SA"/>
        </w:rPr>
      </w:pPr>
    </w:p>
    <w:p>
      <w:pPr>
        <w:pStyle w:val="2"/>
        <w:rPr>
          <w:rFonts w:hint="eastAsia" w:ascii="宋体" w:hAnsi="宋体" w:eastAsia="宋体" w:cs="宋体"/>
          <w:b w:val="0"/>
          <w:bCs w:val="0"/>
          <w:kern w:val="0"/>
          <w:sz w:val="21"/>
          <w:szCs w:val="21"/>
          <w:highlight w:val="none"/>
          <w:lang w:val="en-US" w:eastAsia="zh-CN" w:bidi="ar-SA"/>
        </w:rPr>
      </w:pPr>
    </w:p>
    <w:p>
      <w:pPr>
        <w:rPr>
          <w:rFonts w:hint="eastAsia" w:ascii="宋体" w:hAnsi="宋体" w:eastAsia="宋体" w:cs="宋体"/>
          <w:b w:val="0"/>
          <w:bCs w:val="0"/>
          <w:kern w:val="0"/>
          <w:sz w:val="21"/>
          <w:szCs w:val="21"/>
          <w:highlight w:val="none"/>
          <w:lang w:val="en-US" w:eastAsia="zh-CN" w:bidi="ar-SA"/>
        </w:rPr>
      </w:pPr>
    </w:p>
    <w:p>
      <w:pPr>
        <w:pStyle w:val="2"/>
        <w:rPr>
          <w:rFonts w:hint="eastAsia" w:ascii="宋体" w:hAnsi="宋体" w:eastAsia="宋体" w:cs="宋体"/>
          <w:b w:val="0"/>
          <w:bCs w:val="0"/>
          <w:kern w:val="0"/>
          <w:sz w:val="21"/>
          <w:szCs w:val="21"/>
          <w:highlight w:val="none"/>
          <w:lang w:val="en-US" w:eastAsia="zh-CN" w:bidi="ar-SA"/>
        </w:rPr>
      </w:pPr>
    </w:p>
    <w:p>
      <w:pPr>
        <w:rPr>
          <w:rFonts w:hint="eastAsia" w:ascii="宋体" w:hAnsi="宋体" w:eastAsia="宋体" w:cs="宋体"/>
          <w:b w:val="0"/>
          <w:bCs w:val="0"/>
          <w:kern w:val="0"/>
          <w:sz w:val="21"/>
          <w:szCs w:val="21"/>
          <w:highlight w:val="none"/>
          <w:lang w:val="en-US" w:eastAsia="zh-CN" w:bidi="ar-SA"/>
        </w:rPr>
      </w:pPr>
    </w:p>
    <w:p>
      <w:pPr>
        <w:pStyle w:val="2"/>
        <w:rPr>
          <w:rFonts w:hint="eastAsia" w:ascii="宋体" w:hAnsi="宋体" w:eastAsia="宋体" w:cs="宋体"/>
          <w:b w:val="0"/>
          <w:bCs w:val="0"/>
          <w:kern w:val="0"/>
          <w:sz w:val="21"/>
          <w:szCs w:val="21"/>
          <w:highlight w:val="none"/>
          <w:lang w:val="en-US" w:eastAsia="zh-CN" w:bidi="ar-SA"/>
        </w:rPr>
      </w:pPr>
    </w:p>
    <w:p>
      <w:pPr>
        <w:rPr>
          <w:rFonts w:hint="eastAsia" w:ascii="宋体" w:hAnsi="宋体" w:eastAsia="宋体" w:cs="宋体"/>
          <w:b w:val="0"/>
          <w:bCs w:val="0"/>
          <w:kern w:val="0"/>
          <w:sz w:val="21"/>
          <w:szCs w:val="21"/>
          <w:highlight w:val="none"/>
          <w:lang w:val="en-US" w:eastAsia="zh-CN" w:bidi="ar-SA"/>
        </w:rPr>
      </w:pPr>
    </w:p>
    <w:p>
      <w:pPr>
        <w:pStyle w:val="2"/>
        <w:rPr>
          <w:rFonts w:hint="eastAsia" w:ascii="宋体" w:hAnsi="宋体" w:eastAsia="宋体" w:cs="宋体"/>
          <w:b w:val="0"/>
          <w:bCs w:val="0"/>
          <w:kern w:val="0"/>
          <w:sz w:val="21"/>
          <w:szCs w:val="21"/>
          <w:highlight w:val="none"/>
          <w:lang w:val="en-US" w:eastAsia="zh-CN" w:bidi="ar-SA"/>
        </w:rPr>
      </w:pPr>
    </w:p>
    <w:p>
      <w:pPr>
        <w:rPr>
          <w:rFonts w:hint="eastAsia" w:ascii="宋体" w:hAnsi="宋体" w:eastAsia="宋体" w:cs="宋体"/>
          <w:b w:val="0"/>
          <w:bCs w:val="0"/>
          <w:kern w:val="0"/>
          <w:sz w:val="21"/>
          <w:szCs w:val="21"/>
          <w:highlight w:val="none"/>
          <w:lang w:val="en-US" w:eastAsia="zh-CN" w:bidi="ar-SA"/>
        </w:rPr>
      </w:pPr>
    </w:p>
    <w:p>
      <w:pPr>
        <w:pStyle w:val="2"/>
        <w:rPr>
          <w:rFonts w:hint="eastAsia" w:ascii="宋体" w:hAnsi="宋体" w:eastAsia="宋体" w:cs="宋体"/>
          <w:b w:val="0"/>
          <w:bCs w:val="0"/>
          <w:kern w:val="0"/>
          <w:sz w:val="21"/>
          <w:szCs w:val="21"/>
          <w:highlight w:val="none"/>
          <w:lang w:val="en-US" w:eastAsia="zh-CN" w:bidi="ar-SA"/>
        </w:rPr>
      </w:pPr>
    </w:p>
    <w:p>
      <w:pPr>
        <w:rPr>
          <w:rFonts w:hint="eastAsia" w:ascii="宋体" w:hAnsi="宋体" w:eastAsia="宋体" w:cs="宋体"/>
          <w:b w:val="0"/>
          <w:bCs w:val="0"/>
          <w:kern w:val="0"/>
          <w:sz w:val="21"/>
          <w:szCs w:val="21"/>
          <w:highlight w:val="none"/>
          <w:lang w:val="en-US" w:eastAsia="zh-CN" w:bidi="ar-SA"/>
        </w:rPr>
      </w:pPr>
    </w:p>
    <w:p>
      <w:pPr>
        <w:pStyle w:val="2"/>
        <w:rPr>
          <w:rFonts w:hint="eastAsia" w:ascii="宋体" w:hAnsi="宋体" w:eastAsia="宋体" w:cs="宋体"/>
          <w:b w:val="0"/>
          <w:bCs w:val="0"/>
          <w:kern w:val="0"/>
          <w:sz w:val="21"/>
          <w:szCs w:val="21"/>
          <w:highlight w:val="none"/>
          <w:lang w:val="en-US" w:eastAsia="zh-CN" w:bidi="ar-SA"/>
        </w:rPr>
      </w:pPr>
    </w:p>
    <w:p>
      <w:pPr>
        <w:rPr>
          <w:rFonts w:hint="eastAsia" w:ascii="宋体" w:hAnsi="宋体" w:eastAsia="宋体" w:cs="宋体"/>
          <w:b w:val="0"/>
          <w:bCs w:val="0"/>
          <w:kern w:val="0"/>
          <w:sz w:val="21"/>
          <w:szCs w:val="21"/>
          <w:highlight w:val="none"/>
          <w:lang w:val="en-US" w:eastAsia="zh-CN" w:bidi="ar-SA"/>
        </w:rPr>
      </w:pPr>
    </w:p>
    <w:p>
      <w:pPr>
        <w:pStyle w:val="2"/>
        <w:rPr>
          <w:rFonts w:hint="eastAsia" w:ascii="宋体" w:hAnsi="宋体" w:eastAsia="宋体" w:cs="宋体"/>
          <w:b w:val="0"/>
          <w:bCs w:val="0"/>
          <w:kern w:val="0"/>
          <w:sz w:val="21"/>
          <w:szCs w:val="21"/>
          <w:highlight w:val="none"/>
          <w:lang w:val="en-US" w:eastAsia="zh-CN" w:bidi="ar-SA"/>
        </w:rPr>
      </w:pPr>
    </w:p>
    <w:p>
      <w:pPr>
        <w:rPr>
          <w:rFonts w:hint="eastAsia" w:ascii="宋体" w:hAnsi="宋体" w:eastAsia="宋体" w:cs="宋体"/>
          <w:b w:val="0"/>
          <w:bCs w:val="0"/>
          <w:kern w:val="0"/>
          <w:sz w:val="21"/>
          <w:szCs w:val="21"/>
          <w:highlight w:val="none"/>
          <w:lang w:val="en-US" w:eastAsia="zh-CN" w:bidi="ar-SA"/>
        </w:rPr>
      </w:pPr>
    </w:p>
    <w:p>
      <w:pPr>
        <w:rPr>
          <w:highlight w:val="none"/>
        </w:rPr>
      </w:pPr>
    </w:p>
    <w:bookmarkEnd w:id="280"/>
    <w:bookmarkEnd w:id="281"/>
    <w:p>
      <w:pPr>
        <w:pStyle w:val="28"/>
        <w:rPr>
          <w:highlight w:val="none"/>
        </w:rPr>
      </w:pPr>
    </w:p>
    <w:sectPr>
      <w:footerReference r:id="rId11" w:type="first"/>
      <w:footerReference r:id="rId10"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072A8386-264A-42B6-9BB2-9DAF1A9E5787}"/>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2" w:fontKey="{FFEA904F-65C2-4B28-899C-DDE77A051352}"/>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7"/>
      </w:rPr>
    </w:pPr>
    <w:r>
      <w:fldChar w:fldCharType="begin"/>
    </w:r>
    <w:r>
      <w:rPr>
        <w:rStyle w:val="47"/>
      </w:rPr>
      <w:instrText xml:space="preserve">PAGE  </w:instrText>
    </w:r>
    <w:r>
      <w:fldChar w:fldCharType="end"/>
    </w:r>
  </w:p>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rPr>
      <w:t>79</w:t>
    </w:r>
    <w:r>
      <w:fldChar w:fldCharType="end"/>
    </w:r>
  </w:p>
  <w:p>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rPr>
      <w:t>35</w:t>
    </w:r>
    <w:r>
      <w:fldChar w:fldCharType="end"/>
    </w:r>
  </w:p>
  <w:p>
    <w:pPr>
      <w:pStyle w:val="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520" w:h="235" w:hRule="exact" w:wrap="around" w:vAnchor="text" w:hAnchor="page" w:x="6073" w:y="-2"/>
      <w:rPr>
        <w:rStyle w:val="47"/>
      </w:rPr>
    </w:pPr>
    <w:r>
      <w:fldChar w:fldCharType="begin"/>
    </w:r>
    <w:r>
      <w:rPr>
        <w:rStyle w:val="47"/>
      </w:rPr>
      <w:instrText xml:space="preserve">PAGE  </w:instrText>
    </w:r>
    <w:r>
      <w:fldChar w:fldCharType="separate"/>
    </w:r>
    <w:r>
      <w:rPr>
        <w:rStyle w:val="47"/>
      </w:rPr>
      <w:t>73</w:t>
    </w:r>
    <w:r>
      <w:fldChar w:fldCharType="end"/>
    </w:r>
  </w:p>
  <w:p>
    <w:pPr>
      <w:pStyle w:val="26"/>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520" w:h="235" w:hRule="exact" w:wrap="around" w:vAnchor="text" w:hAnchor="page" w:x="6073" w:y="-2"/>
      <w:rPr>
        <w:rStyle w:val="47"/>
      </w:rPr>
    </w:pPr>
    <w:r>
      <w:fldChar w:fldCharType="begin"/>
    </w:r>
    <w:r>
      <w:rPr>
        <w:rStyle w:val="47"/>
      </w:rPr>
      <w:instrText xml:space="preserve">PAGE  </w:instrText>
    </w:r>
    <w:r>
      <w:fldChar w:fldCharType="separate"/>
    </w:r>
    <w:r>
      <w:rPr>
        <w:rStyle w:val="47"/>
      </w:rPr>
      <w:t>78</w:t>
    </w:r>
    <w:r>
      <w:fldChar w:fldCharType="end"/>
    </w:r>
  </w:p>
  <w:p>
    <w:pPr>
      <w:pStyle w:val="26"/>
      <w:ind w:right="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rPr>
                              <w:rStyle w:val="47"/>
                            </w:rPr>
                          </w:pPr>
                          <w:r>
                            <w:fldChar w:fldCharType="begin"/>
                          </w:r>
                          <w:r>
                            <w:rPr>
                              <w:rStyle w:val="47"/>
                            </w:rPr>
                            <w:instrText xml:space="preserve">PAGE  </w:instrText>
                          </w:r>
                          <w:r>
                            <w:fldChar w:fldCharType="separate"/>
                          </w:r>
                          <w:r>
                            <w:rPr>
                              <w:rStyle w:val="47"/>
                            </w:rPr>
                            <w:t>95</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pPr>
                      <w:pStyle w:val="26"/>
                      <w:rPr>
                        <w:rStyle w:val="47"/>
                      </w:rPr>
                    </w:pPr>
                    <w:r>
                      <w:fldChar w:fldCharType="begin"/>
                    </w:r>
                    <w:r>
                      <w:rPr>
                        <w:rStyle w:val="47"/>
                      </w:rPr>
                      <w:instrText xml:space="preserve">PAGE  </w:instrText>
                    </w:r>
                    <w:r>
                      <w:fldChar w:fldCharType="separate"/>
                    </w:r>
                    <w:r>
                      <w:rPr>
                        <w:rStyle w:val="47"/>
                      </w:rPr>
                      <w:t>95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26"/>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094FDD"/>
    <w:multiLevelType w:val="singleLevel"/>
    <w:tmpl w:val="83094FDD"/>
    <w:lvl w:ilvl="0" w:tentative="0">
      <w:start w:val="1"/>
      <w:numFmt w:val="decimal"/>
      <w:suff w:val="nothing"/>
      <w:lvlText w:val="（%1）"/>
      <w:lvlJc w:val="left"/>
    </w:lvl>
  </w:abstractNum>
  <w:abstractNum w:abstractNumId="1">
    <w:nsid w:val="B464E55C"/>
    <w:multiLevelType w:val="singleLevel"/>
    <w:tmpl w:val="B464E55C"/>
    <w:lvl w:ilvl="0" w:tentative="0">
      <w:start w:val="1"/>
      <w:numFmt w:val="decimal"/>
      <w:suff w:val="nothing"/>
      <w:lvlText w:val="（%1）"/>
      <w:lvlJc w:val="left"/>
    </w:lvl>
  </w:abstractNum>
  <w:abstractNum w:abstractNumId="2">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42"/>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
    <w:nsid w:val="3871CE1D"/>
    <w:multiLevelType w:val="singleLevel"/>
    <w:tmpl w:val="3871CE1D"/>
    <w:lvl w:ilvl="0" w:tentative="0">
      <w:start w:val="1"/>
      <w:numFmt w:val="chineseCounting"/>
      <w:suff w:val="nothing"/>
      <w:lvlText w:val="%1、"/>
      <w:lvlJc w:val="left"/>
      <w:rPr>
        <w:rFonts w:hint="eastAsia"/>
      </w:rPr>
    </w:lvl>
  </w:abstractNum>
  <w:abstractNum w:abstractNumId="4">
    <w:nsid w:val="3E7CE8BC"/>
    <w:multiLevelType w:val="singleLevel"/>
    <w:tmpl w:val="3E7CE8BC"/>
    <w:lvl w:ilvl="0" w:tentative="0">
      <w:start w:val="5"/>
      <w:numFmt w:val="chineseCounting"/>
      <w:suff w:val="nothing"/>
      <w:lvlText w:val="%1、"/>
      <w:lvlJc w:val="left"/>
      <w:rPr>
        <w:rFonts w:hint="eastAsia"/>
      </w:rPr>
    </w:lvl>
  </w:abstractNum>
  <w:abstractNum w:abstractNumId="5">
    <w:nsid w:val="55E7E3B4"/>
    <w:multiLevelType w:val="singleLevel"/>
    <w:tmpl w:val="55E7E3B4"/>
    <w:lvl w:ilvl="0" w:tentative="0">
      <w:start w:val="3"/>
      <w:numFmt w:val="chineseCounting"/>
      <w:suff w:val="space"/>
      <w:lvlText w:val="第%1章"/>
      <w:lvlJc w:val="left"/>
      <w:rPr>
        <w:rFonts w:hint="eastAsia"/>
      </w:rPr>
    </w:lvl>
  </w:abstractNum>
  <w:abstractNum w:abstractNumId="6">
    <w:nsid w:val="55F571BE"/>
    <w:multiLevelType w:val="multilevel"/>
    <w:tmpl w:val="55F571BE"/>
    <w:lvl w:ilvl="0" w:tentative="0">
      <w:start w:val="1"/>
      <w:numFmt w:val="japaneseCounting"/>
      <w:lvlText w:val="%1、"/>
      <w:lvlJc w:val="left"/>
      <w:pPr>
        <w:ind w:left="1162" w:hanging="600"/>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7">
    <w:nsid w:val="78BA0F68"/>
    <w:multiLevelType w:val="singleLevel"/>
    <w:tmpl w:val="78BA0F68"/>
    <w:lvl w:ilvl="0" w:tentative="0">
      <w:start w:val="1"/>
      <w:numFmt w:val="decimal"/>
      <w:lvlText w:val="%1."/>
      <w:lvlJc w:val="left"/>
      <w:pPr>
        <w:tabs>
          <w:tab w:val="left" w:pos="312"/>
        </w:tabs>
      </w:pPr>
    </w:lvl>
  </w:abstractNum>
  <w:num w:numId="1">
    <w:abstractNumId w:val="2"/>
  </w:num>
  <w:num w:numId="2">
    <w:abstractNumId w:val="0"/>
  </w:num>
  <w:num w:numId="3">
    <w:abstractNumId w:val="7"/>
  </w:num>
  <w:num w:numId="4">
    <w:abstractNumId w:val="5"/>
  </w:num>
  <w:num w:numId="5">
    <w:abstractNumId w:val="6"/>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NotTrackMoves/>
  <w:trackRevisions w:val="1"/>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3NzQ3Zjc5NDBlNjkwMTU3NDdmNTllOTJlMzNmYTYifQ=="/>
  </w:docVars>
  <w:rsids>
    <w:rsidRoot w:val="00F1787C"/>
    <w:rsid w:val="00002283"/>
    <w:rsid w:val="0000322E"/>
    <w:rsid w:val="00003524"/>
    <w:rsid w:val="00006DC2"/>
    <w:rsid w:val="00014F18"/>
    <w:rsid w:val="0002191D"/>
    <w:rsid w:val="00022C81"/>
    <w:rsid w:val="000247E8"/>
    <w:rsid w:val="00025133"/>
    <w:rsid w:val="000252CD"/>
    <w:rsid w:val="00025B39"/>
    <w:rsid w:val="00031B7B"/>
    <w:rsid w:val="000329B5"/>
    <w:rsid w:val="000338C1"/>
    <w:rsid w:val="000349C1"/>
    <w:rsid w:val="00035D65"/>
    <w:rsid w:val="00035FD9"/>
    <w:rsid w:val="00037178"/>
    <w:rsid w:val="000439F3"/>
    <w:rsid w:val="00046EC8"/>
    <w:rsid w:val="0005109B"/>
    <w:rsid w:val="00051746"/>
    <w:rsid w:val="00055B95"/>
    <w:rsid w:val="000563B8"/>
    <w:rsid w:val="000572DF"/>
    <w:rsid w:val="00057B74"/>
    <w:rsid w:val="0006209E"/>
    <w:rsid w:val="000620D8"/>
    <w:rsid w:val="00066BA0"/>
    <w:rsid w:val="00067251"/>
    <w:rsid w:val="000757B2"/>
    <w:rsid w:val="0007698A"/>
    <w:rsid w:val="00076FDF"/>
    <w:rsid w:val="0008303D"/>
    <w:rsid w:val="0008378C"/>
    <w:rsid w:val="000849FA"/>
    <w:rsid w:val="00085499"/>
    <w:rsid w:val="00086CAB"/>
    <w:rsid w:val="000875BF"/>
    <w:rsid w:val="00087626"/>
    <w:rsid w:val="0009000C"/>
    <w:rsid w:val="0009140C"/>
    <w:rsid w:val="00093516"/>
    <w:rsid w:val="000939F8"/>
    <w:rsid w:val="00093CD5"/>
    <w:rsid w:val="000940B1"/>
    <w:rsid w:val="000945AC"/>
    <w:rsid w:val="00094A56"/>
    <w:rsid w:val="00095B35"/>
    <w:rsid w:val="00095EDA"/>
    <w:rsid w:val="000975F2"/>
    <w:rsid w:val="0009781C"/>
    <w:rsid w:val="000A18D6"/>
    <w:rsid w:val="000A1E4C"/>
    <w:rsid w:val="000A2296"/>
    <w:rsid w:val="000A31DB"/>
    <w:rsid w:val="000A423A"/>
    <w:rsid w:val="000A4B3C"/>
    <w:rsid w:val="000A5164"/>
    <w:rsid w:val="000A60BC"/>
    <w:rsid w:val="000A6558"/>
    <w:rsid w:val="000B3499"/>
    <w:rsid w:val="000B446C"/>
    <w:rsid w:val="000B48BA"/>
    <w:rsid w:val="000B7D1A"/>
    <w:rsid w:val="000C0102"/>
    <w:rsid w:val="000C153A"/>
    <w:rsid w:val="000C3C36"/>
    <w:rsid w:val="000C4170"/>
    <w:rsid w:val="000C42B0"/>
    <w:rsid w:val="000C4955"/>
    <w:rsid w:val="000C5DB1"/>
    <w:rsid w:val="000C6C80"/>
    <w:rsid w:val="000C6EF3"/>
    <w:rsid w:val="000D0FF5"/>
    <w:rsid w:val="000D1523"/>
    <w:rsid w:val="000D6003"/>
    <w:rsid w:val="000E2A4B"/>
    <w:rsid w:val="000E313E"/>
    <w:rsid w:val="000E59C6"/>
    <w:rsid w:val="000F2842"/>
    <w:rsid w:val="00100F21"/>
    <w:rsid w:val="0010112E"/>
    <w:rsid w:val="00101194"/>
    <w:rsid w:val="00104DDA"/>
    <w:rsid w:val="00105562"/>
    <w:rsid w:val="001060F0"/>
    <w:rsid w:val="00107D39"/>
    <w:rsid w:val="00107E81"/>
    <w:rsid w:val="00110CAE"/>
    <w:rsid w:val="00112802"/>
    <w:rsid w:val="001150C8"/>
    <w:rsid w:val="00115A03"/>
    <w:rsid w:val="00120582"/>
    <w:rsid w:val="00123DF3"/>
    <w:rsid w:val="0012612C"/>
    <w:rsid w:val="0012618D"/>
    <w:rsid w:val="001264BE"/>
    <w:rsid w:val="00131319"/>
    <w:rsid w:val="001326B8"/>
    <w:rsid w:val="00133F0F"/>
    <w:rsid w:val="0013640A"/>
    <w:rsid w:val="00137B7C"/>
    <w:rsid w:val="00137FF4"/>
    <w:rsid w:val="00142542"/>
    <w:rsid w:val="00143D4F"/>
    <w:rsid w:val="00147ECF"/>
    <w:rsid w:val="001509A5"/>
    <w:rsid w:val="00151358"/>
    <w:rsid w:val="001528F7"/>
    <w:rsid w:val="00157E7E"/>
    <w:rsid w:val="00160A9D"/>
    <w:rsid w:val="00161FBA"/>
    <w:rsid w:val="0016324C"/>
    <w:rsid w:val="001637E6"/>
    <w:rsid w:val="001646C7"/>
    <w:rsid w:val="001661DF"/>
    <w:rsid w:val="00166289"/>
    <w:rsid w:val="00167BC0"/>
    <w:rsid w:val="00170C4F"/>
    <w:rsid w:val="001743B9"/>
    <w:rsid w:val="00180C54"/>
    <w:rsid w:val="00180EFE"/>
    <w:rsid w:val="00183BEA"/>
    <w:rsid w:val="00184A5E"/>
    <w:rsid w:val="0018579A"/>
    <w:rsid w:val="0019148A"/>
    <w:rsid w:val="001A0539"/>
    <w:rsid w:val="001A09DE"/>
    <w:rsid w:val="001A5CDC"/>
    <w:rsid w:val="001A7336"/>
    <w:rsid w:val="001B37EE"/>
    <w:rsid w:val="001B455F"/>
    <w:rsid w:val="001B7789"/>
    <w:rsid w:val="001C0BBE"/>
    <w:rsid w:val="001C47B4"/>
    <w:rsid w:val="001C7A81"/>
    <w:rsid w:val="001D0E4A"/>
    <w:rsid w:val="001D4A30"/>
    <w:rsid w:val="001D5992"/>
    <w:rsid w:val="001D620B"/>
    <w:rsid w:val="001D748A"/>
    <w:rsid w:val="001E2FBC"/>
    <w:rsid w:val="001E35E5"/>
    <w:rsid w:val="001E3AE0"/>
    <w:rsid w:val="001E4ED8"/>
    <w:rsid w:val="001F5D0C"/>
    <w:rsid w:val="001F6241"/>
    <w:rsid w:val="00203576"/>
    <w:rsid w:val="002111A4"/>
    <w:rsid w:val="002136F9"/>
    <w:rsid w:val="00213C13"/>
    <w:rsid w:val="00214A65"/>
    <w:rsid w:val="00214E11"/>
    <w:rsid w:val="0021510A"/>
    <w:rsid w:val="00217ABC"/>
    <w:rsid w:val="00217CD9"/>
    <w:rsid w:val="00217F8C"/>
    <w:rsid w:val="002202C8"/>
    <w:rsid w:val="00220469"/>
    <w:rsid w:val="00220B1B"/>
    <w:rsid w:val="00220F2D"/>
    <w:rsid w:val="00222DE6"/>
    <w:rsid w:val="002258E9"/>
    <w:rsid w:val="00226226"/>
    <w:rsid w:val="00230813"/>
    <w:rsid w:val="00231314"/>
    <w:rsid w:val="00231845"/>
    <w:rsid w:val="002339FF"/>
    <w:rsid w:val="00235CEC"/>
    <w:rsid w:val="002460EA"/>
    <w:rsid w:val="00246DBB"/>
    <w:rsid w:val="002537F9"/>
    <w:rsid w:val="00253875"/>
    <w:rsid w:val="0025448C"/>
    <w:rsid w:val="00264707"/>
    <w:rsid w:val="002660DD"/>
    <w:rsid w:val="00272FC8"/>
    <w:rsid w:val="00277351"/>
    <w:rsid w:val="00277BB5"/>
    <w:rsid w:val="002826F6"/>
    <w:rsid w:val="00286337"/>
    <w:rsid w:val="00287A1A"/>
    <w:rsid w:val="0029648C"/>
    <w:rsid w:val="002966A3"/>
    <w:rsid w:val="00296F6F"/>
    <w:rsid w:val="00297D35"/>
    <w:rsid w:val="002A0370"/>
    <w:rsid w:val="002A055F"/>
    <w:rsid w:val="002A2803"/>
    <w:rsid w:val="002A4245"/>
    <w:rsid w:val="002B19F4"/>
    <w:rsid w:val="002B4E72"/>
    <w:rsid w:val="002B52E8"/>
    <w:rsid w:val="002B6790"/>
    <w:rsid w:val="002B6B13"/>
    <w:rsid w:val="002B6E57"/>
    <w:rsid w:val="002B72CF"/>
    <w:rsid w:val="002C2E51"/>
    <w:rsid w:val="002C471B"/>
    <w:rsid w:val="002C5A0E"/>
    <w:rsid w:val="002C7AB6"/>
    <w:rsid w:val="002D54DB"/>
    <w:rsid w:val="002E1D11"/>
    <w:rsid w:val="002E3553"/>
    <w:rsid w:val="002E695F"/>
    <w:rsid w:val="002F308B"/>
    <w:rsid w:val="002F59DF"/>
    <w:rsid w:val="002F6545"/>
    <w:rsid w:val="002F68D9"/>
    <w:rsid w:val="002F737A"/>
    <w:rsid w:val="002F73BF"/>
    <w:rsid w:val="002F7968"/>
    <w:rsid w:val="00300BA8"/>
    <w:rsid w:val="0030183E"/>
    <w:rsid w:val="00305027"/>
    <w:rsid w:val="003111A2"/>
    <w:rsid w:val="0031451A"/>
    <w:rsid w:val="0031530B"/>
    <w:rsid w:val="00321B30"/>
    <w:rsid w:val="00322C4B"/>
    <w:rsid w:val="00323A00"/>
    <w:rsid w:val="0032479B"/>
    <w:rsid w:val="00325CDF"/>
    <w:rsid w:val="00326D75"/>
    <w:rsid w:val="003331DE"/>
    <w:rsid w:val="003332D7"/>
    <w:rsid w:val="003349A6"/>
    <w:rsid w:val="00336D14"/>
    <w:rsid w:val="00340515"/>
    <w:rsid w:val="003413B4"/>
    <w:rsid w:val="0034521F"/>
    <w:rsid w:val="003458EB"/>
    <w:rsid w:val="00345A28"/>
    <w:rsid w:val="003467A2"/>
    <w:rsid w:val="003515E2"/>
    <w:rsid w:val="00351749"/>
    <w:rsid w:val="0035184A"/>
    <w:rsid w:val="00355399"/>
    <w:rsid w:val="003600B5"/>
    <w:rsid w:val="00361ABE"/>
    <w:rsid w:val="00362AD2"/>
    <w:rsid w:val="003638FE"/>
    <w:rsid w:val="003668C2"/>
    <w:rsid w:val="00367182"/>
    <w:rsid w:val="0037709D"/>
    <w:rsid w:val="00380543"/>
    <w:rsid w:val="00383AFE"/>
    <w:rsid w:val="00384108"/>
    <w:rsid w:val="00384E9A"/>
    <w:rsid w:val="003856B3"/>
    <w:rsid w:val="003858BE"/>
    <w:rsid w:val="003859B8"/>
    <w:rsid w:val="0039099F"/>
    <w:rsid w:val="00393CA8"/>
    <w:rsid w:val="00397134"/>
    <w:rsid w:val="003A063A"/>
    <w:rsid w:val="003A67CF"/>
    <w:rsid w:val="003B4B4D"/>
    <w:rsid w:val="003B5115"/>
    <w:rsid w:val="003B5AAE"/>
    <w:rsid w:val="003B696A"/>
    <w:rsid w:val="003C18C8"/>
    <w:rsid w:val="003C28DD"/>
    <w:rsid w:val="003C4C34"/>
    <w:rsid w:val="003C7632"/>
    <w:rsid w:val="003C7809"/>
    <w:rsid w:val="003D0BF2"/>
    <w:rsid w:val="003D4436"/>
    <w:rsid w:val="003D5153"/>
    <w:rsid w:val="003D5F84"/>
    <w:rsid w:val="003E0D5A"/>
    <w:rsid w:val="003E3829"/>
    <w:rsid w:val="003E38BD"/>
    <w:rsid w:val="003E68AB"/>
    <w:rsid w:val="003F098D"/>
    <w:rsid w:val="003F1C45"/>
    <w:rsid w:val="003F1F45"/>
    <w:rsid w:val="003F34F8"/>
    <w:rsid w:val="003F6AEE"/>
    <w:rsid w:val="003F7927"/>
    <w:rsid w:val="003F7A0C"/>
    <w:rsid w:val="00402F66"/>
    <w:rsid w:val="00403314"/>
    <w:rsid w:val="00404848"/>
    <w:rsid w:val="00411545"/>
    <w:rsid w:val="00412072"/>
    <w:rsid w:val="00415B93"/>
    <w:rsid w:val="00420586"/>
    <w:rsid w:val="00420FC3"/>
    <w:rsid w:val="00421DFA"/>
    <w:rsid w:val="00423CEA"/>
    <w:rsid w:val="004260A3"/>
    <w:rsid w:val="00426621"/>
    <w:rsid w:val="0043226B"/>
    <w:rsid w:val="0043326B"/>
    <w:rsid w:val="00434144"/>
    <w:rsid w:val="00435BC6"/>
    <w:rsid w:val="004409EE"/>
    <w:rsid w:val="00441624"/>
    <w:rsid w:val="0044320E"/>
    <w:rsid w:val="00443CBF"/>
    <w:rsid w:val="00443D8E"/>
    <w:rsid w:val="00444730"/>
    <w:rsid w:val="00452F25"/>
    <w:rsid w:val="00453BE6"/>
    <w:rsid w:val="00454E6B"/>
    <w:rsid w:val="0045502B"/>
    <w:rsid w:val="004566D2"/>
    <w:rsid w:val="0045695D"/>
    <w:rsid w:val="00461AD0"/>
    <w:rsid w:val="004634AB"/>
    <w:rsid w:val="00466348"/>
    <w:rsid w:val="004706E6"/>
    <w:rsid w:val="0047569F"/>
    <w:rsid w:val="00476803"/>
    <w:rsid w:val="004774EC"/>
    <w:rsid w:val="00480132"/>
    <w:rsid w:val="004802D9"/>
    <w:rsid w:val="00480BDB"/>
    <w:rsid w:val="00481CDD"/>
    <w:rsid w:val="0048320C"/>
    <w:rsid w:val="004851D3"/>
    <w:rsid w:val="00492555"/>
    <w:rsid w:val="00493C71"/>
    <w:rsid w:val="00494844"/>
    <w:rsid w:val="00496C67"/>
    <w:rsid w:val="004A15BA"/>
    <w:rsid w:val="004A1630"/>
    <w:rsid w:val="004A16CA"/>
    <w:rsid w:val="004A19AC"/>
    <w:rsid w:val="004A3E48"/>
    <w:rsid w:val="004B13EB"/>
    <w:rsid w:val="004B24DB"/>
    <w:rsid w:val="004B36BA"/>
    <w:rsid w:val="004B48CF"/>
    <w:rsid w:val="004C00BE"/>
    <w:rsid w:val="004C023B"/>
    <w:rsid w:val="004C0E82"/>
    <w:rsid w:val="004C1326"/>
    <w:rsid w:val="004C1C0B"/>
    <w:rsid w:val="004C42BC"/>
    <w:rsid w:val="004C4B65"/>
    <w:rsid w:val="004C5682"/>
    <w:rsid w:val="004C6795"/>
    <w:rsid w:val="004C71DC"/>
    <w:rsid w:val="004D1ADF"/>
    <w:rsid w:val="004D4A97"/>
    <w:rsid w:val="004D5467"/>
    <w:rsid w:val="004D6EA5"/>
    <w:rsid w:val="004D7ECE"/>
    <w:rsid w:val="004E6A77"/>
    <w:rsid w:val="004F05BD"/>
    <w:rsid w:val="004F5845"/>
    <w:rsid w:val="004F7236"/>
    <w:rsid w:val="005016AD"/>
    <w:rsid w:val="00501C58"/>
    <w:rsid w:val="00502E26"/>
    <w:rsid w:val="00504EDE"/>
    <w:rsid w:val="005118BF"/>
    <w:rsid w:val="005142E6"/>
    <w:rsid w:val="00514DF5"/>
    <w:rsid w:val="005216B1"/>
    <w:rsid w:val="005230E8"/>
    <w:rsid w:val="005248B7"/>
    <w:rsid w:val="00524AAD"/>
    <w:rsid w:val="00527DED"/>
    <w:rsid w:val="00533989"/>
    <w:rsid w:val="0053576A"/>
    <w:rsid w:val="0053749E"/>
    <w:rsid w:val="0053783C"/>
    <w:rsid w:val="00540A63"/>
    <w:rsid w:val="00541EAD"/>
    <w:rsid w:val="00543B84"/>
    <w:rsid w:val="00551444"/>
    <w:rsid w:val="005516BA"/>
    <w:rsid w:val="00554CE3"/>
    <w:rsid w:val="00565E3C"/>
    <w:rsid w:val="0056641F"/>
    <w:rsid w:val="005668C7"/>
    <w:rsid w:val="00571660"/>
    <w:rsid w:val="0057233D"/>
    <w:rsid w:val="00573321"/>
    <w:rsid w:val="005758E3"/>
    <w:rsid w:val="005914DA"/>
    <w:rsid w:val="00591F3F"/>
    <w:rsid w:val="00594228"/>
    <w:rsid w:val="005946A1"/>
    <w:rsid w:val="00594DBC"/>
    <w:rsid w:val="0059501D"/>
    <w:rsid w:val="005A0E5B"/>
    <w:rsid w:val="005A1707"/>
    <w:rsid w:val="005A390C"/>
    <w:rsid w:val="005A3A26"/>
    <w:rsid w:val="005A6CF0"/>
    <w:rsid w:val="005B0870"/>
    <w:rsid w:val="005B2C7F"/>
    <w:rsid w:val="005B635A"/>
    <w:rsid w:val="005C1367"/>
    <w:rsid w:val="005C137A"/>
    <w:rsid w:val="005C3C93"/>
    <w:rsid w:val="005C7304"/>
    <w:rsid w:val="005D1938"/>
    <w:rsid w:val="005D1C59"/>
    <w:rsid w:val="005D3202"/>
    <w:rsid w:val="005D48DB"/>
    <w:rsid w:val="005E25FB"/>
    <w:rsid w:val="005E2F99"/>
    <w:rsid w:val="005E3EBE"/>
    <w:rsid w:val="005E3F38"/>
    <w:rsid w:val="005E782A"/>
    <w:rsid w:val="005F18AC"/>
    <w:rsid w:val="005F2C77"/>
    <w:rsid w:val="00605878"/>
    <w:rsid w:val="0060679A"/>
    <w:rsid w:val="00606A11"/>
    <w:rsid w:val="00610C35"/>
    <w:rsid w:val="00611462"/>
    <w:rsid w:val="00612C1F"/>
    <w:rsid w:val="006133CC"/>
    <w:rsid w:val="00614387"/>
    <w:rsid w:val="00614689"/>
    <w:rsid w:val="00616253"/>
    <w:rsid w:val="0061673D"/>
    <w:rsid w:val="00617262"/>
    <w:rsid w:val="006201A2"/>
    <w:rsid w:val="006226F3"/>
    <w:rsid w:val="006227F1"/>
    <w:rsid w:val="00622C1A"/>
    <w:rsid w:val="00623718"/>
    <w:rsid w:val="00625AF6"/>
    <w:rsid w:val="00626C3A"/>
    <w:rsid w:val="00633525"/>
    <w:rsid w:val="00634491"/>
    <w:rsid w:val="00640A2B"/>
    <w:rsid w:val="006410AE"/>
    <w:rsid w:val="00641DDB"/>
    <w:rsid w:val="00645AA4"/>
    <w:rsid w:val="0064614C"/>
    <w:rsid w:val="006501D9"/>
    <w:rsid w:val="0065343F"/>
    <w:rsid w:val="00662461"/>
    <w:rsid w:val="00663C2A"/>
    <w:rsid w:val="00664ABD"/>
    <w:rsid w:val="00672863"/>
    <w:rsid w:val="0067333E"/>
    <w:rsid w:val="00674008"/>
    <w:rsid w:val="006747F2"/>
    <w:rsid w:val="0067739E"/>
    <w:rsid w:val="00677827"/>
    <w:rsid w:val="00680AC1"/>
    <w:rsid w:val="00681547"/>
    <w:rsid w:val="00681630"/>
    <w:rsid w:val="00682C95"/>
    <w:rsid w:val="00685B7E"/>
    <w:rsid w:val="00685D10"/>
    <w:rsid w:val="00694FA7"/>
    <w:rsid w:val="006A29F5"/>
    <w:rsid w:val="006A2D0D"/>
    <w:rsid w:val="006A4D20"/>
    <w:rsid w:val="006A79F4"/>
    <w:rsid w:val="006B1A0A"/>
    <w:rsid w:val="006B49C1"/>
    <w:rsid w:val="006B60A9"/>
    <w:rsid w:val="006B6793"/>
    <w:rsid w:val="006C41F0"/>
    <w:rsid w:val="006C497C"/>
    <w:rsid w:val="006C75C9"/>
    <w:rsid w:val="006C7F0A"/>
    <w:rsid w:val="006D1032"/>
    <w:rsid w:val="006D48FF"/>
    <w:rsid w:val="006D4950"/>
    <w:rsid w:val="006E2BEB"/>
    <w:rsid w:val="006E2F3D"/>
    <w:rsid w:val="006E3F3F"/>
    <w:rsid w:val="006E44D5"/>
    <w:rsid w:val="006E4EA8"/>
    <w:rsid w:val="006F08B7"/>
    <w:rsid w:val="00702554"/>
    <w:rsid w:val="0070267A"/>
    <w:rsid w:val="00704E87"/>
    <w:rsid w:val="0070542B"/>
    <w:rsid w:val="00705864"/>
    <w:rsid w:val="0071015C"/>
    <w:rsid w:val="0071261D"/>
    <w:rsid w:val="0071777A"/>
    <w:rsid w:val="00722FD3"/>
    <w:rsid w:val="00724D14"/>
    <w:rsid w:val="00727D4B"/>
    <w:rsid w:val="00736D71"/>
    <w:rsid w:val="007372DF"/>
    <w:rsid w:val="00737EEA"/>
    <w:rsid w:val="00741B7A"/>
    <w:rsid w:val="00747B86"/>
    <w:rsid w:val="007504EC"/>
    <w:rsid w:val="007508E2"/>
    <w:rsid w:val="007560DB"/>
    <w:rsid w:val="00756FB5"/>
    <w:rsid w:val="00756FFD"/>
    <w:rsid w:val="00761FD8"/>
    <w:rsid w:val="00766052"/>
    <w:rsid w:val="00767E72"/>
    <w:rsid w:val="00770B52"/>
    <w:rsid w:val="00771915"/>
    <w:rsid w:val="00775C9B"/>
    <w:rsid w:val="00776703"/>
    <w:rsid w:val="007857ED"/>
    <w:rsid w:val="0079289A"/>
    <w:rsid w:val="00795C0E"/>
    <w:rsid w:val="007961C7"/>
    <w:rsid w:val="0079740B"/>
    <w:rsid w:val="00797B24"/>
    <w:rsid w:val="007A0CD6"/>
    <w:rsid w:val="007A0FAF"/>
    <w:rsid w:val="007A113F"/>
    <w:rsid w:val="007A1179"/>
    <w:rsid w:val="007A1D32"/>
    <w:rsid w:val="007A5B10"/>
    <w:rsid w:val="007A6154"/>
    <w:rsid w:val="007A683C"/>
    <w:rsid w:val="007A6D78"/>
    <w:rsid w:val="007B04A9"/>
    <w:rsid w:val="007B119C"/>
    <w:rsid w:val="007B187B"/>
    <w:rsid w:val="007B1FF2"/>
    <w:rsid w:val="007B4196"/>
    <w:rsid w:val="007B536D"/>
    <w:rsid w:val="007B53BD"/>
    <w:rsid w:val="007C074F"/>
    <w:rsid w:val="007C2233"/>
    <w:rsid w:val="007C27E7"/>
    <w:rsid w:val="007C38AE"/>
    <w:rsid w:val="007C4438"/>
    <w:rsid w:val="007C4BDE"/>
    <w:rsid w:val="007C6B07"/>
    <w:rsid w:val="007D0ED0"/>
    <w:rsid w:val="007D39FA"/>
    <w:rsid w:val="007D3CE4"/>
    <w:rsid w:val="007D6D40"/>
    <w:rsid w:val="007D719A"/>
    <w:rsid w:val="007E07E5"/>
    <w:rsid w:val="007E090D"/>
    <w:rsid w:val="007E4D6B"/>
    <w:rsid w:val="007E586D"/>
    <w:rsid w:val="007E5AE7"/>
    <w:rsid w:val="007F1DF1"/>
    <w:rsid w:val="007F2820"/>
    <w:rsid w:val="007F2E31"/>
    <w:rsid w:val="007F2F27"/>
    <w:rsid w:val="007F341C"/>
    <w:rsid w:val="007F3F04"/>
    <w:rsid w:val="007F5056"/>
    <w:rsid w:val="007F6705"/>
    <w:rsid w:val="00800029"/>
    <w:rsid w:val="00800203"/>
    <w:rsid w:val="00802994"/>
    <w:rsid w:val="00802E86"/>
    <w:rsid w:val="00803A57"/>
    <w:rsid w:val="008048A3"/>
    <w:rsid w:val="00805344"/>
    <w:rsid w:val="00805BEB"/>
    <w:rsid w:val="00806DE5"/>
    <w:rsid w:val="008104E5"/>
    <w:rsid w:val="008111A1"/>
    <w:rsid w:val="00812A52"/>
    <w:rsid w:val="00812B54"/>
    <w:rsid w:val="00816118"/>
    <w:rsid w:val="00816C40"/>
    <w:rsid w:val="008170C3"/>
    <w:rsid w:val="00825742"/>
    <w:rsid w:val="00833989"/>
    <w:rsid w:val="00833FEE"/>
    <w:rsid w:val="00834654"/>
    <w:rsid w:val="008346F1"/>
    <w:rsid w:val="008354B1"/>
    <w:rsid w:val="008365E2"/>
    <w:rsid w:val="00836AA3"/>
    <w:rsid w:val="0084014A"/>
    <w:rsid w:val="00840D93"/>
    <w:rsid w:val="0084176C"/>
    <w:rsid w:val="00842D69"/>
    <w:rsid w:val="00844285"/>
    <w:rsid w:val="008450AB"/>
    <w:rsid w:val="00846D68"/>
    <w:rsid w:val="008539A0"/>
    <w:rsid w:val="00855C88"/>
    <w:rsid w:val="00857785"/>
    <w:rsid w:val="00857AD8"/>
    <w:rsid w:val="008601D6"/>
    <w:rsid w:val="008607DC"/>
    <w:rsid w:val="00860E29"/>
    <w:rsid w:val="00861BC4"/>
    <w:rsid w:val="00863EE0"/>
    <w:rsid w:val="00866111"/>
    <w:rsid w:val="00866AB6"/>
    <w:rsid w:val="008704B2"/>
    <w:rsid w:val="00872187"/>
    <w:rsid w:val="00874906"/>
    <w:rsid w:val="00874BFC"/>
    <w:rsid w:val="00876B56"/>
    <w:rsid w:val="0088161E"/>
    <w:rsid w:val="0088193E"/>
    <w:rsid w:val="00882774"/>
    <w:rsid w:val="00882B8D"/>
    <w:rsid w:val="00885AC5"/>
    <w:rsid w:val="00886F6A"/>
    <w:rsid w:val="00887D97"/>
    <w:rsid w:val="00890EBC"/>
    <w:rsid w:val="00891734"/>
    <w:rsid w:val="00895E46"/>
    <w:rsid w:val="008967CB"/>
    <w:rsid w:val="008977A4"/>
    <w:rsid w:val="008A3AA0"/>
    <w:rsid w:val="008A55D4"/>
    <w:rsid w:val="008B1019"/>
    <w:rsid w:val="008B3FC7"/>
    <w:rsid w:val="008B5DEA"/>
    <w:rsid w:val="008B6331"/>
    <w:rsid w:val="008B67BA"/>
    <w:rsid w:val="008B7405"/>
    <w:rsid w:val="008C301B"/>
    <w:rsid w:val="008C5B46"/>
    <w:rsid w:val="008C725C"/>
    <w:rsid w:val="008D00FA"/>
    <w:rsid w:val="008D63E7"/>
    <w:rsid w:val="008D73C7"/>
    <w:rsid w:val="008E0572"/>
    <w:rsid w:val="008E1519"/>
    <w:rsid w:val="008E287D"/>
    <w:rsid w:val="008E45A7"/>
    <w:rsid w:val="00900693"/>
    <w:rsid w:val="009006A6"/>
    <w:rsid w:val="00903037"/>
    <w:rsid w:val="009046B3"/>
    <w:rsid w:val="00905B3A"/>
    <w:rsid w:val="00916B64"/>
    <w:rsid w:val="00920C99"/>
    <w:rsid w:val="00925EBF"/>
    <w:rsid w:val="00927097"/>
    <w:rsid w:val="009275AE"/>
    <w:rsid w:val="009279C7"/>
    <w:rsid w:val="00931886"/>
    <w:rsid w:val="009332B4"/>
    <w:rsid w:val="0093372E"/>
    <w:rsid w:val="00933E5E"/>
    <w:rsid w:val="00940847"/>
    <w:rsid w:val="00940FA6"/>
    <w:rsid w:val="0094101C"/>
    <w:rsid w:val="009421B0"/>
    <w:rsid w:val="0094715F"/>
    <w:rsid w:val="009514A5"/>
    <w:rsid w:val="00953549"/>
    <w:rsid w:val="00954247"/>
    <w:rsid w:val="009564C7"/>
    <w:rsid w:val="00956F8D"/>
    <w:rsid w:val="009572C8"/>
    <w:rsid w:val="00962870"/>
    <w:rsid w:val="00962ACC"/>
    <w:rsid w:val="00964B02"/>
    <w:rsid w:val="009661C5"/>
    <w:rsid w:val="00972900"/>
    <w:rsid w:val="00972BE1"/>
    <w:rsid w:val="00974712"/>
    <w:rsid w:val="00974ED2"/>
    <w:rsid w:val="009756CC"/>
    <w:rsid w:val="00984865"/>
    <w:rsid w:val="00993114"/>
    <w:rsid w:val="009933AA"/>
    <w:rsid w:val="009967E9"/>
    <w:rsid w:val="00997538"/>
    <w:rsid w:val="009A2809"/>
    <w:rsid w:val="009A2EF8"/>
    <w:rsid w:val="009A4256"/>
    <w:rsid w:val="009B2BC0"/>
    <w:rsid w:val="009C1CE2"/>
    <w:rsid w:val="009C33B6"/>
    <w:rsid w:val="009C5D1A"/>
    <w:rsid w:val="009C64B8"/>
    <w:rsid w:val="009C672B"/>
    <w:rsid w:val="009C6EA7"/>
    <w:rsid w:val="009D1627"/>
    <w:rsid w:val="009D412F"/>
    <w:rsid w:val="009D797B"/>
    <w:rsid w:val="009D7B9F"/>
    <w:rsid w:val="009E0777"/>
    <w:rsid w:val="009E1498"/>
    <w:rsid w:val="009E1C34"/>
    <w:rsid w:val="009E2FCF"/>
    <w:rsid w:val="009E3D1F"/>
    <w:rsid w:val="009E7FE7"/>
    <w:rsid w:val="009F2D22"/>
    <w:rsid w:val="009F5199"/>
    <w:rsid w:val="009F6408"/>
    <w:rsid w:val="00A00E02"/>
    <w:rsid w:val="00A047ED"/>
    <w:rsid w:val="00A05452"/>
    <w:rsid w:val="00A077AC"/>
    <w:rsid w:val="00A07D0B"/>
    <w:rsid w:val="00A123BA"/>
    <w:rsid w:val="00A14408"/>
    <w:rsid w:val="00A21CCE"/>
    <w:rsid w:val="00A2254A"/>
    <w:rsid w:val="00A23A4F"/>
    <w:rsid w:val="00A23CC4"/>
    <w:rsid w:val="00A2552A"/>
    <w:rsid w:val="00A260BF"/>
    <w:rsid w:val="00A268ED"/>
    <w:rsid w:val="00A27BFC"/>
    <w:rsid w:val="00A3283D"/>
    <w:rsid w:val="00A32C05"/>
    <w:rsid w:val="00A347AC"/>
    <w:rsid w:val="00A35AB5"/>
    <w:rsid w:val="00A35DDA"/>
    <w:rsid w:val="00A40D7A"/>
    <w:rsid w:val="00A428B1"/>
    <w:rsid w:val="00A4428D"/>
    <w:rsid w:val="00A45C50"/>
    <w:rsid w:val="00A45DFE"/>
    <w:rsid w:val="00A47351"/>
    <w:rsid w:val="00A47721"/>
    <w:rsid w:val="00A47E7E"/>
    <w:rsid w:val="00A47FEC"/>
    <w:rsid w:val="00A50146"/>
    <w:rsid w:val="00A52E4B"/>
    <w:rsid w:val="00A53075"/>
    <w:rsid w:val="00A543C4"/>
    <w:rsid w:val="00A56AFF"/>
    <w:rsid w:val="00A637BA"/>
    <w:rsid w:val="00A63F81"/>
    <w:rsid w:val="00A66FA8"/>
    <w:rsid w:val="00A70CA2"/>
    <w:rsid w:val="00A71A44"/>
    <w:rsid w:val="00A7363E"/>
    <w:rsid w:val="00A805C4"/>
    <w:rsid w:val="00A81C0E"/>
    <w:rsid w:val="00A826A4"/>
    <w:rsid w:val="00A828D4"/>
    <w:rsid w:val="00A83919"/>
    <w:rsid w:val="00A84585"/>
    <w:rsid w:val="00A84832"/>
    <w:rsid w:val="00A8542F"/>
    <w:rsid w:val="00A92E22"/>
    <w:rsid w:val="00A95AFB"/>
    <w:rsid w:val="00AA1ED7"/>
    <w:rsid w:val="00AA2125"/>
    <w:rsid w:val="00AA7B39"/>
    <w:rsid w:val="00AB291E"/>
    <w:rsid w:val="00AB3079"/>
    <w:rsid w:val="00AB454C"/>
    <w:rsid w:val="00AB7314"/>
    <w:rsid w:val="00AC0B60"/>
    <w:rsid w:val="00AC35C8"/>
    <w:rsid w:val="00AC5579"/>
    <w:rsid w:val="00AC77D9"/>
    <w:rsid w:val="00AD254C"/>
    <w:rsid w:val="00AD3F91"/>
    <w:rsid w:val="00AD5063"/>
    <w:rsid w:val="00AE0656"/>
    <w:rsid w:val="00AE0F5B"/>
    <w:rsid w:val="00AE17FA"/>
    <w:rsid w:val="00AE1929"/>
    <w:rsid w:val="00AE3AEB"/>
    <w:rsid w:val="00AE7FF3"/>
    <w:rsid w:val="00AF1302"/>
    <w:rsid w:val="00AF5F1C"/>
    <w:rsid w:val="00AF6CF5"/>
    <w:rsid w:val="00B0490C"/>
    <w:rsid w:val="00B05534"/>
    <w:rsid w:val="00B05CAE"/>
    <w:rsid w:val="00B070E2"/>
    <w:rsid w:val="00B12019"/>
    <w:rsid w:val="00B122D8"/>
    <w:rsid w:val="00B13624"/>
    <w:rsid w:val="00B13908"/>
    <w:rsid w:val="00B151A8"/>
    <w:rsid w:val="00B20392"/>
    <w:rsid w:val="00B235BC"/>
    <w:rsid w:val="00B24221"/>
    <w:rsid w:val="00B2626C"/>
    <w:rsid w:val="00B307F7"/>
    <w:rsid w:val="00B32CAE"/>
    <w:rsid w:val="00B3421D"/>
    <w:rsid w:val="00B35641"/>
    <w:rsid w:val="00B36173"/>
    <w:rsid w:val="00B36D13"/>
    <w:rsid w:val="00B41020"/>
    <w:rsid w:val="00B42F9A"/>
    <w:rsid w:val="00B43741"/>
    <w:rsid w:val="00B459DA"/>
    <w:rsid w:val="00B4647E"/>
    <w:rsid w:val="00B4774B"/>
    <w:rsid w:val="00B52622"/>
    <w:rsid w:val="00B529B8"/>
    <w:rsid w:val="00B53EAE"/>
    <w:rsid w:val="00B63108"/>
    <w:rsid w:val="00B64A4E"/>
    <w:rsid w:val="00B64BC6"/>
    <w:rsid w:val="00B657A0"/>
    <w:rsid w:val="00B66875"/>
    <w:rsid w:val="00B71C05"/>
    <w:rsid w:val="00B73167"/>
    <w:rsid w:val="00B756D1"/>
    <w:rsid w:val="00B7661F"/>
    <w:rsid w:val="00B77958"/>
    <w:rsid w:val="00B7798B"/>
    <w:rsid w:val="00B82491"/>
    <w:rsid w:val="00B851D0"/>
    <w:rsid w:val="00B92194"/>
    <w:rsid w:val="00B94AC5"/>
    <w:rsid w:val="00B95D90"/>
    <w:rsid w:val="00B96171"/>
    <w:rsid w:val="00B97C03"/>
    <w:rsid w:val="00BA114B"/>
    <w:rsid w:val="00BA4C4A"/>
    <w:rsid w:val="00BA5453"/>
    <w:rsid w:val="00BA65F5"/>
    <w:rsid w:val="00BA7026"/>
    <w:rsid w:val="00BA718D"/>
    <w:rsid w:val="00BA7E13"/>
    <w:rsid w:val="00BB1932"/>
    <w:rsid w:val="00BB471C"/>
    <w:rsid w:val="00BB4F74"/>
    <w:rsid w:val="00BB5003"/>
    <w:rsid w:val="00BB60E7"/>
    <w:rsid w:val="00BC050E"/>
    <w:rsid w:val="00BC12EE"/>
    <w:rsid w:val="00BC1489"/>
    <w:rsid w:val="00BC203B"/>
    <w:rsid w:val="00BC33A9"/>
    <w:rsid w:val="00BD6DC6"/>
    <w:rsid w:val="00BE1BEC"/>
    <w:rsid w:val="00BE4A86"/>
    <w:rsid w:val="00BE4A91"/>
    <w:rsid w:val="00BE60A7"/>
    <w:rsid w:val="00BF28B3"/>
    <w:rsid w:val="00BF6FA8"/>
    <w:rsid w:val="00BF76B0"/>
    <w:rsid w:val="00C02712"/>
    <w:rsid w:val="00C07890"/>
    <w:rsid w:val="00C078A2"/>
    <w:rsid w:val="00C07B2A"/>
    <w:rsid w:val="00C11F6E"/>
    <w:rsid w:val="00C13F63"/>
    <w:rsid w:val="00C15831"/>
    <w:rsid w:val="00C168B7"/>
    <w:rsid w:val="00C21595"/>
    <w:rsid w:val="00C22F13"/>
    <w:rsid w:val="00C22FCC"/>
    <w:rsid w:val="00C24264"/>
    <w:rsid w:val="00C2444F"/>
    <w:rsid w:val="00C30D22"/>
    <w:rsid w:val="00C31744"/>
    <w:rsid w:val="00C33666"/>
    <w:rsid w:val="00C364DD"/>
    <w:rsid w:val="00C37792"/>
    <w:rsid w:val="00C415BC"/>
    <w:rsid w:val="00C44E2D"/>
    <w:rsid w:val="00C46B60"/>
    <w:rsid w:val="00C474B2"/>
    <w:rsid w:val="00C563B6"/>
    <w:rsid w:val="00C624A2"/>
    <w:rsid w:val="00C65656"/>
    <w:rsid w:val="00C6612D"/>
    <w:rsid w:val="00C66A53"/>
    <w:rsid w:val="00C66FB7"/>
    <w:rsid w:val="00C76490"/>
    <w:rsid w:val="00C8220D"/>
    <w:rsid w:val="00C848C9"/>
    <w:rsid w:val="00C8655B"/>
    <w:rsid w:val="00C91CDE"/>
    <w:rsid w:val="00C91F22"/>
    <w:rsid w:val="00C92C81"/>
    <w:rsid w:val="00C943E9"/>
    <w:rsid w:val="00CA01B6"/>
    <w:rsid w:val="00CA2781"/>
    <w:rsid w:val="00CA398D"/>
    <w:rsid w:val="00CA45CB"/>
    <w:rsid w:val="00CA6808"/>
    <w:rsid w:val="00CA7567"/>
    <w:rsid w:val="00CB4015"/>
    <w:rsid w:val="00CB452C"/>
    <w:rsid w:val="00CB4A3D"/>
    <w:rsid w:val="00CB5C0F"/>
    <w:rsid w:val="00CB7FDA"/>
    <w:rsid w:val="00CC0EAF"/>
    <w:rsid w:val="00CC505F"/>
    <w:rsid w:val="00CC5715"/>
    <w:rsid w:val="00CD1726"/>
    <w:rsid w:val="00CD225D"/>
    <w:rsid w:val="00CD4175"/>
    <w:rsid w:val="00CD6C71"/>
    <w:rsid w:val="00CD78E5"/>
    <w:rsid w:val="00CE076F"/>
    <w:rsid w:val="00CE0E41"/>
    <w:rsid w:val="00CE2D7F"/>
    <w:rsid w:val="00CE32CD"/>
    <w:rsid w:val="00CE44DD"/>
    <w:rsid w:val="00CF2931"/>
    <w:rsid w:val="00CF3754"/>
    <w:rsid w:val="00CF3D31"/>
    <w:rsid w:val="00CF3FE8"/>
    <w:rsid w:val="00D0363A"/>
    <w:rsid w:val="00D065C5"/>
    <w:rsid w:val="00D0782A"/>
    <w:rsid w:val="00D1077A"/>
    <w:rsid w:val="00D1446B"/>
    <w:rsid w:val="00D230C6"/>
    <w:rsid w:val="00D2649C"/>
    <w:rsid w:val="00D273BE"/>
    <w:rsid w:val="00D3252E"/>
    <w:rsid w:val="00D32643"/>
    <w:rsid w:val="00D3367B"/>
    <w:rsid w:val="00D37D3B"/>
    <w:rsid w:val="00D609BA"/>
    <w:rsid w:val="00D61413"/>
    <w:rsid w:val="00D62541"/>
    <w:rsid w:val="00D64F3A"/>
    <w:rsid w:val="00D66247"/>
    <w:rsid w:val="00D66886"/>
    <w:rsid w:val="00D66F49"/>
    <w:rsid w:val="00D7284C"/>
    <w:rsid w:val="00D74280"/>
    <w:rsid w:val="00D765D5"/>
    <w:rsid w:val="00D77AEF"/>
    <w:rsid w:val="00D813D8"/>
    <w:rsid w:val="00D8175D"/>
    <w:rsid w:val="00D818CF"/>
    <w:rsid w:val="00D81A15"/>
    <w:rsid w:val="00D83624"/>
    <w:rsid w:val="00D83DD9"/>
    <w:rsid w:val="00D879C7"/>
    <w:rsid w:val="00D9071B"/>
    <w:rsid w:val="00D9317E"/>
    <w:rsid w:val="00D97A95"/>
    <w:rsid w:val="00DA0216"/>
    <w:rsid w:val="00DA24A3"/>
    <w:rsid w:val="00DB0400"/>
    <w:rsid w:val="00DB0B93"/>
    <w:rsid w:val="00DB0CCC"/>
    <w:rsid w:val="00DB227F"/>
    <w:rsid w:val="00DB2BAB"/>
    <w:rsid w:val="00DB49D5"/>
    <w:rsid w:val="00DB759D"/>
    <w:rsid w:val="00DC0B72"/>
    <w:rsid w:val="00DC578C"/>
    <w:rsid w:val="00DC6A1F"/>
    <w:rsid w:val="00DC6F92"/>
    <w:rsid w:val="00DD1747"/>
    <w:rsid w:val="00DD2133"/>
    <w:rsid w:val="00DD38F6"/>
    <w:rsid w:val="00DD4988"/>
    <w:rsid w:val="00DD4A11"/>
    <w:rsid w:val="00DD4FB9"/>
    <w:rsid w:val="00DD737B"/>
    <w:rsid w:val="00DE1033"/>
    <w:rsid w:val="00DE251C"/>
    <w:rsid w:val="00DE288F"/>
    <w:rsid w:val="00DE2BFF"/>
    <w:rsid w:val="00DE3226"/>
    <w:rsid w:val="00DE58F9"/>
    <w:rsid w:val="00DE680C"/>
    <w:rsid w:val="00DE7971"/>
    <w:rsid w:val="00DF1985"/>
    <w:rsid w:val="00DF5B31"/>
    <w:rsid w:val="00E02114"/>
    <w:rsid w:val="00E03783"/>
    <w:rsid w:val="00E03A6B"/>
    <w:rsid w:val="00E06502"/>
    <w:rsid w:val="00E0716D"/>
    <w:rsid w:val="00E10E7C"/>
    <w:rsid w:val="00E15007"/>
    <w:rsid w:val="00E17769"/>
    <w:rsid w:val="00E20ABC"/>
    <w:rsid w:val="00E23505"/>
    <w:rsid w:val="00E24890"/>
    <w:rsid w:val="00E26737"/>
    <w:rsid w:val="00E30BDB"/>
    <w:rsid w:val="00E34C6A"/>
    <w:rsid w:val="00E36724"/>
    <w:rsid w:val="00E42612"/>
    <w:rsid w:val="00E42AF9"/>
    <w:rsid w:val="00E44E76"/>
    <w:rsid w:val="00E457A5"/>
    <w:rsid w:val="00E45EDE"/>
    <w:rsid w:val="00E516C7"/>
    <w:rsid w:val="00E52FD0"/>
    <w:rsid w:val="00E53668"/>
    <w:rsid w:val="00E562C9"/>
    <w:rsid w:val="00E57CE7"/>
    <w:rsid w:val="00E64D73"/>
    <w:rsid w:val="00E65B2B"/>
    <w:rsid w:val="00E703AC"/>
    <w:rsid w:val="00E84AD3"/>
    <w:rsid w:val="00E8555A"/>
    <w:rsid w:val="00E907D3"/>
    <w:rsid w:val="00E9117E"/>
    <w:rsid w:val="00E91C2B"/>
    <w:rsid w:val="00E9267B"/>
    <w:rsid w:val="00E9477F"/>
    <w:rsid w:val="00EA168E"/>
    <w:rsid w:val="00EA2585"/>
    <w:rsid w:val="00EA416E"/>
    <w:rsid w:val="00EA6533"/>
    <w:rsid w:val="00EA7196"/>
    <w:rsid w:val="00EB209E"/>
    <w:rsid w:val="00EB6899"/>
    <w:rsid w:val="00EC0FB9"/>
    <w:rsid w:val="00EC1329"/>
    <w:rsid w:val="00EC1698"/>
    <w:rsid w:val="00EC21B3"/>
    <w:rsid w:val="00EC26B2"/>
    <w:rsid w:val="00EC4BAC"/>
    <w:rsid w:val="00EC58D0"/>
    <w:rsid w:val="00EC6200"/>
    <w:rsid w:val="00ED29DF"/>
    <w:rsid w:val="00EE220D"/>
    <w:rsid w:val="00EE440D"/>
    <w:rsid w:val="00EE4955"/>
    <w:rsid w:val="00EE5143"/>
    <w:rsid w:val="00EE75C1"/>
    <w:rsid w:val="00EF4112"/>
    <w:rsid w:val="00EF7399"/>
    <w:rsid w:val="00F02127"/>
    <w:rsid w:val="00F03096"/>
    <w:rsid w:val="00F04171"/>
    <w:rsid w:val="00F04CFE"/>
    <w:rsid w:val="00F04E3D"/>
    <w:rsid w:val="00F10690"/>
    <w:rsid w:val="00F14AAD"/>
    <w:rsid w:val="00F15A03"/>
    <w:rsid w:val="00F1614E"/>
    <w:rsid w:val="00F1787C"/>
    <w:rsid w:val="00F23B12"/>
    <w:rsid w:val="00F3551B"/>
    <w:rsid w:val="00F43948"/>
    <w:rsid w:val="00F4432F"/>
    <w:rsid w:val="00F47A3D"/>
    <w:rsid w:val="00F47D02"/>
    <w:rsid w:val="00F518DB"/>
    <w:rsid w:val="00F53D6E"/>
    <w:rsid w:val="00F55898"/>
    <w:rsid w:val="00F55EB1"/>
    <w:rsid w:val="00F56076"/>
    <w:rsid w:val="00F620DD"/>
    <w:rsid w:val="00F6265D"/>
    <w:rsid w:val="00F646A2"/>
    <w:rsid w:val="00F65BF5"/>
    <w:rsid w:val="00F70302"/>
    <w:rsid w:val="00F72A20"/>
    <w:rsid w:val="00F72AAD"/>
    <w:rsid w:val="00F72FBB"/>
    <w:rsid w:val="00F73BC2"/>
    <w:rsid w:val="00F73F3B"/>
    <w:rsid w:val="00F74775"/>
    <w:rsid w:val="00F75143"/>
    <w:rsid w:val="00F807D7"/>
    <w:rsid w:val="00F8218B"/>
    <w:rsid w:val="00F8241E"/>
    <w:rsid w:val="00F83C2D"/>
    <w:rsid w:val="00F848FF"/>
    <w:rsid w:val="00F8662C"/>
    <w:rsid w:val="00F90AD7"/>
    <w:rsid w:val="00F92857"/>
    <w:rsid w:val="00F941F8"/>
    <w:rsid w:val="00F97718"/>
    <w:rsid w:val="00F97C4A"/>
    <w:rsid w:val="00FA1207"/>
    <w:rsid w:val="00FA6D96"/>
    <w:rsid w:val="00FA7E59"/>
    <w:rsid w:val="00FB438B"/>
    <w:rsid w:val="00FB5E2B"/>
    <w:rsid w:val="00FB671E"/>
    <w:rsid w:val="00FC070A"/>
    <w:rsid w:val="00FC3792"/>
    <w:rsid w:val="00FC6389"/>
    <w:rsid w:val="00FD2B70"/>
    <w:rsid w:val="00FD480A"/>
    <w:rsid w:val="00FD4E1C"/>
    <w:rsid w:val="00FD5A4F"/>
    <w:rsid w:val="00FE041C"/>
    <w:rsid w:val="00FE3166"/>
    <w:rsid w:val="00FE3EEF"/>
    <w:rsid w:val="00FE5EBF"/>
    <w:rsid w:val="00FE7AEA"/>
    <w:rsid w:val="00FF3180"/>
    <w:rsid w:val="00FF4C28"/>
    <w:rsid w:val="00FF569F"/>
    <w:rsid w:val="00FF7182"/>
    <w:rsid w:val="01110D91"/>
    <w:rsid w:val="01232ED2"/>
    <w:rsid w:val="015D18DC"/>
    <w:rsid w:val="0184380B"/>
    <w:rsid w:val="01852BD3"/>
    <w:rsid w:val="018A6C3C"/>
    <w:rsid w:val="01912179"/>
    <w:rsid w:val="01A8609A"/>
    <w:rsid w:val="01A93FA3"/>
    <w:rsid w:val="01CA6EA2"/>
    <w:rsid w:val="01E05E16"/>
    <w:rsid w:val="01E05F01"/>
    <w:rsid w:val="020C0D2B"/>
    <w:rsid w:val="02195A53"/>
    <w:rsid w:val="022831DB"/>
    <w:rsid w:val="02375428"/>
    <w:rsid w:val="02427F54"/>
    <w:rsid w:val="024F494D"/>
    <w:rsid w:val="026D36BB"/>
    <w:rsid w:val="029D41FE"/>
    <w:rsid w:val="02A800C5"/>
    <w:rsid w:val="02B53517"/>
    <w:rsid w:val="02C6499B"/>
    <w:rsid w:val="02C91CAA"/>
    <w:rsid w:val="02D0709E"/>
    <w:rsid w:val="02FA438B"/>
    <w:rsid w:val="037D0CD2"/>
    <w:rsid w:val="038B3366"/>
    <w:rsid w:val="03981B5E"/>
    <w:rsid w:val="03996EAD"/>
    <w:rsid w:val="039F3A25"/>
    <w:rsid w:val="03F60BFA"/>
    <w:rsid w:val="04023CC8"/>
    <w:rsid w:val="04144049"/>
    <w:rsid w:val="042674F4"/>
    <w:rsid w:val="042A6EF2"/>
    <w:rsid w:val="042D3C13"/>
    <w:rsid w:val="04566DE4"/>
    <w:rsid w:val="04722D72"/>
    <w:rsid w:val="047A0BBC"/>
    <w:rsid w:val="04933E65"/>
    <w:rsid w:val="04BF52ED"/>
    <w:rsid w:val="04C12ED8"/>
    <w:rsid w:val="04DC5749"/>
    <w:rsid w:val="04E26FED"/>
    <w:rsid w:val="04E41F94"/>
    <w:rsid w:val="04FD6633"/>
    <w:rsid w:val="050F1997"/>
    <w:rsid w:val="0515595C"/>
    <w:rsid w:val="052E2B3B"/>
    <w:rsid w:val="054416D2"/>
    <w:rsid w:val="05507F0F"/>
    <w:rsid w:val="055A4D20"/>
    <w:rsid w:val="056F275C"/>
    <w:rsid w:val="05753C79"/>
    <w:rsid w:val="058324D6"/>
    <w:rsid w:val="05871A0A"/>
    <w:rsid w:val="05A42E7B"/>
    <w:rsid w:val="05A70EA9"/>
    <w:rsid w:val="05D55D36"/>
    <w:rsid w:val="060C2525"/>
    <w:rsid w:val="062756FD"/>
    <w:rsid w:val="06465A4B"/>
    <w:rsid w:val="065F7A31"/>
    <w:rsid w:val="067C53E7"/>
    <w:rsid w:val="06820F5E"/>
    <w:rsid w:val="06A7180A"/>
    <w:rsid w:val="06AE2ABA"/>
    <w:rsid w:val="06BA1001"/>
    <w:rsid w:val="06C75DF5"/>
    <w:rsid w:val="06DD02BB"/>
    <w:rsid w:val="06E71F51"/>
    <w:rsid w:val="06F3282F"/>
    <w:rsid w:val="06F965AD"/>
    <w:rsid w:val="07035F04"/>
    <w:rsid w:val="07050666"/>
    <w:rsid w:val="07166CB2"/>
    <w:rsid w:val="071A6392"/>
    <w:rsid w:val="071C4DB7"/>
    <w:rsid w:val="07362674"/>
    <w:rsid w:val="073B54B2"/>
    <w:rsid w:val="07410810"/>
    <w:rsid w:val="07537EF9"/>
    <w:rsid w:val="0760673E"/>
    <w:rsid w:val="076646E5"/>
    <w:rsid w:val="077E1A2E"/>
    <w:rsid w:val="07815EE7"/>
    <w:rsid w:val="0784155A"/>
    <w:rsid w:val="079A613C"/>
    <w:rsid w:val="07A22AF8"/>
    <w:rsid w:val="07E6454D"/>
    <w:rsid w:val="081748AE"/>
    <w:rsid w:val="08635851"/>
    <w:rsid w:val="08891E69"/>
    <w:rsid w:val="08A30341"/>
    <w:rsid w:val="08AD5E33"/>
    <w:rsid w:val="08B128CB"/>
    <w:rsid w:val="08C2359B"/>
    <w:rsid w:val="08ED052C"/>
    <w:rsid w:val="09041814"/>
    <w:rsid w:val="092D7BDC"/>
    <w:rsid w:val="09332D2B"/>
    <w:rsid w:val="093E2D64"/>
    <w:rsid w:val="09455F12"/>
    <w:rsid w:val="09472203"/>
    <w:rsid w:val="098B1DA7"/>
    <w:rsid w:val="098F7872"/>
    <w:rsid w:val="09907951"/>
    <w:rsid w:val="099F43E4"/>
    <w:rsid w:val="09A31A61"/>
    <w:rsid w:val="09BA7A85"/>
    <w:rsid w:val="09DE1094"/>
    <w:rsid w:val="09E2475B"/>
    <w:rsid w:val="0A183EA3"/>
    <w:rsid w:val="0A207013"/>
    <w:rsid w:val="0A3F34B7"/>
    <w:rsid w:val="0A441A30"/>
    <w:rsid w:val="0A4B11BE"/>
    <w:rsid w:val="0A7B4003"/>
    <w:rsid w:val="0A7D7D7B"/>
    <w:rsid w:val="0A8E5B8D"/>
    <w:rsid w:val="0AA240FA"/>
    <w:rsid w:val="0AA73E0E"/>
    <w:rsid w:val="0AAC0CBB"/>
    <w:rsid w:val="0ACC0D02"/>
    <w:rsid w:val="0AD84BD3"/>
    <w:rsid w:val="0AE941D3"/>
    <w:rsid w:val="0AFA761E"/>
    <w:rsid w:val="0B1061C6"/>
    <w:rsid w:val="0B246449"/>
    <w:rsid w:val="0B2B08D5"/>
    <w:rsid w:val="0B3A2110"/>
    <w:rsid w:val="0B896BF3"/>
    <w:rsid w:val="0B9874FD"/>
    <w:rsid w:val="0BA35012"/>
    <w:rsid w:val="0BB825ED"/>
    <w:rsid w:val="0BC0647C"/>
    <w:rsid w:val="0BD7624B"/>
    <w:rsid w:val="0BF26817"/>
    <w:rsid w:val="0C22464A"/>
    <w:rsid w:val="0C2B72AE"/>
    <w:rsid w:val="0C3A50BE"/>
    <w:rsid w:val="0C486A95"/>
    <w:rsid w:val="0C517E31"/>
    <w:rsid w:val="0C6222A3"/>
    <w:rsid w:val="0C623EAC"/>
    <w:rsid w:val="0C946488"/>
    <w:rsid w:val="0CAB3827"/>
    <w:rsid w:val="0CAD24AF"/>
    <w:rsid w:val="0CB27F34"/>
    <w:rsid w:val="0CE2660D"/>
    <w:rsid w:val="0D0D3F93"/>
    <w:rsid w:val="0D12389F"/>
    <w:rsid w:val="0D2820B7"/>
    <w:rsid w:val="0D2B5BA2"/>
    <w:rsid w:val="0D2F6875"/>
    <w:rsid w:val="0D33523D"/>
    <w:rsid w:val="0D4E3104"/>
    <w:rsid w:val="0D5B6D69"/>
    <w:rsid w:val="0D662EE5"/>
    <w:rsid w:val="0D6A3AE7"/>
    <w:rsid w:val="0D860EC5"/>
    <w:rsid w:val="0D9339BE"/>
    <w:rsid w:val="0D991370"/>
    <w:rsid w:val="0D9E6A67"/>
    <w:rsid w:val="0D9F0DC4"/>
    <w:rsid w:val="0DA07FC9"/>
    <w:rsid w:val="0DAE46EF"/>
    <w:rsid w:val="0DC02AA1"/>
    <w:rsid w:val="0DDE695A"/>
    <w:rsid w:val="0DF73A5B"/>
    <w:rsid w:val="0E164CA8"/>
    <w:rsid w:val="0E231949"/>
    <w:rsid w:val="0E2D072E"/>
    <w:rsid w:val="0E3B295D"/>
    <w:rsid w:val="0E47249B"/>
    <w:rsid w:val="0E4F077B"/>
    <w:rsid w:val="0E551882"/>
    <w:rsid w:val="0E5C239D"/>
    <w:rsid w:val="0E7306EC"/>
    <w:rsid w:val="0E945E50"/>
    <w:rsid w:val="0E963048"/>
    <w:rsid w:val="0EAD7E50"/>
    <w:rsid w:val="0EB254B2"/>
    <w:rsid w:val="0EB567A2"/>
    <w:rsid w:val="0ED91C40"/>
    <w:rsid w:val="0EE44C60"/>
    <w:rsid w:val="0EFB3F5D"/>
    <w:rsid w:val="0F041CC7"/>
    <w:rsid w:val="0F042317"/>
    <w:rsid w:val="0F072534"/>
    <w:rsid w:val="0F1209F8"/>
    <w:rsid w:val="0F4C19DA"/>
    <w:rsid w:val="0F4C7D05"/>
    <w:rsid w:val="0F4F31AF"/>
    <w:rsid w:val="0F5F17BD"/>
    <w:rsid w:val="0F6617B3"/>
    <w:rsid w:val="0F6B0BDE"/>
    <w:rsid w:val="0F7E014D"/>
    <w:rsid w:val="0F891F7D"/>
    <w:rsid w:val="0F904B36"/>
    <w:rsid w:val="0F90531D"/>
    <w:rsid w:val="0FAD64B5"/>
    <w:rsid w:val="0FB21FD4"/>
    <w:rsid w:val="0FB57489"/>
    <w:rsid w:val="0FE57427"/>
    <w:rsid w:val="0FFE176A"/>
    <w:rsid w:val="0FFF5930"/>
    <w:rsid w:val="1018536D"/>
    <w:rsid w:val="101D4748"/>
    <w:rsid w:val="105454A3"/>
    <w:rsid w:val="108E33C3"/>
    <w:rsid w:val="10981F7A"/>
    <w:rsid w:val="10A265EF"/>
    <w:rsid w:val="10DC5B73"/>
    <w:rsid w:val="10E305D2"/>
    <w:rsid w:val="10EC4A0F"/>
    <w:rsid w:val="10FB7C4C"/>
    <w:rsid w:val="11156FC6"/>
    <w:rsid w:val="11485B0D"/>
    <w:rsid w:val="114C7209"/>
    <w:rsid w:val="114D3805"/>
    <w:rsid w:val="1154158B"/>
    <w:rsid w:val="11677BA5"/>
    <w:rsid w:val="117076B2"/>
    <w:rsid w:val="119E6579"/>
    <w:rsid w:val="11D435DD"/>
    <w:rsid w:val="11DA3C43"/>
    <w:rsid w:val="11E15B8A"/>
    <w:rsid w:val="11EC57E6"/>
    <w:rsid w:val="11F35990"/>
    <w:rsid w:val="1220326C"/>
    <w:rsid w:val="122C043B"/>
    <w:rsid w:val="123A67B6"/>
    <w:rsid w:val="125515DD"/>
    <w:rsid w:val="125670E6"/>
    <w:rsid w:val="125E1A9C"/>
    <w:rsid w:val="1276289F"/>
    <w:rsid w:val="1288522D"/>
    <w:rsid w:val="128F714D"/>
    <w:rsid w:val="129D6A95"/>
    <w:rsid w:val="12AF4046"/>
    <w:rsid w:val="12B74046"/>
    <w:rsid w:val="12CE506D"/>
    <w:rsid w:val="12D036D1"/>
    <w:rsid w:val="12EC4D41"/>
    <w:rsid w:val="12F65490"/>
    <w:rsid w:val="12F73D2A"/>
    <w:rsid w:val="12F9698E"/>
    <w:rsid w:val="13112273"/>
    <w:rsid w:val="131C7C5D"/>
    <w:rsid w:val="134E5054"/>
    <w:rsid w:val="13511DF6"/>
    <w:rsid w:val="1359610F"/>
    <w:rsid w:val="138B4634"/>
    <w:rsid w:val="138F1214"/>
    <w:rsid w:val="13BF412F"/>
    <w:rsid w:val="13C00A21"/>
    <w:rsid w:val="13D101C7"/>
    <w:rsid w:val="1400440E"/>
    <w:rsid w:val="14005579"/>
    <w:rsid w:val="142669A3"/>
    <w:rsid w:val="142B5D9F"/>
    <w:rsid w:val="14301CC2"/>
    <w:rsid w:val="143805F9"/>
    <w:rsid w:val="144729D8"/>
    <w:rsid w:val="147A44EB"/>
    <w:rsid w:val="148530C5"/>
    <w:rsid w:val="148E78CB"/>
    <w:rsid w:val="149F4D92"/>
    <w:rsid w:val="14A13E6D"/>
    <w:rsid w:val="14AB614D"/>
    <w:rsid w:val="14B96C2B"/>
    <w:rsid w:val="15067DFC"/>
    <w:rsid w:val="15181495"/>
    <w:rsid w:val="153870BF"/>
    <w:rsid w:val="15436E45"/>
    <w:rsid w:val="154871D8"/>
    <w:rsid w:val="15507C7E"/>
    <w:rsid w:val="15536127"/>
    <w:rsid w:val="15562B61"/>
    <w:rsid w:val="1556607F"/>
    <w:rsid w:val="1557566D"/>
    <w:rsid w:val="15664AEF"/>
    <w:rsid w:val="158E23E1"/>
    <w:rsid w:val="159D7EA6"/>
    <w:rsid w:val="159F1BF9"/>
    <w:rsid w:val="15A00DC2"/>
    <w:rsid w:val="15B71B1D"/>
    <w:rsid w:val="15E63361"/>
    <w:rsid w:val="160B0227"/>
    <w:rsid w:val="16864176"/>
    <w:rsid w:val="16B34B25"/>
    <w:rsid w:val="16E04880"/>
    <w:rsid w:val="16F86032"/>
    <w:rsid w:val="16FE2244"/>
    <w:rsid w:val="17081A7A"/>
    <w:rsid w:val="17092996"/>
    <w:rsid w:val="17292C0C"/>
    <w:rsid w:val="17372AF5"/>
    <w:rsid w:val="1751439F"/>
    <w:rsid w:val="176F50FE"/>
    <w:rsid w:val="17AD5A18"/>
    <w:rsid w:val="17D10049"/>
    <w:rsid w:val="17D75109"/>
    <w:rsid w:val="17DD0B49"/>
    <w:rsid w:val="17EA6CFE"/>
    <w:rsid w:val="17EE4479"/>
    <w:rsid w:val="17F1563C"/>
    <w:rsid w:val="17F23C73"/>
    <w:rsid w:val="180F3B80"/>
    <w:rsid w:val="181B1411"/>
    <w:rsid w:val="181C1400"/>
    <w:rsid w:val="18223BBF"/>
    <w:rsid w:val="18406E44"/>
    <w:rsid w:val="185C1918"/>
    <w:rsid w:val="1880349D"/>
    <w:rsid w:val="18A24E51"/>
    <w:rsid w:val="18BD142C"/>
    <w:rsid w:val="18BD60C6"/>
    <w:rsid w:val="18D435BC"/>
    <w:rsid w:val="18DC65B5"/>
    <w:rsid w:val="18E261BC"/>
    <w:rsid w:val="18E6320F"/>
    <w:rsid w:val="190050D9"/>
    <w:rsid w:val="19193365"/>
    <w:rsid w:val="19261639"/>
    <w:rsid w:val="195D5C0E"/>
    <w:rsid w:val="19795DC5"/>
    <w:rsid w:val="19B116AD"/>
    <w:rsid w:val="19B17485"/>
    <w:rsid w:val="19B64CC2"/>
    <w:rsid w:val="19BA69A5"/>
    <w:rsid w:val="19CC487B"/>
    <w:rsid w:val="19DE789B"/>
    <w:rsid w:val="19DF6D3F"/>
    <w:rsid w:val="19E24459"/>
    <w:rsid w:val="19E75211"/>
    <w:rsid w:val="19EF2451"/>
    <w:rsid w:val="1A176F08"/>
    <w:rsid w:val="1A194A1B"/>
    <w:rsid w:val="1A305FF4"/>
    <w:rsid w:val="1A3D7EBE"/>
    <w:rsid w:val="1A4353A0"/>
    <w:rsid w:val="1A557489"/>
    <w:rsid w:val="1A89451A"/>
    <w:rsid w:val="1AD511ED"/>
    <w:rsid w:val="1AE61F72"/>
    <w:rsid w:val="1AF45443"/>
    <w:rsid w:val="1B075A0C"/>
    <w:rsid w:val="1B1A7868"/>
    <w:rsid w:val="1B1C7DC9"/>
    <w:rsid w:val="1B67066F"/>
    <w:rsid w:val="1B7229E4"/>
    <w:rsid w:val="1B7A5EC7"/>
    <w:rsid w:val="1B8D5F8D"/>
    <w:rsid w:val="1B8E5EC0"/>
    <w:rsid w:val="1BBE47DE"/>
    <w:rsid w:val="1BC10D01"/>
    <w:rsid w:val="1C2613A8"/>
    <w:rsid w:val="1C477E44"/>
    <w:rsid w:val="1C8461DD"/>
    <w:rsid w:val="1C9B22E2"/>
    <w:rsid w:val="1CA53B30"/>
    <w:rsid w:val="1CB33990"/>
    <w:rsid w:val="1CBE72D2"/>
    <w:rsid w:val="1CF6260F"/>
    <w:rsid w:val="1CF83AEA"/>
    <w:rsid w:val="1CF911FC"/>
    <w:rsid w:val="1CFC0FD3"/>
    <w:rsid w:val="1CFF7A9C"/>
    <w:rsid w:val="1D34223E"/>
    <w:rsid w:val="1D681B82"/>
    <w:rsid w:val="1D6914D5"/>
    <w:rsid w:val="1D7C7A22"/>
    <w:rsid w:val="1D7E09CF"/>
    <w:rsid w:val="1D9F1A69"/>
    <w:rsid w:val="1DB50BD0"/>
    <w:rsid w:val="1DD7388B"/>
    <w:rsid w:val="1DE41480"/>
    <w:rsid w:val="1DEB1932"/>
    <w:rsid w:val="1E2139B7"/>
    <w:rsid w:val="1E7A14A8"/>
    <w:rsid w:val="1E7F32B0"/>
    <w:rsid w:val="1E9C7B40"/>
    <w:rsid w:val="1EA77665"/>
    <w:rsid w:val="1EBA058B"/>
    <w:rsid w:val="1EBB622E"/>
    <w:rsid w:val="1ED17F52"/>
    <w:rsid w:val="1EDD751C"/>
    <w:rsid w:val="1EE170B7"/>
    <w:rsid w:val="1EEA13A6"/>
    <w:rsid w:val="1EEB392A"/>
    <w:rsid w:val="1EFE64E9"/>
    <w:rsid w:val="1F6207D0"/>
    <w:rsid w:val="1F8A7AB0"/>
    <w:rsid w:val="1FA53BA4"/>
    <w:rsid w:val="1FCA360B"/>
    <w:rsid w:val="1FE1627D"/>
    <w:rsid w:val="1FEA603B"/>
    <w:rsid w:val="20084133"/>
    <w:rsid w:val="20133D98"/>
    <w:rsid w:val="20226856"/>
    <w:rsid w:val="20293E2F"/>
    <w:rsid w:val="20686E43"/>
    <w:rsid w:val="206E3E8E"/>
    <w:rsid w:val="207224C8"/>
    <w:rsid w:val="2076639A"/>
    <w:rsid w:val="2093114F"/>
    <w:rsid w:val="209B57AA"/>
    <w:rsid w:val="20A121FD"/>
    <w:rsid w:val="20C20004"/>
    <w:rsid w:val="20C66F34"/>
    <w:rsid w:val="20D83D6E"/>
    <w:rsid w:val="20DE5531"/>
    <w:rsid w:val="20E1180E"/>
    <w:rsid w:val="20EA6084"/>
    <w:rsid w:val="20F01139"/>
    <w:rsid w:val="20F1461D"/>
    <w:rsid w:val="211641D5"/>
    <w:rsid w:val="212B522B"/>
    <w:rsid w:val="213F6312"/>
    <w:rsid w:val="21736537"/>
    <w:rsid w:val="217E2000"/>
    <w:rsid w:val="21977807"/>
    <w:rsid w:val="219A6D4B"/>
    <w:rsid w:val="21B30D9B"/>
    <w:rsid w:val="21B32189"/>
    <w:rsid w:val="21C2735E"/>
    <w:rsid w:val="21CF480B"/>
    <w:rsid w:val="21E57FA3"/>
    <w:rsid w:val="21FB5A74"/>
    <w:rsid w:val="226650A3"/>
    <w:rsid w:val="22677BAA"/>
    <w:rsid w:val="226827C0"/>
    <w:rsid w:val="227C6EFF"/>
    <w:rsid w:val="22942795"/>
    <w:rsid w:val="22A10D06"/>
    <w:rsid w:val="22B665A5"/>
    <w:rsid w:val="22B66C9F"/>
    <w:rsid w:val="22C925E0"/>
    <w:rsid w:val="22D84291"/>
    <w:rsid w:val="22E46F4A"/>
    <w:rsid w:val="22E82DE7"/>
    <w:rsid w:val="22F20159"/>
    <w:rsid w:val="22FC6B3F"/>
    <w:rsid w:val="23005537"/>
    <w:rsid w:val="231A3C9A"/>
    <w:rsid w:val="231B23CF"/>
    <w:rsid w:val="232C54A8"/>
    <w:rsid w:val="233C2C53"/>
    <w:rsid w:val="23486890"/>
    <w:rsid w:val="236F1F61"/>
    <w:rsid w:val="23AB4CDF"/>
    <w:rsid w:val="23C37A75"/>
    <w:rsid w:val="240404D0"/>
    <w:rsid w:val="240D5DDB"/>
    <w:rsid w:val="241B6DE6"/>
    <w:rsid w:val="24220F3E"/>
    <w:rsid w:val="2423604B"/>
    <w:rsid w:val="243A3F7E"/>
    <w:rsid w:val="24436391"/>
    <w:rsid w:val="2450121E"/>
    <w:rsid w:val="247A4C56"/>
    <w:rsid w:val="2487622C"/>
    <w:rsid w:val="24973094"/>
    <w:rsid w:val="24AD6D9A"/>
    <w:rsid w:val="24E52AD8"/>
    <w:rsid w:val="24E85B0E"/>
    <w:rsid w:val="250A6267"/>
    <w:rsid w:val="251418FC"/>
    <w:rsid w:val="252B19DB"/>
    <w:rsid w:val="254925FD"/>
    <w:rsid w:val="255249D2"/>
    <w:rsid w:val="256C0CC0"/>
    <w:rsid w:val="25712B23"/>
    <w:rsid w:val="25951FC5"/>
    <w:rsid w:val="25A845B3"/>
    <w:rsid w:val="25B34D67"/>
    <w:rsid w:val="25EB71B7"/>
    <w:rsid w:val="26154215"/>
    <w:rsid w:val="261A0BE6"/>
    <w:rsid w:val="26215F4F"/>
    <w:rsid w:val="26385E8A"/>
    <w:rsid w:val="263C7691"/>
    <w:rsid w:val="265E2776"/>
    <w:rsid w:val="26666FDC"/>
    <w:rsid w:val="26706683"/>
    <w:rsid w:val="26963D4E"/>
    <w:rsid w:val="26AB763C"/>
    <w:rsid w:val="26B267E7"/>
    <w:rsid w:val="26D794B7"/>
    <w:rsid w:val="26E02FA9"/>
    <w:rsid w:val="26F131DC"/>
    <w:rsid w:val="26F65310"/>
    <w:rsid w:val="27052D05"/>
    <w:rsid w:val="27082804"/>
    <w:rsid w:val="270832AE"/>
    <w:rsid w:val="27343A60"/>
    <w:rsid w:val="27357F9F"/>
    <w:rsid w:val="275E35BF"/>
    <w:rsid w:val="27A4553F"/>
    <w:rsid w:val="27CA7E10"/>
    <w:rsid w:val="27D35135"/>
    <w:rsid w:val="27DD1D93"/>
    <w:rsid w:val="27EF1935"/>
    <w:rsid w:val="280A1B75"/>
    <w:rsid w:val="28257458"/>
    <w:rsid w:val="283962F8"/>
    <w:rsid w:val="28422AB2"/>
    <w:rsid w:val="284E28FF"/>
    <w:rsid w:val="285D6583"/>
    <w:rsid w:val="287A36F4"/>
    <w:rsid w:val="288458E7"/>
    <w:rsid w:val="28A33A20"/>
    <w:rsid w:val="28A47F17"/>
    <w:rsid w:val="28A95D87"/>
    <w:rsid w:val="28C444F4"/>
    <w:rsid w:val="28FE6071"/>
    <w:rsid w:val="290212C1"/>
    <w:rsid w:val="290D5ED8"/>
    <w:rsid w:val="29656DCE"/>
    <w:rsid w:val="29722140"/>
    <w:rsid w:val="298B4B23"/>
    <w:rsid w:val="29AD63FD"/>
    <w:rsid w:val="29B175E9"/>
    <w:rsid w:val="29B71FDB"/>
    <w:rsid w:val="29CF18DD"/>
    <w:rsid w:val="29D65D23"/>
    <w:rsid w:val="29D875FE"/>
    <w:rsid w:val="29DF010E"/>
    <w:rsid w:val="29FE44DD"/>
    <w:rsid w:val="2A1169E3"/>
    <w:rsid w:val="2A194E5D"/>
    <w:rsid w:val="2A21554B"/>
    <w:rsid w:val="2A2A17CD"/>
    <w:rsid w:val="2A594BC2"/>
    <w:rsid w:val="2A5A558B"/>
    <w:rsid w:val="2A9F7561"/>
    <w:rsid w:val="2AA90FA0"/>
    <w:rsid w:val="2AB103DC"/>
    <w:rsid w:val="2AB31CE2"/>
    <w:rsid w:val="2AB55266"/>
    <w:rsid w:val="2AF000D8"/>
    <w:rsid w:val="2B3C2B7F"/>
    <w:rsid w:val="2B487382"/>
    <w:rsid w:val="2B552F60"/>
    <w:rsid w:val="2B5D3585"/>
    <w:rsid w:val="2B663608"/>
    <w:rsid w:val="2B7841A6"/>
    <w:rsid w:val="2BB367B9"/>
    <w:rsid w:val="2BB62D59"/>
    <w:rsid w:val="2BEA293F"/>
    <w:rsid w:val="2BEC2B5B"/>
    <w:rsid w:val="2C13380B"/>
    <w:rsid w:val="2C184D47"/>
    <w:rsid w:val="2C796A89"/>
    <w:rsid w:val="2C7C10B6"/>
    <w:rsid w:val="2CB204A3"/>
    <w:rsid w:val="2CBD3A96"/>
    <w:rsid w:val="2CC74339"/>
    <w:rsid w:val="2CCC23F7"/>
    <w:rsid w:val="2CCE1414"/>
    <w:rsid w:val="2CF93ABF"/>
    <w:rsid w:val="2D1C573E"/>
    <w:rsid w:val="2D1E27A3"/>
    <w:rsid w:val="2D1E560F"/>
    <w:rsid w:val="2D394FF5"/>
    <w:rsid w:val="2D766528"/>
    <w:rsid w:val="2D797435"/>
    <w:rsid w:val="2DF26007"/>
    <w:rsid w:val="2DF50B51"/>
    <w:rsid w:val="2E6111A5"/>
    <w:rsid w:val="2E671D49"/>
    <w:rsid w:val="2E6A704D"/>
    <w:rsid w:val="2E6C0B54"/>
    <w:rsid w:val="2E7A444E"/>
    <w:rsid w:val="2E8A6255"/>
    <w:rsid w:val="2E8B21B7"/>
    <w:rsid w:val="2EA51EA6"/>
    <w:rsid w:val="2EB8596B"/>
    <w:rsid w:val="2EC8145A"/>
    <w:rsid w:val="2F0B1048"/>
    <w:rsid w:val="2F132DA3"/>
    <w:rsid w:val="2F141AAA"/>
    <w:rsid w:val="2F57653D"/>
    <w:rsid w:val="2F5A3045"/>
    <w:rsid w:val="2FCA4353"/>
    <w:rsid w:val="2FE55D75"/>
    <w:rsid w:val="2FF23F99"/>
    <w:rsid w:val="2FF43D8C"/>
    <w:rsid w:val="2FFD0E93"/>
    <w:rsid w:val="2FFF3277"/>
    <w:rsid w:val="30236367"/>
    <w:rsid w:val="30331BC6"/>
    <w:rsid w:val="303E7E03"/>
    <w:rsid w:val="30405AEB"/>
    <w:rsid w:val="304A182B"/>
    <w:rsid w:val="30700C52"/>
    <w:rsid w:val="30757C00"/>
    <w:rsid w:val="30782C0F"/>
    <w:rsid w:val="307D5D65"/>
    <w:rsid w:val="30B34CE3"/>
    <w:rsid w:val="30CB1C83"/>
    <w:rsid w:val="30ED2830"/>
    <w:rsid w:val="310743D8"/>
    <w:rsid w:val="3112096E"/>
    <w:rsid w:val="312C6A6C"/>
    <w:rsid w:val="316B2857"/>
    <w:rsid w:val="31832D29"/>
    <w:rsid w:val="31997196"/>
    <w:rsid w:val="319D5339"/>
    <w:rsid w:val="319F2F47"/>
    <w:rsid w:val="31B2277E"/>
    <w:rsid w:val="31D20CDE"/>
    <w:rsid w:val="31F37E23"/>
    <w:rsid w:val="31FE689A"/>
    <w:rsid w:val="32223DC6"/>
    <w:rsid w:val="325A02A1"/>
    <w:rsid w:val="329032EF"/>
    <w:rsid w:val="329970EF"/>
    <w:rsid w:val="32AE0B6A"/>
    <w:rsid w:val="32B35AAA"/>
    <w:rsid w:val="32F81DE5"/>
    <w:rsid w:val="32FD11AA"/>
    <w:rsid w:val="330F3777"/>
    <w:rsid w:val="33135210"/>
    <w:rsid w:val="3326373F"/>
    <w:rsid w:val="333626EB"/>
    <w:rsid w:val="334459AC"/>
    <w:rsid w:val="33705A64"/>
    <w:rsid w:val="338E32D5"/>
    <w:rsid w:val="33A055AF"/>
    <w:rsid w:val="33A51E80"/>
    <w:rsid w:val="33B04066"/>
    <w:rsid w:val="33E16D1D"/>
    <w:rsid w:val="33EE589E"/>
    <w:rsid w:val="340329A9"/>
    <w:rsid w:val="340D7B12"/>
    <w:rsid w:val="341E2B5D"/>
    <w:rsid w:val="342645AD"/>
    <w:rsid w:val="342B057B"/>
    <w:rsid w:val="34335C8F"/>
    <w:rsid w:val="345968B4"/>
    <w:rsid w:val="34617CD8"/>
    <w:rsid w:val="346317C9"/>
    <w:rsid w:val="346A286F"/>
    <w:rsid w:val="346C1C91"/>
    <w:rsid w:val="34753860"/>
    <w:rsid w:val="348C6C4A"/>
    <w:rsid w:val="34A61339"/>
    <w:rsid w:val="34AF4725"/>
    <w:rsid w:val="34CC3006"/>
    <w:rsid w:val="34F3793E"/>
    <w:rsid w:val="34FA09EA"/>
    <w:rsid w:val="352C0378"/>
    <w:rsid w:val="354B5D9D"/>
    <w:rsid w:val="35506C87"/>
    <w:rsid w:val="35574E9C"/>
    <w:rsid w:val="35580207"/>
    <w:rsid w:val="35681367"/>
    <w:rsid w:val="35712E34"/>
    <w:rsid w:val="358054A4"/>
    <w:rsid w:val="35832558"/>
    <w:rsid w:val="359305B1"/>
    <w:rsid w:val="35966E67"/>
    <w:rsid w:val="35A973C7"/>
    <w:rsid w:val="35ED793B"/>
    <w:rsid w:val="35F06F52"/>
    <w:rsid w:val="35F84740"/>
    <w:rsid w:val="36383125"/>
    <w:rsid w:val="365E28A7"/>
    <w:rsid w:val="366C082D"/>
    <w:rsid w:val="368816D2"/>
    <w:rsid w:val="368C388A"/>
    <w:rsid w:val="36C00E6C"/>
    <w:rsid w:val="36C90DD1"/>
    <w:rsid w:val="36EF2646"/>
    <w:rsid w:val="36F275DD"/>
    <w:rsid w:val="36F55D23"/>
    <w:rsid w:val="37031C33"/>
    <w:rsid w:val="37084089"/>
    <w:rsid w:val="372A4537"/>
    <w:rsid w:val="374634AB"/>
    <w:rsid w:val="37543CF6"/>
    <w:rsid w:val="37704489"/>
    <w:rsid w:val="37710026"/>
    <w:rsid w:val="37731B16"/>
    <w:rsid w:val="37925427"/>
    <w:rsid w:val="37A01319"/>
    <w:rsid w:val="37A55DCC"/>
    <w:rsid w:val="37C075FB"/>
    <w:rsid w:val="37CA04FF"/>
    <w:rsid w:val="37D30771"/>
    <w:rsid w:val="37E3512E"/>
    <w:rsid w:val="37EC0BB8"/>
    <w:rsid w:val="382F75E3"/>
    <w:rsid w:val="38371ACC"/>
    <w:rsid w:val="38665479"/>
    <w:rsid w:val="389205E6"/>
    <w:rsid w:val="38A748FD"/>
    <w:rsid w:val="38D53666"/>
    <w:rsid w:val="38E70932"/>
    <w:rsid w:val="38FF39F5"/>
    <w:rsid w:val="394C68A5"/>
    <w:rsid w:val="3952462B"/>
    <w:rsid w:val="395E479A"/>
    <w:rsid w:val="39675804"/>
    <w:rsid w:val="3988749C"/>
    <w:rsid w:val="398A60A0"/>
    <w:rsid w:val="39A36C2D"/>
    <w:rsid w:val="39AA29B9"/>
    <w:rsid w:val="39AE63D1"/>
    <w:rsid w:val="39D7D99B"/>
    <w:rsid w:val="39E71AEC"/>
    <w:rsid w:val="39F60058"/>
    <w:rsid w:val="3A104089"/>
    <w:rsid w:val="3A190FBF"/>
    <w:rsid w:val="3A1A692D"/>
    <w:rsid w:val="3A1E783F"/>
    <w:rsid w:val="3A2B31D2"/>
    <w:rsid w:val="3A8217DE"/>
    <w:rsid w:val="3A822B01"/>
    <w:rsid w:val="3A8D375B"/>
    <w:rsid w:val="3AB8426E"/>
    <w:rsid w:val="3ABD5DEE"/>
    <w:rsid w:val="3ACF765C"/>
    <w:rsid w:val="3AD278CD"/>
    <w:rsid w:val="3AFA4BE5"/>
    <w:rsid w:val="3B046CCA"/>
    <w:rsid w:val="3B196D9D"/>
    <w:rsid w:val="3B2A44B8"/>
    <w:rsid w:val="3B2B6476"/>
    <w:rsid w:val="3BA0301A"/>
    <w:rsid w:val="3BAF3CA2"/>
    <w:rsid w:val="3BBC038E"/>
    <w:rsid w:val="3BD6104E"/>
    <w:rsid w:val="3BF72351"/>
    <w:rsid w:val="3BFE3F02"/>
    <w:rsid w:val="3C2972FD"/>
    <w:rsid w:val="3C3261E8"/>
    <w:rsid w:val="3C524EFE"/>
    <w:rsid w:val="3C53008C"/>
    <w:rsid w:val="3C5B4444"/>
    <w:rsid w:val="3C852047"/>
    <w:rsid w:val="3C896BEF"/>
    <w:rsid w:val="3C97F720"/>
    <w:rsid w:val="3CA13116"/>
    <w:rsid w:val="3CA925AE"/>
    <w:rsid w:val="3CC13485"/>
    <w:rsid w:val="3CCF4FA4"/>
    <w:rsid w:val="3CF877AB"/>
    <w:rsid w:val="3D306CB2"/>
    <w:rsid w:val="3D32729D"/>
    <w:rsid w:val="3D485E54"/>
    <w:rsid w:val="3D62504C"/>
    <w:rsid w:val="3D667959"/>
    <w:rsid w:val="3D8230F2"/>
    <w:rsid w:val="3D886E2C"/>
    <w:rsid w:val="3D9A6B04"/>
    <w:rsid w:val="3DAA5519"/>
    <w:rsid w:val="3DC413E8"/>
    <w:rsid w:val="3DCA34BB"/>
    <w:rsid w:val="3DD83D60"/>
    <w:rsid w:val="3DEE7764"/>
    <w:rsid w:val="3E044CAE"/>
    <w:rsid w:val="3E12201C"/>
    <w:rsid w:val="3E427218"/>
    <w:rsid w:val="3E460E59"/>
    <w:rsid w:val="3E8F30B5"/>
    <w:rsid w:val="3E962C89"/>
    <w:rsid w:val="3E9D9EE9"/>
    <w:rsid w:val="3EA27573"/>
    <w:rsid w:val="3EA72ABE"/>
    <w:rsid w:val="3EAD4174"/>
    <w:rsid w:val="3EAD7F9C"/>
    <w:rsid w:val="3EB32892"/>
    <w:rsid w:val="3EBC3336"/>
    <w:rsid w:val="3EDE79C6"/>
    <w:rsid w:val="3EF60080"/>
    <w:rsid w:val="3EF65530"/>
    <w:rsid w:val="3EFEC654"/>
    <w:rsid w:val="3F064AE9"/>
    <w:rsid w:val="3F3B0C43"/>
    <w:rsid w:val="3F4C62B0"/>
    <w:rsid w:val="3F585F31"/>
    <w:rsid w:val="3F6A4BE4"/>
    <w:rsid w:val="3F7279F0"/>
    <w:rsid w:val="3F7C65CA"/>
    <w:rsid w:val="3F7F0FB6"/>
    <w:rsid w:val="3F9717D1"/>
    <w:rsid w:val="3F9B13A5"/>
    <w:rsid w:val="3FB2485B"/>
    <w:rsid w:val="3FBD3AE8"/>
    <w:rsid w:val="3FEE166B"/>
    <w:rsid w:val="3FFEE24B"/>
    <w:rsid w:val="402A34B8"/>
    <w:rsid w:val="402C4889"/>
    <w:rsid w:val="40360CD1"/>
    <w:rsid w:val="40361D66"/>
    <w:rsid w:val="404C1EBB"/>
    <w:rsid w:val="405214DD"/>
    <w:rsid w:val="406060C3"/>
    <w:rsid w:val="40613E30"/>
    <w:rsid w:val="40736573"/>
    <w:rsid w:val="407D7357"/>
    <w:rsid w:val="40860A30"/>
    <w:rsid w:val="408D0A8F"/>
    <w:rsid w:val="409B4A07"/>
    <w:rsid w:val="40BF6E39"/>
    <w:rsid w:val="40C25B7F"/>
    <w:rsid w:val="40C73A02"/>
    <w:rsid w:val="40E02BC9"/>
    <w:rsid w:val="40F66678"/>
    <w:rsid w:val="40FA12EB"/>
    <w:rsid w:val="410A16AB"/>
    <w:rsid w:val="410E1C56"/>
    <w:rsid w:val="4120577A"/>
    <w:rsid w:val="41603084"/>
    <w:rsid w:val="41686388"/>
    <w:rsid w:val="416C142E"/>
    <w:rsid w:val="41886C7C"/>
    <w:rsid w:val="41E677EA"/>
    <w:rsid w:val="41FD121E"/>
    <w:rsid w:val="42117A10"/>
    <w:rsid w:val="421A7627"/>
    <w:rsid w:val="4233112B"/>
    <w:rsid w:val="42401E98"/>
    <w:rsid w:val="42474F8A"/>
    <w:rsid w:val="42872311"/>
    <w:rsid w:val="428B5762"/>
    <w:rsid w:val="429F3B64"/>
    <w:rsid w:val="42B64F1C"/>
    <w:rsid w:val="42C92887"/>
    <w:rsid w:val="42D47C2B"/>
    <w:rsid w:val="42DA32B5"/>
    <w:rsid w:val="42FB45E4"/>
    <w:rsid w:val="4307713D"/>
    <w:rsid w:val="433543AC"/>
    <w:rsid w:val="43420FE8"/>
    <w:rsid w:val="434513F0"/>
    <w:rsid w:val="435475DF"/>
    <w:rsid w:val="43606D1A"/>
    <w:rsid w:val="43702851"/>
    <w:rsid w:val="437269BA"/>
    <w:rsid w:val="437F3C65"/>
    <w:rsid w:val="43B34232"/>
    <w:rsid w:val="43CA4F48"/>
    <w:rsid w:val="43FE78B1"/>
    <w:rsid w:val="440A7CA0"/>
    <w:rsid w:val="440F2351"/>
    <w:rsid w:val="441F3AB4"/>
    <w:rsid w:val="4424604A"/>
    <w:rsid w:val="442967DE"/>
    <w:rsid w:val="445014AB"/>
    <w:rsid w:val="44674A51"/>
    <w:rsid w:val="44CE660D"/>
    <w:rsid w:val="44F103C7"/>
    <w:rsid w:val="452D47A4"/>
    <w:rsid w:val="4545710C"/>
    <w:rsid w:val="454C3E11"/>
    <w:rsid w:val="454F0B76"/>
    <w:rsid w:val="45795008"/>
    <w:rsid w:val="4579514B"/>
    <w:rsid w:val="457E2BBE"/>
    <w:rsid w:val="457F72E8"/>
    <w:rsid w:val="459F05CE"/>
    <w:rsid w:val="45A24B57"/>
    <w:rsid w:val="45D72674"/>
    <w:rsid w:val="45DE083B"/>
    <w:rsid w:val="45E076C0"/>
    <w:rsid w:val="45F36067"/>
    <w:rsid w:val="460C0745"/>
    <w:rsid w:val="463122D8"/>
    <w:rsid w:val="463144E5"/>
    <w:rsid w:val="4632053D"/>
    <w:rsid w:val="46577675"/>
    <w:rsid w:val="4662415A"/>
    <w:rsid w:val="4662498C"/>
    <w:rsid w:val="46641814"/>
    <w:rsid w:val="466E26B2"/>
    <w:rsid w:val="468425B0"/>
    <w:rsid w:val="46A022D9"/>
    <w:rsid w:val="46A9554B"/>
    <w:rsid w:val="46AF05B5"/>
    <w:rsid w:val="46B04A59"/>
    <w:rsid w:val="46B21457"/>
    <w:rsid w:val="46B411EC"/>
    <w:rsid w:val="46B75DE7"/>
    <w:rsid w:val="46BE1A6C"/>
    <w:rsid w:val="46BE6647"/>
    <w:rsid w:val="46D0431B"/>
    <w:rsid w:val="46D35FF3"/>
    <w:rsid w:val="46EE3897"/>
    <w:rsid w:val="47140585"/>
    <w:rsid w:val="471B3499"/>
    <w:rsid w:val="4730142A"/>
    <w:rsid w:val="476870E2"/>
    <w:rsid w:val="478A0CA0"/>
    <w:rsid w:val="478E4BD2"/>
    <w:rsid w:val="47C848F5"/>
    <w:rsid w:val="47D84DCE"/>
    <w:rsid w:val="47DD756D"/>
    <w:rsid w:val="48037A8A"/>
    <w:rsid w:val="48057880"/>
    <w:rsid w:val="48150BC3"/>
    <w:rsid w:val="48377D23"/>
    <w:rsid w:val="48587199"/>
    <w:rsid w:val="486634EE"/>
    <w:rsid w:val="48807890"/>
    <w:rsid w:val="48A64B98"/>
    <w:rsid w:val="48A71804"/>
    <w:rsid w:val="48B30830"/>
    <w:rsid w:val="48BC156D"/>
    <w:rsid w:val="48DF62C3"/>
    <w:rsid w:val="48EA3B26"/>
    <w:rsid w:val="48F765BE"/>
    <w:rsid w:val="490445F2"/>
    <w:rsid w:val="49137521"/>
    <w:rsid w:val="49320F23"/>
    <w:rsid w:val="493A087A"/>
    <w:rsid w:val="49831FB1"/>
    <w:rsid w:val="49A10911"/>
    <w:rsid w:val="49CA61CE"/>
    <w:rsid w:val="49DD73AE"/>
    <w:rsid w:val="49F95BD6"/>
    <w:rsid w:val="4A0C7375"/>
    <w:rsid w:val="4A194AA5"/>
    <w:rsid w:val="4A2710F3"/>
    <w:rsid w:val="4A2B3C78"/>
    <w:rsid w:val="4A4915FD"/>
    <w:rsid w:val="4A4934DE"/>
    <w:rsid w:val="4A4D25BF"/>
    <w:rsid w:val="4A5E47CC"/>
    <w:rsid w:val="4A6E0EB3"/>
    <w:rsid w:val="4A6E7636"/>
    <w:rsid w:val="4A9106FD"/>
    <w:rsid w:val="4AA73240"/>
    <w:rsid w:val="4AB72272"/>
    <w:rsid w:val="4AC63E7C"/>
    <w:rsid w:val="4AC94650"/>
    <w:rsid w:val="4AD703A4"/>
    <w:rsid w:val="4B305E1B"/>
    <w:rsid w:val="4B4B6AFE"/>
    <w:rsid w:val="4B5D2E40"/>
    <w:rsid w:val="4B602D44"/>
    <w:rsid w:val="4B842010"/>
    <w:rsid w:val="4BB92D8E"/>
    <w:rsid w:val="4BBB7216"/>
    <w:rsid w:val="4BD07B58"/>
    <w:rsid w:val="4BE87BA5"/>
    <w:rsid w:val="4C155F10"/>
    <w:rsid w:val="4C2F7851"/>
    <w:rsid w:val="4C3176AB"/>
    <w:rsid w:val="4C324162"/>
    <w:rsid w:val="4C350E7E"/>
    <w:rsid w:val="4C3C12ED"/>
    <w:rsid w:val="4C415DC1"/>
    <w:rsid w:val="4C5310F0"/>
    <w:rsid w:val="4C571AC7"/>
    <w:rsid w:val="4C6E278E"/>
    <w:rsid w:val="4CA95F3B"/>
    <w:rsid w:val="4CE45067"/>
    <w:rsid w:val="4CFF538B"/>
    <w:rsid w:val="4D2A4B22"/>
    <w:rsid w:val="4D471EEE"/>
    <w:rsid w:val="4D4D7800"/>
    <w:rsid w:val="4D7251FF"/>
    <w:rsid w:val="4DDB4948"/>
    <w:rsid w:val="4DE50C0B"/>
    <w:rsid w:val="4DF831B6"/>
    <w:rsid w:val="4E11105D"/>
    <w:rsid w:val="4E16225A"/>
    <w:rsid w:val="4E253AB8"/>
    <w:rsid w:val="4E472C92"/>
    <w:rsid w:val="4E824D97"/>
    <w:rsid w:val="4E9D5C2D"/>
    <w:rsid w:val="4EBA57C1"/>
    <w:rsid w:val="4EC8768D"/>
    <w:rsid w:val="4EEB58EF"/>
    <w:rsid w:val="4EFC68C1"/>
    <w:rsid w:val="4EFE6975"/>
    <w:rsid w:val="4F047E0A"/>
    <w:rsid w:val="4F08334E"/>
    <w:rsid w:val="4F3A59E7"/>
    <w:rsid w:val="4F477F24"/>
    <w:rsid w:val="4F87600D"/>
    <w:rsid w:val="4FA91AAC"/>
    <w:rsid w:val="4FBD0FF5"/>
    <w:rsid w:val="4FC854D7"/>
    <w:rsid w:val="50142DE1"/>
    <w:rsid w:val="5015687B"/>
    <w:rsid w:val="501926CA"/>
    <w:rsid w:val="503109FF"/>
    <w:rsid w:val="503E7F87"/>
    <w:rsid w:val="504544C8"/>
    <w:rsid w:val="505E3D68"/>
    <w:rsid w:val="505F4DFA"/>
    <w:rsid w:val="505F5918"/>
    <w:rsid w:val="506F5953"/>
    <w:rsid w:val="507A0E74"/>
    <w:rsid w:val="50A218B6"/>
    <w:rsid w:val="50AD2009"/>
    <w:rsid w:val="50C2531E"/>
    <w:rsid w:val="50D13748"/>
    <w:rsid w:val="50D43A3A"/>
    <w:rsid w:val="510A120A"/>
    <w:rsid w:val="512E16EC"/>
    <w:rsid w:val="51426BF5"/>
    <w:rsid w:val="515720D8"/>
    <w:rsid w:val="516A440A"/>
    <w:rsid w:val="51B053DC"/>
    <w:rsid w:val="51BA5A6F"/>
    <w:rsid w:val="51C42E16"/>
    <w:rsid w:val="51E5538B"/>
    <w:rsid w:val="52000D12"/>
    <w:rsid w:val="520D6221"/>
    <w:rsid w:val="5244074B"/>
    <w:rsid w:val="525351F4"/>
    <w:rsid w:val="525A6FBC"/>
    <w:rsid w:val="526C0997"/>
    <w:rsid w:val="5277467D"/>
    <w:rsid w:val="52855A65"/>
    <w:rsid w:val="52E11882"/>
    <w:rsid w:val="52E44E05"/>
    <w:rsid w:val="52F862D1"/>
    <w:rsid w:val="530B071F"/>
    <w:rsid w:val="53311AB3"/>
    <w:rsid w:val="53317F44"/>
    <w:rsid w:val="533D33D1"/>
    <w:rsid w:val="53511F1B"/>
    <w:rsid w:val="5353295D"/>
    <w:rsid w:val="53670B33"/>
    <w:rsid w:val="5374542D"/>
    <w:rsid w:val="537735FB"/>
    <w:rsid w:val="53775B6A"/>
    <w:rsid w:val="538F5737"/>
    <w:rsid w:val="53CA0B91"/>
    <w:rsid w:val="53D43855"/>
    <w:rsid w:val="53D6214F"/>
    <w:rsid w:val="53EE1101"/>
    <w:rsid w:val="53FC4E8E"/>
    <w:rsid w:val="54111ADD"/>
    <w:rsid w:val="541717DC"/>
    <w:rsid w:val="54271D5C"/>
    <w:rsid w:val="5427740E"/>
    <w:rsid w:val="542B571F"/>
    <w:rsid w:val="54976AA9"/>
    <w:rsid w:val="549A3F89"/>
    <w:rsid w:val="54A022DD"/>
    <w:rsid w:val="54AA7049"/>
    <w:rsid w:val="54CF639A"/>
    <w:rsid w:val="54DE0134"/>
    <w:rsid w:val="54FC0026"/>
    <w:rsid w:val="553C46BA"/>
    <w:rsid w:val="55485688"/>
    <w:rsid w:val="55494082"/>
    <w:rsid w:val="555B3FA7"/>
    <w:rsid w:val="555F54CC"/>
    <w:rsid w:val="557D5B60"/>
    <w:rsid w:val="55834A19"/>
    <w:rsid w:val="559D43FA"/>
    <w:rsid w:val="55CF743F"/>
    <w:rsid w:val="55F27046"/>
    <w:rsid w:val="55F526C6"/>
    <w:rsid w:val="56066DC9"/>
    <w:rsid w:val="560B2337"/>
    <w:rsid w:val="561A7CC7"/>
    <w:rsid w:val="564E1228"/>
    <w:rsid w:val="566535A8"/>
    <w:rsid w:val="567E0FA3"/>
    <w:rsid w:val="56A6131D"/>
    <w:rsid w:val="56A82B00"/>
    <w:rsid w:val="56BC5AD0"/>
    <w:rsid w:val="56D00C68"/>
    <w:rsid w:val="56EB60FD"/>
    <w:rsid w:val="57022BD1"/>
    <w:rsid w:val="57212B27"/>
    <w:rsid w:val="572809C2"/>
    <w:rsid w:val="57480C4D"/>
    <w:rsid w:val="574C27F3"/>
    <w:rsid w:val="57895A45"/>
    <w:rsid w:val="579D6934"/>
    <w:rsid w:val="57A16858"/>
    <w:rsid w:val="57B30CDA"/>
    <w:rsid w:val="57C5313B"/>
    <w:rsid w:val="57D807D4"/>
    <w:rsid w:val="57EA7969"/>
    <w:rsid w:val="57F740F4"/>
    <w:rsid w:val="57FA3D86"/>
    <w:rsid w:val="57FDBEDD"/>
    <w:rsid w:val="58466FCB"/>
    <w:rsid w:val="58750691"/>
    <w:rsid w:val="58AB575D"/>
    <w:rsid w:val="58AD0DF8"/>
    <w:rsid w:val="58BC728D"/>
    <w:rsid w:val="58BD4DB3"/>
    <w:rsid w:val="58D22E69"/>
    <w:rsid w:val="58DD0763"/>
    <w:rsid w:val="58EA22FF"/>
    <w:rsid w:val="58EB59C1"/>
    <w:rsid w:val="59445F91"/>
    <w:rsid w:val="596A4F3B"/>
    <w:rsid w:val="59815208"/>
    <w:rsid w:val="5993057B"/>
    <w:rsid w:val="59A43D8B"/>
    <w:rsid w:val="59A64B68"/>
    <w:rsid w:val="59CC3500"/>
    <w:rsid w:val="59E84D0D"/>
    <w:rsid w:val="59F001A4"/>
    <w:rsid w:val="5A1E2DE7"/>
    <w:rsid w:val="5A20427A"/>
    <w:rsid w:val="5A331DE9"/>
    <w:rsid w:val="5A395FB6"/>
    <w:rsid w:val="5A436A2D"/>
    <w:rsid w:val="5A5D05FC"/>
    <w:rsid w:val="5A9833A8"/>
    <w:rsid w:val="5AAC047B"/>
    <w:rsid w:val="5AC95404"/>
    <w:rsid w:val="5AD370A1"/>
    <w:rsid w:val="5B0A066E"/>
    <w:rsid w:val="5B123FA7"/>
    <w:rsid w:val="5B1D0885"/>
    <w:rsid w:val="5B5E18A4"/>
    <w:rsid w:val="5B613C0E"/>
    <w:rsid w:val="5B8B4AEE"/>
    <w:rsid w:val="5B955E96"/>
    <w:rsid w:val="5B9B3675"/>
    <w:rsid w:val="5BA26571"/>
    <w:rsid w:val="5BAD110F"/>
    <w:rsid w:val="5BCA6564"/>
    <w:rsid w:val="5BD66D67"/>
    <w:rsid w:val="5BFE7E52"/>
    <w:rsid w:val="5C107D40"/>
    <w:rsid w:val="5C107FF0"/>
    <w:rsid w:val="5C1D1988"/>
    <w:rsid w:val="5C1E3775"/>
    <w:rsid w:val="5C381264"/>
    <w:rsid w:val="5C3D27FC"/>
    <w:rsid w:val="5C5E6BE8"/>
    <w:rsid w:val="5C672644"/>
    <w:rsid w:val="5C8132C7"/>
    <w:rsid w:val="5CA23A25"/>
    <w:rsid w:val="5CC26330"/>
    <w:rsid w:val="5CD67F41"/>
    <w:rsid w:val="5CDF760E"/>
    <w:rsid w:val="5CE07ABA"/>
    <w:rsid w:val="5CF00F5E"/>
    <w:rsid w:val="5CF35248"/>
    <w:rsid w:val="5D017C51"/>
    <w:rsid w:val="5D141BA6"/>
    <w:rsid w:val="5D4165A3"/>
    <w:rsid w:val="5D463591"/>
    <w:rsid w:val="5D4F2A78"/>
    <w:rsid w:val="5D570A59"/>
    <w:rsid w:val="5D792AE4"/>
    <w:rsid w:val="5DC25C67"/>
    <w:rsid w:val="5DCA711D"/>
    <w:rsid w:val="5DD97571"/>
    <w:rsid w:val="5DDA1D04"/>
    <w:rsid w:val="5DE22BD1"/>
    <w:rsid w:val="5E101ABB"/>
    <w:rsid w:val="5E2F58D3"/>
    <w:rsid w:val="5E5A06FD"/>
    <w:rsid w:val="5E6C6385"/>
    <w:rsid w:val="5E8A56FD"/>
    <w:rsid w:val="5E9342EC"/>
    <w:rsid w:val="5EA27CF7"/>
    <w:rsid w:val="5EBC3C1E"/>
    <w:rsid w:val="5EEE45E3"/>
    <w:rsid w:val="5EF17565"/>
    <w:rsid w:val="5F3815EE"/>
    <w:rsid w:val="5F5C32D6"/>
    <w:rsid w:val="5FB10E83"/>
    <w:rsid w:val="5FDC6467"/>
    <w:rsid w:val="5FFD96AC"/>
    <w:rsid w:val="600E788A"/>
    <w:rsid w:val="60173C67"/>
    <w:rsid w:val="60206354"/>
    <w:rsid w:val="603911C4"/>
    <w:rsid w:val="604130CF"/>
    <w:rsid w:val="60572C99"/>
    <w:rsid w:val="60663C94"/>
    <w:rsid w:val="60794FD4"/>
    <w:rsid w:val="60814FEF"/>
    <w:rsid w:val="60946411"/>
    <w:rsid w:val="60AE4E89"/>
    <w:rsid w:val="60CD4AC4"/>
    <w:rsid w:val="60D32F5A"/>
    <w:rsid w:val="61001CE1"/>
    <w:rsid w:val="610E2B4C"/>
    <w:rsid w:val="61276800"/>
    <w:rsid w:val="613E3956"/>
    <w:rsid w:val="6151253D"/>
    <w:rsid w:val="617F0AF7"/>
    <w:rsid w:val="619945D7"/>
    <w:rsid w:val="61A13C09"/>
    <w:rsid w:val="61C210E3"/>
    <w:rsid w:val="61C24BFD"/>
    <w:rsid w:val="61DE43D4"/>
    <w:rsid w:val="61E06967"/>
    <w:rsid w:val="61ED083B"/>
    <w:rsid w:val="61ED26C8"/>
    <w:rsid w:val="61FB2295"/>
    <w:rsid w:val="62184EFE"/>
    <w:rsid w:val="622F0AD0"/>
    <w:rsid w:val="623438B9"/>
    <w:rsid w:val="624216A0"/>
    <w:rsid w:val="626343A0"/>
    <w:rsid w:val="626736F9"/>
    <w:rsid w:val="626B4082"/>
    <w:rsid w:val="626B6B00"/>
    <w:rsid w:val="626C251B"/>
    <w:rsid w:val="628E1BE9"/>
    <w:rsid w:val="62A3326C"/>
    <w:rsid w:val="62C126EC"/>
    <w:rsid w:val="62CF1703"/>
    <w:rsid w:val="62D06FF9"/>
    <w:rsid w:val="62D358FF"/>
    <w:rsid w:val="62D765EB"/>
    <w:rsid w:val="62E16861"/>
    <w:rsid w:val="630A329F"/>
    <w:rsid w:val="636B22CC"/>
    <w:rsid w:val="636C198B"/>
    <w:rsid w:val="63B65AC7"/>
    <w:rsid w:val="63D7428B"/>
    <w:rsid w:val="64002DAD"/>
    <w:rsid w:val="640C4C0D"/>
    <w:rsid w:val="642D56F7"/>
    <w:rsid w:val="643B5584"/>
    <w:rsid w:val="64550596"/>
    <w:rsid w:val="645830D7"/>
    <w:rsid w:val="64645BC9"/>
    <w:rsid w:val="64675414"/>
    <w:rsid w:val="646D58E0"/>
    <w:rsid w:val="647258C3"/>
    <w:rsid w:val="64763CBE"/>
    <w:rsid w:val="647F41B9"/>
    <w:rsid w:val="648F5856"/>
    <w:rsid w:val="649C452B"/>
    <w:rsid w:val="64AA2E73"/>
    <w:rsid w:val="64B8434A"/>
    <w:rsid w:val="64BD6867"/>
    <w:rsid w:val="64C5008F"/>
    <w:rsid w:val="64CF4D38"/>
    <w:rsid w:val="64E8446E"/>
    <w:rsid w:val="64E959FD"/>
    <w:rsid w:val="64F9CCE6"/>
    <w:rsid w:val="651B5828"/>
    <w:rsid w:val="6530087B"/>
    <w:rsid w:val="65376B47"/>
    <w:rsid w:val="654042F5"/>
    <w:rsid w:val="65AB2B63"/>
    <w:rsid w:val="65E44DFA"/>
    <w:rsid w:val="65E63B9C"/>
    <w:rsid w:val="65ED2DCA"/>
    <w:rsid w:val="65F37088"/>
    <w:rsid w:val="65F66C79"/>
    <w:rsid w:val="660447CA"/>
    <w:rsid w:val="662B5A52"/>
    <w:rsid w:val="665622BC"/>
    <w:rsid w:val="66644AC0"/>
    <w:rsid w:val="66653739"/>
    <w:rsid w:val="666C4EE6"/>
    <w:rsid w:val="66792487"/>
    <w:rsid w:val="66D470E6"/>
    <w:rsid w:val="66ED2CA0"/>
    <w:rsid w:val="66F722EC"/>
    <w:rsid w:val="66FB0FDC"/>
    <w:rsid w:val="66FC5AFF"/>
    <w:rsid w:val="6709462E"/>
    <w:rsid w:val="676C49AE"/>
    <w:rsid w:val="6777196F"/>
    <w:rsid w:val="67825F62"/>
    <w:rsid w:val="678A1ED0"/>
    <w:rsid w:val="67AB61F8"/>
    <w:rsid w:val="67BA7741"/>
    <w:rsid w:val="67CEDCD6"/>
    <w:rsid w:val="67E6170C"/>
    <w:rsid w:val="67ED1BBE"/>
    <w:rsid w:val="67ED7463"/>
    <w:rsid w:val="67FD51CC"/>
    <w:rsid w:val="680D0CA5"/>
    <w:rsid w:val="684D7F02"/>
    <w:rsid w:val="686C7F9F"/>
    <w:rsid w:val="68A45648"/>
    <w:rsid w:val="68A5668C"/>
    <w:rsid w:val="68BD44C2"/>
    <w:rsid w:val="68D27297"/>
    <w:rsid w:val="68F42855"/>
    <w:rsid w:val="6911241F"/>
    <w:rsid w:val="6922138F"/>
    <w:rsid w:val="69232A11"/>
    <w:rsid w:val="69586B5E"/>
    <w:rsid w:val="69B55D5F"/>
    <w:rsid w:val="69B67115"/>
    <w:rsid w:val="69B82DF4"/>
    <w:rsid w:val="69EF53B4"/>
    <w:rsid w:val="69FB8724"/>
    <w:rsid w:val="6A126DD2"/>
    <w:rsid w:val="6A2B4273"/>
    <w:rsid w:val="6A3D3FA6"/>
    <w:rsid w:val="6A420E56"/>
    <w:rsid w:val="6A924E32"/>
    <w:rsid w:val="6A94008C"/>
    <w:rsid w:val="6AC635A8"/>
    <w:rsid w:val="6AC83B0F"/>
    <w:rsid w:val="6AE60947"/>
    <w:rsid w:val="6AEB2722"/>
    <w:rsid w:val="6AEF6EB8"/>
    <w:rsid w:val="6AFB7996"/>
    <w:rsid w:val="6AFD0629"/>
    <w:rsid w:val="6B0B374F"/>
    <w:rsid w:val="6B0E6D92"/>
    <w:rsid w:val="6B17074E"/>
    <w:rsid w:val="6B1F0CCB"/>
    <w:rsid w:val="6B285847"/>
    <w:rsid w:val="6B541A99"/>
    <w:rsid w:val="6B5F1CFB"/>
    <w:rsid w:val="6B6234E5"/>
    <w:rsid w:val="6B711708"/>
    <w:rsid w:val="6B980A95"/>
    <w:rsid w:val="6BA67A32"/>
    <w:rsid w:val="6BBD11F5"/>
    <w:rsid w:val="6BCE1834"/>
    <w:rsid w:val="6BD12800"/>
    <w:rsid w:val="6BF44877"/>
    <w:rsid w:val="6C022DB1"/>
    <w:rsid w:val="6C172034"/>
    <w:rsid w:val="6C1B1096"/>
    <w:rsid w:val="6C5E02FC"/>
    <w:rsid w:val="6C611966"/>
    <w:rsid w:val="6C721812"/>
    <w:rsid w:val="6C8B0F52"/>
    <w:rsid w:val="6CA63155"/>
    <w:rsid w:val="6CC73E80"/>
    <w:rsid w:val="6CDD0DD0"/>
    <w:rsid w:val="6CFA7DB1"/>
    <w:rsid w:val="6D0127E4"/>
    <w:rsid w:val="6D135E16"/>
    <w:rsid w:val="6D1C168A"/>
    <w:rsid w:val="6D2154B9"/>
    <w:rsid w:val="6D347A31"/>
    <w:rsid w:val="6D3668DD"/>
    <w:rsid w:val="6D471CAB"/>
    <w:rsid w:val="6D70425D"/>
    <w:rsid w:val="6D986796"/>
    <w:rsid w:val="6D99403C"/>
    <w:rsid w:val="6DAC0977"/>
    <w:rsid w:val="6DB941BD"/>
    <w:rsid w:val="6DC60F63"/>
    <w:rsid w:val="6DED6545"/>
    <w:rsid w:val="6DF11063"/>
    <w:rsid w:val="6E3B32BE"/>
    <w:rsid w:val="6E4C770B"/>
    <w:rsid w:val="6E5F1098"/>
    <w:rsid w:val="6E6F2793"/>
    <w:rsid w:val="6E703D8E"/>
    <w:rsid w:val="6E7F1EDE"/>
    <w:rsid w:val="6E84323D"/>
    <w:rsid w:val="6E907617"/>
    <w:rsid w:val="6E942A76"/>
    <w:rsid w:val="6EA41FA2"/>
    <w:rsid w:val="6EB44AD4"/>
    <w:rsid w:val="6EBA69C8"/>
    <w:rsid w:val="6F2463D6"/>
    <w:rsid w:val="6F265009"/>
    <w:rsid w:val="6F313FE8"/>
    <w:rsid w:val="6F381CAC"/>
    <w:rsid w:val="6F6128C1"/>
    <w:rsid w:val="6F723264"/>
    <w:rsid w:val="6F9C6902"/>
    <w:rsid w:val="6F9E6156"/>
    <w:rsid w:val="6FA06B69"/>
    <w:rsid w:val="6FA0729C"/>
    <w:rsid w:val="6FBF6C0D"/>
    <w:rsid w:val="6FFB3E16"/>
    <w:rsid w:val="70100CA2"/>
    <w:rsid w:val="70393572"/>
    <w:rsid w:val="706E27A1"/>
    <w:rsid w:val="706F0977"/>
    <w:rsid w:val="707263F3"/>
    <w:rsid w:val="70880108"/>
    <w:rsid w:val="70A13280"/>
    <w:rsid w:val="70A24D48"/>
    <w:rsid w:val="70B07280"/>
    <w:rsid w:val="70BA64EF"/>
    <w:rsid w:val="70C42D2B"/>
    <w:rsid w:val="70C900DF"/>
    <w:rsid w:val="70EFD498"/>
    <w:rsid w:val="70F80524"/>
    <w:rsid w:val="710A2419"/>
    <w:rsid w:val="710E65A0"/>
    <w:rsid w:val="71326D32"/>
    <w:rsid w:val="71347EB1"/>
    <w:rsid w:val="71451751"/>
    <w:rsid w:val="71453598"/>
    <w:rsid w:val="714C2CD0"/>
    <w:rsid w:val="715A596A"/>
    <w:rsid w:val="717C247D"/>
    <w:rsid w:val="717F26E4"/>
    <w:rsid w:val="71816B8E"/>
    <w:rsid w:val="71832D29"/>
    <w:rsid w:val="71907818"/>
    <w:rsid w:val="719B609A"/>
    <w:rsid w:val="71B252F9"/>
    <w:rsid w:val="71DE7E1D"/>
    <w:rsid w:val="71E95916"/>
    <w:rsid w:val="71EB1F0E"/>
    <w:rsid w:val="7203413E"/>
    <w:rsid w:val="72191ED0"/>
    <w:rsid w:val="721C3014"/>
    <w:rsid w:val="721D0BFB"/>
    <w:rsid w:val="7250588C"/>
    <w:rsid w:val="726F5278"/>
    <w:rsid w:val="727E786A"/>
    <w:rsid w:val="72887FD4"/>
    <w:rsid w:val="72BD0544"/>
    <w:rsid w:val="72C0472D"/>
    <w:rsid w:val="72CB03A1"/>
    <w:rsid w:val="72D11D5C"/>
    <w:rsid w:val="72DC3720"/>
    <w:rsid w:val="72DC4121"/>
    <w:rsid w:val="72E4193A"/>
    <w:rsid w:val="72E85DAD"/>
    <w:rsid w:val="73133AF6"/>
    <w:rsid w:val="732303D9"/>
    <w:rsid w:val="7344428A"/>
    <w:rsid w:val="734979C3"/>
    <w:rsid w:val="73532CC9"/>
    <w:rsid w:val="735C549D"/>
    <w:rsid w:val="736F7373"/>
    <w:rsid w:val="738F6C61"/>
    <w:rsid w:val="7392343A"/>
    <w:rsid w:val="73B060B2"/>
    <w:rsid w:val="73D223F2"/>
    <w:rsid w:val="73D73D11"/>
    <w:rsid w:val="73E95EE8"/>
    <w:rsid w:val="744975DD"/>
    <w:rsid w:val="74610332"/>
    <w:rsid w:val="746920A5"/>
    <w:rsid w:val="749C24F1"/>
    <w:rsid w:val="74AD6F4A"/>
    <w:rsid w:val="74AE06FF"/>
    <w:rsid w:val="74CB1EDB"/>
    <w:rsid w:val="74DE73F5"/>
    <w:rsid w:val="750E239F"/>
    <w:rsid w:val="7517095A"/>
    <w:rsid w:val="751E77AF"/>
    <w:rsid w:val="75474541"/>
    <w:rsid w:val="75702156"/>
    <w:rsid w:val="757A6A57"/>
    <w:rsid w:val="75D07F8B"/>
    <w:rsid w:val="75EE5669"/>
    <w:rsid w:val="763711C0"/>
    <w:rsid w:val="76957051"/>
    <w:rsid w:val="76BD4232"/>
    <w:rsid w:val="76C10199"/>
    <w:rsid w:val="76C57BCB"/>
    <w:rsid w:val="76D474B3"/>
    <w:rsid w:val="76DF91DD"/>
    <w:rsid w:val="76E708BB"/>
    <w:rsid w:val="76EF6DD7"/>
    <w:rsid w:val="76F927CD"/>
    <w:rsid w:val="772F78A5"/>
    <w:rsid w:val="77356D17"/>
    <w:rsid w:val="773B2934"/>
    <w:rsid w:val="773E064E"/>
    <w:rsid w:val="774E1211"/>
    <w:rsid w:val="7767181A"/>
    <w:rsid w:val="777B71D8"/>
    <w:rsid w:val="77842F01"/>
    <w:rsid w:val="77A54D53"/>
    <w:rsid w:val="77AB25AD"/>
    <w:rsid w:val="77D75F2B"/>
    <w:rsid w:val="77FC6767"/>
    <w:rsid w:val="781A0BEC"/>
    <w:rsid w:val="78202415"/>
    <w:rsid w:val="78213FC9"/>
    <w:rsid w:val="78572B59"/>
    <w:rsid w:val="786FD340"/>
    <w:rsid w:val="78701D9C"/>
    <w:rsid w:val="78741C81"/>
    <w:rsid w:val="788952CC"/>
    <w:rsid w:val="7899537E"/>
    <w:rsid w:val="78F9F6D3"/>
    <w:rsid w:val="78FA0671"/>
    <w:rsid w:val="79393B8B"/>
    <w:rsid w:val="793A634F"/>
    <w:rsid w:val="795A4F33"/>
    <w:rsid w:val="79744F1D"/>
    <w:rsid w:val="79785617"/>
    <w:rsid w:val="797A5A56"/>
    <w:rsid w:val="797BA803"/>
    <w:rsid w:val="798635EB"/>
    <w:rsid w:val="79A5750A"/>
    <w:rsid w:val="79CF368F"/>
    <w:rsid w:val="79D476A9"/>
    <w:rsid w:val="79EB2FD6"/>
    <w:rsid w:val="79ECAB6F"/>
    <w:rsid w:val="79ED0DA8"/>
    <w:rsid w:val="7A0C1011"/>
    <w:rsid w:val="7A0E7A81"/>
    <w:rsid w:val="7A17211E"/>
    <w:rsid w:val="7A321CDB"/>
    <w:rsid w:val="7A4B626B"/>
    <w:rsid w:val="7A567B6E"/>
    <w:rsid w:val="7A6E32C8"/>
    <w:rsid w:val="7AA5772A"/>
    <w:rsid w:val="7AB0113D"/>
    <w:rsid w:val="7AC900CF"/>
    <w:rsid w:val="7B052FBD"/>
    <w:rsid w:val="7B2F54B5"/>
    <w:rsid w:val="7B48416D"/>
    <w:rsid w:val="7B5A5A6C"/>
    <w:rsid w:val="7B5C250E"/>
    <w:rsid w:val="7B5C3BBA"/>
    <w:rsid w:val="7B63305F"/>
    <w:rsid w:val="7B6D0F87"/>
    <w:rsid w:val="7B72691F"/>
    <w:rsid w:val="7B783FD8"/>
    <w:rsid w:val="7B9A3DB8"/>
    <w:rsid w:val="7BA113AB"/>
    <w:rsid w:val="7BA67BFD"/>
    <w:rsid w:val="7BAC4AE8"/>
    <w:rsid w:val="7BD52290"/>
    <w:rsid w:val="7BD568A0"/>
    <w:rsid w:val="7BD99402"/>
    <w:rsid w:val="7BE22960"/>
    <w:rsid w:val="7BF20E1E"/>
    <w:rsid w:val="7BFC01F8"/>
    <w:rsid w:val="7BFF6BBF"/>
    <w:rsid w:val="7BFF70BE"/>
    <w:rsid w:val="7C120F4C"/>
    <w:rsid w:val="7C1B29E5"/>
    <w:rsid w:val="7C5728ED"/>
    <w:rsid w:val="7C574A54"/>
    <w:rsid w:val="7C686BCF"/>
    <w:rsid w:val="7C9408F4"/>
    <w:rsid w:val="7CA76EC6"/>
    <w:rsid w:val="7CB36577"/>
    <w:rsid w:val="7CB83597"/>
    <w:rsid w:val="7CB90CC2"/>
    <w:rsid w:val="7CC752E0"/>
    <w:rsid w:val="7CFB2CE9"/>
    <w:rsid w:val="7CFBCE9D"/>
    <w:rsid w:val="7D0C34C4"/>
    <w:rsid w:val="7D1E71EA"/>
    <w:rsid w:val="7D212CA5"/>
    <w:rsid w:val="7D255EE2"/>
    <w:rsid w:val="7D26D855"/>
    <w:rsid w:val="7D293184"/>
    <w:rsid w:val="7D2B742D"/>
    <w:rsid w:val="7D4B3EE6"/>
    <w:rsid w:val="7D4B572C"/>
    <w:rsid w:val="7D6112EF"/>
    <w:rsid w:val="7D68620F"/>
    <w:rsid w:val="7D69777E"/>
    <w:rsid w:val="7D6FB106"/>
    <w:rsid w:val="7D752C5B"/>
    <w:rsid w:val="7D927DC0"/>
    <w:rsid w:val="7D9F12B2"/>
    <w:rsid w:val="7DB34706"/>
    <w:rsid w:val="7DFE1ABC"/>
    <w:rsid w:val="7E1A0A9F"/>
    <w:rsid w:val="7E2327E1"/>
    <w:rsid w:val="7E3C401A"/>
    <w:rsid w:val="7E641213"/>
    <w:rsid w:val="7E7BB322"/>
    <w:rsid w:val="7EA7EB6C"/>
    <w:rsid w:val="7EAD3628"/>
    <w:rsid w:val="7EB859C9"/>
    <w:rsid w:val="7ECB4935"/>
    <w:rsid w:val="7EE33139"/>
    <w:rsid w:val="7EEBD690"/>
    <w:rsid w:val="7EF34773"/>
    <w:rsid w:val="7EF931C4"/>
    <w:rsid w:val="7F0200B0"/>
    <w:rsid w:val="7F0D08DC"/>
    <w:rsid w:val="7F173D26"/>
    <w:rsid w:val="7F3DC597"/>
    <w:rsid w:val="7F457705"/>
    <w:rsid w:val="7F567E20"/>
    <w:rsid w:val="7F666017"/>
    <w:rsid w:val="7F6FBE70"/>
    <w:rsid w:val="7F714EE5"/>
    <w:rsid w:val="7F765549"/>
    <w:rsid w:val="7F7F2734"/>
    <w:rsid w:val="7F9B10FB"/>
    <w:rsid w:val="7FA63F96"/>
    <w:rsid w:val="7FB7DF21"/>
    <w:rsid w:val="7FB9287C"/>
    <w:rsid w:val="7FC32F20"/>
    <w:rsid w:val="7FCB2760"/>
    <w:rsid w:val="7FCC47FD"/>
    <w:rsid w:val="7FD31973"/>
    <w:rsid w:val="7FE15B01"/>
    <w:rsid w:val="7FFB1B6E"/>
    <w:rsid w:val="8573C5B4"/>
    <w:rsid w:val="A9F77D42"/>
    <w:rsid w:val="AEFF7266"/>
    <w:rsid w:val="BAF7CE3F"/>
    <w:rsid w:val="C6F5E4F8"/>
    <w:rsid w:val="CDFFBC69"/>
    <w:rsid w:val="DCE705B6"/>
    <w:rsid w:val="DE35E862"/>
    <w:rsid w:val="DF77D5E2"/>
    <w:rsid w:val="DFE64E7C"/>
    <w:rsid w:val="F1FE2398"/>
    <w:rsid w:val="F76F081C"/>
    <w:rsid w:val="F7760AF3"/>
    <w:rsid w:val="F7B3F097"/>
    <w:rsid w:val="F7BF1B7E"/>
    <w:rsid w:val="F7E80245"/>
    <w:rsid w:val="F927801E"/>
    <w:rsid w:val="FA5F277E"/>
    <w:rsid w:val="FB6B5221"/>
    <w:rsid w:val="FBB6A2A8"/>
    <w:rsid w:val="FDDE9CAC"/>
    <w:rsid w:val="FDDF84D4"/>
    <w:rsid w:val="FF4B3213"/>
    <w:rsid w:val="FFCB6B60"/>
    <w:rsid w:val="FFFB35D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2"/>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77"/>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56"/>
    <w:qFormat/>
    <w:uiPriority w:val="0"/>
    <w:pPr>
      <w:keepNext/>
      <w:keepLines/>
      <w:spacing w:before="260" w:after="260" w:line="415" w:lineRule="auto"/>
      <w:outlineLvl w:val="2"/>
    </w:pPr>
    <w:rPr>
      <w:b/>
      <w:bCs/>
      <w:kern w:val="0"/>
      <w:sz w:val="32"/>
      <w:szCs w:val="32"/>
    </w:rPr>
  </w:style>
  <w:style w:type="paragraph" w:styleId="6">
    <w:name w:val="heading 4"/>
    <w:basedOn w:val="1"/>
    <w:next w:val="1"/>
    <w:link w:val="91"/>
    <w:qFormat/>
    <w:uiPriority w:val="0"/>
    <w:pPr>
      <w:keepNext/>
      <w:keepLines/>
      <w:spacing w:before="280" w:after="290" w:line="374" w:lineRule="auto"/>
      <w:outlineLvl w:val="3"/>
    </w:pPr>
    <w:rPr>
      <w:rFonts w:ascii="Arial" w:hAnsi="Arial" w:eastAsia="黑体"/>
      <w:b/>
      <w:bCs/>
      <w:kern w:val="0"/>
      <w:sz w:val="28"/>
      <w:szCs w:val="28"/>
    </w:rPr>
  </w:style>
  <w:style w:type="paragraph" w:styleId="7">
    <w:name w:val="heading 6"/>
    <w:basedOn w:val="1"/>
    <w:next w:val="1"/>
    <w:link w:val="58"/>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link w:val="98"/>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link w:val="80"/>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link w:val="72"/>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64"/>
    <w:qFormat/>
    <w:uiPriority w:val="0"/>
    <w:pPr>
      <w:spacing w:after="120"/>
    </w:pPr>
    <w:rPr>
      <w:kern w:val="0"/>
      <w:sz w:val="20"/>
    </w:rPr>
  </w:style>
  <w:style w:type="paragraph" w:styleId="11">
    <w:name w:val="toc 7"/>
    <w:basedOn w:val="1"/>
    <w:next w:val="1"/>
    <w:qFormat/>
    <w:uiPriority w:val="39"/>
    <w:pPr>
      <w:ind w:left="1260"/>
      <w:jc w:val="left"/>
    </w:pPr>
    <w:rPr>
      <w:rFonts w:ascii="Calibri" w:hAnsi="Calibri"/>
      <w:sz w:val="18"/>
      <w:szCs w:val="18"/>
    </w:rPr>
  </w:style>
  <w:style w:type="paragraph" w:styleId="12">
    <w:name w:val="table of authorities"/>
    <w:basedOn w:val="1"/>
    <w:next w:val="1"/>
    <w:qFormat/>
    <w:uiPriority w:val="99"/>
    <w:pPr>
      <w:ind w:left="420" w:leftChars="200"/>
    </w:pPr>
  </w:style>
  <w:style w:type="paragraph" w:styleId="13">
    <w:name w:val="Normal Indent"/>
    <w:basedOn w:val="1"/>
    <w:link w:val="68"/>
    <w:qFormat/>
    <w:uiPriority w:val="0"/>
    <w:pPr>
      <w:ind w:firstLine="420" w:firstLineChars="200"/>
    </w:pPr>
  </w:style>
  <w:style w:type="paragraph" w:styleId="14">
    <w:name w:val="Document Map"/>
    <w:basedOn w:val="1"/>
    <w:link w:val="75"/>
    <w:qFormat/>
    <w:uiPriority w:val="0"/>
    <w:pPr>
      <w:shd w:val="clear" w:color="auto" w:fill="000080"/>
    </w:pPr>
    <w:rPr>
      <w:kern w:val="0"/>
      <w:sz w:val="20"/>
    </w:rPr>
  </w:style>
  <w:style w:type="paragraph" w:styleId="15">
    <w:name w:val="annotation text"/>
    <w:basedOn w:val="1"/>
    <w:link w:val="57"/>
    <w:unhideWhenUsed/>
    <w:qFormat/>
    <w:uiPriority w:val="99"/>
    <w:pPr>
      <w:jc w:val="left"/>
    </w:pPr>
    <w:rPr>
      <w:kern w:val="0"/>
      <w:sz w:val="20"/>
    </w:rPr>
  </w:style>
  <w:style w:type="paragraph" w:styleId="16">
    <w:name w:val="Body Text 3"/>
    <w:basedOn w:val="1"/>
    <w:link w:val="61"/>
    <w:qFormat/>
    <w:uiPriority w:val="0"/>
    <w:rPr>
      <w:rFonts w:ascii="宋体"/>
      <w:kern w:val="0"/>
      <w:sz w:val="24"/>
      <w:szCs w:val="20"/>
    </w:rPr>
  </w:style>
  <w:style w:type="paragraph" w:styleId="17">
    <w:name w:val="Body Text Indent"/>
    <w:basedOn w:val="1"/>
    <w:next w:val="1"/>
    <w:link w:val="74"/>
    <w:qFormat/>
    <w:uiPriority w:val="0"/>
    <w:pPr>
      <w:spacing w:after="120"/>
      <w:ind w:left="420" w:leftChars="200"/>
    </w:pPr>
    <w:rPr>
      <w:kern w:val="0"/>
      <w:sz w:val="20"/>
    </w:rPr>
  </w:style>
  <w:style w:type="paragraph" w:styleId="18">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19">
    <w:name w:val="toc 5"/>
    <w:basedOn w:val="1"/>
    <w:next w:val="1"/>
    <w:qFormat/>
    <w:uiPriority w:val="39"/>
    <w:pPr>
      <w:ind w:left="840"/>
      <w:jc w:val="left"/>
    </w:pPr>
    <w:rPr>
      <w:rFonts w:ascii="Calibri" w:hAnsi="Calibri"/>
      <w:sz w:val="18"/>
      <w:szCs w:val="18"/>
    </w:rPr>
  </w:style>
  <w:style w:type="paragraph" w:styleId="20">
    <w:name w:val="toc 3"/>
    <w:basedOn w:val="1"/>
    <w:next w:val="1"/>
    <w:qFormat/>
    <w:uiPriority w:val="39"/>
    <w:pPr>
      <w:ind w:left="420"/>
      <w:jc w:val="left"/>
    </w:pPr>
    <w:rPr>
      <w:rFonts w:ascii="Calibri" w:hAnsi="Calibri"/>
      <w:i/>
      <w:iCs/>
      <w:sz w:val="20"/>
      <w:szCs w:val="20"/>
    </w:rPr>
  </w:style>
  <w:style w:type="paragraph" w:styleId="21">
    <w:name w:val="Plain Text"/>
    <w:basedOn w:val="1"/>
    <w:link w:val="97"/>
    <w:qFormat/>
    <w:uiPriority w:val="99"/>
    <w:rPr>
      <w:rFonts w:ascii="Courier New" w:hAnsi="Courier New"/>
      <w:kern w:val="0"/>
      <w:sz w:val="20"/>
      <w:szCs w:val="20"/>
    </w:rPr>
  </w:style>
  <w:style w:type="paragraph" w:styleId="22">
    <w:name w:val="toc 8"/>
    <w:basedOn w:val="1"/>
    <w:next w:val="1"/>
    <w:qFormat/>
    <w:uiPriority w:val="39"/>
    <w:pPr>
      <w:ind w:left="1470"/>
      <w:jc w:val="left"/>
    </w:pPr>
    <w:rPr>
      <w:rFonts w:ascii="Calibri" w:hAnsi="Calibri"/>
      <w:sz w:val="18"/>
      <w:szCs w:val="18"/>
    </w:rPr>
  </w:style>
  <w:style w:type="paragraph" w:styleId="23">
    <w:name w:val="Date"/>
    <w:basedOn w:val="1"/>
    <w:next w:val="1"/>
    <w:link w:val="81"/>
    <w:qFormat/>
    <w:uiPriority w:val="0"/>
    <w:rPr>
      <w:kern w:val="0"/>
      <w:sz w:val="24"/>
      <w:szCs w:val="20"/>
    </w:rPr>
  </w:style>
  <w:style w:type="paragraph" w:styleId="24">
    <w:name w:val="Body Text Indent 2"/>
    <w:basedOn w:val="1"/>
    <w:qFormat/>
    <w:uiPriority w:val="0"/>
    <w:pPr>
      <w:spacing w:after="120" w:line="480" w:lineRule="auto"/>
      <w:ind w:left="420" w:leftChars="200"/>
    </w:pPr>
  </w:style>
  <w:style w:type="paragraph" w:styleId="25">
    <w:name w:val="Balloon Text"/>
    <w:basedOn w:val="1"/>
    <w:link w:val="79"/>
    <w:qFormat/>
    <w:uiPriority w:val="0"/>
    <w:rPr>
      <w:kern w:val="0"/>
      <w:sz w:val="18"/>
      <w:szCs w:val="18"/>
    </w:rPr>
  </w:style>
  <w:style w:type="paragraph" w:styleId="26">
    <w:name w:val="footer"/>
    <w:basedOn w:val="1"/>
    <w:link w:val="93"/>
    <w:qFormat/>
    <w:uiPriority w:val="99"/>
    <w:pPr>
      <w:tabs>
        <w:tab w:val="center" w:pos="4153"/>
        <w:tab w:val="right" w:pos="8306"/>
      </w:tabs>
      <w:snapToGrid w:val="0"/>
      <w:jc w:val="left"/>
    </w:pPr>
    <w:rPr>
      <w:kern w:val="0"/>
      <w:sz w:val="18"/>
      <w:szCs w:val="18"/>
    </w:rPr>
  </w:style>
  <w:style w:type="paragraph" w:styleId="27">
    <w:name w:val="header"/>
    <w:basedOn w:val="1"/>
    <w:link w:val="71"/>
    <w:qFormat/>
    <w:uiPriority w:val="0"/>
    <w:pPr>
      <w:pBdr>
        <w:bottom w:val="single" w:color="auto" w:sz="6" w:space="1"/>
      </w:pBdr>
      <w:tabs>
        <w:tab w:val="center" w:pos="4153"/>
        <w:tab w:val="right" w:pos="8306"/>
      </w:tabs>
      <w:snapToGrid w:val="0"/>
      <w:jc w:val="center"/>
    </w:pPr>
    <w:rPr>
      <w:kern w:val="0"/>
      <w:sz w:val="18"/>
      <w:szCs w:val="18"/>
    </w:rPr>
  </w:style>
  <w:style w:type="paragraph" w:styleId="28">
    <w:name w:val="toc 1"/>
    <w:basedOn w:val="1"/>
    <w:next w:val="1"/>
    <w:qFormat/>
    <w:uiPriority w:val="39"/>
    <w:pPr>
      <w:spacing w:before="120" w:after="120"/>
      <w:jc w:val="left"/>
    </w:pPr>
    <w:rPr>
      <w:rFonts w:ascii="Calibri" w:hAnsi="Calibri"/>
      <w:b/>
      <w:bCs/>
      <w:caps/>
      <w:sz w:val="20"/>
      <w:szCs w:val="20"/>
    </w:rPr>
  </w:style>
  <w:style w:type="paragraph" w:styleId="29">
    <w:name w:val="toc 4"/>
    <w:basedOn w:val="1"/>
    <w:next w:val="1"/>
    <w:qFormat/>
    <w:uiPriority w:val="39"/>
    <w:pPr>
      <w:ind w:left="630"/>
      <w:jc w:val="left"/>
    </w:pPr>
    <w:rPr>
      <w:rFonts w:ascii="Calibri" w:hAnsi="Calibri"/>
      <w:sz w:val="18"/>
      <w:szCs w:val="18"/>
    </w:rPr>
  </w:style>
  <w:style w:type="paragraph" w:styleId="30">
    <w:name w:val="footnote text"/>
    <w:basedOn w:val="1"/>
    <w:link w:val="65"/>
    <w:qFormat/>
    <w:uiPriority w:val="0"/>
    <w:rPr>
      <w:kern w:val="0"/>
      <w:sz w:val="20"/>
      <w:szCs w:val="20"/>
    </w:rPr>
  </w:style>
  <w:style w:type="paragraph" w:styleId="31">
    <w:name w:val="toc 6"/>
    <w:basedOn w:val="1"/>
    <w:next w:val="1"/>
    <w:qFormat/>
    <w:uiPriority w:val="39"/>
    <w:pPr>
      <w:ind w:left="1050"/>
      <w:jc w:val="left"/>
    </w:pPr>
    <w:rPr>
      <w:rFonts w:ascii="Calibri" w:hAnsi="Calibri"/>
      <w:sz w:val="18"/>
      <w:szCs w:val="18"/>
    </w:rPr>
  </w:style>
  <w:style w:type="paragraph" w:styleId="32">
    <w:name w:val="Body Text Indent 3"/>
    <w:basedOn w:val="1"/>
    <w:link w:val="85"/>
    <w:qFormat/>
    <w:uiPriority w:val="0"/>
    <w:pPr>
      <w:spacing w:after="120"/>
      <w:ind w:left="420" w:leftChars="200"/>
    </w:pPr>
    <w:rPr>
      <w:kern w:val="0"/>
      <w:sz w:val="16"/>
      <w:szCs w:val="16"/>
    </w:rPr>
  </w:style>
  <w:style w:type="paragraph" w:styleId="33">
    <w:name w:val="table of figures"/>
    <w:basedOn w:val="1"/>
    <w:next w:val="1"/>
    <w:qFormat/>
    <w:uiPriority w:val="0"/>
    <w:pPr>
      <w:ind w:left="200" w:leftChars="200" w:hanging="200" w:hangingChars="200"/>
    </w:pPr>
  </w:style>
  <w:style w:type="paragraph" w:styleId="34">
    <w:name w:val="toc 2"/>
    <w:basedOn w:val="1"/>
    <w:next w:val="1"/>
    <w:qFormat/>
    <w:uiPriority w:val="39"/>
    <w:pPr>
      <w:ind w:left="210"/>
      <w:jc w:val="left"/>
    </w:pPr>
    <w:rPr>
      <w:rFonts w:ascii="Calibri" w:hAnsi="Calibri"/>
      <w:smallCaps/>
      <w:sz w:val="20"/>
      <w:szCs w:val="20"/>
    </w:rPr>
  </w:style>
  <w:style w:type="paragraph" w:styleId="35">
    <w:name w:val="toc 9"/>
    <w:basedOn w:val="1"/>
    <w:next w:val="1"/>
    <w:qFormat/>
    <w:uiPriority w:val="39"/>
    <w:pPr>
      <w:ind w:left="1680"/>
      <w:jc w:val="left"/>
    </w:pPr>
    <w:rPr>
      <w:rFonts w:ascii="Calibri" w:hAnsi="Calibri"/>
      <w:sz w:val="18"/>
      <w:szCs w:val="18"/>
    </w:rPr>
  </w:style>
  <w:style w:type="paragraph" w:styleId="36">
    <w:name w:val="HTML Preformatted"/>
    <w:basedOn w:val="1"/>
    <w:link w:val="95"/>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3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semiHidden/>
    <w:qFormat/>
    <w:uiPriority w:val="0"/>
    <w:pPr>
      <w:spacing w:line="360" w:lineRule="auto"/>
      <w:jc w:val="center"/>
    </w:pPr>
    <w:rPr>
      <w:rFonts w:ascii="宋体" w:hAnsi="Arial" w:cs="Arial"/>
      <w:b/>
      <w:color w:val="000000"/>
      <w:sz w:val="24"/>
    </w:rPr>
  </w:style>
  <w:style w:type="paragraph" w:styleId="39">
    <w:name w:val="Title"/>
    <w:basedOn w:val="1"/>
    <w:link w:val="78"/>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0">
    <w:name w:val="annotation subject"/>
    <w:basedOn w:val="15"/>
    <w:next w:val="15"/>
    <w:link w:val="67"/>
    <w:qFormat/>
    <w:uiPriority w:val="0"/>
    <w:rPr>
      <w:b/>
      <w:bCs/>
    </w:rPr>
  </w:style>
  <w:style w:type="paragraph" w:styleId="41">
    <w:name w:val="Body Text First Indent"/>
    <w:basedOn w:val="2"/>
    <w:qFormat/>
    <w:uiPriority w:val="0"/>
    <w:pPr>
      <w:adjustRightInd w:val="0"/>
      <w:spacing w:line="275" w:lineRule="atLeast"/>
      <w:ind w:firstLine="420"/>
      <w:textAlignment w:val="baseline"/>
    </w:pPr>
    <w:rPr>
      <w:rFonts w:ascii="宋体" w:eastAsia="楷体_GB2312"/>
      <w:sz w:val="24"/>
      <w:szCs w:val="20"/>
    </w:rPr>
  </w:style>
  <w:style w:type="paragraph" w:styleId="42">
    <w:name w:val="Body Text First Indent 2"/>
    <w:basedOn w:val="17"/>
    <w:unhideWhenUsed/>
    <w:qFormat/>
    <w:uiPriority w:val="0"/>
    <w:pPr>
      <w:ind w:firstLine="420"/>
    </w:pPr>
  </w:style>
  <w:style w:type="table" w:styleId="44">
    <w:name w:val="Table Grid"/>
    <w:basedOn w:val="43"/>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0"/>
    <w:rPr>
      <w:b/>
      <w:bCs/>
    </w:rPr>
  </w:style>
  <w:style w:type="character" w:styleId="47">
    <w:name w:val="page number"/>
    <w:qFormat/>
    <w:uiPriority w:val="0"/>
  </w:style>
  <w:style w:type="character" w:styleId="48">
    <w:name w:val="FollowedHyperlink"/>
    <w:basedOn w:val="45"/>
    <w:qFormat/>
    <w:uiPriority w:val="0"/>
    <w:rPr>
      <w:rFonts w:hint="default" w:ascii="Arial" w:hAnsi="Arial" w:eastAsia="Arial" w:cs="Arial"/>
      <w:color w:val="333333"/>
      <w:sz w:val="21"/>
      <w:szCs w:val="21"/>
      <w:u w:val="none"/>
    </w:rPr>
  </w:style>
  <w:style w:type="character" w:styleId="49">
    <w:name w:val="Hyperlink"/>
    <w:basedOn w:val="45"/>
    <w:qFormat/>
    <w:uiPriority w:val="99"/>
    <w:rPr>
      <w:rFonts w:ascii="Arial" w:hAnsi="Arial" w:eastAsia="Arial" w:cs="Arial"/>
      <w:color w:val="333333"/>
      <w:sz w:val="21"/>
      <w:szCs w:val="21"/>
      <w:u w:val="none"/>
    </w:rPr>
  </w:style>
  <w:style w:type="character" w:styleId="50">
    <w:name w:val="annotation reference"/>
    <w:qFormat/>
    <w:uiPriority w:val="0"/>
    <w:rPr>
      <w:sz w:val="21"/>
      <w:szCs w:val="21"/>
    </w:rPr>
  </w:style>
  <w:style w:type="character" w:styleId="51">
    <w:name w:val="footnote reference"/>
    <w:qFormat/>
    <w:uiPriority w:val="0"/>
    <w:rPr>
      <w:vertAlign w:val="superscript"/>
    </w:rPr>
  </w:style>
  <w:style w:type="character" w:customStyle="1" w:styleId="52">
    <w:name w:val="apple-style-span"/>
    <w:qFormat/>
    <w:uiPriority w:val="0"/>
    <w:rPr>
      <w:rFonts w:ascii="Verdana" w:hAnsi="Verdana" w:eastAsia="宋体"/>
      <w:sz w:val="21"/>
      <w:lang w:val="en-US" w:eastAsia="en-US" w:bidi="ar-SA"/>
    </w:rPr>
  </w:style>
  <w:style w:type="character" w:customStyle="1" w:styleId="53">
    <w:name w:val="正文文本 3 Char1"/>
    <w:semiHidden/>
    <w:qFormat/>
    <w:uiPriority w:val="99"/>
    <w:rPr>
      <w:rFonts w:ascii="Times New Roman" w:hAnsi="Times New Roman" w:eastAsia="宋体" w:cs="Times New Roman"/>
      <w:sz w:val="16"/>
      <w:szCs w:val="16"/>
    </w:rPr>
  </w:style>
  <w:style w:type="character" w:customStyle="1" w:styleId="54">
    <w:name w:val="样式 宋体"/>
    <w:qFormat/>
    <w:uiPriority w:val="0"/>
    <w:rPr>
      <w:rFonts w:ascii="Times New Roman" w:hAnsi="Times New Roman" w:eastAsia="宋体"/>
      <w:sz w:val="21"/>
    </w:rPr>
  </w:style>
  <w:style w:type="character" w:customStyle="1" w:styleId="55">
    <w:name w:val="正文文本 (2) + 9.5 pt"/>
    <w:qFormat/>
    <w:uiPriority w:val="0"/>
    <w:rPr>
      <w:rFonts w:ascii="MingLiU" w:hAnsi="MingLiU" w:eastAsia="MingLiU" w:cs="MingLiU"/>
      <w:color w:val="000000"/>
      <w:spacing w:val="0"/>
      <w:w w:val="100"/>
      <w:position w:val="0"/>
      <w:sz w:val="19"/>
      <w:szCs w:val="19"/>
      <w:u w:val="none"/>
      <w:lang w:val="zh-TW" w:eastAsia="zh-TW" w:bidi="zh-TW"/>
    </w:rPr>
  </w:style>
  <w:style w:type="character" w:customStyle="1" w:styleId="56">
    <w:name w:val="标题 3 字符"/>
    <w:link w:val="5"/>
    <w:qFormat/>
    <w:uiPriority w:val="0"/>
    <w:rPr>
      <w:rFonts w:ascii="Times New Roman" w:hAnsi="Times New Roman" w:eastAsia="宋体" w:cs="Times New Roman"/>
      <w:b/>
      <w:bCs/>
      <w:sz w:val="32"/>
      <w:szCs w:val="32"/>
    </w:rPr>
  </w:style>
  <w:style w:type="character" w:customStyle="1" w:styleId="57">
    <w:name w:val="批注文字 字符"/>
    <w:link w:val="15"/>
    <w:semiHidden/>
    <w:qFormat/>
    <w:uiPriority w:val="99"/>
    <w:rPr>
      <w:rFonts w:ascii="Times New Roman" w:hAnsi="Times New Roman" w:eastAsia="宋体" w:cs="Times New Roman"/>
      <w:szCs w:val="24"/>
    </w:rPr>
  </w:style>
  <w:style w:type="character" w:customStyle="1" w:styleId="58">
    <w:name w:val="标题 6 字符"/>
    <w:link w:val="7"/>
    <w:qFormat/>
    <w:uiPriority w:val="0"/>
    <w:rPr>
      <w:rFonts w:ascii="Arial" w:hAnsi="Arial" w:eastAsia="黑体" w:cs="Times New Roman"/>
      <w:b/>
      <w:bCs/>
      <w:kern w:val="0"/>
      <w:sz w:val="24"/>
      <w:szCs w:val="24"/>
    </w:rPr>
  </w:style>
  <w:style w:type="character" w:customStyle="1" w:styleId="59">
    <w:name w:val="Char Char8"/>
    <w:qFormat/>
    <w:uiPriority w:val="0"/>
    <w:rPr>
      <w:rFonts w:ascii="Arial" w:hAnsi="Arial" w:eastAsia="黑体"/>
      <w:b/>
      <w:bCs/>
      <w:kern w:val="2"/>
      <w:sz w:val="32"/>
      <w:szCs w:val="32"/>
      <w:lang w:val="en-US" w:eastAsia="zh-CN" w:bidi="ar-SA"/>
    </w:rPr>
  </w:style>
  <w:style w:type="character" w:customStyle="1" w:styleId="60">
    <w:name w:val="脚注文本 Char1"/>
    <w:semiHidden/>
    <w:qFormat/>
    <w:uiPriority w:val="99"/>
    <w:rPr>
      <w:rFonts w:ascii="Times New Roman" w:hAnsi="Times New Roman" w:eastAsia="宋体" w:cs="Times New Roman"/>
      <w:sz w:val="18"/>
      <w:szCs w:val="18"/>
    </w:rPr>
  </w:style>
  <w:style w:type="character" w:customStyle="1" w:styleId="61">
    <w:name w:val="正文文本 3 字符"/>
    <w:link w:val="16"/>
    <w:qFormat/>
    <w:uiPriority w:val="0"/>
    <w:rPr>
      <w:rFonts w:ascii="宋体"/>
      <w:sz w:val="24"/>
    </w:rPr>
  </w:style>
  <w:style w:type="character" w:customStyle="1" w:styleId="62">
    <w:name w:val="页脚 Char1"/>
    <w:semiHidden/>
    <w:qFormat/>
    <w:uiPriority w:val="99"/>
    <w:rPr>
      <w:rFonts w:ascii="Times New Roman" w:hAnsi="Times New Roman" w:eastAsia="宋体" w:cs="Times New Roman"/>
      <w:sz w:val="18"/>
      <w:szCs w:val="18"/>
    </w:rPr>
  </w:style>
  <w:style w:type="character" w:customStyle="1" w:styleId="63">
    <w:name w:val="标题 Char1"/>
    <w:qFormat/>
    <w:uiPriority w:val="10"/>
    <w:rPr>
      <w:rFonts w:ascii="Calibri Light" w:hAnsi="Calibri Light" w:eastAsia="宋体" w:cs="Times New Roman"/>
      <w:b/>
      <w:bCs/>
      <w:sz w:val="32"/>
      <w:szCs w:val="32"/>
    </w:rPr>
  </w:style>
  <w:style w:type="character" w:customStyle="1" w:styleId="64">
    <w:name w:val="正文文本 字符"/>
    <w:link w:val="2"/>
    <w:qFormat/>
    <w:uiPriority w:val="0"/>
    <w:rPr>
      <w:rFonts w:eastAsia="宋体"/>
      <w:szCs w:val="24"/>
    </w:rPr>
  </w:style>
  <w:style w:type="character" w:customStyle="1" w:styleId="65">
    <w:name w:val="脚注文本 字符"/>
    <w:link w:val="30"/>
    <w:qFormat/>
    <w:uiPriority w:val="0"/>
    <w:rPr>
      <w:rFonts w:eastAsia="宋体"/>
    </w:rPr>
  </w:style>
  <w:style w:type="character" w:customStyle="1" w:styleId="66">
    <w:name w:val="纯文本 Char1"/>
    <w:semiHidden/>
    <w:qFormat/>
    <w:uiPriority w:val="99"/>
    <w:rPr>
      <w:rFonts w:ascii="宋体" w:hAnsi="Courier New" w:eastAsia="宋体" w:cs="Courier New"/>
      <w:szCs w:val="21"/>
    </w:rPr>
  </w:style>
  <w:style w:type="character" w:customStyle="1" w:styleId="67">
    <w:name w:val="批注主题 字符"/>
    <w:link w:val="40"/>
    <w:qFormat/>
    <w:uiPriority w:val="0"/>
    <w:rPr>
      <w:rFonts w:ascii="Times New Roman" w:hAnsi="Times New Roman" w:eastAsia="宋体" w:cs="Times New Roman"/>
      <w:b/>
      <w:bCs/>
      <w:szCs w:val="24"/>
    </w:rPr>
  </w:style>
  <w:style w:type="character" w:customStyle="1" w:styleId="68">
    <w:name w:val="正文缩进 字符"/>
    <w:link w:val="13"/>
    <w:qFormat/>
    <w:locked/>
    <w:uiPriority w:val="0"/>
    <w:rPr>
      <w:kern w:val="2"/>
      <w:sz w:val="21"/>
      <w:szCs w:val="24"/>
    </w:rPr>
  </w:style>
  <w:style w:type="character" w:customStyle="1" w:styleId="69">
    <w:name w:val="font11"/>
    <w:qFormat/>
    <w:uiPriority w:val="0"/>
    <w:rPr>
      <w:rFonts w:hint="default" w:ascii="Times New Roman" w:hAnsi="Times New Roman" w:cs="Times New Roman"/>
      <w:color w:val="000000"/>
      <w:sz w:val="22"/>
      <w:szCs w:val="22"/>
      <w:u w:val="none"/>
    </w:rPr>
  </w:style>
  <w:style w:type="character" w:customStyle="1" w:styleId="70">
    <w:name w:val="font01"/>
    <w:qFormat/>
    <w:uiPriority w:val="0"/>
    <w:rPr>
      <w:rFonts w:hint="eastAsia" w:ascii="宋体" w:hAnsi="宋体" w:eastAsia="宋体" w:cs="宋体"/>
      <w:color w:val="000000"/>
      <w:sz w:val="22"/>
      <w:szCs w:val="22"/>
      <w:u w:val="none"/>
    </w:rPr>
  </w:style>
  <w:style w:type="character" w:customStyle="1" w:styleId="71">
    <w:name w:val="页眉 字符"/>
    <w:link w:val="27"/>
    <w:qFormat/>
    <w:uiPriority w:val="0"/>
    <w:rPr>
      <w:rFonts w:ascii="Times New Roman" w:hAnsi="Times New Roman" w:eastAsia="宋体" w:cs="Times New Roman"/>
      <w:sz w:val="18"/>
      <w:szCs w:val="18"/>
    </w:rPr>
  </w:style>
  <w:style w:type="character" w:customStyle="1" w:styleId="72">
    <w:name w:val="标题 9 字符"/>
    <w:link w:val="10"/>
    <w:qFormat/>
    <w:uiPriority w:val="0"/>
    <w:rPr>
      <w:rFonts w:ascii="Arial" w:hAnsi="Arial" w:eastAsia="黑体" w:cs="Times New Roman"/>
      <w:kern w:val="0"/>
      <w:szCs w:val="21"/>
    </w:rPr>
  </w:style>
  <w:style w:type="character" w:customStyle="1" w:styleId="73">
    <w:name w:val="标题 2 Char1"/>
    <w:qFormat/>
    <w:uiPriority w:val="0"/>
    <w:rPr>
      <w:rFonts w:ascii="Arial" w:hAnsi="Arial" w:eastAsia="黑体" w:cs="Times New Roman"/>
      <w:b/>
      <w:bCs/>
      <w:sz w:val="32"/>
      <w:szCs w:val="32"/>
      <w:lang w:val="en-US" w:eastAsia="en-US" w:bidi="ar-SA"/>
    </w:rPr>
  </w:style>
  <w:style w:type="character" w:customStyle="1" w:styleId="74">
    <w:name w:val="正文文本缩进 字符"/>
    <w:link w:val="17"/>
    <w:qFormat/>
    <w:uiPriority w:val="0"/>
    <w:rPr>
      <w:szCs w:val="24"/>
    </w:rPr>
  </w:style>
  <w:style w:type="character" w:customStyle="1" w:styleId="75">
    <w:name w:val="文档结构图 字符"/>
    <w:link w:val="14"/>
    <w:qFormat/>
    <w:uiPriority w:val="0"/>
    <w:rPr>
      <w:rFonts w:ascii="Times New Roman" w:hAnsi="Times New Roman" w:eastAsia="宋体" w:cs="Times New Roman"/>
      <w:szCs w:val="24"/>
      <w:shd w:val="clear" w:color="auto" w:fill="000080"/>
    </w:rPr>
  </w:style>
  <w:style w:type="character" w:customStyle="1" w:styleId="76">
    <w:name w:val="font161"/>
    <w:qFormat/>
    <w:uiPriority w:val="0"/>
    <w:rPr>
      <w:b/>
      <w:bCs/>
      <w:sz w:val="32"/>
      <w:szCs w:val="32"/>
    </w:rPr>
  </w:style>
  <w:style w:type="character" w:customStyle="1" w:styleId="77">
    <w:name w:val="标题 2 字符"/>
    <w:link w:val="4"/>
    <w:qFormat/>
    <w:uiPriority w:val="0"/>
    <w:rPr>
      <w:rFonts w:ascii="Arial" w:hAnsi="Arial" w:eastAsia="黑体" w:cs="Times New Roman"/>
      <w:b/>
      <w:bCs/>
      <w:sz w:val="32"/>
      <w:szCs w:val="32"/>
    </w:rPr>
  </w:style>
  <w:style w:type="character" w:customStyle="1" w:styleId="78">
    <w:name w:val="标题 字符"/>
    <w:link w:val="39"/>
    <w:qFormat/>
    <w:uiPriority w:val="0"/>
    <w:rPr>
      <w:rFonts w:ascii="Arial" w:hAnsi="Arial"/>
      <w:b/>
      <w:sz w:val="32"/>
    </w:rPr>
  </w:style>
  <w:style w:type="character" w:customStyle="1" w:styleId="79">
    <w:name w:val="批注框文本 字符"/>
    <w:link w:val="25"/>
    <w:qFormat/>
    <w:uiPriority w:val="0"/>
    <w:rPr>
      <w:rFonts w:ascii="Times New Roman" w:hAnsi="Times New Roman" w:eastAsia="宋体" w:cs="Times New Roman"/>
      <w:sz w:val="18"/>
      <w:szCs w:val="18"/>
    </w:rPr>
  </w:style>
  <w:style w:type="character" w:customStyle="1" w:styleId="80">
    <w:name w:val="标题 8 字符"/>
    <w:link w:val="9"/>
    <w:qFormat/>
    <w:uiPriority w:val="0"/>
    <w:rPr>
      <w:rFonts w:ascii="Arial" w:hAnsi="Arial" w:eastAsia="黑体" w:cs="Times New Roman"/>
      <w:kern w:val="0"/>
      <w:sz w:val="24"/>
      <w:szCs w:val="24"/>
    </w:rPr>
  </w:style>
  <w:style w:type="character" w:customStyle="1" w:styleId="81">
    <w:name w:val="日期 字符"/>
    <w:link w:val="23"/>
    <w:qFormat/>
    <w:uiPriority w:val="0"/>
    <w:rPr>
      <w:rFonts w:ascii="Times New Roman" w:hAnsi="Times New Roman" w:eastAsia="宋体" w:cs="Times New Roman"/>
      <w:sz w:val="24"/>
      <w:szCs w:val="20"/>
    </w:rPr>
  </w:style>
  <w:style w:type="character" w:customStyle="1" w:styleId="82">
    <w:name w:val="标题 1 字符"/>
    <w:link w:val="3"/>
    <w:qFormat/>
    <w:uiPriority w:val="0"/>
    <w:rPr>
      <w:rFonts w:ascii="Times New Roman" w:hAnsi="Times New Roman" w:eastAsia="宋体" w:cs="Times New Roman"/>
      <w:b/>
      <w:bCs/>
      <w:kern w:val="44"/>
      <w:sz w:val="44"/>
      <w:szCs w:val="44"/>
    </w:rPr>
  </w:style>
  <w:style w:type="character" w:customStyle="1" w:styleId="83">
    <w:name w:val="招标节 Char"/>
    <w:link w:val="84"/>
    <w:qFormat/>
    <w:locked/>
    <w:uiPriority w:val="0"/>
    <w:rPr>
      <w:b/>
      <w:sz w:val="24"/>
      <w:szCs w:val="24"/>
    </w:rPr>
  </w:style>
  <w:style w:type="paragraph" w:customStyle="1" w:styleId="84">
    <w:name w:val="招标节"/>
    <w:basedOn w:val="1"/>
    <w:next w:val="1"/>
    <w:link w:val="83"/>
    <w:qFormat/>
    <w:uiPriority w:val="0"/>
    <w:pPr>
      <w:spacing w:beforeLines="50" w:afterLines="50"/>
      <w:outlineLvl w:val="1"/>
    </w:pPr>
    <w:rPr>
      <w:b/>
      <w:kern w:val="0"/>
      <w:sz w:val="24"/>
    </w:rPr>
  </w:style>
  <w:style w:type="character" w:customStyle="1" w:styleId="85">
    <w:name w:val="正文文本缩进 3 字符"/>
    <w:link w:val="32"/>
    <w:qFormat/>
    <w:uiPriority w:val="0"/>
    <w:rPr>
      <w:rFonts w:ascii="Times New Roman" w:hAnsi="Times New Roman" w:eastAsia="宋体" w:cs="Times New Roman"/>
      <w:sz w:val="16"/>
      <w:szCs w:val="16"/>
    </w:rPr>
  </w:style>
  <w:style w:type="character" w:customStyle="1" w:styleId="86">
    <w:name w:val="tpc_content1"/>
    <w:qFormat/>
    <w:uiPriority w:val="0"/>
    <w:rPr>
      <w:sz w:val="20"/>
      <w:szCs w:val="20"/>
    </w:rPr>
  </w:style>
  <w:style w:type="character" w:customStyle="1" w:styleId="87">
    <w:name w:val="Char Char"/>
    <w:qFormat/>
    <w:uiPriority w:val="0"/>
    <w:rPr>
      <w:rFonts w:ascii="Arial" w:hAnsi="Arial" w:eastAsia="黑体"/>
      <w:b/>
      <w:bCs/>
      <w:kern w:val="2"/>
      <w:sz w:val="32"/>
      <w:szCs w:val="32"/>
      <w:lang w:val="en-US" w:eastAsia="zh-CN" w:bidi="ar-SA"/>
    </w:rPr>
  </w:style>
  <w:style w:type="character" w:customStyle="1" w:styleId="88">
    <w:name w:val="正文文本 Char1"/>
    <w:semiHidden/>
    <w:qFormat/>
    <w:uiPriority w:val="99"/>
    <w:rPr>
      <w:rFonts w:ascii="Times New Roman" w:hAnsi="Times New Roman" w:eastAsia="宋体" w:cs="Times New Roman"/>
      <w:szCs w:val="24"/>
    </w:rPr>
  </w:style>
  <w:style w:type="character" w:customStyle="1" w:styleId="89">
    <w:name w:val="Char Char2"/>
    <w:qFormat/>
    <w:uiPriority w:val="0"/>
    <w:rPr>
      <w:rFonts w:eastAsia="宋体"/>
      <w:kern w:val="2"/>
      <w:sz w:val="21"/>
      <w:szCs w:val="24"/>
      <w:lang w:val="en-US" w:eastAsia="zh-CN" w:bidi="ar-SA"/>
    </w:rPr>
  </w:style>
  <w:style w:type="character" w:customStyle="1" w:styleId="90">
    <w:name w:val="apple-converted-space"/>
    <w:qFormat/>
    <w:uiPriority w:val="0"/>
  </w:style>
  <w:style w:type="character" w:customStyle="1" w:styleId="91">
    <w:name w:val="标题 4 字符"/>
    <w:link w:val="6"/>
    <w:qFormat/>
    <w:uiPriority w:val="0"/>
    <w:rPr>
      <w:rFonts w:ascii="Arial" w:hAnsi="Arial" w:eastAsia="黑体" w:cs="Times New Roman"/>
      <w:b/>
      <w:bCs/>
      <w:sz w:val="28"/>
      <w:szCs w:val="28"/>
    </w:rPr>
  </w:style>
  <w:style w:type="character" w:customStyle="1" w:styleId="92">
    <w:name w:val="正文文本缩进 Char1"/>
    <w:semiHidden/>
    <w:qFormat/>
    <w:uiPriority w:val="99"/>
    <w:rPr>
      <w:rFonts w:ascii="Times New Roman" w:hAnsi="Times New Roman" w:eastAsia="宋体" w:cs="Times New Roman"/>
      <w:szCs w:val="24"/>
    </w:rPr>
  </w:style>
  <w:style w:type="character" w:customStyle="1" w:styleId="93">
    <w:name w:val="页脚 字符"/>
    <w:link w:val="26"/>
    <w:qFormat/>
    <w:uiPriority w:val="99"/>
    <w:rPr>
      <w:sz w:val="18"/>
      <w:szCs w:val="18"/>
    </w:rPr>
  </w:style>
  <w:style w:type="character" w:customStyle="1" w:styleId="94">
    <w:name w:val="Char Char7"/>
    <w:qFormat/>
    <w:uiPriority w:val="0"/>
    <w:rPr>
      <w:rFonts w:ascii="Arial" w:hAnsi="Arial" w:eastAsia="黑体"/>
      <w:b/>
      <w:bCs/>
      <w:kern w:val="2"/>
      <w:sz w:val="32"/>
      <w:szCs w:val="32"/>
      <w:lang w:val="en-US" w:eastAsia="zh-CN" w:bidi="ar-SA"/>
    </w:rPr>
  </w:style>
  <w:style w:type="character" w:customStyle="1" w:styleId="95">
    <w:name w:val="HTML 预设格式 字符"/>
    <w:link w:val="36"/>
    <w:qFormat/>
    <w:uiPriority w:val="0"/>
    <w:rPr>
      <w:rFonts w:ascii="微软雅黑" w:hAnsi="微软雅黑" w:eastAsia="微软雅黑" w:cs="Times New Roman"/>
      <w:kern w:val="0"/>
      <w:sz w:val="24"/>
      <w:szCs w:val="24"/>
    </w:rPr>
  </w:style>
  <w:style w:type="character" w:customStyle="1" w:styleId="96">
    <w:name w:val="批注文字 Char"/>
    <w:qFormat/>
    <w:uiPriority w:val="0"/>
    <w:rPr>
      <w:rFonts w:eastAsia="宋体"/>
      <w:kern w:val="2"/>
      <w:sz w:val="21"/>
      <w:szCs w:val="24"/>
      <w:lang w:val="en-US" w:eastAsia="zh-CN" w:bidi="ar-SA"/>
    </w:rPr>
  </w:style>
  <w:style w:type="character" w:customStyle="1" w:styleId="97">
    <w:name w:val="纯文本 字符"/>
    <w:link w:val="21"/>
    <w:qFormat/>
    <w:uiPriority w:val="99"/>
    <w:rPr>
      <w:rFonts w:ascii="Courier New" w:hAnsi="Courier New"/>
    </w:rPr>
  </w:style>
  <w:style w:type="character" w:customStyle="1" w:styleId="98">
    <w:name w:val="标题 7 字符"/>
    <w:link w:val="8"/>
    <w:qFormat/>
    <w:uiPriority w:val="0"/>
    <w:rPr>
      <w:rFonts w:ascii="Times New Roman" w:hAnsi="Times New Roman" w:eastAsia="宋体" w:cs="Times New Roman"/>
      <w:b/>
      <w:bCs/>
      <w:kern w:val="0"/>
      <w:sz w:val="24"/>
      <w:szCs w:val="24"/>
    </w:rPr>
  </w:style>
  <w:style w:type="paragraph" w:customStyle="1" w:styleId="99">
    <w:name w:val="样式4"/>
    <w:basedOn w:val="5"/>
    <w:qFormat/>
    <w:uiPriority w:val="0"/>
    <w:rPr>
      <w:rFonts w:eastAsia="Arial"/>
    </w:rPr>
  </w:style>
  <w:style w:type="paragraph" w:customStyle="1" w:styleId="100">
    <w:name w:val="Normal_9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1">
    <w:name w:val="Normal_6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2">
    <w:name w:val="font10"/>
    <w:basedOn w:val="1"/>
    <w:qFormat/>
    <w:uiPriority w:val="0"/>
    <w:pPr>
      <w:widowControl/>
      <w:spacing w:before="100" w:beforeAutospacing="1" w:after="100" w:afterAutospacing="1"/>
      <w:jc w:val="left"/>
    </w:pPr>
    <w:rPr>
      <w:kern w:val="0"/>
      <w:sz w:val="28"/>
      <w:szCs w:val="28"/>
    </w:rPr>
  </w:style>
  <w:style w:type="paragraph" w:customStyle="1" w:styleId="103">
    <w:name w:val="Normal_5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4">
    <w:name w:val="Normal_6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5">
    <w:name w:val="样式1"/>
    <w:basedOn w:val="5"/>
    <w:qFormat/>
    <w:uiPriority w:val="0"/>
    <w:rPr>
      <w:rFonts w:eastAsia="Arial"/>
    </w:rPr>
  </w:style>
  <w:style w:type="paragraph" w:customStyle="1" w:styleId="106">
    <w:name w:val="Normal_2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7">
    <w:name w:val="Normal_5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8">
    <w:name w:val="Char"/>
    <w:basedOn w:val="1"/>
    <w:qFormat/>
    <w:uiPriority w:val="0"/>
    <w:pPr>
      <w:tabs>
        <w:tab w:val="left" w:pos="360"/>
      </w:tabs>
    </w:pPr>
    <w:rPr>
      <w:sz w:val="24"/>
    </w:rPr>
  </w:style>
  <w:style w:type="paragraph" w:customStyle="1" w:styleId="109">
    <w:name w:val="Normal_9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0">
    <w:name w:val="表格"/>
    <w:basedOn w:val="1"/>
    <w:qFormat/>
    <w:uiPriority w:val="0"/>
    <w:pPr>
      <w:jc w:val="center"/>
      <w:textAlignment w:val="center"/>
    </w:pPr>
    <w:rPr>
      <w:rFonts w:ascii="华文细黑" w:hAnsi="华文细黑"/>
      <w:kern w:val="0"/>
      <w:szCs w:val="20"/>
    </w:rPr>
  </w:style>
  <w:style w:type="paragraph" w:customStyle="1" w:styleId="111">
    <w:name w:val="Normal_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2">
    <w:name w:val="Normal_6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3">
    <w:name w:val="Normal_6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4">
    <w:name w:val="样式 居中 首行缩进:  2 字符"/>
    <w:basedOn w:val="1"/>
    <w:qFormat/>
    <w:uiPriority w:val="0"/>
    <w:pPr>
      <w:widowControl/>
      <w:spacing w:line="360" w:lineRule="auto"/>
      <w:ind w:firstLine="480" w:firstLineChars="200"/>
      <w:jc w:val="center"/>
    </w:pPr>
    <w:rPr>
      <w:rFonts w:ascii="Calibri" w:hAnsi="Calibri" w:cs="宋体"/>
      <w:kern w:val="0"/>
      <w:szCs w:val="20"/>
      <w:lang w:eastAsia="en-US" w:bidi="en-US"/>
    </w:rPr>
  </w:style>
  <w:style w:type="paragraph" w:customStyle="1" w:styleId="115">
    <w:name w:val="Normal_6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6">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7">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8">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9">
    <w:name w:val="Normal_6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0">
    <w:name w:val="列表段落1"/>
    <w:basedOn w:val="1"/>
    <w:qFormat/>
    <w:uiPriority w:val="34"/>
    <w:pPr>
      <w:ind w:firstLine="420" w:firstLineChars="200"/>
    </w:pPr>
    <w:rPr>
      <w:rFonts w:ascii="Calibri" w:hAnsi="Calibri"/>
      <w:szCs w:val="22"/>
    </w:rPr>
  </w:style>
  <w:style w:type="paragraph" w:customStyle="1" w:styleId="121">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22">
    <w:name w:val="Normal_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3">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4">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25">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26">
    <w:name w:val="1"/>
    <w:basedOn w:val="1"/>
    <w:next w:val="1"/>
    <w:qFormat/>
    <w:uiPriority w:val="0"/>
  </w:style>
  <w:style w:type="paragraph" w:customStyle="1" w:styleId="127">
    <w:name w:val="Normal_5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8">
    <w:name w:val="Normal_5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9">
    <w:name w:val="规范文本"/>
    <w:basedOn w:val="21"/>
    <w:qFormat/>
    <w:uiPriority w:val="0"/>
    <w:pPr>
      <w:adjustRightInd w:val="0"/>
      <w:snapToGrid w:val="0"/>
      <w:spacing w:line="360" w:lineRule="exact"/>
      <w:ind w:firstLine="420"/>
    </w:pPr>
    <w:rPr>
      <w:rFonts w:ascii="宋体"/>
      <w:snapToGrid w:val="0"/>
      <w:szCs w:val="21"/>
    </w:rPr>
  </w:style>
  <w:style w:type="paragraph" w:customStyle="1" w:styleId="130">
    <w:name w:val="样式 标题 2 + Times New Roman 四号 非加粗 行距: 单倍行距"/>
    <w:basedOn w:val="4"/>
    <w:qFormat/>
    <w:uiPriority w:val="0"/>
    <w:pPr>
      <w:spacing w:before="0" w:after="0" w:line="240" w:lineRule="auto"/>
      <w:jc w:val="center"/>
    </w:pPr>
    <w:rPr>
      <w:rFonts w:ascii="宋体" w:hAnsi="宋体" w:eastAsia="宋体"/>
      <w:bCs w:val="0"/>
      <w:color w:val="000000"/>
      <w:kern w:val="44"/>
      <w:sz w:val="28"/>
      <w:szCs w:val="28"/>
    </w:rPr>
  </w:style>
  <w:style w:type="paragraph" w:customStyle="1" w:styleId="131">
    <w:name w:val="节"/>
    <w:basedOn w:val="21"/>
    <w:qFormat/>
    <w:uiPriority w:val="0"/>
    <w:pPr>
      <w:adjustRightInd w:val="0"/>
      <w:snapToGrid w:val="0"/>
      <w:spacing w:before="600" w:after="600"/>
      <w:jc w:val="center"/>
      <w:outlineLvl w:val="2"/>
    </w:pPr>
    <w:rPr>
      <w:rFonts w:ascii="黑体" w:eastAsia="黑体"/>
      <w:snapToGrid w:val="0"/>
      <w:w w:val="90"/>
      <w:sz w:val="32"/>
    </w:rPr>
  </w:style>
  <w:style w:type="paragraph" w:customStyle="1" w:styleId="132">
    <w:name w:val="Normal_8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3">
    <w:name w:val="样式3"/>
    <w:basedOn w:val="5"/>
    <w:qFormat/>
    <w:uiPriority w:val="0"/>
    <w:rPr>
      <w:rFonts w:eastAsia="Arial"/>
    </w:rPr>
  </w:style>
  <w:style w:type="paragraph" w:customStyle="1" w:styleId="134">
    <w:name w:val="Normal_9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5">
    <w:name w:val="Normal_5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6">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7">
    <w:name w:val="Normal_9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8">
    <w:name w:val="正文文本 (15)"/>
    <w:basedOn w:val="1"/>
    <w:qFormat/>
    <w:uiPriority w:val="0"/>
    <w:pPr>
      <w:shd w:val="clear" w:color="auto" w:fill="FFFFFF"/>
      <w:spacing w:line="0" w:lineRule="atLeast"/>
      <w:jc w:val="left"/>
    </w:pPr>
    <w:rPr>
      <w:rFonts w:ascii="MingLiU" w:hAnsi="MingLiU" w:eastAsia="MingLiU"/>
      <w:spacing w:val="10"/>
      <w:kern w:val="0"/>
      <w:sz w:val="19"/>
      <w:szCs w:val="19"/>
    </w:rPr>
  </w:style>
  <w:style w:type="paragraph" w:customStyle="1" w:styleId="139">
    <w:name w:val="Normal_9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0">
    <w:name w:val="Normal_4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1">
    <w:name w:val="正文文本 (2)"/>
    <w:basedOn w:val="1"/>
    <w:qFormat/>
    <w:uiPriority w:val="0"/>
    <w:pPr>
      <w:shd w:val="clear" w:color="auto" w:fill="FFFFFF"/>
      <w:spacing w:before="300" w:line="439" w:lineRule="exact"/>
      <w:jc w:val="distribute"/>
    </w:pPr>
    <w:rPr>
      <w:rFonts w:ascii="MingLiU" w:hAnsi="MingLiU" w:eastAsia="MingLiU"/>
      <w:kern w:val="0"/>
      <w:sz w:val="22"/>
      <w:szCs w:val="22"/>
    </w:rPr>
  </w:style>
  <w:style w:type="paragraph" w:customStyle="1" w:styleId="142">
    <w:name w:val="设计说明2"/>
    <w:basedOn w:val="1"/>
    <w:qFormat/>
    <w:uiPriority w:val="0"/>
    <w:pPr>
      <w:numPr>
        <w:ilvl w:val="1"/>
        <w:numId w:val="1"/>
      </w:numPr>
      <w:tabs>
        <w:tab w:val="left" w:pos="630"/>
      </w:tabs>
      <w:spacing w:before="120" w:after="120" w:line="400" w:lineRule="exact"/>
      <w:jc w:val="left"/>
      <w:outlineLvl w:val="1"/>
    </w:pPr>
    <w:rPr>
      <w:rFonts w:ascii="新宋体" w:hAnsi="新宋体"/>
      <w:b/>
      <w:sz w:val="28"/>
      <w:szCs w:val="20"/>
    </w:rPr>
  </w:style>
  <w:style w:type="paragraph" w:customStyle="1" w:styleId="143">
    <w:name w:val="Normal_6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4">
    <w:name w:val="样式 宋体 左 首行缩进:  2 字符"/>
    <w:basedOn w:val="1"/>
    <w:qFormat/>
    <w:uiPriority w:val="0"/>
    <w:pPr>
      <w:widowControl/>
      <w:spacing w:line="360" w:lineRule="auto"/>
      <w:ind w:firstLine="200" w:firstLineChars="200"/>
    </w:pPr>
    <w:rPr>
      <w:rFonts w:cs="宋体"/>
      <w:kern w:val="0"/>
      <w:szCs w:val="20"/>
      <w:lang w:eastAsia="en-US" w:bidi="en-US"/>
    </w:rPr>
  </w:style>
  <w:style w:type="paragraph" w:customStyle="1" w:styleId="145">
    <w:name w:val="Normal_5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6">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47">
    <w:name w:val="第二"/>
    <w:basedOn w:val="1"/>
    <w:qFormat/>
    <w:uiPriority w:val="0"/>
    <w:pPr>
      <w:adjustRightInd w:val="0"/>
      <w:snapToGrid w:val="0"/>
      <w:spacing w:line="360" w:lineRule="auto"/>
      <w:ind w:right="-108" w:rightChars="-45" w:firstLine="482"/>
    </w:pPr>
    <w:rPr>
      <w:b/>
    </w:rPr>
  </w:style>
  <w:style w:type="paragraph" w:customStyle="1" w:styleId="148">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4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0">
    <w:name w:val="xl27"/>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151">
    <w:name w:val="内容"/>
    <w:basedOn w:val="1"/>
    <w:qFormat/>
    <w:uiPriority w:val="0"/>
    <w:pPr>
      <w:spacing w:line="480" w:lineRule="exact"/>
      <w:ind w:firstLine="200" w:firstLineChars="200"/>
    </w:pPr>
  </w:style>
  <w:style w:type="paragraph" w:customStyle="1" w:styleId="152">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3">
    <w:name w:val="Normal_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4">
    <w:name w:val="列出段落1"/>
    <w:basedOn w:val="1"/>
    <w:qFormat/>
    <w:uiPriority w:val="99"/>
    <w:pPr>
      <w:ind w:firstLine="420" w:firstLineChars="200"/>
    </w:pPr>
  </w:style>
  <w:style w:type="paragraph" w:customStyle="1" w:styleId="155">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6">
    <w:name w:val="表格文字"/>
    <w:basedOn w:val="1"/>
    <w:qFormat/>
    <w:uiPriority w:val="0"/>
    <w:pPr>
      <w:adjustRightInd w:val="0"/>
      <w:spacing w:line="420" w:lineRule="atLeast"/>
      <w:jc w:val="left"/>
      <w:textAlignment w:val="baseline"/>
    </w:pPr>
    <w:rPr>
      <w:kern w:val="0"/>
      <w:szCs w:val="20"/>
    </w:rPr>
  </w:style>
  <w:style w:type="paragraph" w:customStyle="1" w:styleId="157">
    <w:name w:val="须知内容"/>
    <w:qFormat/>
    <w:uiPriority w:val="0"/>
    <w:pPr>
      <w:tabs>
        <w:tab w:val="left" w:pos="5140"/>
        <w:tab w:val="left" w:pos="8520"/>
      </w:tabs>
      <w:adjustRightInd w:val="0"/>
      <w:snapToGrid w:val="0"/>
      <w:spacing w:line="320" w:lineRule="atLeast"/>
    </w:pPr>
    <w:rPr>
      <w:rFonts w:ascii="仿宋_GB2312" w:hAnsi="宋体" w:eastAsia="仿宋_GB2312" w:cs="Times New Roman"/>
      <w:kern w:val="2"/>
      <w:sz w:val="21"/>
      <w:szCs w:val="21"/>
      <w:lang w:val="en-US" w:eastAsia="zh-CN" w:bidi="ar-SA"/>
    </w:rPr>
  </w:style>
  <w:style w:type="paragraph" w:customStyle="1" w:styleId="158">
    <w:name w:val="样式2"/>
    <w:basedOn w:val="5"/>
    <w:qFormat/>
    <w:uiPriority w:val="0"/>
  </w:style>
  <w:style w:type="character" w:customStyle="1" w:styleId="159">
    <w:name w:val="after"/>
    <w:basedOn w:val="45"/>
    <w:qFormat/>
    <w:uiPriority w:val="0"/>
    <w:rPr>
      <w:bdr w:val="dashed" w:color="auto" w:sz="48" w:space="0"/>
    </w:rPr>
  </w:style>
  <w:style w:type="character" w:customStyle="1" w:styleId="160">
    <w:name w:val="before"/>
    <w:basedOn w:val="45"/>
    <w:qFormat/>
    <w:uiPriority w:val="0"/>
    <w:rPr>
      <w:bdr w:val="single" w:color="auto" w:sz="48" w:space="0"/>
    </w:rPr>
  </w:style>
  <w:style w:type="character" w:customStyle="1" w:styleId="161">
    <w:name w:val="hover48"/>
    <w:basedOn w:val="45"/>
    <w:qFormat/>
    <w:uiPriority w:val="0"/>
    <w:rPr>
      <w:shd w:val="clear" w:color="auto" w:fill="346AC3"/>
    </w:rPr>
  </w:style>
  <w:style w:type="character" w:customStyle="1" w:styleId="162">
    <w:name w:val="hover49"/>
    <w:basedOn w:val="45"/>
    <w:qFormat/>
    <w:uiPriority w:val="0"/>
  </w:style>
  <w:style w:type="character" w:customStyle="1" w:styleId="163">
    <w:name w:val="hover50"/>
    <w:basedOn w:val="45"/>
    <w:qFormat/>
    <w:uiPriority w:val="0"/>
    <w:rPr>
      <w:color w:val="4285F4"/>
      <w:u w:val="none"/>
    </w:rPr>
  </w:style>
  <w:style w:type="character" w:customStyle="1" w:styleId="164">
    <w:name w:val="hover51"/>
    <w:basedOn w:val="45"/>
    <w:qFormat/>
    <w:uiPriority w:val="0"/>
    <w:rPr>
      <w:color w:val="4285F4"/>
    </w:rPr>
  </w:style>
  <w:style w:type="character" w:customStyle="1" w:styleId="165">
    <w:name w:val="hover52"/>
    <w:basedOn w:val="45"/>
    <w:qFormat/>
    <w:uiPriority w:val="0"/>
    <w:rPr>
      <w:color w:val="1A85D7"/>
    </w:rPr>
  </w:style>
  <w:style w:type="character" w:customStyle="1" w:styleId="166">
    <w:name w:val="credit"/>
    <w:basedOn w:val="45"/>
    <w:qFormat/>
    <w:uiPriority w:val="0"/>
    <w:rPr>
      <w:sz w:val="18"/>
      <w:szCs w:val="18"/>
    </w:rPr>
  </w:style>
  <w:style w:type="character" w:customStyle="1" w:styleId="167">
    <w:name w:val="first-child"/>
    <w:basedOn w:val="45"/>
    <w:qFormat/>
    <w:uiPriority w:val="0"/>
  </w:style>
  <w:style w:type="paragraph" w:customStyle="1" w:styleId="168">
    <w:name w:val="Table Paragraph"/>
    <w:basedOn w:val="1"/>
    <w:qFormat/>
    <w:uiPriority w:val="1"/>
  </w:style>
  <w:style w:type="table" w:customStyle="1" w:styleId="169">
    <w:name w:val="Table Normal"/>
    <w:semiHidden/>
    <w:unhideWhenUsed/>
    <w:qFormat/>
    <w:uiPriority w:val="2"/>
    <w:tblPr>
      <w:tblCellMar>
        <w:top w:w="0" w:type="dxa"/>
        <w:left w:w="0" w:type="dxa"/>
        <w:bottom w:w="0" w:type="dxa"/>
        <w:right w:w="0" w:type="dxa"/>
      </w:tblCellMar>
    </w:tblPr>
  </w:style>
  <w:style w:type="paragraph" w:customStyle="1" w:styleId="170">
    <w:name w:val="符号列表"/>
    <w:basedOn w:val="1"/>
    <w:next w:val="171"/>
    <w:qFormat/>
    <w:uiPriority w:val="34"/>
    <w:pPr>
      <w:spacing w:beforeLines="50"/>
      <w:ind w:firstLine="420" w:firstLineChars="200"/>
    </w:pPr>
    <w:rPr>
      <w:rFonts w:ascii="Calibri" w:hAnsi="Calibri"/>
      <w:sz w:val="24"/>
      <w:szCs w:val="22"/>
      <w:lang w:val="zh-CN"/>
    </w:rPr>
  </w:style>
  <w:style w:type="paragraph" w:customStyle="1" w:styleId="171">
    <w:name w:val="列出段落11"/>
    <w:basedOn w:val="1"/>
    <w:qFormat/>
    <w:uiPriority w:val="99"/>
    <w:pPr>
      <w:ind w:firstLine="420" w:firstLineChars="200"/>
    </w:pPr>
  </w:style>
  <w:style w:type="paragraph" w:customStyle="1" w:styleId="172">
    <w:name w:val="*正文"/>
    <w:basedOn w:val="1"/>
    <w:qFormat/>
    <w:uiPriority w:val="0"/>
    <w:pPr>
      <w:widowControl/>
      <w:ind w:firstLine="200" w:firstLineChars="200"/>
    </w:pPr>
    <w:rPr>
      <w:rFonts w:ascii="仿宋_GB2312" w:eastAsia="仿宋_GB2312" w:cstheme="minorBidi"/>
      <w:sz w:val="24"/>
      <w:szCs w:val="28"/>
    </w:rPr>
  </w:style>
  <w:style w:type="paragraph" w:customStyle="1" w:styleId="173">
    <w:name w:val="表体"/>
    <w:basedOn w:val="1"/>
    <w:next w:val="1"/>
    <w:qFormat/>
    <w:uiPriority w:val="0"/>
    <w:pPr>
      <w:snapToGrid w:val="0"/>
      <w:spacing w:line="0" w:lineRule="atLeast"/>
    </w:pPr>
    <w:rPr>
      <w:b/>
      <w:szCs w:val="20"/>
    </w:rPr>
  </w:style>
  <w:style w:type="paragraph" w:customStyle="1" w:styleId="17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38</Pages>
  <Words>13868</Words>
  <Characters>14575</Characters>
  <Lines>1</Lines>
  <Paragraphs>1</Paragraphs>
  <TotalTime>16</TotalTime>
  <ScaleCrop>false</ScaleCrop>
  <LinksUpToDate>false</LinksUpToDate>
  <CharactersWithSpaces>15669</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2020-05-05T08:16:00Z</dcterms:created>
  <dc:creator>陈桂兰</dc:creator>
  <cp:lastModifiedBy>Kevin</cp:lastModifiedBy>
  <cp:lastPrinted>2023-10-21T10:24:00Z</cp:lastPrinted>
  <dcterms:modified xsi:type="dcterms:W3CDTF">2024-08-26T03:26:39Z</dcterms:modified>
  <dc:title>项目名称：2019年重庆市取消高速公路省界收费站项目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AE943A27FE674156B424DCC90E6008F1</vt:lpwstr>
  </property>
  <property fmtid="{D5CDD505-2E9C-101B-9397-08002B2CF9AE}" pid="4" name="commondata">
    <vt:lpwstr>eyJoZGlkIjoiNmI0YzI4NGJiMjg2ZWZlN2MzZDcyYzg5ZDEwYzBhZDAifQ==</vt:lpwstr>
  </property>
</Properties>
</file>