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auto"/>
          <w:kern w:val="0"/>
          <w:sz w:val="32"/>
          <w:szCs w:val="32"/>
          <w:highlight w:val="none"/>
          <w:u w:val="single"/>
          <w:lang w:eastAsia="zh-CN"/>
        </w:rPr>
      </w:pPr>
      <w:bookmarkStart w:id="0" w:name="_Toc287620665"/>
    </w:p>
    <w:p>
      <w:pPr>
        <w:spacing w:line="360" w:lineRule="auto"/>
        <w:jc w:val="center"/>
        <w:rPr>
          <w:rFonts w:hint="eastAsia" w:ascii="宋体" w:hAnsi="宋体"/>
          <w:color w:val="auto"/>
          <w:kern w:val="0"/>
          <w:sz w:val="32"/>
          <w:szCs w:val="32"/>
          <w:highlight w:val="none"/>
          <w:u w:val="single"/>
          <w:lang w:val="en-US" w:eastAsia="zh-CN"/>
        </w:rPr>
      </w:pPr>
      <w:r>
        <w:rPr>
          <w:rFonts w:hint="eastAsia" w:ascii="宋体" w:hAnsi="宋体"/>
          <w:color w:val="auto"/>
          <w:kern w:val="0"/>
          <w:sz w:val="32"/>
          <w:szCs w:val="32"/>
          <w:highlight w:val="none"/>
          <w:u w:val="single"/>
          <w:lang w:eastAsia="zh-CN"/>
        </w:rPr>
        <w:t>重庆高速集团所属路段视频监测优化提升项目摄像机采购（第二次）</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招</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both"/>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w:t>
      </w:r>
      <w:r>
        <w:rPr>
          <w:rFonts w:hint="eastAsia" w:ascii="宋体" w:hAnsi="宋体"/>
          <w:bCs/>
          <w:color w:val="auto"/>
          <w:spacing w:val="8"/>
          <w:kern w:val="0"/>
          <w:sz w:val="28"/>
          <w:szCs w:val="28"/>
          <w:highlight w:val="none"/>
        </w:rPr>
        <w:t xml:space="preserve"> </w:t>
      </w:r>
      <w:r>
        <w:rPr>
          <w:rFonts w:hint="eastAsia" w:ascii="宋体" w:hAnsi="宋体"/>
          <w:bCs/>
          <w:color w:val="auto"/>
          <w:spacing w:val="8"/>
          <w:kern w:val="0"/>
          <w:sz w:val="28"/>
          <w:szCs w:val="28"/>
          <w:highlight w:val="none"/>
          <w:lang w:val="en-US" w:eastAsia="zh-CN"/>
        </w:rPr>
        <w:t xml:space="preserve">  </w:t>
      </w:r>
      <w:r>
        <w:rPr>
          <w:rFonts w:ascii="宋体" w:hAnsi="宋体"/>
          <w:bCs/>
          <w:color w:val="auto"/>
          <w:spacing w:val="8"/>
          <w:kern w:val="0"/>
          <w:sz w:val="28"/>
          <w:szCs w:val="28"/>
          <w:highlight w:val="none"/>
        </w:rPr>
        <w:t>标</w:t>
      </w:r>
      <w:r>
        <w:rPr>
          <w:rFonts w:hint="eastAsia" w:ascii="宋体" w:hAnsi="宋体"/>
          <w:bCs/>
          <w:color w:val="auto"/>
          <w:spacing w:val="8"/>
          <w:kern w:val="0"/>
          <w:sz w:val="28"/>
          <w:szCs w:val="28"/>
          <w:highlight w:val="none"/>
        </w:rPr>
        <w:t xml:space="preserve"> </w:t>
      </w:r>
      <w:r>
        <w:rPr>
          <w:rFonts w:hint="eastAsia" w:ascii="宋体" w:hAnsi="宋体"/>
          <w:bCs/>
          <w:color w:val="auto"/>
          <w:spacing w:val="8"/>
          <w:kern w:val="0"/>
          <w:sz w:val="28"/>
          <w:szCs w:val="28"/>
          <w:highlight w:val="none"/>
          <w:lang w:val="en-US" w:eastAsia="zh-CN"/>
        </w:rPr>
        <w:t xml:space="preserve">  </w:t>
      </w:r>
      <w:r>
        <w:rPr>
          <w:rFonts w:ascii="宋体" w:hAnsi="宋体"/>
          <w:bCs/>
          <w:color w:val="auto"/>
          <w:spacing w:val="8"/>
          <w:kern w:val="0"/>
          <w:sz w:val="28"/>
          <w:szCs w:val="28"/>
          <w:highlight w:val="none"/>
        </w:rPr>
        <w:t>人：</w:t>
      </w:r>
      <w:r>
        <w:rPr>
          <w:rFonts w:hint="eastAsia" w:ascii="宋体" w:hAnsi="宋体"/>
          <w:bCs/>
          <w:color w:val="auto"/>
          <w:spacing w:val="8"/>
          <w:kern w:val="0"/>
          <w:sz w:val="28"/>
          <w:szCs w:val="28"/>
          <w:highlight w:val="none"/>
          <w:u w:val="single"/>
        </w:rPr>
        <w:t>重庆中渝高速公路有限公司</w:t>
      </w:r>
      <w:r>
        <w:rPr>
          <w:rFonts w:hint="eastAsia" w:ascii="宋体" w:hAnsi="宋体"/>
          <w:bCs/>
          <w:color w:val="auto"/>
          <w:spacing w:val="8"/>
          <w:kern w:val="0"/>
          <w:sz w:val="28"/>
          <w:szCs w:val="28"/>
          <w:highlight w:val="none"/>
          <w:u w:val="single"/>
          <w:lang w:val="en-US" w:eastAsia="zh-CN"/>
        </w:rPr>
        <w:t xml:space="preserve">      </w:t>
      </w:r>
      <w:r>
        <w:rPr>
          <w:rFonts w:ascii="宋体" w:hAnsi="宋体"/>
          <w:bCs/>
          <w:color w:val="auto"/>
          <w:spacing w:val="8"/>
          <w:kern w:val="0"/>
          <w:sz w:val="28"/>
          <w:szCs w:val="28"/>
          <w:highlight w:val="none"/>
        </w:rPr>
        <w:tab/>
      </w:r>
      <w:r>
        <w:rPr>
          <w:rFonts w:ascii="宋体" w:hAnsi="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both"/>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spacing w:val="8"/>
          <w:kern w:val="0"/>
          <w:sz w:val="28"/>
          <w:szCs w:val="28"/>
          <w:highlight w:val="none"/>
          <w:u w:val="single"/>
        </w:rPr>
        <w:t>重庆</w:t>
      </w:r>
      <w:r>
        <w:rPr>
          <w:rFonts w:hint="eastAsia" w:ascii="宋体" w:hAnsi="宋体"/>
          <w:bCs/>
          <w:color w:val="auto"/>
          <w:spacing w:val="8"/>
          <w:kern w:val="0"/>
          <w:sz w:val="28"/>
          <w:szCs w:val="28"/>
          <w:highlight w:val="none"/>
          <w:u w:val="single"/>
          <w:lang w:val="en-US" w:eastAsia="zh-CN"/>
        </w:rPr>
        <w:t>市投资咨询</w:t>
      </w:r>
      <w:r>
        <w:rPr>
          <w:rFonts w:hint="eastAsia" w:ascii="宋体" w:hAnsi="宋体"/>
          <w:bCs/>
          <w:color w:val="auto"/>
          <w:spacing w:val="8"/>
          <w:kern w:val="0"/>
          <w:sz w:val="28"/>
          <w:szCs w:val="28"/>
          <w:highlight w:val="none"/>
          <w:u w:val="single"/>
        </w:rPr>
        <w:t>有限公司</w:t>
      </w:r>
      <w:r>
        <w:rPr>
          <w:rFonts w:ascii="宋体" w:hAnsi="宋体"/>
          <w:bCs/>
          <w:color w:val="auto"/>
          <w:kern w:val="0"/>
          <w:sz w:val="28"/>
          <w:szCs w:val="28"/>
          <w:highlight w:val="none"/>
          <w:u w:val="single"/>
        </w:rPr>
        <w:tab/>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Cs/>
          <w:color w:val="auto"/>
          <w:kern w:val="0"/>
          <w:sz w:val="20"/>
          <w:szCs w:val="20"/>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rPr>
          <w:rFonts w:ascii="宋体" w:hAnsi="宋体"/>
          <w:bCs/>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09218549"/>
      <w:bookmarkStart w:id="3" w:name="_Toc536797277"/>
      <w:bookmarkStart w:id="4" w:name="_Toc536796736"/>
      <w:bookmarkStart w:id="5" w:name="_Toc13210649"/>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2024</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 xml:space="preserve">9 </w:t>
      </w:r>
      <w:r>
        <w:rPr>
          <w:rFonts w:ascii="宋体" w:hAnsi="宋体"/>
          <w:bCs/>
          <w:color w:val="auto"/>
          <w:spacing w:val="8"/>
          <w:kern w:val="0"/>
          <w:sz w:val="28"/>
          <w:szCs w:val="28"/>
          <w:highlight w:val="none"/>
        </w:rPr>
        <w:t>月</w:t>
      </w:r>
      <w:bookmarkEnd w:id="1"/>
      <w:bookmarkEnd w:id="2"/>
      <w:bookmarkEnd w:id="3"/>
      <w:bookmarkEnd w:id="4"/>
      <w:bookmarkEnd w:id="5"/>
    </w:p>
    <w:p>
      <w:pPr>
        <w:pStyle w:val="3"/>
        <w:spacing w:line="360" w:lineRule="auto"/>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pPr>
        <w:pStyle w:val="10"/>
        <w:tabs>
          <w:tab w:val="right" w:leader="dot" w:pos="9469"/>
        </w:tabs>
        <w:rPr>
          <w:i w:val="0"/>
          <w:iCs w:val="0"/>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_Toc22718 </w:instrText>
      </w:r>
      <w:r>
        <w:rPr>
          <w:rFonts w:hint="eastAsia" w:ascii="宋体" w:hAnsi="宋体" w:eastAsia="宋体" w:cs="宋体"/>
          <w:i w:val="0"/>
          <w:iCs w:val="0"/>
          <w:highlight w:val="none"/>
        </w:rPr>
        <w:fldChar w:fldCharType="separate"/>
      </w:r>
      <w:r>
        <w:rPr>
          <w:rFonts w:hint="eastAsia" w:ascii="宋体" w:hAnsi="宋体"/>
          <w:i w:val="0"/>
          <w:iCs w:val="0"/>
          <w:szCs w:val="52"/>
          <w:highlight w:val="none"/>
        </w:rPr>
        <w:t>第 一 卷</w:t>
      </w:r>
      <w:r>
        <w:rPr>
          <w:i w:val="0"/>
          <w:iCs w:val="0"/>
          <w:highlight w:val="none"/>
        </w:rPr>
        <w:tab/>
      </w:r>
      <w:r>
        <w:rPr>
          <w:i w:val="0"/>
          <w:iCs w:val="0"/>
          <w:highlight w:val="none"/>
        </w:rPr>
        <w:fldChar w:fldCharType="begin"/>
      </w:r>
      <w:r>
        <w:rPr>
          <w:i w:val="0"/>
          <w:iCs w:val="0"/>
          <w:highlight w:val="none"/>
        </w:rPr>
        <w:instrText xml:space="preserve"> PAGEREF _Toc22718 \h </w:instrText>
      </w:r>
      <w:r>
        <w:rPr>
          <w:i w:val="0"/>
          <w:iCs w:val="0"/>
          <w:highlight w:val="none"/>
        </w:rPr>
        <w:fldChar w:fldCharType="separate"/>
      </w:r>
      <w:r>
        <w:rPr>
          <w:i w:val="0"/>
          <w:iCs w:val="0"/>
          <w:highlight w:val="none"/>
        </w:rPr>
        <w:t>5</w:t>
      </w:r>
      <w:r>
        <w:rPr>
          <w:i w:val="0"/>
          <w:iCs w:val="0"/>
          <w:highlight w:val="none"/>
        </w:rPr>
        <w:fldChar w:fldCharType="end"/>
      </w:r>
      <w:r>
        <w:rPr>
          <w:rFonts w:hint="eastAsia" w:ascii="宋体" w:hAnsi="宋体" w:eastAsia="宋体" w:cs="宋体"/>
          <w:i w:val="0"/>
          <w:iCs w:val="0"/>
          <w:color w:val="auto"/>
          <w:highlight w:val="none"/>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_Toc13341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第一章  招标公告（</w:t>
      </w:r>
      <w:r>
        <w:rPr>
          <w:rFonts w:hint="eastAsia" w:ascii="宋体" w:hAnsi="宋体"/>
          <w:i w:val="0"/>
          <w:iCs w:val="0"/>
          <w:snapToGrid w:val="0"/>
          <w:highlight w:val="none"/>
        </w:rPr>
        <w:t>适用于公开招标</w:t>
      </w:r>
      <w:r>
        <w:rPr>
          <w:rFonts w:ascii="宋体" w:hAnsi="宋体"/>
          <w:i w:val="0"/>
          <w:iCs w:val="0"/>
          <w:snapToGrid w:val="0"/>
          <w:kern w:val="0"/>
          <w:highlight w:val="none"/>
        </w:rPr>
        <w:t>）</w:t>
      </w:r>
      <w:r>
        <w:rPr>
          <w:i w:val="0"/>
          <w:iCs w:val="0"/>
          <w:highlight w:val="none"/>
        </w:rPr>
        <w:tab/>
      </w:r>
      <w:r>
        <w:rPr>
          <w:i w:val="0"/>
          <w:iCs w:val="0"/>
          <w:highlight w:val="none"/>
        </w:rPr>
        <w:fldChar w:fldCharType="begin"/>
      </w:r>
      <w:r>
        <w:rPr>
          <w:i w:val="0"/>
          <w:iCs w:val="0"/>
          <w:highlight w:val="none"/>
        </w:rPr>
        <w:instrText xml:space="preserve"> PAGEREF _Toc13341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_Toc7355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1.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招标条件</w:t>
      </w:r>
      <w:r>
        <w:rPr>
          <w:i w:val="0"/>
          <w:iCs w:val="0"/>
          <w:highlight w:val="none"/>
        </w:rPr>
        <w:tab/>
      </w:r>
      <w:r>
        <w:rPr>
          <w:i w:val="0"/>
          <w:iCs w:val="0"/>
          <w:highlight w:val="none"/>
        </w:rPr>
        <w:fldChar w:fldCharType="begin"/>
      </w:r>
      <w:r>
        <w:rPr>
          <w:i w:val="0"/>
          <w:iCs w:val="0"/>
          <w:highlight w:val="none"/>
        </w:rPr>
        <w:instrText xml:space="preserve"> PAGEREF _Toc7355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项目概况与招标范围</w:t>
      </w:r>
      <w:r>
        <w:rPr>
          <w:i w:val="0"/>
          <w:iCs w:val="0"/>
          <w:highlight w:val="none"/>
        </w:rPr>
        <w:tab/>
      </w:r>
      <w:r>
        <w:rPr>
          <w:i w:val="0"/>
          <w:iCs w:val="0"/>
          <w:highlight w:val="none"/>
        </w:rPr>
        <w:fldChar w:fldCharType="begin"/>
      </w:r>
      <w:r>
        <w:rPr>
          <w:i w:val="0"/>
          <w:iCs w:val="0"/>
          <w:highlight w:val="none"/>
        </w:rPr>
        <w:instrText xml:space="preserve"> PAGEREF _Toc18588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highlight w:val="none"/>
        </w:rPr>
        <w:tab/>
      </w:r>
      <w:r>
        <w:rPr>
          <w:i w:val="0"/>
          <w:iCs w:val="0"/>
          <w:highlight w:val="none"/>
        </w:rPr>
        <w:fldChar w:fldCharType="begin"/>
      </w:r>
      <w:r>
        <w:rPr>
          <w:i w:val="0"/>
          <w:iCs w:val="0"/>
          <w:highlight w:val="none"/>
        </w:rPr>
        <w:instrText xml:space="preserve"> PAGEREF _Toc20988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_Toc5188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4</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招标文件的获取</w:t>
      </w:r>
      <w:r>
        <w:rPr>
          <w:i w:val="0"/>
          <w:iCs w:val="0"/>
          <w:highlight w:val="none"/>
        </w:rPr>
        <w:tab/>
      </w:r>
      <w:r>
        <w:rPr>
          <w:i w:val="0"/>
          <w:iCs w:val="0"/>
          <w:highlight w:val="none"/>
        </w:rPr>
        <w:fldChar w:fldCharType="begin"/>
      </w:r>
      <w:r>
        <w:rPr>
          <w:i w:val="0"/>
          <w:iCs w:val="0"/>
          <w:highlight w:val="none"/>
        </w:rPr>
        <w:instrText xml:space="preserve"> PAGEREF _Toc5188 \h </w:instrText>
      </w:r>
      <w:r>
        <w:rPr>
          <w:i w:val="0"/>
          <w:iCs w:val="0"/>
          <w:highlight w:val="none"/>
        </w:rPr>
        <w:fldChar w:fldCharType="separate"/>
      </w:r>
      <w:r>
        <w:rPr>
          <w:i w:val="0"/>
          <w:iCs w:val="0"/>
          <w:highlight w:val="none"/>
        </w:rPr>
        <w:t>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_Toc25061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5</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投标文件的递交</w:t>
      </w:r>
      <w:r>
        <w:rPr>
          <w:i w:val="0"/>
          <w:iCs w:val="0"/>
          <w:highlight w:val="none"/>
        </w:rPr>
        <w:tab/>
      </w:r>
      <w:r>
        <w:rPr>
          <w:i w:val="0"/>
          <w:iCs w:val="0"/>
          <w:highlight w:val="none"/>
        </w:rPr>
        <w:fldChar w:fldCharType="begin"/>
      </w:r>
      <w:r>
        <w:rPr>
          <w:i w:val="0"/>
          <w:iCs w:val="0"/>
          <w:highlight w:val="none"/>
        </w:rPr>
        <w:instrText xml:space="preserve"> PAGEREF _Toc25061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_Toc27786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6</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发布公告的媒介</w:t>
      </w:r>
      <w:r>
        <w:rPr>
          <w:i w:val="0"/>
          <w:iCs w:val="0"/>
          <w:highlight w:val="none"/>
        </w:rPr>
        <w:tab/>
      </w:r>
      <w:r>
        <w:rPr>
          <w:i w:val="0"/>
          <w:iCs w:val="0"/>
          <w:highlight w:val="none"/>
        </w:rPr>
        <w:fldChar w:fldCharType="begin"/>
      </w:r>
      <w:r>
        <w:rPr>
          <w:i w:val="0"/>
          <w:iCs w:val="0"/>
          <w:highlight w:val="none"/>
        </w:rPr>
        <w:instrText xml:space="preserve"> PAGEREF _Toc27786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_Toc7981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7</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联系方式</w:t>
      </w:r>
      <w:r>
        <w:rPr>
          <w:i w:val="0"/>
          <w:iCs w:val="0"/>
          <w:highlight w:val="none"/>
        </w:rPr>
        <w:tab/>
      </w:r>
      <w:r>
        <w:rPr>
          <w:i w:val="0"/>
          <w:iCs w:val="0"/>
          <w:highlight w:val="none"/>
        </w:rPr>
        <w:fldChar w:fldCharType="begin"/>
      </w:r>
      <w:r>
        <w:rPr>
          <w:i w:val="0"/>
          <w:iCs w:val="0"/>
          <w:highlight w:val="none"/>
        </w:rPr>
        <w:instrText xml:space="preserve"> PAGEREF _Toc7981 \h </w:instrText>
      </w:r>
      <w:r>
        <w:rPr>
          <w:i w:val="0"/>
          <w:iCs w:val="0"/>
          <w:highlight w:val="none"/>
        </w:rPr>
        <w:fldChar w:fldCharType="separate"/>
      </w:r>
      <w:r>
        <w:rPr>
          <w:i w:val="0"/>
          <w:iCs w:val="0"/>
          <w:highlight w:val="none"/>
        </w:rPr>
        <w:t>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第二章  投标人须知</w:t>
      </w:r>
      <w:r>
        <w:rPr>
          <w:i w:val="0"/>
          <w:iCs w:val="0"/>
          <w:highlight w:val="none"/>
        </w:rPr>
        <w:tab/>
      </w:r>
      <w:r>
        <w:rPr>
          <w:i w:val="0"/>
          <w:iCs w:val="0"/>
          <w:highlight w:val="none"/>
        </w:rPr>
        <w:fldChar w:fldCharType="begin"/>
      </w:r>
      <w:r>
        <w:rPr>
          <w:i w:val="0"/>
          <w:iCs w:val="0"/>
          <w:highlight w:val="none"/>
        </w:rPr>
        <w:instrText xml:space="preserve"> PAGEREF _Toc12782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_Toc12185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_Toc12185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总则</w:t>
      </w:r>
      <w:r>
        <w:rPr>
          <w:i w:val="0"/>
          <w:iCs w:val="0"/>
          <w:highlight w:val="none"/>
        </w:rPr>
        <w:tab/>
      </w:r>
      <w:r>
        <w:rPr>
          <w:i w:val="0"/>
          <w:iCs w:val="0"/>
          <w:highlight w:val="none"/>
        </w:rPr>
        <w:fldChar w:fldCharType="begin"/>
      </w:r>
      <w:r>
        <w:rPr>
          <w:i w:val="0"/>
          <w:iCs w:val="0"/>
          <w:highlight w:val="none"/>
        </w:rPr>
        <w:instrText xml:space="preserve"> PAGEREF _Toc29721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1.1  </w:t>
      </w:r>
      <w:r>
        <w:rPr>
          <w:rFonts w:hint="eastAsia" w:ascii="宋体" w:hAnsi="宋体"/>
          <w:i w:val="0"/>
          <w:iCs w:val="0"/>
          <w:snapToGrid w:val="0"/>
          <w:szCs w:val="24"/>
          <w:highlight w:val="none"/>
          <w:lang w:val="en-US" w:eastAsia="zh-CN"/>
        </w:rPr>
        <w:t>招标</w:t>
      </w:r>
      <w:r>
        <w:rPr>
          <w:rFonts w:ascii="宋体" w:hAnsi="宋体"/>
          <w:i w:val="0"/>
          <w:iCs w:val="0"/>
          <w:snapToGrid w:val="0"/>
          <w:szCs w:val="24"/>
          <w:highlight w:val="none"/>
        </w:rPr>
        <w:t>项目概况</w:t>
      </w:r>
      <w:r>
        <w:rPr>
          <w:i w:val="0"/>
          <w:iCs w:val="0"/>
          <w:highlight w:val="none"/>
        </w:rPr>
        <w:tab/>
      </w:r>
      <w:r>
        <w:rPr>
          <w:i w:val="0"/>
          <w:iCs w:val="0"/>
          <w:highlight w:val="none"/>
        </w:rPr>
        <w:fldChar w:fldCharType="begin"/>
      </w:r>
      <w:r>
        <w:rPr>
          <w:i w:val="0"/>
          <w:iCs w:val="0"/>
          <w:highlight w:val="none"/>
        </w:rPr>
        <w:instrText xml:space="preserve"> PAGEREF _Toc2118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1.2  </w:t>
      </w:r>
      <w:r>
        <w:rPr>
          <w:rFonts w:hint="eastAsia" w:ascii="宋体" w:hAnsi="宋体"/>
          <w:i w:val="0"/>
          <w:iCs w:val="0"/>
          <w:snapToGrid w:val="0"/>
          <w:szCs w:val="24"/>
          <w:highlight w:val="none"/>
        </w:rPr>
        <w:t>招标项目的</w:t>
      </w:r>
      <w:r>
        <w:rPr>
          <w:rFonts w:ascii="宋体" w:hAnsi="宋体"/>
          <w:i w:val="0"/>
          <w:iCs w:val="0"/>
          <w:snapToGrid w:val="0"/>
          <w:szCs w:val="24"/>
          <w:highlight w:val="none"/>
        </w:rPr>
        <w:t>资金来源和落实情况</w:t>
      </w:r>
      <w:r>
        <w:rPr>
          <w:i w:val="0"/>
          <w:iCs w:val="0"/>
          <w:highlight w:val="none"/>
        </w:rPr>
        <w:tab/>
      </w:r>
      <w:r>
        <w:rPr>
          <w:i w:val="0"/>
          <w:iCs w:val="0"/>
          <w:highlight w:val="none"/>
        </w:rPr>
        <w:fldChar w:fldCharType="begin"/>
      </w:r>
      <w:r>
        <w:rPr>
          <w:i w:val="0"/>
          <w:iCs w:val="0"/>
          <w:highlight w:val="none"/>
        </w:rPr>
        <w:instrText xml:space="preserve"> PAGEREF _Toc6180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1.3  招标范围、</w:t>
      </w:r>
      <w:r>
        <w:rPr>
          <w:rFonts w:hint="eastAsia" w:ascii="宋体" w:hAnsi="宋体"/>
          <w:i w:val="0"/>
          <w:iCs w:val="0"/>
          <w:snapToGrid w:val="0"/>
          <w:szCs w:val="24"/>
          <w:highlight w:val="none"/>
          <w:lang w:val="en-US" w:eastAsia="zh-CN"/>
        </w:rPr>
        <w:t>交货期、交货地点和技术性能指标</w:t>
      </w:r>
      <w:r>
        <w:rPr>
          <w:i w:val="0"/>
          <w:iCs w:val="0"/>
          <w:highlight w:val="none"/>
        </w:rPr>
        <w:tab/>
      </w:r>
      <w:r>
        <w:rPr>
          <w:i w:val="0"/>
          <w:iCs w:val="0"/>
          <w:highlight w:val="none"/>
        </w:rPr>
        <w:fldChar w:fldCharType="begin"/>
      </w:r>
      <w:r>
        <w:rPr>
          <w:i w:val="0"/>
          <w:iCs w:val="0"/>
          <w:highlight w:val="none"/>
        </w:rPr>
        <w:instrText xml:space="preserve"> PAGEREF _Toc28421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1.4 投标人资格要求</w:t>
      </w:r>
      <w:r>
        <w:rPr>
          <w:i w:val="0"/>
          <w:iCs w:val="0"/>
          <w:highlight w:val="none"/>
        </w:rPr>
        <w:tab/>
      </w:r>
      <w:r>
        <w:rPr>
          <w:i w:val="0"/>
          <w:iCs w:val="0"/>
          <w:highlight w:val="none"/>
        </w:rPr>
        <w:fldChar w:fldCharType="begin"/>
      </w:r>
      <w:r>
        <w:rPr>
          <w:i w:val="0"/>
          <w:iCs w:val="0"/>
          <w:highlight w:val="none"/>
        </w:rPr>
        <w:instrText xml:space="preserve"> PAGEREF _Toc12789 \h </w:instrText>
      </w:r>
      <w:r>
        <w:rPr>
          <w:i w:val="0"/>
          <w:iCs w:val="0"/>
          <w:highlight w:val="none"/>
        </w:rPr>
        <w:fldChar w:fldCharType="separate"/>
      </w:r>
      <w:r>
        <w:rPr>
          <w:i w:val="0"/>
          <w:iCs w:val="0"/>
          <w:highlight w:val="none"/>
        </w:rPr>
        <w:t>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_Toc22056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1.5  费用承担</w:t>
      </w:r>
      <w:r>
        <w:rPr>
          <w:i w:val="0"/>
          <w:iCs w:val="0"/>
          <w:highlight w:val="none"/>
        </w:rPr>
        <w:tab/>
      </w:r>
      <w:r>
        <w:rPr>
          <w:i w:val="0"/>
          <w:iCs w:val="0"/>
          <w:highlight w:val="none"/>
        </w:rPr>
        <w:fldChar w:fldCharType="begin"/>
      </w:r>
      <w:r>
        <w:rPr>
          <w:i w:val="0"/>
          <w:iCs w:val="0"/>
          <w:highlight w:val="none"/>
        </w:rPr>
        <w:instrText xml:space="preserve"> PAGEREF _Toc22056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1.6  保密</w:t>
      </w:r>
      <w:r>
        <w:rPr>
          <w:i w:val="0"/>
          <w:iCs w:val="0"/>
          <w:highlight w:val="none"/>
        </w:rPr>
        <w:tab/>
      </w:r>
      <w:r>
        <w:rPr>
          <w:i w:val="0"/>
          <w:iCs w:val="0"/>
          <w:highlight w:val="none"/>
        </w:rPr>
        <w:fldChar w:fldCharType="begin"/>
      </w:r>
      <w:r>
        <w:rPr>
          <w:i w:val="0"/>
          <w:iCs w:val="0"/>
          <w:highlight w:val="none"/>
        </w:rPr>
        <w:instrText xml:space="preserve"> PAGEREF _Toc16656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_Toc452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1.7  语言文字</w:t>
      </w:r>
      <w:r>
        <w:rPr>
          <w:i w:val="0"/>
          <w:iCs w:val="0"/>
          <w:highlight w:val="none"/>
        </w:rPr>
        <w:tab/>
      </w:r>
      <w:r>
        <w:rPr>
          <w:i w:val="0"/>
          <w:iCs w:val="0"/>
          <w:highlight w:val="none"/>
        </w:rPr>
        <w:fldChar w:fldCharType="begin"/>
      </w:r>
      <w:r>
        <w:rPr>
          <w:i w:val="0"/>
          <w:iCs w:val="0"/>
          <w:highlight w:val="none"/>
        </w:rPr>
        <w:instrText xml:space="preserve"> PAGEREF _Toc452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1.8  计量单位</w:t>
      </w:r>
      <w:r>
        <w:rPr>
          <w:i w:val="0"/>
          <w:iCs w:val="0"/>
          <w:highlight w:val="none"/>
        </w:rPr>
        <w:tab/>
      </w:r>
      <w:r>
        <w:rPr>
          <w:i w:val="0"/>
          <w:iCs w:val="0"/>
          <w:highlight w:val="none"/>
        </w:rPr>
        <w:fldChar w:fldCharType="begin"/>
      </w:r>
      <w:r>
        <w:rPr>
          <w:i w:val="0"/>
          <w:iCs w:val="0"/>
          <w:highlight w:val="none"/>
        </w:rPr>
        <w:instrText xml:space="preserve"> PAGEREF _Toc25490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_Toc6615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w:t>
      </w:r>
      <w:r>
        <w:rPr>
          <w:rFonts w:hint="eastAsia" w:ascii="宋体" w:hAnsi="宋体"/>
          <w:i w:val="0"/>
          <w:iCs w:val="0"/>
          <w:snapToGrid w:val="0"/>
          <w:szCs w:val="24"/>
          <w:highlight w:val="none"/>
          <w:lang w:val="en-US" w:eastAsia="zh-CN"/>
        </w:rPr>
        <w:t>9</w:t>
      </w:r>
      <w:r>
        <w:rPr>
          <w:rFonts w:ascii="宋体" w:hAnsi="宋体"/>
          <w:i w:val="0"/>
          <w:iCs w:val="0"/>
          <w:snapToGrid w:val="0"/>
          <w:szCs w:val="24"/>
          <w:highlight w:val="none"/>
        </w:rPr>
        <w:t xml:space="preserve">  投标预备会</w:t>
      </w:r>
      <w:r>
        <w:rPr>
          <w:i w:val="0"/>
          <w:iCs w:val="0"/>
          <w:highlight w:val="none"/>
        </w:rPr>
        <w:tab/>
      </w:r>
      <w:r>
        <w:rPr>
          <w:i w:val="0"/>
          <w:iCs w:val="0"/>
          <w:highlight w:val="none"/>
        </w:rPr>
        <w:fldChar w:fldCharType="begin"/>
      </w:r>
      <w:r>
        <w:rPr>
          <w:i w:val="0"/>
          <w:iCs w:val="0"/>
          <w:highlight w:val="none"/>
        </w:rPr>
        <w:instrText xml:space="preserve"> PAGEREF _Toc6615 \h </w:instrText>
      </w:r>
      <w:r>
        <w:rPr>
          <w:i w:val="0"/>
          <w:iCs w:val="0"/>
          <w:highlight w:val="none"/>
        </w:rPr>
        <w:fldChar w:fldCharType="separate"/>
      </w:r>
      <w:r>
        <w:rPr>
          <w:i w:val="0"/>
          <w:iCs w:val="0"/>
          <w:highlight w:val="none"/>
        </w:rPr>
        <w:t>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_Toc19884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0</w:t>
      </w:r>
      <w:r>
        <w:rPr>
          <w:rFonts w:ascii="宋体" w:hAnsi="宋体"/>
          <w:i w:val="0"/>
          <w:iCs w:val="0"/>
          <w:snapToGrid w:val="0"/>
          <w:szCs w:val="24"/>
          <w:highlight w:val="none"/>
        </w:rPr>
        <w:t xml:space="preserve">  分包</w:t>
      </w:r>
      <w:r>
        <w:rPr>
          <w:i w:val="0"/>
          <w:iCs w:val="0"/>
          <w:highlight w:val="none"/>
        </w:rPr>
        <w:tab/>
      </w:r>
      <w:r>
        <w:rPr>
          <w:i w:val="0"/>
          <w:iCs w:val="0"/>
          <w:highlight w:val="none"/>
        </w:rPr>
        <w:fldChar w:fldCharType="begin"/>
      </w:r>
      <w:r>
        <w:rPr>
          <w:i w:val="0"/>
          <w:iCs w:val="0"/>
          <w:highlight w:val="none"/>
        </w:rPr>
        <w:instrText xml:space="preserve"> PAGEREF _Toc19884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1</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响应和偏</w:t>
      </w:r>
      <w:r>
        <w:rPr>
          <w:rFonts w:hint="eastAsia" w:ascii="宋体" w:hAnsi="宋体"/>
          <w:i w:val="0"/>
          <w:iCs w:val="0"/>
          <w:snapToGrid w:val="0"/>
          <w:szCs w:val="24"/>
          <w:highlight w:val="none"/>
          <w:lang w:val="en-US" w:eastAsia="zh-CN"/>
        </w:rPr>
        <w:t>差</w:t>
      </w:r>
      <w:r>
        <w:rPr>
          <w:i w:val="0"/>
          <w:iCs w:val="0"/>
          <w:highlight w:val="none"/>
        </w:rPr>
        <w:tab/>
      </w:r>
      <w:r>
        <w:rPr>
          <w:i w:val="0"/>
          <w:iCs w:val="0"/>
          <w:highlight w:val="none"/>
        </w:rPr>
        <w:fldChar w:fldCharType="begin"/>
      </w:r>
      <w:r>
        <w:rPr>
          <w:i w:val="0"/>
          <w:iCs w:val="0"/>
          <w:highlight w:val="none"/>
        </w:rPr>
        <w:instrText xml:space="preserve"> PAGEREF _Toc12593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招标文件</w:t>
      </w:r>
      <w:r>
        <w:rPr>
          <w:i w:val="0"/>
          <w:iCs w:val="0"/>
          <w:highlight w:val="none"/>
        </w:rPr>
        <w:tab/>
      </w:r>
      <w:r>
        <w:rPr>
          <w:i w:val="0"/>
          <w:iCs w:val="0"/>
          <w:highlight w:val="none"/>
        </w:rPr>
        <w:fldChar w:fldCharType="begin"/>
      </w:r>
      <w:r>
        <w:rPr>
          <w:i w:val="0"/>
          <w:iCs w:val="0"/>
          <w:highlight w:val="none"/>
        </w:rPr>
        <w:instrText xml:space="preserve"> PAGEREF _Toc16582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_Toc32268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招标文件的组成</w:t>
      </w:r>
      <w:r>
        <w:rPr>
          <w:i w:val="0"/>
          <w:iCs w:val="0"/>
          <w:highlight w:val="none"/>
        </w:rPr>
        <w:tab/>
      </w:r>
      <w:r>
        <w:rPr>
          <w:i w:val="0"/>
          <w:iCs w:val="0"/>
          <w:highlight w:val="none"/>
        </w:rPr>
        <w:fldChar w:fldCharType="begin"/>
      </w:r>
      <w:r>
        <w:rPr>
          <w:i w:val="0"/>
          <w:iCs w:val="0"/>
          <w:highlight w:val="none"/>
        </w:rPr>
        <w:instrText xml:space="preserve"> PAGEREF _Toc32268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_Toc29402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招标文件的澄清</w:t>
      </w:r>
      <w:r>
        <w:rPr>
          <w:i w:val="0"/>
          <w:iCs w:val="0"/>
          <w:highlight w:val="none"/>
        </w:rPr>
        <w:tab/>
      </w:r>
      <w:r>
        <w:rPr>
          <w:i w:val="0"/>
          <w:iCs w:val="0"/>
          <w:highlight w:val="none"/>
        </w:rPr>
        <w:fldChar w:fldCharType="begin"/>
      </w:r>
      <w:r>
        <w:rPr>
          <w:i w:val="0"/>
          <w:iCs w:val="0"/>
          <w:highlight w:val="none"/>
        </w:rPr>
        <w:instrText xml:space="preserve"> PAGEREF _Toc29402 \h </w:instrText>
      </w:r>
      <w:r>
        <w:rPr>
          <w:i w:val="0"/>
          <w:iCs w:val="0"/>
          <w:highlight w:val="none"/>
        </w:rPr>
        <w:fldChar w:fldCharType="separate"/>
      </w:r>
      <w:r>
        <w:rPr>
          <w:i w:val="0"/>
          <w:iCs w:val="0"/>
          <w:highlight w:val="none"/>
        </w:rPr>
        <w:t>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_Toc31864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2.3  招标文件的修改</w:t>
      </w:r>
      <w:r>
        <w:rPr>
          <w:i w:val="0"/>
          <w:iCs w:val="0"/>
          <w:highlight w:val="none"/>
        </w:rPr>
        <w:tab/>
      </w:r>
      <w:r>
        <w:rPr>
          <w:i w:val="0"/>
          <w:iCs w:val="0"/>
          <w:highlight w:val="none"/>
        </w:rPr>
        <w:fldChar w:fldCharType="begin"/>
      </w:r>
      <w:r>
        <w:rPr>
          <w:i w:val="0"/>
          <w:iCs w:val="0"/>
          <w:highlight w:val="none"/>
        </w:rPr>
        <w:instrText xml:space="preserve"> PAGEREF _Toc31864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_Toc7607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2.4  招标文件的</w:t>
      </w:r>
      <w:r>
        <w:rPr>
          <w:rFonts w:hint="eastAsia" w:ascii="宋体" w:hAnsi="宋体"/>
          <w:i w:val="0"/>
          <w:iCs w:val="0"/>
          <w:snapToGrid w:val="0"/>
          <w:szCs w:val="24"/>
          <w:highlight w:val="none"/>
        </w:rPr>
        <w:t>异议</w:t>
      </w:r>
      <w:r>
        <w:rPr>
          <w:i w:val="0"/>
          <w:iCs w:val="0"/>
          <w:highlight w:val="none"/>
        </w:rPr>
        <w:tab/>
      </w:r>
      <w:r>
        <w:rPr>
          <w:i w:val="0"/>
          <w:iCs w:val="0"/>
          <w:highlight w:val="none"/>
        </w:rPr>
        <w:fldChar w:fldCharType="begin"/>
      </w:r>
      <w:r>
        <w:rPr>
          <w:i w:val="0"/>
          <w:iCs w:val="0"/>
          <w:highlight w:val="none"/>
        </w:rPr>
        <w:instrText xml:space="preserve"> PAGEREF _Toc7607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_Toc23842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投标文件</w:t>
      </w:r>
      <w:r>
        <w:rPr>
          <w:i w:val="0"/>
          <w:iCs w:val="0"/>
          <w:highlight w:val="none"/>
        </w:rPr>
        <w:tab/>
      </w:r>
      <w:r>
        <w:rPr>
          <w:i w:val="0"/>
          <w:iCs w:val="0"/>
          <w:highlight w:val="none"/>
        </w:rPr>
        <w:fldChar w:fldCharType="begin"/>
      </w:r>
      <w:r>
        <w:rPr>
          <w:i w:val="0"/>
          <w:iCs w:val="0"/>
          <w:highlight w:val="none"/>
        </w:rPr>
        <w:instrText xml:space="preserve"> PAGEREF _Toc23842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_Toc23838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投标文件的组成</w:t>
      </w:r>
      <w:r>
        <w:rPr>
          <w:i w:val="0"/>
          <w:iCs w:val="0"/>
          <w:highlight w:val="none"/>
        </w:rPr>
        <w:tab/>
      </w:r>
      <w:r>
        <w:rPr>
          <w:i w:val="0"/>
          <w:iCs w:val="0"/>
          <w:highlight w:val="none"/>
        </w:rPr>
        <w:fldChar w:fldCharType="begin"/>
      </w:r>
      <w:r>
        <w:rPr>
          <w:i w:val="0"/>
          <w:iCs w:val="0"/>
          <w:highlight w:val="none"/>
        </w:rPr>
        <w:instrText xml:space="preserve"> PAGEREF _Toc23838 \h </w:instrText>
      </w:r>
      <w:r>
        <w:rPr>
          <w:i w:val="0"/>
          <w:iCs w:val="0"/>
          <w:highlight w:val="none"/>
        </w:rPr>
        <w:fldChar w:fldCharType="separate"/>
      </w:r>
      <w:r>
        <w:rPr>
          <w:i w:val="0"/>
          <w:iCs w:val="0"/>
          <w:highlight w:val="none"/>
        </w:rPr>
        <w:t>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投标报价</w:t>
      </w:r>
      <w:r>
        <w:rPr>
          <w:i w:val="0"/>
          <w:iCs w:val="0"/>
          <w:highlight w:val="none"/>
        </w:rPr>
        <w:tab/>
      </w:r>
      <w:r>
        <w:rPr>
          <w:i w:val="0"/>
          <w:iCs w:val="0"/>
          <w:highlight w:val="none"/>
        </w:rPr>
        <w:fldChar w:fldCharType="begin"/>
      </w:r>
      <w:r>
        <w:rPr>
          <w:i w:val="0"/>
          <w:iCs w:val="0"/>
          <w:highlight w:val="none"/>
        </w:rPr>
        <w:instrText xml:space="preserve"> PAGEREF _Toc27489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_Toc31522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投标有效期</w:t>
      </w:r>
      <w:r>
        <w:rPr>
          <w:i w:val="0"/>
          <w:iCs w:val="0"/>
          <w:highlight w:val="none"/>
        </w:rPr>
        <w:tab/>
      </w:r>
      <w:r>
        <w:rPr>
          <w:i w:val="0"/>
          <w:iCs w:val="0"/>
          <w:highlight w:val="none"/>
        </w:rPr>
        <w:fldChar w:fldCharType="begin"/>
      </w:r>
      <w:r>
        <w:rPr>
          <w:i w:val="0"/>
          <w:iCs w:val="0"/>
          <w:highlight w:val="none"/>
        </w:rPr>
        <w:instrText xml:space="preserve"> PAGEREF _Toc31522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_Toc11444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投标</w:t>
      </w:r>
      <w:r>
        <w:rPr>
          <w:rFonts w:hint="eastAsia" w:ascii="宋体" w:hAnsi="宋体"/>
          <w:i w:val="0"/>
          <w:iCs w:val="0"/>
          <w:snapToGrid w:val="0"/>
          <w:szCs w:val="24"/>
          <w:highlight w:val="none"/>
        </w:rPr>
        <w:t>保证金</w:t>
      </w:r>
      <w:r>
        <w:rPr>
          <w:i w:val="0"/>
          <w:iCs w:val="0"/>
          <w:highlight w:val="none"/>
        </w:rPr>
        <w:tab/>
      </w:r>
      <w:r>
        <w:rPr>
          <w:i w:val="0"/>
          <w:iCs w:val="0"/>
          <w:highlight w:val="none"/>
        </w:rPr>
        <w:fldChar w:fldCharType="begin"/>
      </w:r>
      <w:r>
        <w:rPr>
          <w:i w:val="0"/>
          <w:iCs w:val="0"/>
          <w:highlight w:val="none"/>
        </w:rPr>
        <w:instrText xml:space="preserve"> PAGEREF _Toc11444 \h </w:instrText>
      </w:r>
      <w:r>
        <w:rPr>
          <w:i w:val="0"/>
          <w:iCs w:val="0"/>
          <w:highlight w:val="none"/>
        </w:rPr>
        <w:fldChar w:fldCharType="separate"/>
      </w:r>
      <w:r>
        <w:rPr>
          <w:i w:val="0"/>
          <w:iCs w:val="0"/>
          <w:highlight w:val="none"/>
        </w:rPr>
        <w:t>41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A</w:t>
      </w:r>
      <w:r>
        <w:rPr>
          <w:rFonts w:ascii="宋体" w:hAnsi="宋体"/>
          <w:i w:val="0"/>
          <w:iCs w:val="0"/>
          <w:snapToGrid w:val="0"/>
          <w:szCs w:val="24"/>
          <w:highlight w:val="none"/>
        </w:rPr>
        <w:t xml:space="preserve">  资格审查资料</w:t>
      </w:r>
      <w:r>
        <w:rPr>
          <w:i w:val="0"/>
          <w:iCs w:val="0"/>
          <w:highlight w:val="none"/>
        </w:rPr>
        <w:tab/>
      </w:r>
      <w:r>
        <w:rPr>
          <w:i w:val="0"/>
          <w:iCs w:val="0"/>
          <w:highlight w:val="none"/>
        </w:rPr>
        <w:fldChar w:fldCharType="begin"/>
      </w:r>
      <w:r>
        <w:rPr>
          <w:i w:val="0"/>
          <w:iCs w:val="0"/>
          <w:highlight w:val="none"/>
        </w:rPr>
        <w:instrText xml:space="preserve"> PAGEREF _Toc1072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B</w:t>
      </w:r>
      <w:r>
        <w:rPr>
          <w:rFonts w:ascii="宋体" w:hAnsi="宋体"/>
          <w:i w:val="0"/>
          <w:iCs w:val="0"/>
          <w:snapToGrid w:val="0"/>
          <w:szCs w:val="24"/>
          <w:highlight w:val="none"/>
        </w:rPr>
        <w:t xml:space="preserve">  资格审查资料</w:t>
      </w:r>
      <w:r>
        <w:rPr>
          <w:i w:val="0"/>
          <w:iCs w:val="0"/>
          <w:highlight w:val="none"/>
        </w:rPr>
        <w:tab/>
      </w:r>
      <w:r>
        <w:rPr>
          <w:i w:val="0"/>
          <w:iCs w:val="0"/>
          <w:highlight w:val="none"/>
        </w:rPr>
        <w:fldChar w:fldCharType="begin"/>
      </w:r>
      <w:r>
        <w:rPr>
          <w:i w:val="0"/>
          <w:iCs w:val="0"/>
          <w:highlight w:val="none"/>
        </w:rPr>
        <w:instrText xml:space="preserve"> PAGEREF _Toc19727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3.6  备选投标方案</w:t>
      </w:r>
      <w:r>
        <w:rPr>
          <w:i w:val="0"/>
          <w:iCs w:val="0"/>
          <w:highlight w:val="none"/>
        </w:rPr>
        <w:tab/>
      </w:r>
      <w:r>
        <w:rPr>
          <w:i w:val="0"/>
          <w:iCs w:val="0"/>
          <w:highlight w:val="none"/>
        </w:rPr>
        <w:fldChar w:fldCharType="begin"/>
      </w:r>
      <w:r>
        <w:rPr>
          <w:i w:val="0"/>
          <w:iCs w:val="0"/>
          <w:highlight w:val="none"/>
        </w:rPr>
        <w:instrText xml:space="preserve"> PAGEREF _Toc2218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_Toc18087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3.7  投标文件的编制</w:t>
      </w:r>
      <w:r>
        <w:rPr>
          <w:i w:val="0"/>
          <w:iCs w:val="0"/>
          <w:highlight w:val="none"/>
        </w:rPr>
        <w:tab/>
      </w:r>
      <w:r>
        <w:rPr>
          <w:i w:val="0"/>
          <w:iCs w:val="0"/>
          <w:highlight w:val="none"/>
        </w:rPr>
        <w:fldChar w:fldCharType="begin"/>
      </w:r>
      <w:r>
        <w:rPr>
          <w:i w:val="0"/>
          <w:iCs w:val="0"/>
          <w:highlight w:val="none"/>
        </w:rPr>
        <w:instrText xml:space="preserve"> PAGEREF _Toc18087 \h </w:instrText>
      </w:r>
      <w:r>
        <w:rPr>
          <w:i w:val="0"/>
          <w:iCs w:val="0"/>
          <w:highlight w:val="none"/>
        </w:rPr>
        <w:fldChar w:fldCharType="separate"/>
      </w:r>
      <w:r>
        <w:rPr>
          <w:i w:val="0"/>
          <w:iCs w:val="0"/>
          <w:highlight w:val="none"/>
        </w:rPr>
        <w:t>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_Toc24565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4.  投标</w:t>
      </w:r>
      <w:r>
        <w:rPr>
          <w:i w:val="0"/>
          <w:iCs w:val="0"/>
          <w:highlight w:val="none"/>
        </w:rPr>
        <w:tab/>
      </w:r>
      <w:r>
        <w:rPr>
          <w:i w:val="0"/>
          <w:iCs w:val="0"/>
          <w:highlight w:val="none"/>
        </w:rPr>
        <w:fldChar w:fldCharType="begin"/>
      </w:r>
      <w:r>
        <w:rPr>
          <w:i w:val="0"/>
          <w:iCs w:val="0"/>
          <w:highlight w:val="none"/>
        </w:rPr>
        <w:instrText xml:space="preserve"> PAGEREF _Toc24565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_Toc26919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4.1  投标文件的密封和标记</w:t>
      </w:r>
      <w:r>
        <w:rPr>
          <w:i w:val="0"/>
          <w:iCs w:val="0"/>
          <w:highlight w:val="none"/>
        </w:rPr>
        <w:tab/>
      </w:r>
      <w:r>
        <w:rPr>
          <w:i w:val="0"/>
          <w:iCs w:val="0"/>
          <w:highlight w:val="none"/>
        </w:rPr>
        <w:fldChar w:fldCharType="begin"/>
      </w:r>
      <w:r>
        <w:rPr>
          <w:i w:val="0"/>
          <w:iCs w:val="0"/>
          <w:highlight w:val="none"/>
        </w:rPr>
        <w:instrText xml:space="preserve"> PAGEREF _Toc26919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4.2  投标文件的递交</w:t>
      </w:r>
      <w:r>
        <w:rPr>
          <w:i w:val="0"/>
          <w:iCs w:val="0"/>
          <w:highlight w:val="none"/>
        </w:rPr>
        <w:tab/>
      </w:r>
      <w:r>
        <w:rPr>
          <w:i w:val="0"/>
          <w:iCs w:val="0"/>
          <w:highlight w:val="none"/>
        </w:rPr>
        <w:fldChar w:fldCharType="begin"/>
      </w:r>
      <w:r>
        <w:rPr>
          <w:i w:val="0"/>
          <w:iCs w:val="0"/>
          <w:highlight w:val="none"/>
        </w:rPr>
        <w:instrText xml:space="preserve"> PAGEREF _Toc8559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4.3  投标文件的修改与撤回</w:t>
      </w:r>
      <w:r>
        <w:rPr>
          <w:i w:val="0"/>
          <w:iCs w:val="0"/>
          <w:highlight w:val="none"/>
        </w:rPr>
        <w:tab/>
      </w:r>
      <w:r>
        <w:rPr>
          <w:i w:val="0"/>
          <w:iCs w:val="0"/>
          <w:highlight w:val="none"/>
        </w:rPr>
        <w:fldChar w:fldCharType="begin"/>
      </w:r>
      <w:r>
        <w:rPr>
          <w:i w:val="0"/>
          <w:iCs w:val="0"/>
          <w:highlight w:val="none"/>
        </w:rPr>
        <w:instrText xml:space="preserve"> PAGEREF _Toc17259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_Toc27053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5.  开标</w:t>
      </w:r>
      <w:r>
        <w:rPr>
          <w:i w:val="0"/>
          <w:iCs w:val="0"/>
          <w:highlight w:val="none"/>
        </w:rPr>
        <w:tab/>
      </w:r>
      <w:r>
        <w:rPr>
          <w:i w:val="0"/>
          <w:iCs w:val="0"/>
          <w:highlight w:val="none"/>
        </w:rPr>
        <w:fldChar w:fldCharType="begin"/>
      </w:r>
      <w:r>
        <w:rPr>
          <w:i w:val="0"/>
          <w:iCs w:val="0"/>
          <w:highlight w:val="none"/>
        </w:rPr>
        <w:instrText xml:space="preserve"> PAGEREF _Toc27053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5.1  开标时间和地点</w:t>
      </w:r>
      <w:r>
        <w:rPr>
          <w:i w:val="0"/>
          <w:iCs w:val="0"/>
          <w:highlight w:val="none"/>
        </w:rPr>
        <w:tab/>
      </w:r>
      <w:r>
        <w:rPr>
          <w:i w:val="0"/>
          <w:iCs w:val="0"/>
          <w:highlight w:val="none"/>
        </w:rPr>
        <w:fldChar w:fldCharType="begin"/>
      </w:r>
      <w:r>
        <w:rPr>
          <w:i w:val="0"/>
          <w:iCs w:val="0"/>
          <w:highlight w:val="none"/>
        </w:rPr>
        <w:instrText xml:space="preserve"> PAGEREF _Toc19509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_Toc30435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5.2  开标程序</w:t>
      </w:r>
      <w:r>
        <w:rPr>
          <w:i w:val="0"/>
          <w:iCs w:val="0"/>
          <w:highlight w:val="none"/>
        </w:rPr>
        <w:tab/>
      </w:r>
      <w:r>
        <w:rPr>
          <w:i w:val="0"/>
          <w:iCs w:val="0"/>
          <w:highlight w:val="none"/>
        </w:rPr>
        <w:fldChar w:fldCharType="begin"/>
      </w:r>
      <w:r>
        <w:rPr>
          <w:i w:val="0"/>
          <w:iCs w:val="0"/>
          <w:highlight w:val="none"/>
        </w:rPr>
        <w:instrText xml:space="preserve"> PAGEREF _Toc30435 \h </w:instrText>
      </w:r>
      <w:r>
        <w:rPr>
          <w:i w:val="0"/>
          <w:iCs w:val="0"/>
          <w:highlight w:val="none"/>
        </w:rPr>
        <w:fldChar w:fldCharType="separate"/>
      </w:r>
      <w:r>
        <w:rPr>
          <w:i w:val="0"/>
          <w:iCs w:val="0"/>
          <w:highlight w:val="none"/>
        </w:rPr>
        <w:t>43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_Toc18813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w:t>
      </w:r>
      <w:r>
        <w:rPr>
          <w:rFonts w:hint="eastAsia" w:ascii="宋体" w:hAnsi="宋体"/>
          <w:i w:val="0"/>
          <w:iCs w:val="0"/>
          <w:snapToGrid w:val="0"/>
          <w:szCs w:val="24"/>
          <w:highlight w:val="none"/>
        </w:rPr>
        <w:t>3</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开标异议</w:t>
      </w:r>
      <w:r>
        <w:rPr>
          <w:i w:val="0"/>
          <w:iCs w:val="0"/>
          <w:highlight w:val="none"/>
        </w:rPr>
        <w:tab/>
      </w:r>
      <w:r>
        <w:rPr>
          <w:i w:val="0"/>
          <w:iCs w:val="0"/>
          <w:highlight w:val="none"/>
        </w:rPr>
        <w:fldChar w:fldCharType="begin"/>
      </w:r>
      <w:r>
        <w:rPr>
          <w:i w:val="0"/>
          <w:iCs w:val="0"/>
          <w:highlight w:val="none"/>
        </w:rPr>
        <w:instrText xml:space="preserve"> PAGEREF _Toc18813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6.  评标</w:t>
      </w:r>
      <w:r>
        <w:rPr>
          <w:i w:val="0"/>
          <w:iCs w:val="0"/>
          <w:highlight w:val="none"/>
        </w:rPr>
        <w:tab/>
      </w:r>
      <w:r>
        <w:rPr>
          <w:i w:val="0"/>
          <w:iCs w:val="0"/>
          <w:highlight w:val="none"/>
        </w:rPr>
        <w:fldChar w:fldCharType="begin"/>
      </w:r>
      <w:r>
        <w:rPr>
          <w:i w:val="0"/>
          <w:iCs w:val="0"/>
          <w:highlight w:val="none"/>
        </w:rPr>
        <w:instrText xml:space="preserve"> PAGEREF _Toc15726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_Toc13131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6.1  评标委员会</w:t>
      </w:r>
      <w:r>
        <w:rPr>
          <w:i w:val="0"/>
          <w:iCs w:val="0"/>
          <w:highlight w:val="none"/>
        </w:rPr>
        <w:tab/>
      </w:r>
      <w:r>
        <w:rPr>
          <w:i w:val="0"/>
          <w:iCs w:val="0"/>
          <w:highlight w:val="none"/>
        </w:rPr>
        <w:fldChar w:fldCharType="begin"/>
      </w:r>
      <w:r>
        <w:rPr>
          <w:i w:val="0"/>
          <w:iCs w:val="0"/>
          <w:highlight w:val="none"/>
        </w:rPr>
        <w:instrText xml:space="preserve"> PAGEREF _Toc13131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6.2  评标原则</w:t>
      </w:r>
      <w:r>
        <w:rPr>
          <w:i w:val="0"/>
          <w:iCs w:val="0"/>
          <w:highlight w:val="none"/>
        </w:rPr>
        <w:tab/>
      </w:r>
      <w:r>
        <w:rPr>
          <w:i w:val="0"/>
          <w:iCs w:val="0"/>
          <w:highlight w:val="none"/>
        </w:rPr>
        <w:fldChar w:fldCharType="begin"/>
      </w:r>
      <w:r>
        <w:rPr>
          <w:i w:val="0"/>
          <w:iCs w:val="0"/>
          <w:highlight w:val="none"/>
        </w:rPr>
        <w:instrText xml:space="preserve"> PAGEREF _Toc24025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_Toc30257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6.3  评标</w:t>
      </w:r>
      <w:r>
        <w:rPr>
          <w:i w:val="0"/>
          <w:iCs w:val="0"/>
          <w:highlight w:val="none"/>
        </w:rPr>
        <w:tab/>
      </w:r>
      <w:r>
        <w:rPr>
          <w:i w:val="0"/>
          <w:iCs w:val="0"/>
          <w:highlight w:val="none"/>
        </w:rPr>
        <w:fldChar w:fldCharType="begin"/>
      </w:r>
      <w:r>
        <w:rPr>
          <w:i w:val="0"/>
          <w:iCs w:val="0"/>
          <w:highlight w:val="none"/>
        </w:rPr>
        <w:instrText xml:space="preserve"> PAGEREF _Toc30257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7.  合同授予</w:t>
      </w:r>
      <w:r>
        <w:rPr>
          <w:i w:val="0"/>
          <w:iCs w:val="0"/>
          <w:highlight w:val="none"/>
        </w:rPr>
        <w:tab/>
      </w:r>
      <w:r>
        <w:rPr>
          <w:i w:val="0"/>
          <w:iCs w:val="0"/>
          <w:highlight w:val="none"/>
        </w:rPr>
        <w:fldChar w:fldCharType="begin"/>
      </w:r>
      <w:r>
        <w:rPr>
          <w:i w:val="0"/>
          <w:iCs w:val="0"/>
          <w:highlight w:val="none"/>
        </w:rPr>
        <w:instrText xml:space="preserve"> PAGEREF _Toc28625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_Toc23275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7.1  </w:t>
      </w:r>
      <w:r>
        <w:rPr>
          <w:rFonts w:hint="eastAsia" w:ascii="宋体" w:hAnsi="宋体"/>
          <w:i w:val="0"/>
          <w:iCs w:val="0"/>
          <w:snapToGrid w:val="0"/>
          <w:szCs w:val="24"/>
          <w:highlight w:val="none"/>
        </w:rPr>
        <w:t>中标候选人公示</w:t>
      </w:r>
      <w:r>
        <w:rPr>
          <w:i w:val="0"/>
          <w:iCs w:val="0"/>
          <w:highlight w:val="none"/>
        </w:rPr>
        <w:tab/>
      </w:r>
      <w:r>
        <w:rPr>
          <w:i w:val="0"/>
          <w:iCs w:val="0"/>
          <w:highlight w:val="none"/>
        </w:rPr>
        <w:fldChar w:fldCharType="begin"/>
      </w:r>
      <w:r>
        <w:rPr>
          <w:i w:val="0"/>
          <w:iCs w:val="0"/>
          <w:highlight w:val="none"/>
        </w:rPr>
        <w:instrText xml:space="preserve"> PAGEREF _Toc23275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7.2  </w:t>
      </w:r>
      <w:r>
        <w:rPr>
          <w:rFonts w:hint="eastAsia" w:ascii="宋体" w:hAnsi="宋体"/>
          <w:i w:val="0"/>
          <w:iCs w:val="0"/>
          <w:snapToGrid w:val="0"/>
          <w:szCs w:val="24"/>
          <w:highlight w:val="none"/>
        </w:rPr>
        <w:t>评标结果异议</w:t>
      </w:r>
      <w:r>
        <w:rPr>
          <w:i w:val="0"/>
          <w:iCs w:val="0"/>
          <w:highlight w:val="none"/>
        </w:rPr>
        <w:tab/>
      </w:r>
      <w:r>
        <w:rPr>
          <w:i w:val="0"/>
          <w:iCs w:val="0"/>
          <w:highlight w:val="none"/>
        </w:rPr>
        <w:fldChar w:fldCharType="begin"/>
      </w:r>
      <w:r>
        <w:rPr>
          <w:i w:val="0"/>
          <w:iCs w:val="0"/>
          <w:highlight w:val="none"/>
        </w:rPr>
        <w:instrText xml:space="preserve"> PAGEREF _Toc29151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_Toc17326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7.3  </w:t>
      </w:r>
      <w:r>
        <w:rPr>
          <w:rFonts w:hint="eastAsia" w:ascii="宋体" w:hAnsi="宋体"/>
          <w:i w:val="0"/>
          <w:iCs w:val="0"/>
          <w:snapToGrid w:val="0"/>
          <w:szCs w:val="24"/>
          <w:highlight w:val="none"/>
        </w:rPr>
        <w:t>中标候选人履约能力审查</w:t>
      </w:r>
      <w:r>
        <w:rPr>
          <w:i w:val="0"/>
          <w:iCs w:val="0"/>
          <w:highlight w:val="none"/>
        </w:rPr>
        <w:tab/>
      </w:r>
      <w:r>
        <w:rPr>
          <w:i w:val="0"/>
          <w:iCs w:val="0"/>
          <w:highlight w:val="none"/>
        </w:rPr>
        <w:fldChar w:fldCharType="begin"/>
      </w:r>
      <w:r>
        <w:rPr>
          <w:i w:val="0"/>
          <w:iCs w:val="0"/>
          <w:highlight w:val="none"/>
        </w:rPr>
        <w:instrText xml:space="preserve"> PAGEREF _Toc17326 \h </w:instrText>
      </w:r>
      <w:r>
        <w:rPr>
          <w:i w:val="0"/>
          <w:iCs w:val="0"/>
          <w:highlight w:val="none"/>
        </w:rPr>
        <w:fldChar w:fldCharType="separate"/>
      </w:r>
      <w:r>
        <w:rPr>
          <w:i w:val="0"/>
          <w:iCs w:val="0"/>
          <w:highlight w:val="none"/>
        </w:rPr>
        <w:t>44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7.4  </w:t>
      </w:r>
      <w:r>
        <w:rPr>
          <w:rFonts w:hint="eastAsia" w:ascii="宋体" w:hAnsi="宋体"/>
          <w:i w:val="0"/>
          <w:iCs w:val="0"/>
          <w:snapToGrid w:val="0"/>
          <w:szCs w:val="24"/>
          <w:highlight w:val="none"/>
        </w:rPr>
        <w:t>定标</w:t>
      </w:r>
      <w:r>
        <w:rPr>
          <w:i w:val="0"/>
          <w:iCs w:val="0"/>
          <w:highlight w:val="none"/>
        </w:rPr>
        <w:tab/>
      </w:r>
      <w:r>
        <w:rPr>
          <w:i w:val="0"/>
          <w:iCs w:val="0"/>
          <w:highlight w:val="none"/>
        </w:rPr>
        <w:fldChar w:fldCharType="begin"/>
      </w:r>
      <w:r>
        <w:rPr>
          <w:i w:val="0"/>
          <w:iCs w:val="0"/>
          <w:highlight w:val="none"/>
        </w:rPr>
        <w:instrText xml:space="preserve"> PAGEREF _Toc27627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_Toc13606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7.5  中标通知</w:t>
      </w:r>
      <w:r>
        <w:rPr>
          <w:i w:val="0"/>
          <w:iCs w:val="0"/>
          <w:highlight w:val="none"/>
        </w:rPr>
        <w:tab/>
      </w:r>
      <w:r>
        <w:rPr>
          <w:i w:val="0"/>
          <w:iCs w:val="0"/>
          <w:highlight w:val="none"/>
        </w:rPr>
        <w:fldChar w:fldCharType="begin"/>
      </w:r>
      <w:r>
        <w:rPr>
          <w:i w:val="0"/>
          <w:iCs w:val="0"/>
          <w:highlight w:val="none"/>
        </w:rPr>
        <w:instrText xml:space="preserve"> PAGEREF _Toc13606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6</w:t>
      </w:r>
      <w:r>
        <w:rPr>
          <w:rFonts w:ascii="宋体" w:hAnsi="宋体"/>
          <w:i w:val="0"/>
          <w:iCs w:val="0"/>
          <w:snapToGrid w:val="0"/>
          <w:szCs w:val="24"/>
          <w:highlight w:val="none"/>
        </w:rPr>
        <w:t xml:space="preserve">  履约</w:t>
      </w:r>
      <w:r>
        <w:rPr>
          <w:rFonts w:hint="eastAsia" w:ascii="宋体" w:hAnsi="宋体"/>
          <w:i w:val="0"/>
          <w:iCs w:val="0"/>
          <w:snapToGrid w:val="0"/>
          <w:szCs w:val="24"/>
          <w:highlight w:val="none"/>
          <w:lang w:val="en-US" w:eastAsia="zh-CN"/>
        </w:rPr>
        <w:t>保证金</w:t>
      </w:r>
      <w:r>
        <w:rPr>
          <w:i w:val="0"/>
          <w:iCs w:val="0"/>
          <w:highlight w:val="none"/>
        </w:rPr>
        <w:tab/>
      </w:r>
      <w:r>
        <w:rPr>
          <w:i w:val="0"/>
          <w:iCs w:val="0"/>
          <w:highlight w:val="none"/>
        </w:rPr>
        <w:fldChar w:fldCharType="begin"/>
      </w:r>
      <w:r>
        <w:rPr>
          <w:i w:val="0"/>
          <w:iCs w:val="0"/>
          <w:highlight w:val="none"/>
        </w:rPr>
        <w:instrText xml:space="preserve"> PAGEREF _Toc718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7</w:t>
      </w:r>
      <w:r>
        <w:rPr>
          <w:rFonts w:ascii="宋体" w:hAnsi="宋体"/>
          <w:i w:val="0"/>
          <w:iCs w:val="0"/>
          <w:snapToGrid w:val="0"/>
          <w:szCs w:val="24"/>
          <w:highlight w:val="none"/>
        </w:rPr>
        <w:t xml:space="preserve">  签订合同</w:t>
      </w:r>
      <w:r>
        <w:rPr>
          <w:i w:val="0"/>
          <w:iCs w:val="0"/>
          <w:highlight w:val="none"/>
        </w:rPr>
        <w:tab/>
      </w:r>
      <w:r>
        <w:rPr>
          <w:i w:val="0"/>
          <w:iCs w:val="0"/>
          <w:highlight w:val="none"/>
        </w:rPr>
        <w:fldChar w:fldCharType="begin"/>
      </w:r>
      <w:r>
        <w:rPr>
          <w:i w:val="0"/>
          <w:iCs w:val="0"/>
          <w:highlight w:val="none"/>
        </w:rPr>
        <w:instrText xml:space="preserve"> PAGEREF _Toc4154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8.  重新招标和不再招标</w:t>
      </w:r>
      <w:r>
        <w:rPr>
          <w:rFonts w:hint="eastAsia" w:ascii="宋体" w:hAnsi="宋体"/>
          <w:i w:val="0"/>
          <w:iCs w:val="0"/>
          <w:snapToGrid w:val="0"/>
          <w:highlight w:val="none"/>
          <w:lang w:eastAsia="zh-CN"/>
        </w:rPr>
        <w:t>（</w:t>
      </w:r>
      <w:r>
        <w:rPr>
          <w:rFonts w:hint="eastAsia" w:ascii="宋体" w:hAnsi="宋体"/>
          <w:i w:val="0"/>
          <w:iCs w:val="0"/>
          <w:snapToGrid w:val="0"/>
          <w:highlight w:val="none"/>
          <w:lang w:val="en-US" w:eastAsia="zh-CN"/>
        </w:rPr>
        <w:t>增加条款</w:t>
      </w:r>
      <w:r>
        <w:rPr>
          <w:rFonts w:hint="eastAsia" w:ascii="宋体" w:hAnsi="宋体"/>
          <w:i w:val="0"/>
          <w:iCs w:val="0"/>
          <w:snapToGrid w:val="0"/>
          <w:highlight w:val="none"/>
          <w:lang w:eastAsia="zh-CN"/>
        </w:rPr>
        <w:t>）</w:t>
      </w:r>
      <w:r>
        <w:rPr>
          <w:i w:val="0"/>
          <w:iCs w:val="0"/>
          <w:highlight w:val="none"/>
        </w:rPr>
        <w:tab/>
      </w:r>
      <w:r>
        <w:rPr>
          <w:i w:val="0"/>
          <w:iCs w:val="0"/>
          <w:highlight w:val="none"/>
        </w:rPr>
        <w:fldChar w:fldCharType="begin"/>
      </w:r>
      <w:r>
        <w:rPr>
          <w:i w:val="0"/>
          <w:iCs w:val="0"/>
          <w:highlight w:val="none"/>
        </w:rPr>
        <w:instrText xml:space="preserve"> PAGEREF _Toc28031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_Toc19206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8.1  重新招标</w:t>
      </w:r>
      <w:r>
        <w:rPr>
          <w:rFonts w:hint="eastAsia" w:ascii="宋体" w:hAnsi="宋体"/>
          <w:i w:val="0"/>
          <w:iCs w:val="0"/>
          <w:snapToGrid w:val="0"/>
          <w:szCs w:val="24"/>
          <w:highlight w:val="none"/>
        </w:rPr>
        <w:t>的情形</w:t>
      </w:r>
      <w:r>
        <w:rPr>
          <w:i w:val="0"/>
          <w:iCs w:val="0"/>
          <w:highlight w:val="none"/>
        </w:rPr>
        <w:tab/>
      </w:r>
      <w:r>
        <w:rPr>
          <w:i w:val="0"/>
          <w:iCs w:val="0"/>
          <w:highlight w:val="none"/>
        </w:rPr>
        <w:fldChar w:fldCharType="begin"/>
      </w:r>
      <w:r>
        <w:rPr>
          <w:i w:val="0"/>
          <w:iCs w:val="0"/>
          <w:highlight w:val="none"/>
        </w:rPr>
        <w:instrText xml:space="preserve"> PAGEREF _Toc19206 \h </w:instrText>
      </w:r>
      <w:r>
        <w:rPr>
          <w:i w:val="0"/>
          <w:iCs w:val="0"/>
          <w:highlight w:val="none"/>
        </w:rPr>
        <w:fldChar w:fldCharType="separate"/>
      </w:r>
      <w:r>
        <w:rPr>
          <w:i w:val="0"/>
          <w:iCs w:val="0"/>
          <w:highlight w:val="none"/>
        </w:rPr>
        <w:t>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8.2  </w:t>
      </w:r>
      <w:r>
        <w:rPr>
          <w:rFonts w:hint="eastAsia" w:ascii="宋体" w:hAnsi="宋体"/>
          <w:i w:val="0"/>
          <w:iCs w:val="0"/>
          <w:snapToGrid w:val="0"/>
          <w:szCs w:val="24"/>
          <w:highlight w:val="none"/>
        </w:rPr>
        <w:t>重新</w:t>
      </w:r>
      <w:r>
        <w:rPr>
          <w:rFonts w:ascii="宋体" w:hAnsi="宋体"/>
          <w:i w:val="0"/>
          <w:iCs w:val="0"/>
          <w:snapToGrid w:val="0"/>
          <w:szCs w:val="24"/>
          <w:highlight w:val="none"/>
        </w:rPr>
        <w:t>招标和不再招标</w:t>
      </w:r>
      <w:r>
        <w:rPr>
          <w:i w:val="0"/>
          <w:iCs w:val="0"/>
          <w:highlight w:val="none"/>
        </w:rPr>
        <w:tab/>
      </w:r>
      <w:r>
        <w:rPr>
          <w:i w:val="0"/>
          <w:iCs w:val="0"/>
          <w:highlight w:val="none"/>
        </w:rPr>
        <w:fldChar w:fldCharType="begin"/>
      </w:r>
      <w:r>
        <w:rPr>
          <w:i w:val="0"/>
          <w:iCs w:val="0"/>
          <w:highlight w:val="none"/>
        </w:rPr>
        <w:instrText xml:space="preserve"> PAGEREF _Toc159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_Toc10936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9.  纪律和监督</w:t>
      </w:r>
      <w:r>
        <w:rPr>
          <w:i w:val="0"/>
          <w:iCs w:val="0"/>
          <w:highlight w:val="none"/>
        </w:rPr>
        <w:tab/>
      </w:r>
      <w:r>
        <w:rPr>
          <w:i w:val="0"/>
          <w:iCs w:val="0"/>
          <w:highlight w:val="none"/>
        </w:rPr>
        <w:fldChar w:fldCharType="begin"/>
      </w:r>
      <w:r>
        <w:rPr>
          <w:i w:val="0"/>
          <w:iCs w:val="0"/>
          <w:highlight w:val="none"/>
        </w:rPr>
        <w:instrText xml:space="preserve"> PAGEREF _Toc10936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_Toc27505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9.1  对招标人的纪律要求</w:t>
      </w:r>
      <w:r>
        <w:rPr>
          <w:i w:val="0"/>
          <w:iCs w:val="0"/>
          <w:highlight w:val="none"/>
        </w:rPr>
        <w:tab/>
      </w:r>
      <w:r>
        <w:rPr>
          <w:i w:val="0"/>
          <w:iCs w:val="0"/>
          <w:highlight w:val="none"/>
        </w:rPr>
        <w:fldChar w:fldCharType="begin"/>
      </w:r>
      <w:r>
        <w:rPr>
          <w:i w:val="0"/>
          <w:iCs w:val="0"/>
          <w:highlight w:val="none"/>
        </w:rPr>
        <w:instrText xml:space="preserve"> PAGEREF _Toc27505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9.2  对投标人的纪律要求</w:t>
      </w:r>
      <w:r>
        <w:rPr>
          <w:i w:val="0"/>
          <w:iCs w:val="0"/>
          <w:highlight w:val="none"/>
        </w:rPr>
        <w:tab/>
      </w:r>
      <w:r>
        <w:rPr>
          <w:i w:val="0"/>
          <w:iCs w:val="0"/>
          <w:highlight w:val="none"/>
        </w:rPr>
        <w:fldChar w:fldCharType="begin"/>
      </w:r>
      <w:r>
        <w:rPr>
          <w:i w:val="0"/>
          <w:iCs w:val="0"/>
          <w:highlight w:val="none"/>
        </w:rPr>
        <w:instrText xml:space="preserve"> PAGEREF _Toc19754 \h </w:instrText>
      </w:r>
      <w:r>
        <w:rPr>
          <w:i w:val="0"/>
          <w:iCs w:val="0"/>
          <w:highlight w:val="none"/>
        </w:rPr>
        <w:fldChar w:fldCharType="separate"/>
      </w:r>
      <w:r>
        <w:rPr>
          <w:i w:val="0"/>
          <w:iCs w:val="0"/>
          <w:highlight w:val="none"/>
        </w:rPr>
        <w:t>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_Toc22912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9.3  对评标委员会成员的纪律要求</w:t>
      </w:r>
      <w:r>
        <w:rPr>
          <w:i w:val="0"/>
          <w:iCs w:val="0"/>
          <w:highlight w:val="none"/>
        </w:rPr>
        <w:tab/>
      </w:r>
      <w:r>
        <w:rPr>
          <w:i w:val="0"/>
          <w:iCs w:val="0"/>
          <w:highlight w:val="none"/>
        </w:rPr>
        <w:fldChar w:fldCharType="begin"/>
      </w:r>
      <w:r>
        <w:rPr>
          <w:i w:val="0"/>
          <w:iCs w:val="0"/>
          <w:highlight w:val="none"/>
        </w:rPr>
        <w:instrText xml:space="preserve"> PAGEREF _Toc22912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_Toc2158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9.4  对与评标活动有关的工作人员的纪律要求</w:t>
      </w:r>
      <w:r>
        <w:rPr>
          <w:i w:val="0"/>
          <w:iCs w:val="0"/>
          <w:highlight w:val="none"/>
        </w:rPr>
        <w:tab/>
      </w:r>
      <w:r>
        <w:rPr>
          <w:i w:val="0"/>
          <w:iCs w:val="0"/>
          <w:highlight w:val="none"/>
        </w:rPr>
        <w:fldChar w:fldCharType="begin"/>
      </w:r>
      <w:r>
        <w:rPr>
          <w:i w:val="0"/>
          <w:iCs w:val="0"/>
          <w:highlight w:val="none"/>
        </w:rPr>
        <w:instrText xml:space="preserve"> PAGEREF _Toc2158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9.5  投诉</w:t>
      </w:r>
      <w:r>
        <w:rPr>
          <w:i w:val="0"/>
          <w:iCs w:val="0"/>
          <w:highlight w:val="none"/>
        </w:rPr>
        <w:tab/>
      </w:r>
      <w:r>
        <w:rPr>
          <w:i w:val="0"/>
          <w:iCs w:val="0"/>
          <w:highlight w:val="none"/>
        </w:rPr>
        <w:fldChar w:fldCharType="begin"/>
      </w:r>
      <w:r>
        <w:rPr>
          <w:i w:val="0"/>
          <w:iCs w:val="0"/>
          <w:highlight w:val="none"/>
        </w:rPr>
        <w:instrText xml:space="preserve"> PAGEREF _Toc1662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10. 需要补充的其他内容</w:t>
      </w:r>
      <w:r>
        <w:rPr>
          <w:i w:val="0"/>
          <w:iCs w:val="0"/>
          <w:highlight w:val="none"/>
        </w:rPr>
        <w:tab/>
      </w:r>
      <w:r>
        <w:rPr>
          <w:i w:val="0"/>
          <w:iCs w:val="0"/>
          <w:highlight w:val="none"/>
        </w:rPr>
        <w:fldChar w:fldCharType="begin"/>
      </w:r>
      <w:r>
        <w:rPr>
          <w:i w:val="0"/>
          <w:iCs w:val="0"/>
          <w:highlight w:val="none"/>
        </w:rPr>
        <w:instrText xml:space="preserve"> PAGEREF _Toc6064 \h </w:instrText>
      </w:r>
      <w:r>
        <w:rPr>
          <w:i w:val="0"/>
          <w:iCs w:val="0"/>
          <w:highlight w:val="none"/>
        </w:rPr>
        <w:fldChar w:fldCharType="separate"/>
      </w:r>
      <w:r>
        <w:rPr>
          <w:i w:val="0"/>
          <w:iCs w:val="0"/>
          <w:highlight w:val="none"/>
        </w:rPr>
        <w:t>47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_Toc32295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 xml:space="preserve">第三章 </w:t>
      </w:r>
      <w:r>
        <w:rPr>
          <w:rFonts w:hint="eastAsia" w:ascii="宋体" w:hAnsi="宋体"/>
          <w:i w:val="0"/>
          <w:iCs w:val="0"/>
          <w:highlight w:val="none"/>
        </w:rPr>
        <w:t xml:space="preserve"> </w:t>
      </w:r>
      <w:r>
        <w:rPr>
          <w:rFonts w:ascii="宋体" w:hAnsi="宋体"/>
          <w:i w:val="0"/>
          <w:iCs w:val="0"/>
          <w:highlight w:val="none"/>
        </w:rPr>
        <w:t>评标办法（综合评估法）</w:t>
      </w:r>
      <w:r>
        <w:rPr>
          <w:i w:val="0"/>
          <w:iCs w:val="0"/>
          <w:highlight w:val="none"/>
        </w:rPr>
        <w:tab/>
      </w:r>
      <w:r>
        <w:rPr>
          <w:i w:val="0"/>
          <w:iCs w:val="0"/>
          <w:highlight w:val="none"/>
        </w:rPr>
        <w:fldChar w:fldCharType="begin"/>
      </w:r>
      <w:r>
        <w:rPr>
          <w:i w:val="0"/>
          <w:iCs w:val="0"/>
          <w:highlight w:val="none"/>
        </w:rPr>
        <w:instrText xml:space="preserve"> PAGEREF _Toc32295 \h </w:instrText>
      </w:r>
      <w:r>
        <w:rPr>
          <w:i w:val="0"/>
          <w:iCs w:val="0"/>
          <w:highlight w:val="none"/>
        </w:rPr>
        <w:fldChar w:fldCharType="separate"/>
      </w:r>
      <w:r>
        <w:rPr>
          <w:i w:val="0"/>
          <w:iCs w:val="0"/>
          <w:highlight w:val="none"/>
        </w:rPr>
        <w:t>53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评标办法前附表</w:t>
      </w:r>
      <w:r>
        <w:rPr>
          <w:i w:val="0"/>
          <w:iCs w:val="0"/>
          <w:highlight w:val="none"/>
        </w:rPr>
        <w:tab/>
      </w:r>
      <w:r>
        <w:rPr>
          <w:i w:val="0"/>
          <w:iCs w:val="0"/>
          <w:highlight w:val="none"/>
        </w:rPr>
        <w:fldChar w:fldCharType="begin"/>
      </w:r>
      <w:r>
        <w:rPr>
          <w:i w:val="0"/>
          <w:iCs w:val="0"/>
          <w:highlight w:val="none"/>
        </w:rPr>
        <w:instrText xml:space="preserve"> PAGEREF _Toc2060 \h </w:instrText>
      </w:r>
      <w:r>
        <w:rPr>
          <w:i w:val="0"/>
          <w:iCs w:val="0"/>
          <w:highlight w:val="none"/>
        </w:rPr>
        <w:fldChar w:fldCharType="separate"/>
      </w:r>
      <w:r>
        <w:rPr>
          <w:i w:val="0"/>
          <w:iCs w:val="0"/>
          <w:highlight w:val="none"/>
        </w:rPr>
        <w:t>53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_Toc20523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评标方法</w:t>
      </w:r>
      <w:r>
        <w:rPr>
          <w:i w:val="0"/>
          <w:iCs w:val="0"/>
          <w:highlight w:val="none"/>
        </w:rPr>
        <w:tab/>
      </w:r>
      <w:r>
        <w:rPr>
          <w:i w:val="0"/>
          <w:iCs w:val="0"/>
          <w:highlight w:val="none"/>
        </w:rPr>
        <w:fldChar w:fldCharType="begin"/>
      </w:r>
      <w:r>
        <w:rPr>
          <w:i w:val="0"/>
          <w:iCs w:val="0"/>
          <w:highlight w:val="none"/>
        </w:rPr>
        <w:instrText xml:space="preserve"> PAGEREF _Toc20523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_Toc11608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评审标准</w:t>
      </w:r>
      <w:r>
        <w:rPr>
          <w:i w:val="0"/>
          <w:iCs w:val="0"/>
          <w:highlight w:val="none"/>
        </w:rPr>
        <w:tab/>
      </w:r>
      <w:r>
        <w:rPr>
          <w:i w:val="0"/>
          <w:iCs w:val="0"/>
          <w:highlight w:val="none"/>
        </w:rPr>
        <w:fldChar w:fldCharType="begin"/>
      </w:r>
      <w:r>
        <w:rPr>
          <w:i w:val="0"/>
          <w:iCs w:val="0"/>
          <w:highlight w:val="none"/>
        </w:rPr>
        <w:instrText xml:space="preserve"> PAGEREF _Toc11608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初步评审标准</w:t>
      </w:r>
      <w:r>
        <w:rPr>
          <w:i w:val="0"/>
          <w:iCs w:val="0"/>
          <w:highlight w:val="none"/>
        </w:rPr>
        <w:tab/>
      </w:r>
      <w:r>
        <w:rPr>
          <w:i w:val="0"/>
          <w:iCs w:val="0"/>
          <w:highlight w:val="none"/>
        </w:rPr>
        <w:fldChar w:fldCharType="begin"/>
      </w:r>
      <w:r>
        <w:rPr>
          <w:i w:val="0"/>
          <w:iCs w:val="0"/>
          <w:highlight w:val="none"/>
        </w:rPr>
        <w:instrText xml:space="preserve"> PAGEREF _Toc103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_Toc26090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分值构成与</w:t>
      </w:r>
      <w:r>
        <w:rPr>
          <w:rFonts w:hint="eastAsia" w:ascii="宋体" w:hAnsi="宋体"/>
          <w:i w:val="0"/>
          <w:iCs w:val="0"/>
          <w:snapToGrid w:val="0"/>
          <w:szCs w:val="24"/>
          <w:highlight w:val="none"/>
        </w:rPr>
        <w:t>评审</w:t>
      </w:r>
      <w:r>
        <w:rPr>
          <w:rFonts w:ascii="宋体" w:hAnsi="宋体"/>
          <w:i w:val="0"/>
          <w:iCs w:val="0"/>
          <w:snapToGrid w:val="0"/>
          <w:szCs w:val="24"/>
          <w:highlight w:val="none"/>
        </w:rPr>
        <w:t>标准</w:t>
      </w:r>
      <w:r>
        <w:rPr>
          <w:i w:val="0"/>
          <w:iCs w:val="0"/>
          <w:highlight w:val="none"/>
        </w:rPr>
        <w:tab/>
      </w:r>
      <w:r>
        <w:rPr>
          <w:i w:val="0"/>
          <w:iCs w:val="0"/>
          <w:highlight w:val="none"/>
        </w:rPr>
        <w:fldChar w:fldCharType="begin"/>
      </w:r>
      <w:r>
        <w:rPr>
          <w:i w:val="0"/>
          <w:iCs w:val="0"/>
          <w:highlight w:val="none"/>
        </w:rPr>
        <w:instrText xml:space="preserve"> PAGEREF _Toc26090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评标程序</w:t>
      </w:r>
      <w:r>
        <w:rPr>
          <w:i w:val="0"/>
          <w:iCs w:val="0"/>
          <w:highlight w:val="none"/>
        </w:rPr>
        <w:tab/>
      </w:r>
      <w:r>
        <w:rPr>
          <w:i w:val="0"/>
          <w:iCs w:val="0"/>
          <w:highlight w:val="none"/>
        </w:rPr>
        <w:fldChar w:fldCharType="begin"/>
      </w:r>
      <w:r>
        <w:rPr>
          <w:i w:val="0"/>
          <w:iCs w:val="0"/>
          <w:highlight w:val="none"/>
        </w:rPr>
        <w:instrText xml:space="preserve"> PAGEREF _Toc32251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_Toc28133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初步评审</w:t>
      </w:r>
      <w:r>
        <w:rPr>
          <w:i w:val="0"/>
          <w:iCs w:val="0"/>
          <w:highlight w:val="none"/>
        </w:rPr>
        <w:tab/>
      </w:r>
      <w:r>
        <w:rPr>
          <w:i w:val="0"/>
          <w:iCs w:val="0"/>
          <w:highlight w:val="none"/>
        </w:rPr>
        <w:fldChar w:fldCharType="begin"/>
      </w:r>
      <w:r>
        <w:rPr>
          <w:i w:val="0"/>
          <w:iCs w:val="0"/>
          <w:highlight w:val="none"/>
        </w:rPr>
        <w:instrText xml:space="preserve"> PAGEREF _Toc28133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详细评审</w:t>
      </w:r>
      <w:r>
        <w:rPr>
          <w:i w:val="0"/>
          <w:iCs w:val="0"/>
          <w:highlight w:val="none"/>
        </w:rPr>
        <w:tab/>
      </w:r>
      <w:r>
        <w:rPr>
          <w:i w:val="0"/>
          <w:iCs w:val="0"/>
          <w:highlight w:val="none"/>
        </w:rPr>
        <w:fldChar w:fldCharType="begin"/>
      </w:r>
      <w:r>
        <w:rPr>
          <w:i w:val="0"/>
          <w:iCs w:val="0"/>
          <w:highlight w:val="none"/>
        </w:rPr>
        <w:instrText xml:space="preserve"> PAGEREF _Toc1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_Toc17810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投标文件的澄清</w:t>
      </w:r>
      <w:r>
        <w:rPr>
          <w:i w:val="0"/>
          <w:iCs w:val="0"/>
          <w:highlight w:val="none"/>
        </w:rPr>
        <w:tab/>
      </w:r>
      <w:r>
        <w:rPr>
          <w:i w:val="0"/>
          <w:iCs w:val="0"/>
          <w:highlight w:val="none"/>
        </w:rPr>
        <w:fldChar w:fldCharType="begin"/>
      </w:r>
      <w:r>
        <w:rPr>
          <w:i w:val="0"/>
          <w:iCs w:val="0"/>
          <w:highlight w:val="none"/>
        </w:rPr>
        <w:instrText xml:space="preserve"> PAGEREF _Toc17810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_Toc23781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评标结果</w:t>
      </w:r>
      <w:r>
        <w:rPr>
          <w:i w:val="0"/>
          <w:iCs w:val="0"/>
          <w:highlight w:val="none"/>
        </w:rPr>
        <w:tab/>
      </w:r>
      <w:r>
        <w:rPr>
          <w:i w:val="0"/>
          <w:iCs w:val="0"/>
          <w:highlight w:val="none"/>
        </w:rPr>
        <w:fldChar w:fldCharType="begin"/>
      </w:r>
      <w:r>
        <w:rPr>
          <w:i w:val="0"/>
          <w:iCs w:val="0"/>
          <w:highlight w:val="none"/>
        </w:rPr>
        <w:instrText xml:space="preserve"> PAGEREF _Toc23781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_Toc4368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highlight w:val="none"/>
        </w:rPr>
        <w:t>第四章  合同条款及格式</w:t>
      </w:r>
      <w:r>
        <w:rPr>
          <w:i w:val="0"/>
          <w:iCs w:val="0"/>
          <w:highlight w:val="none"/>
        </w:rPr>
        <w:tab/>
      </w:r>
      <w:r>
        <w:rPr>
          <w:i w:val="0"/>
          <w:iCs w:val="0"/>
          <w:highlight w:val="none"/>
        </w:rPr>
        <w:fldChar w:fldCharType="begin"/>
      </w:r>
      <w:r>
        <w:rPr>
          <w:i w:val="0"/>
          <w:iCs w:val="0"/>
          <w:highlight w:val="none"/>
        </w:rPr>
        <w:instrText xml:space="preserve"> PAGEREF _Toc4368 \h </w:instrText>
      </w:r>
      <w:r>
        <w:rPr>
          <w:i w:val="0"/>
          <w:iCs w:val="0"/>
          <w:highlight w:val="none"/>
        </w:rPr>
        <w:fldChar w:fldCharType="separate"/>
      </w:r>
      <w:r>
        <w:rPr>
          <w:i w:val="0"/>
          <w:iCs w:val="0"/>
          <w:highlight w:val="none"/>
        </w:rPr>
        <w:t>76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_Toc18188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设备采购合同示范文本</w:t>
      </w:r>
      <w:r>
        <w:rPr>
          <w:i w:val="0"/>
          <w:iCs w:val="0"/>
          <w:highlight w:val="none"/>
        </w:rPr>
        <w:tab/>
      </w:r>
      <w:r>
        <w:rPr>
          <w:i w:val="0"/>
          <w:iCs w:val="0"/>
          <w:highlight w:val="none"/>
        </w:rPr>
        <w:fldChar w:fldCharType="begin"/>
      </w:r>
      <w:r>
        <w:rPr>
          <w:i w:val="0"/>
          <w:iCs w:val="0"/>
          <w:highlight w:val="none"/>
        </w:rPr>
        <w:instrText xml:space="preserve"> PAGEREF _Toc18188 \h </w:instrText>
      </w:r>
      <w:r>
        <w:rPr>
          <w:i w:val="0"/>
          <w:iCs w:val="0"/>
          <w:highlight w:val="none"/>
        </w:rPr>
        <w:fldChar w:fldCharType="separate"/>
      </w:r>
      <w:r>
        <w:rPr>
          <w:i w:val="0"/>
          <w:iCs w:val="0"/>
          <w:highlight w:val="none"/>
        </w:rPr>
        <w:t>77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_Toc25181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highlight w:val="none"/>
        </w:rPr>
        <w:tab/>
      </w:r>
      <w:r>
        <w:rPr>
          <w:i w:val="0"/>
          <w:iCs w:val="0"/>
          <w:highlight w:val="none"/>
        </w:rPr>
        <w:fldChar w:fldCharType="begin"/>
      </w:r>
      <w:r>
        <w:rPr>
          <w:i w:val="0"/>
          <w:iCs w:val="0"/>
          <w:highlight w:val="none"/>
        </w:rPr>
        <w:instrText xml:space="preserve"> PAGEREF _Toc25181 \h </w:instrText>
      </w:r>
      <w:r>
        <w:rPr>
          <w:i w:val="0"/>
          <w:iCs w:val="0"/>
          <w:highlight w:val="none"/>
        </w:rPr>
        <w:fldChar w:fldCharType="separate"/>
      </w:r>
      <w:r>
        <w:rPr>
          <w:i w:val="0"/>
          <w:iCs w:val="0"/>
          <w:highlight w:val="none"/>
        </w:rPr>
        <w:t>78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_Toc26125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highlight w:val="none"/>
        </w:rPr>
        <w:tab/>
      </w:r>
      <w:r>
        <w:rPr>
          <w:i w:val="0"/>
          <w:iCs w:val="0"/>
          <w:highlight w:val="none"/>
        </w:rPr>
        <w:fldChar w:fldCharType="begin"/>
      </w:r>
      <w:r>
        <w:rPr>
          <w:i w:val="0"/>
          <w:iCs w:val="0"/>
          <w:highlight w:val="none"/>
        </w:rPr>
        <w:instrText xml:space="preserve"> PAGEREF _Toc26125 \h </w:instrText>
      </w:r>
      <w:r>
        <w:rPr>
          <w:i w:val="0"/>
          <w:iCs w:val="0"/>
          <w:highlight w:val="none"/>
        </w:rPr>
        <w:fldChar w:fldCharType="separate"/>
      </w:r>
      <w:r>
        <w:rPr>
          <w:i w:val="0"/>
          <w:iCs w:val="0"/>
          <w:highlight w:val="none"/>
        </w:rPr>
        <w:t>80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_Toc29127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1.一般约定</w:t>
      </w:r>
      <w:r>
        <w:rPr>
          <w:i w:val="0"/>
          <w:iCs w:val="0"/>
          <w:highlight w:val="none"/>
        </w:rPr>
        <w:tab/>
      </w:r>
      <w:r>
        <w:rPr>
          <w:i w:val="0"/>
          <w:iCs w:val="0"/>
          <w:highlight w:val="none"/>
        </w:rPr>
        <w:fldChar w:fldCharType="begin"/>
      </w:r>
      <w:r>
        <w:rPr>
          <w:i w:val="0"/>
          <w:iCs w:val="0"/>
          <w:highlight w:val="none"/>
        </w:rPr>
        <w:instrText xml:space="preserve"> PAGEREF _Toc29127 \h </w:instrText>
      </w:r>
      <w:r>
        <w:rPr>
          <w:i w:val="0"/>
          <w:iCs w:val="0"/>
          <w:highlight w:val="none"/>
        </w:rPr>
        <w:fldChar w:fldCharType="separate"/>
      </w:r>
      <w:r>
        <w:rPr>
          <w:i w:val="0"/>
          <w:iCs w:val="0"/>
          <w:highlight w:val="none"/>
        </w:rPr>
        <w:t>80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_Toc812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2.合同范围</w:t>
      </w:r>
      <w:r>
        <w:rPr>
          <w:i w:val="0"/>
          <w:iCs w:val="0"/>
          <w:highlight w:val="none"/>
        </w:rPr>
        <w:tab/>
      </w:r>
      <w:r>
        <w:rPr>
          <w:i w:val="0"/>
          <w:iCs w:val="0"/>
          <w:highlight w:val="none"/>
        </w:rPr>
        <w:fldChar w:fldCharType="begin"/>
      </w:r>
      <w:r>
        <w:rPr>
          <w:i w:val="0"/>
          <w:iCs w:val="0"/>
          <w:highlight w:val="none"/>
        </w:rPr>
        <w:instrText xml:space="preserve"> PAGEREF _Toc812 \h </w:instrText>
      </w:r>
      <w:r>
        <w:rPr>
          <w:i w:val="0"/>
          <w:iCs w:val="0"/>
          <w:highlight w:val="none"/>
        </w:rPr>
        <w:fldChar w:fldCharType="separate"/>
      </w:r>
      <w:r>
        <w:rPr>
          <w:i w:val="0"/>
          <w:iCs w:val="0"/>
          <w:highlight w:val="none"/>
        </w:rPr>
        <w:t>82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3.合同价格与支付</w:t>
      </w:r>
      <w:r>
        <w:rPr>
          <w:i w:val="0"/>
          <w:iCs w:val="0"/>
          <w:highlight w:val="none"/>
        </w:rPr>
        <w:tab/>
      </w:r>
      <w:r>
        <w:rPr>
          <w:i w:val="0"/>
          <w:iCs w:val="0"/>
          <w:highlight w:val="none"/>
        </w:rPr>
        <w:fldChar w:fldCharType="begin"/>
      </w:r>
      <w:r>
        <w:rPr>
          <w:i w:val="0"/>
          <w:iCs w:val="0"/>
          <w:highlight w:val="none"/>
        </w:rPr>
        <w:instrText xml:space="preserve"> PAGEREF _Toc1650 \h </w:instrText>
      </w:r>
      <w:r>
        <w:rPr>
          <w:i w:val="0"/>
          <w:iCs w:val="0"/>
          <w:highlight w:val="none"/>
        </w:rPr>
        <w:fldChar w:fldCharType="separate"/>
      </w:r>
      <w:r>
        <w:rPr>
          <w:i w:val="0"/>
          <w:iCs w:val="0"/>
          <w:highlight w:val="none"/>
        </w:rPr>
        <w:t>82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_Toc5809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4.监造及交货前检验</w:t>
      </w:r>
      <w:r>
        <w:rPr>
          <w:i w:val="0"/>
          <w:iCs w:val="0"/>
          <w:highlight w:val="none"/>
        </w:rPr>
        <w:tab/>
      </w:r>
      <w:r>
        <w:rPr>
          <w:i w:val="0"/>
          <w:iCs w:val="0"/>
          <w:highlight w:val="none"/>
        </w:rPr>
        <w:fldChar w:fldCharType="begin"/>
      </w:r>
      <w:r>
        <w:rPr>
          <w:i w:val="0"/>
          <w:iCs w:val="0"/>
          <w:highlight w:val="none"/>
        </w:rPr>
        <w:instrText xml:space="preserve"> PAGEREF _Toc5809 \h </w:instrText>
      </w:r>
      <w:r>
        <w:rPr>
          <w:i w:val="0"/>
          <w:iCs w:val="0"/>
          <w:highlight w:val="none"/>
        </w:rPr>
        <w:fldChar w:fldCharType="separate"/>
      </w:r>
      <w:r>
        <w:rPr>
          <w:i w:val="0"/>
          <w:iCs w:val="0"/>
          <w:highlight w:val="none"/>
        </w:rPr>
        <w:t>83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_Toc5747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5.包装、标记、运输和交付</w:t>
      </w:r>
      <w:r>
        <w:rPr>
          <w:i w:val="0"/>
          <w:iCs w:val="0"/>
          <w:highlight w:val="none"/>
        </w:rPr>
        <w:tab/>
      </w:r>
      <w:r>
        <w:rPr>
          <w:i w:val="0"/>
          <w:iCs w:val="0"/>
          <w:highlight w:val="none"/>
        </w:rPr>
        <w:fldChar w:fldCharType="begin"/>
      </w:r>
      <w:r>
        <w:rPr>
          <w:i w:val="0"/>
          <w:iCs w:val="0"/>
          <w:highlight w:val="none"/>
        </w:rPr>
        <w:instrText xml:space="preserve"> PAGEREF _Toc5747 \h </w:instrText>
      </w:r>
      <w:r>
        <w:rPr>
          <w:i w:val="0"/>
          <w:iCs w:val="0"/>
          <w:highlight w:val="none"/>
        </w:rPr>
        <w:fldChar w:fldCharType="separate"/>
      </w:r>
      <w:r>
        <w:rPr>
          <w:i w:val="0"/>
          <w:iCs w:val="0"/>
          <w:highlight w:val="none"/>
        </w:rPr>
        <w:t>84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_Toc18843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6.开箱检验、安装、调试、考核、验收</w:t>
      </w:r>
      <w:r>
        <w:rPr>
          <w:i w:val="0"/>
          <w:iCs w:val="0"/>
          <w:highlight w:val="none"/>
        </w:rPr>
        <w:tab/>
      </w:r>
      <w:r>
        <w:rPr>
          <w:i w:val="0"/>
          <w:iCs w:val="0"/>
          <w:highlight w:val="none"/>
        </w:rPr>
        <w:fldChar w:fldCharType="begin"/>
      </w:r>
      <w:r>
        <w:rPr>
          <w:i w:val="0"/>
          <w:iCs w:val="0"/>
          <w:highlight w:val="none"/>
        </w:rPr>
        <w:instrText xml:space="preserve"> PAGEREF _Toc18843 \h </w:instrText>
      </w:r>
      <w:r>
        <w:rPr>
          <w:i w:val="0"/>
          <w:iCs w:val="0"/>
          <w:highlight w:val="none"/>
        </w:rPr>
        <w:fldChar w:fldCharType="separate"/>
      </w:r>
      <w:r>
        <w:rPr>
          <w:i w:val="0"/>
          <w:iCs w:val="0"/>
          <w:highlight w:val="none"/>
        </w:rPr>
        <w:t>85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_Toc3333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7.技术服务</w:t>
      </w:r>
      <w:r>
        <w:rPr>
          <w:i w:val="0"/>
          <w:iCs w:val="0"/>
          <w:highlight w:val="none"/>
        </w:rPr>
        <w:tab/>
      </w:r>
      <w:r>
        <w:rPr>
          <w:i w:val="0"/>
          <w:iCs w:val="0"/>
          <w:highlight w:val="none"/>
        </w:rPr>
        <w:fldChar w:fldCharType="begin"/>
      </w:r>
      <w:r>
        <w:rPr>
          <w:i w:val="0"/>
          <w:iCs w:val="0"/>
          <w:highlight w:val="none"/>
        </w:rPr>
        <w:instrText xml:space="preserve"> PAGEREF _Toc3333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_Toc3986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8.质量保证期</w:t>
      </w:r>
      <w:r>
        <w:rPr>
          <w:i w:val="0"/>
          <w:iCs w:val="0"/>
          <w:highlight w:val="none"/>
        </w:rPr>
        <w:tab/>
      </w:r>
      <w:r>
        <w:rPr>
          <w:i w:val="0"/>
          <w:iCs w:val="0"/>
          <w:highlight w:val="none"/>
        </w:rPr>
        <w:fldChar w:fldCharType="begin"/>
      </w:r>
      <w:r>
        <w:rPr>
          <w:i w:val="0"/>
          <w:iCs w:val="0"/>
          <w:highlight w:val="none"/>
        </w:rPr>
        <w:instrText xml:space="preserve"> PAGEREF _Toc3986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_Toc14141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9.质保期服务</w:t>
      </w:r>
      <w:r>
        <w:rPr>
          <w:i w:val="0"/>
          <w:iCs w:val="0"/>
          <w:highlight w:val="none"/>
        </w:rPr>
        <w:tab/>
      </w:r>
      <w:r>
        <w:rPr>
          <w:i w:val="0"/>
          <w:iCs w:val="0"/>
          <w:highlight w:val="none"/>
        </w:rPr>
        <w:fldChar w:fldCharType="begin"/>
      </w:r>
      <w:r>
        <w:rPr>
          <w:i w:val="0"/>
          <w:iCs w:val="0"/>
          <w:highlight w:val="none"/>
        </w:rPr>
        <w:instrText xml:space="preserve"> PAGEREF _Toc14141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10.履约保证金</w:t>
      </w:r>
      <w:r>
        <w:rPr>
          <w:i w:val="0"/>
          <w:iCs w:val="0"/>
          <w:highlight w:val="none"/>
        </w:rPr>
        <w:tab/>
      </w:r>
      <w:r>
        <w:rPr>
          <w:i w:val="0"/>
          <w:iCs w:val="0"/>
          <w:highlight w:val="none"/>
        </w:rPr>
        <w:fldChar w:fldCharType="begin"/>
      </w:r>
      <w:r>
        <w:rPr>
          <w:i w:val="0"/>
          <w:iCs w:val="0"/>
          <w:highlight w:val="none"/>
        </w:rPr>
        <w:instrText xml:space="preserve"> PAGEREF _Toc12596 \h </w:instrText>
      </w:r>
      <w:r>
        <w:rPr>
          <w:i w:val="0"/>
          <w:iCs w:val="0"/>
          <w:highlight w:val="none"/>
        </w:rPr>
        <w:fldChar w:fldCharType="separate"/>
      </w:r>
      <w:r>
        <w:rPr>
          <w:i w:val="0"/>
          <w:iCs w:val="0"/>
          <w:highlight w:val="none"/>
        </w:rPr>
        <w:t>89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_Toc13211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11.保证</w:t>
      </w:r>
      <w:r>
        <w:rPr>
          <w:i w:val="0"/>
          <w:iCs w:val="0"/>
          <w:highlight w:val="none"/>
        </w:rPr>
        <w:tab/>
      </w:r>
      <w:r>
        <w:rPr>
          <w:i w:val="0"/>
          <w:iCs w:val="0"/>
          <w:highlight w:val="none"/>
        </w:rPr>
        <w:fldChar w:fldCharType="begin"/>
      </w:r>
      <w:r>
        <w:rPr>
          <w:i w:val="0"/>
          <w:iCs w:val="0"/>
          <w:highlight w:val="none"/>
        </w:rPr>
        <w:instrText xml:space="preserve"> PAGEREF _Toc13211 \h </w:instrText>
      </w:r>
      <w:r>
        <w:rPr>
          <w:i w:val="0"/>
          <w:iCs w:val="0"/>
          <w:highlight w:val="none"/>
        </w:rPr>
        <w:fldChar w:fldCharType="separate"/>
      </w:r>
      <w:r>
        <w:rPr>
          <w:i w:val="0"/>
          <w:iCs w:val="0"/>
          <w:highlight w:val="none"/>
        </w:rPr>
        <w:t>89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highlight w:val="none"/>
        </w:rPr>
        <w:tab/>
      </w:r>
      <w:r>
        <w:rPr>
          <w:i w:val="0"/>
          <w:iCs w:val="0"/>
          <w:highlight w:val="none"/>
        </w:rPr>
        <w:fldChar w:fldCharType="begin"/>
      </w:r>
      <w:r>
        <w:rPr>
          <w:i w:val="0"/>
          <w:iCs w:val="0"/>
          <w:highlight w:val="none"/>
        </w:rPr>
        <w:instrText xml:space="preserve"> PAGEREF _Toc20980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_Toc25322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13.保密</w:t>
      </w:r>
      <w:r>
        <w:rPr>
          <w:i w:val="0"/>
          <w:iCs w:val="0"/>
          <w:highlight w:val="none"/>
        </w:rPr>
        <w:tab/>
      </w:r>
      <w:r>
        <w:rPr>
          <w:i w:val="0"/>
          <w:iCs w:val="0"/>
          <w:highlight w:val="none"/>
        </w:rPr>
        <w:fldChar w:fldCharType="begin"/>
      </w:r>
      <w:r>
        <w:rPr>
          <w:i w:val="0"/>
          <w:iCs w:val="0"/>
          <w:highlight w:val="none"/>
        </w:rPr>
        <w:instrText xml:space="preserve"> PAGEREF _Toc25322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_Toc5619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14.违约责任</w:t>
      </w:r>
      <w:r>
        <w:rPr>
          <w:i w:val="0"/>
          <w:iCs w:val="0"/>
          <w:highlight w:val="none"/>
        </w:rPr>
        <w:tab/>
      </w:r>
      <w:r>
        <w:rPr>
          <w:i w:val="0"/>
          <w:iCs w:val="0"/>
          <w:highlight w:val="none"/>
        </w:rPr>
        <w:fldChar w:fldCharType="begin"/>
      </w:r>
      <w:r>
        <w:rPr>
          <w:i w:val="0"/>
          <w:iCs w:val="0"/>
          <w:highlight w:val="none"/>
        </w:rPr>
        <w:instrText xml:space="preserve"> PAGEREF _Toc5619 \h </w:instrText>
      </w:r>
      <w:r>
        <w:rPr>
          <w:i w:val="0"/>
          <w:iCs w:val="0"/>
          <w:highlight w:val="none"/>
        </w:rPr>
        <w:fldChar w:fldCharType="separate"/>
      </w:r>
      <w:r>
        <w:rPr>
          <w:i w:val="0"/>
          <w:iCs w:val="0"/>
          <w:highlight w:val="none"/>
        </w:rPr>
        <w:t>90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_Toc3400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15.合同的解除</w:t>
      </w:r>
      <w:r>
        <w:rPr>
          <w:i w:val="0"/>
          <w:iCs w:val="0"/>
          <w:highlight w:val="none"/>
        </w:rPr>
        <w:tab/>
      </w:r>
      <w:r>
        <w:rPr>
          <w:i w:val="0"/>
          <w:iCs w:val="0"/>
          <w:highlight w:val="none"/>
        </w:rPr>
        <w:fldChar w:fldCharType="begin"/>
      </w:r>
      <w:r>
        <w:rPr>
          <w:i w:val="0"/>
          <w:iCs w:val="0"/>
          <w:highlight w:val="none"/>
        </w:rPr>
        <w:instrText xml:space="preserve"> PAGEREF _Toc3400 \h </w:instrText>
      </w:r>
      <w:r>
        <w:rPr>
          <w:i w:val="0"/>
          <w:iCs w:val="0"/>
          <w:highlight w:val="none"/>
        </w:rPr>
        <w:fldChar w:fldCharType="separate"/>
      </w:r>
      <w:r>
        <w:rPr>
          <w:i w:val="0"/>
          <w:iCs w:val="0"/>
          <w:highlight w:val="none"/>
        </w:rPr>
        <w:t>91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_Toc28521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16.不可抗力</w:t>
      </w:r>
      <w:r>
        <w:rPr>
          <w:i w:val="0"/>
          <w:iCs w:val="0"/>
          <w:highlight w:val="none"/>
        </w:rPr>
        <w:tab/>
      </w:r>
      <w:r>
        <w:rPr>
          <w:i w:val="0"/>
          <w:iCs w:val="0"/>
          <w:highlight w:val="none"/>
        </w:rPr>
        <w:fldChar w:fldCharType="begin"/>
      </w:r>
      <w:r>
        <w:rPr>
          <w:i w:val="0"/>
          <w:iCs w:val="0"/>
          <w:highlight w:val="none"/>
        </w:rPr>
        <w:instrText xml:space="preserve"> PAGEREF _Toc28521 \h </w:instrText>
      </w:r>
      <w:r>
        <w:rPr>
          <w:i w:val="0"/>
          <w:iCs w:val="0"/>
          <w:highlight w:val="none"/>
        </w:rPr>
        <w:fldChar w:fldCharType="separate"/>
      </w:r>
      <w:r>
        <w:rPr>
          <w:i w:val="0"/>
          <w:iCs w:val="0"/>
          <w:highlight w:val="none"/>
        </w:rPr>
        <w:t>91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_Toc17491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highlight w:val="none"/>
        </w:rPr>
        <w:tab/>
      </w:r>
      <w:r>
        <w:rPr>
          <w:i w:val="0"/>
          <w:iCs w:val="0"/>
          <w:highlight w:val="none"/>
        </w:rPr>
        <w:fldChar w:fldCharType="begin"/>
      </w:r>
      <w:r>
        <w:rPr>
          <w:i w:val="0"/>
          <w:iCs w:val="0"/>
          <w:highlight w:val="none"/>
        </w:rPr>
        <w:instrText xml:space="preserve"> PAGEREF _Toc17491 \h </w:instrText>
      </w:r>
      <w:r>
        <w:rPr>
          <w:i w:val="0"/>
          <w:iCs w:val="0"/>
          <w:highlight w:val="none"/>
        </w:rPr>
        <w:fldChar w:fldCharType="separate"/>
      </w:r>
      <w:r>
        <w:rPr>
          <w:i w:val="0"/>
          <w:iCs w:val="0"/>
          <w:highlight w:val="none"/>
        </w:rPr>
        <w:t>92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_Toc6305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highlight w:val="none"/>
        </w:rPr>
        <w:tab/>
      </w:r>
      <w:r>
        <w:rPr>
          <w:i w:val="0"/>
          <w:iCs w:val="0"/>
          <w:highlight w:val="none"/>
        </w:rPr>
        <w:fldChar w:fldCharType="begin"/>
      </w:r>
      <w:r>
        <w:rPr>
          <w:i w:val="0"/>
          <w:iCs w:val="0"/>
          <w:highlight w:val="none"/>
        </w:rPr>
        <w:instrText xml:space="preserve"> PAGEREF _Toc6305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_Toc5062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highlight w:val="none"/>
        </w:rPr>
        <w:tab/>
      </w:r>
      <w:r>
        <w:rPr>
          <w:i w:val="0"/>
          <w:iCs w:val="0"/>
          <w:highlight w:val="none"/>
        </w:rPr>
        <w:fldChar w:fldCharType="begin"/>
      </w:r>
      <w:r>
        <w:rPr>
          <w:i w:val="0"/>
          <w:iCs w:val="0"/>
          <w:highlight w:val="none"/>
        </w:rPr>
        <w:instrText xml:space="preserve"> PAGEREF _Toc5062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 合同范围</w:t>
      </w:r>
      <w:r>
        <w:rPr>
          <w:i w:val="0"/>
          <w:iCs w:val="0"/>
          <w:highlight w:val="none"/>
        </w:rPr>
        <w:tab/>
      </w:r>
      <w:r>
        <w:rPr>
          <w:i w:val="0"/>
          <w:iCs w:val="0"/>
          <w:highlight w:val="none"/>
        </w:rPr>
        <w:fldChar w:fldCharType="begin"/>
      </w:r>
      <w:r>
        <w:rPr>
          <w:i w:val="0"/>
          <w:iCs w:val="0"/>
          <w:highlight w:val="none"/>
        </w:rPr>
        <w:instrText xml:space="preserve"> PAGEREF _Toc9880 \h </w:instrText>
      </w:r>
      <w:r>
        <w:rPr>
          <w:i w:val="0"/>
          <w:iCs w:val="0"/>
          <w:highlight w:val="none"/>
        </w:rPr>
        <w:fldChar w:fldCharType="separate"/>
      </w:r>
      <w:r>
        <w:rPr>
          <w:i w:val="0"/>
          <w:iCs w:val="0"/>
          <w:highlight w:val="none"/>
        </w:rPr>
        <w:t>93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_Toc23573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 合同价格与支付</w:t>
      </w:r>
      <w:r>
        <w:rPr>
          <w:i w:val="0"/>
          <w:iCs w:val="0"/>
          <w:highlight w:val="none"/>
        </w:rPr>
        <w:tab/>
      </w:r>
      <w:r>
        <w:rPr>
          <w:i w:val="0"/>
          <w:iCs w:val="0"/>
          <w:highlight w:val="none"/>
        </w:rPr>
        <w:fldChar w:fldCharType="begin"/>
      </w:r>
      <w:r>
        <w:rPr>
          <w:i w:val="0"/>
          <w:iCs w:val="0"/>
          <w:highlight w:val="none"/>
        </w:rPr>
        <w:instrText xml:space="preserve"> PAGEREF _Toc23573 \h </w:instrText>
      </w:r>
      <w:r>
        <w:rPr>
          <w:i w:val="0"/>
          <w:iCs w:val="0"/>
          <w:highlight w:val="none"/>
        </w:rPr>
        <w:fldChar w:fldCharType="separate"/>
      </w:r>
      <w:r>
        <w:rPr>
          <w:i w:val="0"/>
          <w:iCs w:val="0"/>
          <w:highlight w:val="none"/>
        </w:rPr>
        <w:t>94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_Toc16820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 监造及交货前检验</w:t>
      </w:r>
      <w:r>
        <w:rPr>
          <w:i w:val="0"/>
          <w:iCs w:val="0"/>
          <w:highlight w:val="none"/>
        </w:rPr>
        <w:tab/>
      </w:r>
      <w:r>
        <w:rPr>
          <w:i w:val="0"/>
          <w:iCs w:val="0"/>
          <w:highlight w:val="none"/>
        </w:rPr>
        <w:fldChar w:fldCharType="begin"/>
      </w:r>
      <w:r>
        <w:rPr>
          <w:i w:val="0"/>
          <w:iCs w:val="0"/>
          <w:highlight w:val="none"/>
        </w:rPr>
        <w:instrText xml:space="preserve"> PAGEREF _Toc16820 \h </w:instrText>
      </w:r>
      <w:r>
        <w:rPr>
          <w:i w:val="0"/>
          <w:iCs w:val="0"/>
          <w:highlight w:val="none"/>
        </w:rPr>
        <w:fldChar w:fldCharType="separate"/>
      </w:r>
      <w:r>
        <w:rPr>
          <w:i w:val="0"/>
          <w:iCs w:val="0"/>
          <w:highlight w:val="none"/>
        </w:rPr>
        <w:t>95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_Toc20164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 包装、标记、运输和交付</w:t>
      </w:r>
      <w:r>
        <w:rPr>
          <w:i w:val="0"/>
          <w:iCs w:val="0"/>
          <w:highlight w:val="none"/>
        </w:rPr>
        <w:tab/>
      </w:r>
      <w:r>
        <w:rPr>
          <w:i w:val="0"/>
          <w:iCs w:val="0"/>
          <w:highlight w:val="none"/>
        </w:rPr>
        <w:fldChar w:fldCharType="begin"/>
      </w:r>
      <w:r>
        <w:rPr>
          <w:i w:val="0"/>
          <w:iCs w:val="0"/>
          <w:highlight w:val="none"/>
        </w:rPr>
        <w:instrText xml:space="preserve"> PAGEREF _Toc20164 \h </w:instrText>
      </w:r>
      <w:r>
        <w:rPr>
          <w:i w:val="0"/>
          <w:iCs w:val="0"/>
          <w:highlight w:val="none"/>
        </w:rPr>
        <w:fldChar w:fldCharType="separate"/>
      </w:r>
      <w:r>
        <w:rPr>
          <w:i w:val="0"/>
          <w:iCs w:val="0"/>
          <w:highlight w:val="none"/>
        </w:rPr>
        <w:t>96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_Toc15676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 开箱检验、安装、调试、考核、验收</w:t>
      </w:r>
      <w:r>
        <w:rPr>
          <w:i w:val="0"/>
          <w:iCs w:val="0"/>
          <w:highlight w:val="none"/>
        </w:rPr>
        <w:tab/>
      </w:r>
      <w:r>
        <w:rPr>
          <w:i w:val="0"/>
          <w:iCs w:val="0"/>
          <w:highlight w:val="none"/>
        </w:rPr>
        <w:fldChar w:fldCharType="begin"/>
      </w:r>
      <w:r>
        <w:rPr>
          <w:i w:val="0"/>
          <w:iCs w:val="0"/>
          <w:highlight w:val="none"/>
        </w:rPr>
        <w:instrText xml:space="preserve"> PAGEREF _Toc15676 \h </w:instrText>
      </w:r>
      <w:r>
        <w:rPr>
          <w:i w:val="0"/>
          <w:iCs w:val="0"/>
          <w:highlight w:val="none"/>
        </w:rPr>
        <w:fldChar w:fldCharType="separate"/>
      </w:r>
      <w:r>
        <w:rPr>
          <w:i w:val="0"/>
          <w:iCs w:val="0"/>
          <w:highlight w:val="none"/>
        </w:rPr>
        <w:t>98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_Toc649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 技术服务</w:t>
      </w:r>
      <w:r>
        <w:rPr>
          <w:i w:val="0"/>
          <w:iCs w:val="0"/>
          <w:highlight w:val="none"/>
        </w:rPr>
        <w:tab/>
      </w:r>
      <w:r>
        <w:rPr>
          <w:i w:val="0"/>
          <w:iCs w:val="0"/>
          <w:highlight w:val="none"/>
        </w:rPr>
        <w:fldChar w:fldCharType="begin"/>
      </w:r>
      <w:r>
        <w:rPr>
          <w:i w:val="0"/>
          <w:iCs w:val="0"/>
          <w:highlight w:val="none"/>
        </w:rPr>
        <w:instrText xml:space="preserve"> PAGEREF _Toc649 \h </w:instrText>
      </w:r>
      <w:r>
        <w:rPr>
          <w:i w:val="0"/>
          <w:iCs w:val="0"/>
          <w:highlight w:val="none"/>
        </w:rPr>
        <w:fldChar w:fldCharType="separate"/>
      </w:r>
      <w:r>
        <w:rPr>
          <w:i w:val="0"/>
          <w:iCs w:val="0"/>
          <w:highlight w:val="none"/>
        </w:rPr>
        <w:t>98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_Toc19313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 质量保证期</w:t>
      </w:r>
      <w:r>
        <w:rPr>
          <w:i w:val="0"/>
          <w:iCs w:val="0"/>
          <w:highlight w:val="none"/>
        </w:rPr>
        <w:tab/>
      </w:r>
      <w:r>
        <w:rPr>
          <w:i w:val="0"/>
          <w:iCs w:val="0"/>
          <w:highlight w:val="none"/>
        </w:rPr>
        <w:fldChar w:fldCharType="begin"/>
      </w:r>
      <w:r>
        <w:rPr>
          <w:i w:val="0"/>
          <w:iCs w:val="0"/>
          <w:highlight w:val="none"/>
        </w:rPr>
        <w:instrText xml:space="preserve"> PAGEREF _Toc19313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_Toc1408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 质保期服务</w:t>
      </w:r>
      <w:r>
        <w:rPr>
          <w:i w:val="0"/>
          <w:iCs w:val="0"/>
          <w:highlight w:val="none"/>
        </w:rPr>
        <w:tab/>
      </w:r>
      <w:r>
        <w:rPr>
          <w:i w:val="0"/>
          <w:iCs w:val="0"/>
          <w:highlight w:val="none"/>
        </w:rPr>
        <w:fldChar w:fldCharType="begin"/>
      </w:r>
      <w:r>
        <w:rPr>
          <w:i w:val="0"/>
          <w:iCs w:val="0"/>
          <w:highlight w:val="none"/>
        </w:rPr>
        <w:instrText xml:space="preserve"> PAGEREF _Toc1408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_Toc15216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 履约保证金</w:t>
      </w:r>
      <w:r>
        <w:rPr>
          <w:i w:val="0"/>
          <w:iCs w:val="0"/>
          <w:highlight w:val="none"/>
        </w:rPr>
        <w:tab/>
      </w:r>
      <w:r>
        <w:rPr>
          <w:i w:val="0"/>
          <w:iCs w:val="0"/>
          <w:highlight w:val="none"/>
        </w:rPr>
        <w:fldChar w:fldCharType="begin"/>
      </w:r>
      <w:r>
        <w:rPr>
          <w:i w:val="0"/>
          <w:iCs w:val="0"/>
          <w:highlight w:val="none"/>
        </w:rPr>
        <w:instrText xml:space="preserve"> PAGEREF _Toc15216 \h </w:instrText>
      </w:r>
      <w:r>
        <w:rPr>
          <w:i w:val="0"/>
          <w:iCs w:val="0"/>
          <w:highlight w:val="none"/>
        </w:rPr>
        <w:fldChar w:fldCharType="separate"/>
      </w:r>
      <w:r>
        <w:rPr>
          <w:i w:val="0"/>
          <w:iCs w:val="0"/>
          <w:highlight w:val="none"/>
        </w:rPr>
        <w:t>99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_Toc17911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 保证</w:t>
      </w:r>
      <w:r>
        <w:rPr>
          <w:i w:val="0"/>
          <w:iCs w:val="0"/>
          <w:highlight w:val="none"/>
        </w:rPr>
        <w:tab/>
      </w:r>
      <w:r>
        <w:rPr>
          <w:i w:val="0"/>
          <w:iCs w:val="0"/>
          <w:highlight w:val="none"/>
        </w:rPr>
        <w:fldChar w:fldCharType="begin"/>
      </w:r>
      <w:r>
        <w:rPr>
          <w:i w:val="0"/>
          <w:iCs w:val="0"/>
          <w:highlight w:val="none"/>
        </w:rPr>
        <w:instrText xml:space="preserve"> PAGEREF _Toc17911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_Toc22355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highlight w:val="none"/>
        </w:rPr>
        <w:tab/>
      </w:r>
      <w:r>
        <w:rPr>
          <w:i w:val="0"/>
          <w:iCs w:val="0"/>
          <w:highlight w:val="none"/>
        </w:rPr>
        <w:fldChar w:fldCharType="begin"/>
      </w:r>
      <w:r>
        <w:rPr>
          <w:i w:val="0"/>
          <w:iCs w:val="0"/>
          <w:highlight w:val="none"/>
        </w:rPr>
        <w:instrText xml:space="preserve"> PAGEREF _Toc22355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_Toc11928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 违约责任</w:t>
      </w:r>
      <w:r>
        <w:rPr>
          <w:i w:val="0"/>
          <w:iCs w:val="0"/>
          <w:highlight w:val="none"/>
        </w:rPr>
        <w:tab/>
      </w:r>
      <w:r>
        <w:rPr>
          <w:i w:val="0"/>
          <w:iCs w:val="0"/>
          <w:highlight w:val="none"/>
        </w:rPr>
        <w:fldChar w:fldCharType="begin"/>
      </w:r>
      <w:r>
        <w:rPr>
          <w:i w:val="0"/>
          <w:iCs w:val="0"/>
          <w:highlight w:val="none"/>
        </w:rPr>
        <w:instrText xml:space="preserve"> PAGEREF _Toc11928 \h </w:instrText>
      </w:r>
      <w:r>
        <w:rPr>
          <w:i w:val="0"/>
          <w:iCs w:val="0"/>
          <w:highlight w:val="none"/>
        </w:rPr>
        <w:fldChar w:fldCharType="separate"/>
      </w:r>
      <w:r>
        <w:rPr>
          <w:i w:val="0"/>
          <w:iCs w:val="0"/>
          <w:highlight w:val="none"/>
        </w:rPr>
        <w:t>100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_Toc27689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 合同的解除</w:t>
      </w:r>
      <w:r>
        <w:rPr>
          <w:i w:val="0"/>
          <w:iCs w:val="0"/>
          <w:highlight w:val="none"/>
        </w:rPr>
        <w:tab/>
      </w:r>
      <w:r>
        <w:rPr>
          <w:i w:val="0"/>
          <w:iCs w:val="0"/>
          <w:highlight w:val="none"/>
        </w:rPr>
        <w:fldChar w:fldCharType="begin"/>
      </w:r>
      <w:r>
        <w:rPr>
          <w:i w:val="0"/>
          <w:iCs w:val="0"/>
          <w:highlight w:val="none"/>
        </w:rPr>
        <w:instrText xml:space="preserve"> PAGEREF _Toc27689 \h </w:instrText>
      </w:r>
      <w:r>
        <w:rPr>
          <w:i w:val="0"/>
          <w:iCs w:val="0"/>
          <w:highlight w:val="none"/>
        </w:rPr>
        <w:fldChar w:fldCharType="separate"/>
      </w:r>
      <w:r>
        <w:rPr>
          <w:i w:val="0"/>
          <w:iCs w:val="0"/>
          <w:highlight w:val="none"/>
        </w:rPr>
        <w:t>101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_Toc30982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 不可抗力</w:t>
      </w:r>
      <w:r>
        <w:rPr>
          <w:i w:val="0"/>
          <w:iCs w:val="0"/>
          <w:highlight w:val="none"/>
        </w:rPr>
        <w:tab/>
      </w:r>
      <w:r>
        <w:rPr>
          <w:i w:val="0"/>
          <w:iCs w:val="0"/>
          <w:highlight w:val="none"/>
        </w:rPr>
        <w:fldChar w:fldCharType="begin"/>
      </w:r>
      <w:r>
        <w:rPr>
          <w:i w:val="0"/>
          <w:iCs w:val="0"/>
          <w:highlight w:val="none"/>
        </w:rPr>
        <w:instrText xml:space="preserve"> PAGEREF _Toc30982 \h </w:instrText>
      </w:r>
      <w:r>
        <w:rPr>
          <w:i w:val="0"/>
          <w:iCs w:val="0"/>
          <w:highlight w:val="none"/>
        </w:rPr>
        <w:fldChar w:fldCharType="separate"/>
      </w:r>
      <w:r>
        <w:rPr>
          <w:i w:val="0"/>
          <w:iCs w:val="0"/>
          <w:highlight w:val="none"/>
        </w:rPr>
        <w:t>101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_Toc4784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highlight w:val="none"/>
        </w:rPr>
        <w:tab/>
      </w:r>
      <w:r>
        <w:rPr>
          <w:i w:val="0"/>
          <w:iCs w:val="0"/>
          <w:highlight w:val="none"/>
        </w:rPr>
        <w:fldChar w:fldCharType="begin"/>
      </w:r>
      <w:r>
        <w:rPr>
          <w:i w:val="0"/>
          <w:iCs w:val="0"/>
          <w:highlight w:val="none"/>
        </w:rPr>
        <w:instrText xml:space="preserve"> PAGEREF _Toc4784 \h </w:instrText>
      </w:r>
      <w:r>
        <w:rPr>
          <w:i w:val="0"/>
          <w:iCs w:val="0"/>
          <w:highlight w:val="none"/>
        </w:rPr>
        <w:fldChar w:fldCharType="separate"/>
      </w:r>
      <w:r>
        <w:rPr>
          <w:i w:val="0"/>
          <w:iCs w:val="0"/>
          <w:highlight w:val="none"/>
        </w:rPr>
        <w:t>102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_Toc4638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18.补充条款</w:t>
      </w:r>
      <w:r>
        <w:rPr>
          <w:i w:val="0"/>
          <w:iCs w:val="0"/>
          <w:highlight w:val="none"/>
        </w:rPr>
        <w:tab/>
      </w:r>
      <w:r>
        <w:rPr>
          <w:i w:val="0"/>
          <w:iCs w:val="0"/>
          <w:highlight w:val="none"/>
        </w:rPr>
        <w:fldChar w:fldCharType="begin"/>
      </w:r>
      <w:r>
        <w:rPr>
          <w:i w:val="0"/>
          <w:iCs w:val="0"/>
          <w:highlight w:val="none"/>
        </w:rPr>
        <w:instrText xml:space="preserve"> PAGEREF _Toc4638 \h </w:instrText>
      </w:r>
      <w:r>
        <w:rPr>
          <w:i w:val="0"/>
          <w:iCs w:val="0"/>
          <w:highlight w:val="none"/>
        </w:rPr>
        <w:fldChar w:fldCharType="separate"/>
      </w:r>
      <w:r>
        <w:rPr>
          <w:i w:val="0"/>
          <w:iCs w:val="0"/>
          <w:highlight w:val="none"/>
        </w:rPr>
        <w:t>102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highlight w:val="none"/>
        </w:rPr>
        <w:tab/>
      </w:r>
      <w:r>
        <w:rPr>
          <w:i w:val="0"/>
          <w:iCs w:val="0"/>
          <w:highlight w:val="none"/>
        </w:rPr>
        <w:fldChar w:fldCharType="begin"/>
      </w:r>
      <w:r>
        <w:rPr>
          <w:i w:val="0"/>
          <w:iCs w:val="0"/>
          <w:highlight w:val="none"/>
        </w:rPr>
        <w:instrText xml:space="preserve"> PAGEREF _Toc18180 \h </w:instrText>
      </w:r>
      <w:r>
        <w:rPr>
          <w:i w:val="0"/>
          <w:iCs w:val="0"/>
          <w:highlight w:val="none"/>
        </w:rPr>
        <w:fldChar w:fldCharType="separate"/>
      </w:r>
      <w:r>
        <w:rPr>
          <w:i w:val="0"/>
          <w:iCs w:val="0"/>
          <w:highlight w:val="none"/>
        </w:rPr>
        <w:t>103</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_Toc1399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材料采购合同示范文本</w:t>
      </w:r>
      <w:r>
        <w:rPr>
          <w:i w:val="0"/>
          <w:iCs w:val="0"/>
          <w:highlight w:val="none"/>
        </w:rPr>
        <w:tab/>
      </w:r>
      <w:r>
        <w:rPr>
          <w:i w:val="0"/>
          <w:iCs w:val="0"/>
          <w:highlight w:val="none"/>
        </w:rPr>
        <w:fldChar w:fldCharType="begin"/>
      </w:r>
      <w:r>
        <w:rPr>
          <w:i w:val="0"/>
          <w:iCs w:val="0"/>
          <w:highlight w:val="none"/>
        </w:rPr>
        <w:instrText xml:space="preserve"> PAGEREF _Toc1399 \h </w:instrText>
      </w:r>
      <w:r>
        <w:rPr>
          <w:i w:val="0"/>
          <w:iCs w:val="0"/>
          <w:highlight w:val="none"/>
        </w:rPr>
        <w:fldChar w:fldCharType="separate"/>
      </w:r>
      <w:r>
        <w:rPr>
          <w:i w:val="0"/>
          <w:iCs w:val="0"/>
          <w:highlight w:val="none"/>
        </w:rPr>
        <w:t>111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_Toc3738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highlight w:val="none"/>
        </w:rPr>
        <w:tab/>
      </w:r>
      <w:r>
        <w:rPr>
          <w:i w:val="0"/>
          <w:iCs w:val="0"/>
          <w:highlight w:val="none"/>
        </w:rPr>
        <w:fldChar w:fldCharType="begin"/>
      </w:r>
      <w:r>
        <w:rPr>
          <w:i w:val="0"/>
          <w:iCs w:val="0"/>
          <w:highlight w:val="none"/>
        </w:rPr>
        <w:instrText xml:space="preserve"> PAGEREF _Toc3738 \h </w:instrText>
      </w:r>
      <w:r>
        <w:rPr>
          <w:i w:val="0"/>
          <w:iCs w:val="0"/>
          <w:highlight w:val="none"/>
        </w:rPr>
        <w:fldChar w:fldCharType="separate"/>
      </w:r>
      <w:r>
        <w:rPr>
          <w:i w:val="0"/>
          <w:iCs w:val="0"/>
          <w:highlight w:val="none"/>
        </w:rPr>
        <w:t>112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_Toc20970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highlight w:val="none"/>
        </w:rPr>
        <w:tab/>
      </w:r>
      <w:r>
        <w:rPr>
          <w:i w:val="0"/>
          <w:iCs w:val="0"/>
          <w:highlight w:val="none"/>
        </w:rPr>
        <w:fldChar w:fldCharType="begin"/>
      </w:r>
      <w:r>
        <w:rPr>
          <w:i w:val="0"/>
          <w:iCs w:val="0"/>
          <w:highlight w:val="none"/>
        </w:rPr>
        <w:instrText xml:space="preserve"> PAGEREF _Toc20970 \h </w:instrText>
      </w:r>
      <w:r>
        <w:rPr>
          <w:i w:val="0"/>
          <w:iCs w:val="0"/>
          <w:highlight w:val="none"/>
        </w:rPr>
        <w:fldChar w:fldCharType="separate"/>
      </w:r>
      <w:r>
        <w:rPr>
          <w:i w:val="0"/>
          <w:iCs w:val="0"/>
          <w:highlight w:val="none"/>
        </w:rPr>
        <w:t>114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rPr>
        <w:t>1.一般约定</w:t>
      </w:r>
      <w:r>
        <w:rPr>
          <w:i w:val="0"/>
          <w:iCs w:val="0"/>
          <w:highlight w:val="none"/>
        </w:rPr>
        <w:tab/>
      </w:r>
      <w:r>
        <w:rPr>
          <w:i w:val="0"/>
          <w:iCs w:val="0"/>
          <w:highlight w:val="none"/>
        </w:rPr>
        <w:fldChar w:fldCharType="begin"/>
      </w:r>
      <w:r>
        <w:rPr>
          <w:i w:val="0"/>
          <w:iCs w:val="0"/>
          <w:highlight w:val="none"/>
        </w:rPr>
        <w:instrText xml:space="preserve"> PAGEREF _Toc10050 \h </w:instrText>
      </w:r>
      <w:r>
        <w:rPr>
          <w:i w:val="0"/>
          <w:iCs w:val="0"/>
          <w:highlight w:val="none"/>
        </w:rPr>
        <w:fldChar w:fldCharType="separate"/>
      </w:r>
      <w:r>
        <w:rPr>
          <w:i w:val="0"/>
          <w:iCs w:val="0"/>
          <w:highlight w:val="none"/>
        </w:rPr>
        <w:t>114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_Toc22291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2.合同范围</w:t>
      </w:r>
      <w:r>
        <w:rPr>
          <w:i w:val="0"/>
          <w:iCs w:val="0"/>
          <w:highlight w:val="none"/>
        </w:rPr>
        <w:tab/>
      </w:r>
      <w:r>
        <w:rPr>
          <w:i w:val="0"/>
          <w:iCs w:val="0"/>
          <w:highlight w:val="none"/>
        </w:rPr>
        <w:fldChar w:fldCharType="begin"/>
      </w:r>
      <w:r>
        <w:rPr>
          <w:i w:val="0"/>
          <w:iCs w:val="0"/>
          <w:highlight w:val="none"/>
        </w:rPr>
        <w:instrText xml:space="preserve"> PAGEREF _Toc22291 \h </w:instrText>
      </w:r>
      <w:r>
        <w:rPr>
          <w:i w:val="0"/>
          <w:iCs w:val="0"/>
          <w:highlight w:val="none"/>
        </w:rPr>
        <w:fldChar w:fldCharType="separate"/>
      </w:r>
      <w:r>
        <w:rPr>
          <w:i w:val="0"/>
          <w:iCs w:val="0"/>
          <w:highlight w:val="none"/>
        </w:rPr>
        <w:t>116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_Toc20228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3.合同价格与支付</w:t>
      </w:r>
      <w:r>
        <w:rPr>
          <w:i w:val="0"/>
          <w:iCs w:val="0"/>
          <w:highlight w:val="none"/>
        </w:rPr>
        <w:tab/>
      </w:r>
      <w:r>
        <w:rPr>
          <w:i w:val="0"/>
          <w:iCs w:val="0"/>
          <w:highlight w:val="none"/>
        </w:rPr>
        <w:fldChar w:fldCharType="begin"/>
      </w:r>
      <w:r>
        <w:rPr>
          <w:i w:val="0"/>
          <w:iCs w:val="0"/>
          <w:highlight w:val="none"/>
        </w:rPr>
        <w:instrText xml:space="preserve"> PAGEREF _Toc20228 \h </w:instrText>
      </w:r>
      <w:r>
        <w:rPr>
          <w:i w:val="0"/>
          <w:iCs w:val="0"/>
          <w:highlight w:val="none"/>
        </w:rPr>
        <w:fldChar w:fldCharType="separate"/>
      </w:r>
      <w:r>
        <w:rPr>
          <w:i w:val="0"/>
          <w:iCs w:val="0"/>
          <w:highlight w:val="none"/>
        </w:rPr>
        <w:t>116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4.包装、标记、运输和交付</w:t>
      </w:r>
      <w:r>
        <w:rPr>
          <w:i w:val="0"/>
          <w:iCs w:val="0"/>
          <w:highlight w:val="none"/>
        </w:rPr>
        <w:tab/>
      </w:r>
      <w:r>
        <w:rPr>
          <w:i w:val="0"/>
          <w:iCs w:val="0"/>
          <w:highlight w:val="none"/>
        </w:rPr>
        <w:fldChar w:fldCharType="begin"/>
      </w:r>
      <w:r>
        <w:rPr>
          <w:i w:val="0"/>
          <w:iCs w:val="0"/>
          <w:highlight w:val="none"/>
        </w:rPr>
        <w:instrText xml:space="preserve"> PAGEREF _Toc19508 \h </w:instrText>
      </w:r>
      <w:r>
        <w:rPr>
          <w:i w:val="0"/>
          <w:iCs w:val="0"/>
          <w:highlight w:val="none"/>
        </w:rPr>
        <w:fldChar w:fldCharType="separate"/>
      </w:r>
      <w:r>
        <w:rPr>
          <w:i w:val="0"/>
          <w:iCs w:val="0"/>
          <w:highlight w:val="none"/>
        </w:rPr>
        <w:t>117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_Toc29712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5.检验和验收</w:t>
      </w:r>
      <w:r>
        <w:rPr>
          <w:i w:val="0"/>
          <w:iCs w:val="0"/>
          <w:highlight w:val="none"/>
        </w:rPr>
        <w:tab/>
      </w:r>
      <w:r>
        <w:rPr>
          <w:i w:val="0"/>
          <w:iCs w:val="0"/>
          <w:highlight w:val="none"/>
        </w:rPr>
        <w:fldChar w:fldCharType="begin"/>
      </w:r>
      <w:r>
        <w:rPr>
          <w:i w:val="0"/>
          <w:iCs w:val="0"/>
          <w:highlight w:val="none"/>
        </w:rPr>
        <w:instrText xml:space="preserve"> PAGEREF _Toc29712 \h </w:instrText>
      </w:r>
      <w:r>
        <w:rPr>
          <w:i w:val="0"/>
          <w:iCs w:val="0"/>
          <w:highlight w:val="none"/>
        </w:rPr>
        <w:fldChar w:fldCharType="separate"/>
      </w:r>
      <w:r>
        <w:rPr>
          <w:i w:val="0"/>
          <w:iCs w:val="0"/>
          <w:highlight w:val="none"/>
        </w:rPr>
        <w:t>118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_Toc29410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6.相关服务</w:t>
      </w:r>
      <w:r>
        <w:rPr>
          <w:i w:val="0"/>
          <w:iCs w:val="0"/>
          <w:highlight w:val="none"/>
        </w:rPr>
        <w:tab/>
      </w:r>
      <w:r>
        <w:rPr>
          <w:i w:val="0"/>
          <w:iCs w:val="0"/>
          <w:highlight w:val="none"/>
        </w:rPr>
        <w:fldChar w:fldCharType="begin"/>
      </w:r>
      <w:r>
        <w:rPr>
          <w:i w:val="0"/>
          <w:iCs w:val="0"/>
          <w:highlight w:val="none"/>
        </w:rPr>
        <w:instrText xml:space="preserve"> PAGEREF _Toc29410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_Toc21797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7.质量保证期</w:t>
      </w:r>
      <w:r>
        <w:rPr>
          <w:i w:val="0"/>
          <w:iCs w:val="0"/>
          <w:highlight w:val="none"/>
        </w:rPr>
        <w:tab/>
      </w:r>
      <w:r>
        <w:rPr>
          <w:i w:val="0"/>
          <w:iCs w:val="0"/>
          <w:highlight w:val="none"/>
        </w:rPr>
        <w:fldChar w:fldCharType="begin"/>
      </w:r>
      <w:r>
        <w:rPr>
          <w:i w:val="0"/>
          <w:iCs w:val="0"/>
          <w:highlight w:val="none"/>
        </w:rPr>
        <w:instrText xml:space="preserve"> PAGEREF _Toc21797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8.履约保证金</w:t>
      </w:r>
      <w:r>
        <w:rPr>
          <w:i w:val="0"/>
          <w:iCs w:val="0"/>
          <w:highlight w:val="none"/>
        </w:rPr>
        <w:tab/>
      </w:r>
      <w:r>
        <w:rPr>
          <w:i w:val="0"/>
          <w:iCs w:val="0"/>
          <w:highlight w:val="none"/>
        </w:rPr>
        <w:fldChar w:fldCharType="begin"/>
      </w:r>
      <w:r>
        <w:rPr>
          <w:i w:val="0"/>
          <w:iCs w:val="0"/>
          <w:highlight w:val="none"/>
        </w:rPr>
        <w:instrText xml:space="preserve"> PAGEREF _Toc3170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9.保证</w:t>
      </w:r>
      <w:r>
        <w:rPr>
          <w:i w:val="0"/>
          <w:iCs w:val="0"/>
          <w:highlight w:val="none"/>
        </w:rPr>
        <w:tab/>
      </w:r>
      <w:r>
        <w:rPr>
          <w:i w:val="0"/>
          <w:iCs w:val="0"/>
          <w:highlight w:val="none"/>
        </w:rPr>
        <w:fldChar w:fldCharType="begin"/>
      </w:r>
      <w:r>
        <w:rPr>
          <w:i w:val="0"/>
          <w:iCs w:val="0"/>
          <w:highlight w:val="none"/>
        </w:rPr>
        <w:instrText xml:space="preserve"> PAGEREF _Toc7692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_Toc3742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10.违约责任</w:t>
      </w:r>
      <w:r>
        <w:rPr>
          <w:i w:val="0"/>
          <w:iCs w:val="0"/>
          <w:highlight w:val="none"/>
        </w:rPr>
        <w:tab/>
      </w:r>
      <w:r>
        <w:rPr>
          <w:i w:val="0"/>
          <w:iCs w:val="0"/>
          <w:highlight w:val="none"/>
        </w:rPr>
        <w:fldChar w:fldCharType="begin"/>
      </w:r>
      <w:r>
        <w:rPr>
          <w:i w:val="0"/>
          <w:iCs w:val="0"/>
          <w:highlight w:val="none"/>
        </w:rPr>
        <w:instrText xml:space="preserve"> PAGEREF _Toc3742 \h </w:instrText>
      </w:r>
      <w:r>
        <w:rPr>
          <w:i w:val="0"/>
          <w:iCs w:val="0"/>
          <w:highlight w:val="none"/>
        </w:rPr>
        <w:fldChar w:fldCharType="separate"/>
      </w:r>
      <w:r>
        <w:rPr>
          <w:i w:val="0"/>
          <w:iCs w:val="0"/>
          <w:highlight w:val="none"/>
        </w:rPr>
        <w:t>119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_Toc10530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11.合同的解除</w:t>
      </w:r>
      <w:r>
        <w:rPr>
          <w:i w:val="0"/>
          <w:iCs w:val="0"/>
          <w:highlight w:val="none"/>
        </w:rPr>
        <w:tab/>
      </w:r>
      <w:r>
        <w:rPr>
          <w:i w:val="0"/>
          <w:iCs w:val="0"/>
          <w:highlight w:val="none"/>
        </w:rPr>
        <w:fldChar w:fldCharType="begin"/>
      </w:r>
      <w:r>
        <w:rPr>
          <w:i w:val="0"/>
          <w:iCs w:val="0"/>
          <w:highlight w:val="none"/>
        </w:rPr>
        <w:instrText xml:space="preserve"> PAGEREF _Toc10530 \h </w:instrText>
      </w:r>
      <w:r>
        <w:rPr>
          <w:i w:val="0"/>
          <w:iCs w:val="0"/>
          <w:highlight w:val="none"/>
        </w:rPr>
        <w:fldChar w:fldCharType="separate"/>
      </w:r>
      <w:r>
        <w:rPr>
          <w:i w:val="0"/>
          <w:iCs w:val="0"/>
          <w:highlight w:val="none"/>
        </w:rPr>
        <w:t>120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_Toc15902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12.争议的解决</w:t>
      </w:r>
      <w:r>
        <w:rPr>
          <w:i w:val="0"/>
          <w:iCs w:val="0"/>
          <w:highlight w:val="none"/>
        </w:rPr>
        <w:tab/>
      </w:r>
      <w:r>
        <w:rPr>
          <w:i w:val="0"/>
          <w:iCs w:val="0"/>
          <w:highlight w:val="none"/>
        </w:rPr>
        <w:fldChar w:fldCharType="begin"/>
      </w:r>
      <w:r>
        <w:rPr>
          <w:i w:val="0"/>
          <w:iCs w:val="0"/>
          <w:highlight w:val="none"/>
        </w:rPr>
        <w:instrText xml:space="preserve"> PAGEREF _Toc15902 \h </w:instrText>
      </w:r>
      <w:r>
        <w:rPr>
          <w:i w:val="0"/>
          <w:iCs w:val="0"/>
          <w:highlight w:val="none"/>
        </w:rPr>
        <w:fldChar w:fldCharType="separate"/>
      </w:r>
      <w:r>
        <w:rPr>
          <w:i w:val="0"/>
          <w:iCs w:val="0"/>
          <w:highlight w:val="none"/>
        </w:rPr>
        <w:t>120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_Toc5638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highlight w:val="none"/>
        </w:rPr>
        <w:tab/>
      </w:r>
      <w:r>
        <w:rPr>
          <w:i w:val="0"/>
          <w:iCs w:val="0"/>
          <w:highlight w:val="none"/>
        </w:rPr>
        <w:fldChar w:fldCharType="begin"/>
      </w:r>
      <w:r>
        <w:rPr>
          <w:i w:val="0"/>
          <w:iCs w:val="0"/>
          <w:highlight w:val="none"/>
        </w:rPr>
        <w:instrText xml:space="preserve"> PAGEREF _Toc5638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_Toc15463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highlight w:val="none"/>
        </w:rPr>
        <w:tab/>
      </w:r>
      <w:r>
        <w:rPr>
          <w:i w:val="0"/>
          <w:iCs w:val="0"/>
          <w:highlight w:val="none"/>
        </w:rPr>
        <w:fldChar w:fldCharType="begin"/>
      </w:r>
      <w:r>
        <w:rPr>
          <w:i w:val="0"/>
          <w:iCs w:val="0"/>
          <w:highlight w:val="none"/>
        </w:rPr>
        <w:instrText xml:space="preserve"> PAGEREF _Toc15463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_Toc9959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lang w:val="en-US" w:eastAsia="zh-CN"/>
        </w:rPr>
        <w:t>2</w:t>
      </w:r>
      <w:r>
        <w:rPr>
          <w:rFonts w:hint="eastAsia" w:eastAsia="宋体" w:cs="Times New Roman"/>
          <w:bCs/>
          <w:i w:val="0"/>
          <w:iCs w:val="0"/>
          <w:szCs w:val="32"/>
          <w:highlight w:val="none"/>
        </w:rPr>
        <w:t xml:space="preserve">. </w:t>
      </w:r>
      <w:r>
        <w:rPr>
          <w:rFonts w:hint="eastAsia" w:eastAsia="宋体" w:cs="Times New Roman"/>
          <w:bCs/>
          <w:i w:val="0"/>
          <w:iCs w:val="0"/>
          <w:szCs w:val="32"/>
          <w:highlight w:val="none"/>
          <w:lang w:eastAsia="zh-CN"/>
        </w:rPr>
        <w:t>合同范围</w:t>
      </w:r>
      <w:r>
        <w:rPr>
          <w:i w:val="0"/>
          <w:iCs w:val="0"/>
          <w:highlight w:val="none"/>
        </w:rPr>
        <w:tab/>
      </w:r>
      <w:r>
        <w:rPr>
          <w:i w:val="0"/>
          <w:iCs w:val="0"/>
          <w:highlight w:val="none"/>
        </w:rPr>
        <w:fldChar w:fldCharType="begin"/>
      </w:r>
      <w:r>
        <w:rPr>
          <w:i w:val="0"/>
          <w:iCs w:val="0"/>
          <w:highlight w:val="none"/>
        </w:rPr>
        <w:instrText xml:space="preserve"> PAGEREF _Toc9959 \h </w:instrText>
      </w:r>
      <w:r>
        <w:rPr>
          <w:i w:val="0"/>
          <w:iCs w:val="0"/>
          <w:highlight w:val="none"/>
        </w:rPr>
        <w:fldChar w:fldCharType="separate"/>
      </w:r>
      <w:r>
        <w:rPr>
          <w:i w:val="0"/>
          <w:iCs w:val="0"/>
          <w:highlight w:val="none"/>
        </w:rPr>
        <w:t>121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 合同价格与支付</w:t>
      </w:r>
      <w:r>
        <w:rPr>
          <w:i w:val="0"/>
          <w:iCs w:val="0"/>
          <w:highlight w:val="none"/>
        </w:rPr>
        <w:tab/>
      </w:r>
      <w:r>
        <w:rPr>
          <w:i w:val="0"/>
          <w:iCs w:val="0"/>
          <w:highlight w:val="none"/>
        </w:rPr>
        <w:fldChar w:fldCharType="begin"/>
      </w:r>
      <w:r>
        <w:rPr>
          <w:i w:val="0"/>
          <w:iCs w:val="0"/>
          <w:highlight w:val="none"/>
        </w:rPr>
        <w:instrText xml:space="preserve"> PAGEREF _Toc22188 \h </w:instrText>
      </w:r>
      <w:r>
        <w:rPr>
          <w:i w:val="0"/>
          <w:iCs w:val="0"/>
          <w:highlight w:val="none"/>
        </w:rPr>
        <w:fldChar w:fldCharType="separate"/>
      </w:r>
      <w:r>
        <w:rPr>
          <w:i w:val="0"/>
          <w:iCs w:val="0"/>
          <w:highlight w:val="none"/>
        </w:rPr>
        <w:t>122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_Toc8451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 包装、标记、运输和交付</w:t>
      </w:r>
      <w:r>
        <w:rPr>
          <w:i w:val="0"/>
          <w:iCs w:val="0"/>
          <w:highlight w:val="none"/>
        </w:rPr>
        <w:tab/>
      </w:r>
      <w:r>
        <w:rPr>
          <w:i w:val="0"/>
          <w:iCs w:val="0"/>
          <w:highlight w:val="none"/>
        </w:rPr>
        <w:fldChar w:fldCharType="begin"/>
      </w:r>
      <w:r>
        <w:rPr>
          <w:i w:val="0"/>
          <w:iCs w:val="0"/>
          <w:highlight w:val="none"/>
        </w:rPr>
        <w:instrText xml:space="preserve"> PAGEREF _Toc8451 \h </w:instrText>
      </w:r>
      <w:r>
        <w:rPr>
          <w:i w:val="0"/>
          <w:iCs w:val="0"/>
          <w:highlight w:val="none"/>
        </w:rPr>
        <w:fldChar w:fldCharType="separate"/>
      </w:r>
      <w:r>
        <w:rPr>
          <w:i w:val="0"/>
          <w:iCs w:val="0"/>
          <w:highlight w:val="none"/>
        </w:rPr>
        <w:t>122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_Toc32440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 检验和验收</w:t>
      </w:r>
      <w:r>
        <w:rPr>
          <w:i w:val="0"/>
          <w:iCs w:val="0"/>
          <w:highlight w:val="none"/>
        </w:rPr>
        <w:tab/>
      </w:r>
      <w:r>
        <w:rPr>
          <w:i w:val="0"/>
          <w:iCs w:val="0"/>
          <w:highlight w:val="none"/>
        </w:rPr>
        <w:fldChar w:fldCharType="begin"/>
      </w:r>
      <w:r>
        <w:rPr>
          <w:i w:val="0"/>
          <w:iCs w:val="0"/>
          <w:highlight w:val="none"/>
        </w:rPr>
        <w:instrText xml:space="preserve"> PAGEREF _Toc32440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_Toc4693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 相关服务</w:t>
      </w:r>
      <w:r>
        <w:rPr>
          <w:i w:val="0"/>
          <w:iCs w:val="0"/>
          <w:highlight w:val="none"/>
        </w:rPr>
        <w:tab/>
      </w:r>
      <w:r>
        <w:rPr>
          <w:i w:val="0"/>
          <w:iCs w:val="0"/>
          <w:highlight w:val="none"/>
        </w:rPr>
        <w:fldChar w:fldCharType="begin"/>
      </w:r>
      <w:r>
        <w:rPr>
          <w:i w:val="0"/>
          <w:iCs w:val="0"/>
          <w:highlight w:val="none"/>
        </w:rPr>
        <w:instrText xml:space="preserve"> PAGEREF _Toc4693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_Toc26746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 质量保证期</w:t>
      </w:r>
      <w:r>
        <w:rPr>
          <w:i w:val="0"/>
          <w:iCs w:val="0"/>
          <w:highlight w:val="none"/>
        </w:rPr>
        <w:tab/>
      </w:r>
      <w:r>
        <w:rPr>
          <w:i w:val="0"/>
          <w:iCs w:val="0"/>
          <w:highlight w:val="none"/>
        </w:rPr>
        <w:fldChar w:fldCharType="begin"/>
      </w:r>
      <w:r>
        <w:rPr>
          <w:i w:val="0"/>
          <w:iCs w:val="0"/>
          <w:highlight w:val="none"/>
        </w:rPr>
        <w:instrText xml:space="preserve"> PAGEREF _Toc26746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_Toc11656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 履约保证金</w:t>
      </w:r>
      <w:r>
        <w:rPr>
          <w:i w:val="0"/>
          <w:iCs w:val="0"/>
          <w:highlight w:val="none"/>
        </w:rPr>
        <w:tab/>
      </w:r>
      <w:r>
        <w:rPr>
          <w:i w:val="0"/>
          <w:iCs w:val="0"/>
          <w:highlight w:val="none"/>
        </w:rPr>
        <w:fldChar w:fldCharType="begin"/>
      </w:r>
      <w:r>
        <w:rPr>
          <w:i w:val="0"/>
          <w:iCs w:val="0"/>
          <w:highlight w:val="none"/>
        </w:rPr>
        <w:instrText xml:space="preserve"> PAGEREF _Toc11656 \h </w:instrText>
      </w:r>
      <w:r>
        <w:rPr>
          <w:i w:val="0"/>
          <w:iCs w:val="0"/>
          <w:highlight w:val="none"/>
        </w:rPr>
        <w:fldChar w:fldCharType="separate"/>
      </w:r>
      <w:r>
        <w:rPr>
          <w:i w:val="0"/>
          <w:iCs w:val="0"/>
          <w:highlight w:val="none"/>
        </w:rPr>
        <w:t>124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_Toc22682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 保证</w:t>
      </w:r>
      <w:r>
        <w:rPr>
          <w:i w:val="0"/>
          <w:iCs w:val="0"/>
          <w:highlight w:val="none"/>
        </w:rPr>
        <w:tab/>
      </w:r>
      <w:r>
        <w:rPr>
          <w:i w:val="0"/>
          <w:iCs w:val="0"/>
          <w:highlight w:val="none"/>
        </w:rPr>
        <w:fldChar w:fldCharType="begin"/>
      </w:r>
      <w:r>
        <w:rPr>
          <w:i w:val="0"/>
          <w:iCs w:val="0"/>
          <w:highlight w:val="none"/>
        </w:rPr>
        <w:instrText xml:space="preserve"> PAGEREF _Toc22682 \h </w:instrText>
      </w:r>
      <w:r>
        <w:rPr>
          <w:i w:val="0"/>
          <w:iCs w:val="0"/>
          <w:highlight w:val="none"/>
        </w:rPr>
        <w:fldChar w:fldCharType="separate"/>
      </w:r>
      <w:r>
        <w:rPr>
          <w:i w:val="0"/>
          <w:iCs w:val="0"/>
          <w:highlight w:val="none"/>
        </w:rPr>
        <w:t>125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_Toc13987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 违约责任</w:t>
      </w:r>
      <w:r>
        <w:rPr>
          <w:i w:val="0"/>
          <w:iCs w:val="0"/>
          <w:highlight w:val="none"/>
        </w:rPr>
        <w:tab/>
      </w:r>
      <w:r>
        <w:rPr>
          <w:i w:val="0"/>
          <w:iCs w:val="0"/>
          <w:highlight w:val="none"/>
        </w:rPr>
        <w:fldChar w:fldCharType="begin"/>
      </w:r>
      <w:r>
        <w:rPr>
          <w:i w:val="0"/>
          <w:iCs w:val="0"/>
          <w:highlight w:val="none"/>
        </w:rPr>
        <w:instrText xml:space="preserve"> PAGEREF _Toc13987 \h </w:instrText>
      </w:r>
      <w:r>
        <w:rPr>
          <w:i w:val="0"/>
          <w:iCs w:val="0"/>
          <w:highlight w:val="none"/>
        </w:rPr>
        <w:fldChar w:fldCharType="separate"/>
      </w:r>
      <w:r>
        <w:rPr>
          <w:i w:val="0"/>
          <w:iCs w:val="0"/>
          <w:highlight w:val="none"/>
        </w:rPr>
        <w:t>125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_Toc21753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 合同的解除</w:t>
      </w:r>
      <w:r>
        <w:rPr>
          <w:i w:val="0"/>
          <w:iCs w:val="0"/>
          <w:highlight w:val="none"/>
        </w:rPr>
        <w:tab/>
      </w:r>
      <w:r>
        <w:rPr>
          <w:i w:val="0"/>
          <w:iCs w:val="0"/>
          <w:highlight w:val="none"/>
        </w:rPr>
        <w:fldChar w:fldCharType="begin"/>
      </w:r>
      <w:r>
        <w:rPr>
          <w:i w:val="0"/>
          <w:iCs w:val="0"/>
          <w:highlight w:val="none"/>
        </w:rPr>
        <w:instrText xml:space="preserve"> PAGEREF _Toc21753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_Toc3605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 争议的解决</w:t>
      </w:r>
      <w:r>
        <w:rPr>
          <w:i w:val="0"/>
          <w:iCs w:val="0"/>
          <w:highlight w:val="none"/>
        </w:rPr>
        <w:tab/>
      </w:r>
      <w:r>
        <w:rPr>
          <w:i w:val="0"/>
          <w:iCs w:val="0"/>
          <w:highlight w:val="none"/>
        </w:rPr>
        <w:fldChar w:fldCharType="begin"/>
      </w:r>
      <w:r>
        <w:rPr>
          <w:i w:val="0"/>
          <w:iCs w:val="0"/>
          <w:highlight w:val="none"/>
        </w:rPr>
        <w:instrText xml:space="preserve"> PAGEREF _Toc3605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_Toc11800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w:t>
      </w:r>
      <w:r>
        <w:rPr>
          <w:rFonts w:hint="eastAsia" w:eastAsia="宋体" w:cs="Times New Roman"/>
          <w:bCs/>
          <w:i w:val="0"/>
          <w:iCs w:val="0"/>
          <w:kern w:val="2"/>
          <w:szCs w:val="32"/>
          <w:highlight w:val="none"/>
          <w:lang w:val="en-US" w:eastAsia="zh-CN" w:bidi="ar-SA"/>
        </w:rPr>
        <w:t>3</w:t>
      </w:r>
      <w:r>
        <w:rPr>
          <w:rFonts w:hint="eastAsia" w:ascii="Times New Roman" w:hAnsi="Times New Roman" w:eastAsia="宋体" w:cs="Times New Roman"/>
          <w:bCs/>
          <w:i w:val="0"/>
          <w:iCs w:val="0"/>
          <w:kern w:val="2"/>
          <w:szCs w:val="32"/>
          <w:highlight w:val="none"/>
          <w:lang w:val="en-US" w:eastAsia="zh-CN" w:bidi="ar-SA"/>
        </w:rPr>
        <w:t>.</w:t>
      </w:r>
      <w:r>
        <w:rPr>
          <w:rFonts w:hint="eastAsia" w:eastAsia="宋体" w:cs="Times New Roman"/>
          <w:bCs/>
          <w:i w:val="0"/>
          <w:iCs w:val="0"/>
          <w:kern w:val="2"/>
          <w:szCs w:val="32"/>
          <w:highlight w:val="none"/>
          <w:lang w:val="en-US" w:eastAsia="zh-CN" w:bidi="ar-SA"/>
        </w:rPr>
        <w:t xml:space="preserve"> </w:t>
      </w:r>
      <w:r>
        <w:rPr>
          <w:rFonts w:hint="eastAsia" w:ascii="Times New Roman" w:hAnsi="Times New Roman" w:eastAsia="宋体" w:cs="Times New Roman"/>
          <w:bCs/>
          <w:i w:val="0"/>
          <w:iCs w:val="0"/>
          <w:kern w:val="2"/>
          <w:szCs w:val="32"/>
          <w:highlight w:val="none"/>
          <w:lang w:val="en-US" w:eastAsia="zh-CN" w:bidi="ar-SA"/>
        </w:rPr>
        <w:t>补充条款</w:t>
      </w:r>
      <w:r>
        <w:rPr>
          <w:i w:val="0"/>
          <w:iCs w:val="0"/>
          <w:highlight w:val="none"/>
        </w:rPr>
        <w:tab/>
      </w:r>
      <w:r>
        <w:rPr>
          <w:i w:val="0"/>
          <w:iCs w:val="0"/>
          <w:highlight w:val="none"/>
        </w:rPr>
        <w:fldChar w:fldCharType="begin"/>
      </w:r>
      <w:r>
        <w:rPr>
          <w:i w:val="0"/>
          <w:iCs w:val="0"/>
          <w:highlight w:val="none"/>
        </w:rPr>
        <w:instrText xml:space="preserve"> PAGEREF _Toc11800 \h </w:instrText>
      </w:r>
      <w:r>
        <w:rPr>
          <w:i w:val="0"/>
          <w:iCs w:val="0"/>
          <w:highlight w:val="none"/>
        </w:rPr>
        <w:fldChar w:fldCharType="separate"/>
      </w:r>
      <w:r>
        <w:rPr>
          <w:i w:val="0"/>
          <w:iCs w:val="0"/>
          <w:highlight w:val="none"/>
        </w:rPr>
        <w:t>126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_Toc5374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highlight w:val="none"/>
        </w:rPr>
        <w:tab/>
      </w:r>
      <w:r>
        <w:rPr>
          <w:i w:val="0"/>
          <w:iCs w:val="0"/>
          <w:highlight w:val="none"/>
        </w:rPr>
        <w:fldChar w:fldCharType="begin"/>
      </w:r>
      <w:r>
        <w:rPr>
          <w:i w:val="0"/>
          <w:iCs w:val="0"/>
          <w:highlight w:val="none"/>
        </w:rPr>
        <w:instrText xml:space="preserve"> PAGEREF _Toc5374 \h </w:instrText>
      </w:r>
      <w:r>
        <w:rPr>
          <w:i w:val="0"/>
          <w:iCs w:val="0"/>
          <w:highlight w:val="none"/>
        </w:rPr>
        <w:fldChar w:fldCharType="separate"/>
      </w:r>
      <w:r>
        <w:rPr>
          <w:i w:val="0"/>
          <w:iCs w:val="0"/>
          <w:highlight w:val="none"/>
        </w:rPr>
        <w:t>127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_Toc20652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52"/>
          <w:highlight w:val="none"/>
        </w:rPr>
        <w:t>第 二 卷</w:t>
      </w:r>
      <w:r>
        <w:rPr>
          <w:i w:val="0"/>
          <w:iCs w:val="0"/>
          <w:highlight w:val="none"/>
        </w:rPr>
        <w:tab/>
      </w:r>
      <w:r>
        <w:rPr>
          <w:i w:val="0"/>
          <w:iCs w:val="0"/>
          <w:highlight w:val="none"/>
        </w:rPr>
        <w:fldChar w:fldCharType="begin"/>
      </w:r>
      <w:r>
        <w:rPr>
          <w:i w:val="0"/>
          <w:iCs w:val="0"/>
          <w:highlight w:val="none"/>
        </w:rPr>
        <w:instrText xml:space="preserve"> PAGEREF _Toc20652 \h </w:instrText>
      </w:r>
      <w:r>
        <w:rPr>
          <w:i w:val="0"/>
          <w:iCs w:val="0"/>
          <w:highlight w:val="none"/>
        </w:rPr>
        <w:fldChar w:fldCharType="separate"/>
      </w:r>
      <w:r>
        <w:rPr>
          <w:i w:val="0"/>
          <w:iCs w:val="0"/>
          <w:highlight w:val="none"/>
        </w:rPr>
        <w:t>135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_Toc15599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 xml:space="preserve">第五章  </w:t>
      </w:r>
      <w:r>
        <w:rPr>
          <w:rFonts w:hint="eastAsia" w:ascii="宋体" w:hAnsi="宋体"/>
          <w:i w:val="0"/>
          <w:iCs w:val="0"/>
          <w:highlight w:val="none"/>
          <w:lang w:val="en-US" w:eastAsia="zh-CN"/>
        </w:rPr>
        <w:t>供货</w:t>
      </w:r>
      <w:r>
        <w:rPr>
          <w:rFonts w:hint="eastAsia" w:ascii="宋体" w:hAnsi="宋体"/>
          <w:i w:val="0"/>
          <w:iCs w:val="0"/>
          <w:highlight w:val="none"/>
        </w:rPr>
        <w:t>要求</w:t>
      </w:r>
      <w:r>
        <w:rPr>
          <w:i w:val="0"/>
          <w:iCs w:val="0"/>
          <w:highlight w:val="none"/>
        </w:rPr>
        <w:tab/>
      </w:r>
      <w:r>
        <w:rPr>
          <w:i w:val="0"/>
          <w:iCs w:val="0"/>
          <w:highlight w:val="none"/>
        </w:rPr>
        <w:fldChar w:fldCharType="begin"/>
      </w:r>
      <w:r>
        <w:rPr>
          <w:i w:val="0"/>
          <w:iCs w:val="0"/>
          <w:highlight w:val="none"/>
        </w:rPr>
        <w:instrText xml:space="preserve"> PAGEREF _Toc15599 \h </w:instrText>
      </w:r>
      <w:r>
        <w:rPr>
          <w:i w:val="0"/>
          <w:iCs w:val="0"/>
          <w:highlight w:val="none"/>
        </w:rPr>
        <w:fldChar w:fldCharType="separate"/>
      </w:r>
      <w:r>
        <w:rPr>
          <w:i w:val="0"/>
          <w:iCs w:val="0"/>
          <w:highlight w:val="none"/>
        </w:rPr>
        <w:t>136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_Toc2290 </w:instrText>
      </w:r>
      <w:r>
        <w:rPr>
          <w:rFonts w:hint="eastAsia" w:ascii="宋体" w:hAnsi="宋体" w:eastAsia="宋体" w:cs="宋体"/>
          <w:bCs/>
          <w:i w:val="0"/>
          <w:iCs w:val="0"/>
          <w:szCs w:val="20"/>
          <w:highlight w:val="none"/>
          <w:lang w:val="zh-CN"/>
        </w:rPr>
        <w:fldChar w:fldCharType="separate"/>
      </w:r>
      <w:r>
        <w:rPr>
          <w:rFonts w:hint="eastAsia" w:ascii="Microsoft JhengHei" w:hAnsi="Microsoft JhengHei" w:cs="Microsoft JhengHei"/>
          <w:bCs/>
          <w:i w:val="0"/>
          <w:iCs w:val="0"/>
          <w:kern w:val="0"/>
          <w:szCs w:val="32"/>
          <w:highlight w:val="none"/>
          <w:lang w:eastAsia="zh-CN"/>
        </w:rPr>
        <w:t>供货</w:t>
      </w:r>
      <w:r>
        <w:rPr>
          <w:rFonts w:ascii="Microsoft JhengHei" w:hAnsi="Microsoft JhengHei" w:eastAsia="Microsoft JhengHei" w:cs="Microsoft JhengHei"/>
          <w:bCs/>
          <w:i w:val="0"/>
          <w:iCs w:val="0"/>
          <w:kern w:val="0"/>
          <w:szCs w:val="32"/>
          <w:highlight w:val="none"/>
        </w:rPr>
        <w:t>要求</w:t>
      </w:r>
      <w:r>
        <w:rPr>
          <w:i w:val="0"/>
          <w:iCs w:val="0"/>
          <w:highlight w:val="none"/>
        </w:rPr>
        <w:tab/>
      </w:r>
      <w:r>
        <w:rPr>
          <w:i w:val="0"/>
          <w:iCs w:val="0"/>
          <w:highlight w:val="none"/>
        </w:rPr>
        <w:fldChar w:fldCharType="begin"/>
      </w:r>
      <w:r>
        <w:rPr>
          <w:i w:val="0"/>
          <w:iCs w:val="0"/>
          <w:highlight w:val="none"/>
        </w:rPr>
        <w:instrText xml:space="preserve"> PAGEREF _Toc2290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_Toc26227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一、项目概况及总体要求</w:t>
      </w:r>
      <w:r>
        <w:rPr>
          <w:i w:val="0"/>
          <w:iCs w:val="0"/>
          <w:highlight w:val="none"/>
        </w:rPr>
        <w:tab/>
      </w:r>
      <w:r>
        <w:rPr>
          <w:i w:val="0"/>
          <w:iCs w:val="0"/>
          <w:highlight w:val="none"/>
        </w:rPr>
        <w:fldChar w:fldCharType="begin"/>
      </w:r>
      <w:r>
        <w:rPr>
          <w:i w:val="0"/>
          <w:iCs w:val="0"/>
          <w:highlight w:val="none"/>
        </w:rPr>
        <w:instrText xml:space="preserve"> PAGEREF _Toc26227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_Toc3362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二、设备</w:t>
      </w:r>
      <w:r>
        <w:rPr>
          <w:rFonts w:hint="eastAsia"/>
          <w:bCs/>
          <w:i w:val="0"/>
          <w:iCs w:val="0"/>
          <w:szCs w:val="28"/>
          <w:highlight w:val="none"/>
          <w:lang w:eastAsia="zh-CN"/>
        </w:rPr>
        <w:t>（</w:t>
      </w:r>
      <w:r>
        <w:rPr>
          <w:rFonts w:hint="eastAsia"/>
          <w:bCs/>
          <w:i w:val="0"/>
          <w:iCs w:val="0"/>
          <w:szCs w:val="28"/>
          <w:highlight w:val="none"/>
          <w:lang w:val="en-US" w:eastAsia="zh-CN"/>
        </w:rPr>
        <w:t>材料</w:t>
      </w:r>
      <w:r>
        <w:rPr>
          <w:rFonts w:hint="eastAsia"/>
          <w:bCs/>
          <w:i w:val="0"/>
          <w:iCs w:val="0"/>
          <w:szCs w:val="28"/>
          <w:highlight w:val="none"/>
          <w:lang w:eastAsia="zh-CN"/>
        </w:rPr>
        <w:t>）</w:t>
      </w:r>
      <w:r>
        <w:rPr>
          <w:rFonts w:hint="eastAsia"/>
          <w:bCs/>
          <w:i w:val="0"/>
          <w:iCs w:val="0"/>
          <w:szCs w:val="28"/>
          <w:highlight w:val="none"/>
        </w:rPr>
        <w:t>需求一览表</w:t>
      </w:r>
      <w:r>
        <w:rPr>
          <w:i w:val="0"/>
          <w:iCs w:val="0"/>
          <w:highlight w:val="none"/>
        </w:rPr>
        <w:tab/>
      </w:r>
      <w:r>
        <w:rPr>
          <w:i w:val="0"/>
          <w:iCs w:val="0"/>
          <w:highlight w:val="none"/>
        </w:rPr>
        <w:fldChar w:fldCharType="begin"/>
      </w:r>
      <w:r>
        <w:rPr>
          <w:i w:val="0"/>
          <w:iCs w:val="0"/>
          <w:highlight w:val="none"/>
        </w:rPr>
        <w:instrText xml:space="preserve"> PAGEREF _Toc3362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_Toc5526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三、技术性能指标</w:t>
      </w:r>
      <w:r>
        <w:rPr>
          <w:rFonts w:hint="eastAsia"/>
          <w:bCs/>
          <w:i w:val="0"/>
          <w:iCs w:val="0"/>
          <w:szCs w:val="28"/>
          <w:highlight w:val="none"/>
          <w:lang w:eastAsia="zh-CN"/>
        </w:rPr>
        <w:t>（</w:t>
      </w:r>
      <w:r>
        <w:rPr>
          <w:rFonts w:hint="eastAsia"/>
          <w:bCs/>
          <w:i w:val="0"/>
          <w:iCs w:val="0"/>
          <w:szCs w:val="28"/>
          <w:highlight w:val="none"/>
          <w:lang w:val="en-US" w:eastAsia="zh-CN"/>
        </w:rPr>
        <w:t>质量标准</w:t>
      </w:r>
      <w:r>
        <w:rPr>
          <w:rFonts w:hint="eastAsia"/>
          <w:bCs/>
          <w:i w:val="0"/>
          <w:iCs w:val="0"/>
          <w:szCs w:val="28"/>
          <w:highlight w:val="none"/>
          <w:lang w:eastAsia="zh-CN"/>
        </w:rPr>
        <w:t>）</w:t>
      </w:r>
      <w:r>
        <w:rPr>
          <w:i w:val="0"/>
          <w:iCs w:val="0"/>
          <w:highlight w:val="none"/>
        </w:rPr>
        <w:tab/>
      </w:r>
      <w:r>
        <w:rPr>
          <w:i w:val="0"/>
          <w:iCs w:val="0"/>
          <w:highlight w:val="none"/>
        </w:rPr>
        <w:fldChar w:fldCharType="begin"/>
      </w:r>
      <w:r>
        <w:rPr>
          <w:i w:val="0"/>
          <w:iCs w:val="0"/>
          <w:highlight w:val="none"/>
        </w:rPr>
        <w:instrText xml:space="preserve"> PAGEREF _Toc5526 \h </w:instrText>
      </w:r>
      <w:r>
        <w:rPr>
          <w:i w:val="0"/>
          <w:iCs w:val="0"/>
          <w:highlight w:val="none"/>
        </w:rPr>
        <w:fldChar w:fldCharType="separate"/>
      </w:r>
      <w:r>
        <w:rPr>
          <w:i w:val="0"/>
          <w:iCs w:val="0"/>
          <w:highlight w:val="none"/>
        </w:rPr>
        <w:t>137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_Toc29967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四、检验考核要求</w:t>
      </w:r>
      <w:r>
        <w:rPr>
          <w:i w:val="0"/>
          <w:iCs w:val="0"/>
          <w:highlight w:val="none"/>
        </w:rPr>
        <w:tab/>
      </w:r>
      <w:r>
        <w:rPr>
          <w:i w:val="0"/>
          <w:iCs w:val="0"/>
          <w:highlight w:val="none"/>
        </w:rPr>
        <w:fldChar w:fldCharType="begin"/>
      </w:r>
      <w:r>
        <w:rPr>
          <w:i w:val="0"/>
          <w:iCs w:val="0"/>
          <w:highlight w:val="none"/>
        </w:rPr>
        <w:instrText xml:space="preserve"> PAGEREF _Toc29967 \h </w:instrText>
      </w:r>
      <w:r>
        <w:rPr>
          <w:i w:val="0"/>
          <w:iCs w:val="0"/>
          <w:highlight w:val="none"/>
        </w:rPr>
        <w:fldChar w:fldCharType="separate"/>
      </w:r>
      <w:r>
        <w:rPr>
          <w:i w:val="0"/>
          <w:iCs w:val="0"/>
          <w:highlight w:val="none"/>
        </w:rPr>
        <w:t>138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_Toc8025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五、技术服务和质保期服务要求</w:t>
      </w:r>
      <w:r>
        <w:rPr>
          <w:i w:val="0"/>
          <w:iCs w:val="0"/>
          <w:highlight w:val="none"/>
        </w:rPr>
        <w:tab/>
      </w:r>
      <w:r>
        <w:rPr>
          <w:i w:val="0"/>
          <w:iCs w:val="0"/>
          <w:highlight w:val="none"/>
        </w:rPr>
        <w:fldChar w:fldCharType="begin"/>
      </w:r>
      <w:r>
        <w:rPr>
          <w:i w:val="0"/>
          <w:iCs w:val="0"/>
          <w:highlight w:val="none"/>
        </w:rPr>
        <w:instrText xml:space="preserve"> PAGEREF _Toc8025 \h </w:instrText>
      </w:r>
      <w:r>
        <w:rPr>
          <w:i w:val="0"/>
          <w:iCs w:val="0"/>
          <w:highlight w:val="none"/>
        </w:rPr>
        <w:fldChar w:fldCharType="separate"/>
      </w:r>
      <w:r>
        <w:rPr>
          <w:i w:val="0"/>
          <w:iCs w:val="0"/>
          <w:highlight w:val="none"/>
        </w:rPr>
        <w:t>138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_Toc27847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zCs w:val="52"/>
          <w:highlight w:val="none"/>
        </w:rPr>
        <w:t>第 三 卷</w:t>
      </w:r>
      <w:r>
        <w:rPr>
          <w:i w:val="0"/>
          <w:iCs w:val="0"/>
          <w:highlight w:val="none"/>
        </w:rPr>
        <w:tab/>
      </w:r>
      <w:r>
        <w:rPr>
          <w:i w:val="0"/>
          <w:iCs w:val="0"/>
          <w:highlight w:val="none"/>
        </w:rPr>
        <w:fldChar w:fldCharType="begin"/>
      </w:r>
      <w:r>
        <w:rPr>
          <w:i w:val="0"/>
          <w:iCs w:val="0"/>
          <w:highlight w:val="none"/>
        </w:rPr>
        <w:instrText xml:space="preserve"> PAGEREF _Toc27847 \h </w:instrText>
      </w:r>
      <w:r>
        <w:rPr>
          <w:i w:val="0"/>
          <w:iCs w:val="0"/>
          <w:highlight w:val="none"/>
        </w:rPr>
        <w:fldChar w:fldCharType="separate"/>
      </w:r>
      <w:r>
        <w:rPr>
          <w:i w:val="0"/>
          <w:iCs w:val="0"/>
          <w:highlight w:val="none"/>
        </w:rPr>
        <w:t>139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0"/>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_Toc27723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第六章  投标文件格式</w:t>
      </w:r>
      <w:r>
        <w:rPr>
          <w:i w:val="0"/>
          <w:iCs w:val="0"/>
          <w:highlight w:val="none"/>
        </w:rPr>
        <w:tab/>
      </w:r>
      <w:r>
        <w:rPr>
          <w:i w:val="0"/>
          <w:iCs w:val="0"/>
          <w:highlight w:val="none"/>
        </w:rPr>
        <w:fldChar w:fldCharType="begin"/>
      </w:r>
      <w:r>
        <w:rPr>
          <w:i w:val="0"/>
          <w:iCs w:val="0"/>
          <w:highlight w:val="none"/>
        </w:rPr>
        <w:instrText xml:space="preserve"> PAGEREF _Toc27723 \h </w:instrText>
      </w:r>
      <w:r>
        <w:rPr>
          <w:i w:val="0"/>
          <w:iCs w:val="0"/>
          <w:highlight w:val="none"/>
        </w:rPr>
        <w:fldChar w:fldCharType="separate"/>
      </w:r>
      <w:r>
        <w:rPr>
          <w:i w:val="0"/>
          <w:iCs w:val="0"/>
          <w:highlight w:val="none"/>
        </w:rPr>
        <w:t>140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_Toc4165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一、投标函部分</w:t>
      </w:r>
      <w:r>
        <w:rPr>
          <w:i w:val="0"/>
          <w:iCs w:val="0"/>
          <w:highlight w:val="none"/>
        </w:rPr>
        <w:tab/>
      </w:r>
      <w:r>
        <w:rPr>
          <w:i w:val="0"/>
          <w:iCs w:val="0"/>
          <w:highlight w:val="none"/>
        </w:rPr>
        <w:fldChar w:fldCharType="begin"/>
      </w:r>
      <w:r>
        <w:rPr>
          <w:i w:val="0"/>
          <w:iCs w:val="0"/>
          <w:highlight w:val="none"/>
        </w:rPr>
        <w:instrText xml:space="preserve"> PAGEREF _Toc4165 \h </w:instrText>
      </w:r>
      <w:r>
        <w:rPr>
          <w:i w:val="0"/>
          <w:iCs w:val="0"/>
          <w:highlight w:val="none"/>
        </w:rPr>
        <w:fldChar w:fldCharType="separate"/>
      </w:r>
      <w:r>
        <w:rPr>
          <w:i w:val="0"/>
          <w:iCs w:val="0"/>
          <w:highlight w:val="none"/>
        </w:rPr>
        <w:t>142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_Toc28404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（一）投标函</w:t>
      </w:r>
      <w:r>
        <w:rPr>
          <w:i w:val="0"/>
          <w:iCs w:val="0"/>
          <w:highlight w:val="none"/>
        </w:rPr>
        <w:tab/>
      </w:r>
      <w:r>
        <w:rPr>
          <w:i w:val="0"/>
          <w:iCs w:val="0"/>
          <w:highlight w:val="none"/>
        </w:rPr>
        <w:fldChar w:fldCharType="begin"/>
      </w:r>
      <w:r>
        <w:rPr>
          <w:i w:val="0"/>
          <w:iCs w:val="0"/>
          <w:highlight w:val="none"/>
        </w:rPr>
        <w:instrText xml:space="preserve"> PAGEREF _Toc28404 \h </w:instrText>
      </w:r>
      <w:r>
        <w:rPr>
          <w:i w:val="0"/>
          <w:iCs w:val="0"/>
          <w:highlight w:val="none"/>
        </w:rPr>
        <w:fldChar w:fldCharType="separate"/>
      </w:r>
      <w:r>
        <w:rPr>
          <w:i w:val="0"/>
          <w:iCs w:val="0"/>
          <w:highlight w:val="none"/>
        </w:rPr>
        <w:t>145</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_Toc7299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（二）</w:t>
      </w:r>
      <w:r>
        <w:rPr>
          <w:rFonts w:hint="eastAsia" w:ascii="宋体" w:hAnsi="宋体"/>
          <w:bCs w:val="0"/>
          <w:i w:val="0"/>
          <w:iCs w:val="0"/>
          <w:szCs w:val="20"/>
          <w:highlight w:val="none"/>
          <w:lang w:eastAsia="zh-CN"/>
        </w:rPr>
        <w:t>分项报价表</w:t>
      </w:r>
      <w:r>
        <w:rPr>
          <w:i w:val="0"/>
          <w:iCs w:val="0"/>
          <w:highlight w:val="none"/>
        </w:rPr>
        <w:tab/>
      </w:r>
      <w:r>
        <w:rPr>
          <w:i w:val="0"/>
          <w:iCs w:val="0"/>
          <w:highlight w:val="none"/>
        </w:rPr>
        <w:fldChar w:fldCharType="begin"/>
      </w:r>
      <w:r>
        <w:rPr>
          <w:i w:val="0"/>
          <w:iCs w:val="0"/>
          <w:highlight w:val="none"/>
        </w:rPr>
        <w:instrText xml:space="preserve"> PAGEREF _Toc7299 \h </w:instrText>
      </w:r>
      <w:r>
        <w:rPr>
          <w:i w:val="0"/>
          <w:iCs w:val="0"/>
          <w:highlight w:val="none"/>
        </w:rPr>
        <w:fldChar w:fldCharType="separate"/>
      </w:r>
      <w:r>
        <w:rPr>
          <w:i w:val="0"/>
          <w:iCs w:val="0"/>
          <w:highlight w:val="none"/>
        </w:rPr>
        <w:t>146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_Toc31408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（三）</w:t>
      </w:r>
      <w:r>
        <w:rPr>
          <w:rFonts w:hint="eastAsia" w:ascii="宋体" w:hAnsi="宋体"/>
          <w:bCs w:val="0"/>
          <w:i w:val="0"/>
          <w:iCs w:val="0"/>
          <w:szCs w:val="30"/>
          <w:highlight w:val="none"/>
        </w:rPr>
        <w:t>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_Toc31408 \h </w:instrText>
      </w:r>
      <w:r>
        <w:rPr>
          <w:i w:val="0"/>
          <w:iCs w:val="0"/>
          <w:highlight w:val="none"/>
        </w:rPr>
        <w:fldChar w:fldCharType="separate"/>
      </w:r>
      <w:r>
        <w:rPr>
          <w:i w:val="0"/>
          <w:iCs w:val="0"/>
          <w:highlight w:val="none"/>
        </w:rPr>
        <w:t>148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_Toc8335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20"/>
          <w:highlight w:val="none"/>
        </w:rPr>
        <w:t>（</w:t>
      </w:r>
      <w:r>
        <w:rPr>
          <w:rFonts w:hint="eastAsia" w:ascii="宋体" w:hAnsi="宋体"/>
          <w:i w:val="0"/>
          <w:iCs w:val="0"/>
          <w:szCs w:val="20"/>
          <w:highlight w:val="none"/>
        </w:rPr>
        <w:t>四</w:t>
      </w:r>
      <w:r>
        <w:rPr>
          <w:rFonts w:ascii="宋体" w:hAnsi="宋体"/>
          <w:i w:val="0"/>
          <w:iCs w:val="0"/>
          <w:szCs w:val="20"/>
          <w:highlight w:val="none"/>
        </w:rPr>
        <w:t>）</w:t>
      </w:r>
      <w:r>
        <w:rPr>
          <w:rFonts w:hint="eastAsia" w:ascii="宋体" w:hAnsi="宋体"/>
          <w:i w:val="0"/>
          <w:iCs w:val="0"/>
          <w:szCs w:val="20"/>
          <w:highlight w:val="none"/>
        </w:rPr>
        <w:t>低价风险担保提交承诺书（如有）</w:t>
      </w:r>
      <w:r>
        <w:rPr>
          <w:i w:val="0"/>
          <w:iCs w:val="0"/>
          <w:highlight w:val="none"/>
        </w:rPr>
        <w:tab/>
      </w:r>
      <w:r>
        <w:rPr>
          <w:i w:val="0"/>
          <w:iCs w:val="0"/>
          <w:highlight w:val="none"/>
        </w:rPr>
        <w:fldChar w:fldCharType="begin"/>
      </w:r>
      <w:r>
        <w:rPr>
          <w:i w:val="0"/>
          <w:iCs w:val="0"/>
          <w:highlight w:val="none"/>
        </w:rPr>
        <w:instrText xml:space="preserve"> PAGEREF _Toc8335 \h </w:instrText>
      </w:r>
      <w:r>
        <w:rPr>
          <w:i w:val="0"/>
          <w:iCs w:val="0"/>
          <w:highlight w:val="none"/>
        </w:rPr>
        <w:fldChar w:fldCharType="separate"/>
      </w:r>
      <w:r>
        <w:rPr>
          <w:i w:val="0"/>
          <w:iCs w:val="0"/>
          <w:highlight w:val="none"/>
        </w:rPr>
        <w:t>150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_Toc20205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二、商务部分</w:t>
      </w:r>
      <w:r>
        <w:rPr>
          <w:i w:val="0"/>
          <w:iCs w:val="0"/>
          <w:highlight w:val="none"/>
        </w:rPr>
        <w:tab/>
      </w:r>
      <w:r>
        <w:rPr>
          <w:i w:val="0"/>
          <w:iCs w:val="0"/>
          <w:highlight w:val="none"/>
        </w:rPr>
        <w:fldChar w:fldCharType="begin"/>
      </w:r>
      <w:r>
        <w:rPr>
          <w:i w:val="0"/>
          <w:iCs w:val="0"/>
          <w:highlight w:val="none"/>
        </w:rPr>
        <w:instrText xml:space="preserve"> PAGEREF _Toc20205 \h </w:instrText>
      </w:r>
      <w:r>
        <w:rPr>
          <w:i w:val="0"/>
          <w:iCs w:val="0"/>
          <w:highlight w:val="none"/>
        </w:rPr>
        <w:fldChar w:fldCharType="separate"/>
      </w:r>
      <w:r>
        <w:rPr>
          <w:i w:val="0"/>
          <w:iCs w:val="0"/>
          <w:highlight w:val="none"/>
        </w:rPr>
        <w:t>151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三、技术部分</w:t>
      </w:r>
      <w:r>
        <w:rPr>
          <w:i w:val="0"/>
          <w:iCs w:val="0"/>
          <w:highlight w:val="none"/>
        </w:rPr>
        <w:tab/>
      </w:r>
      <w:r>
        <w:rPr>
          <w:i w:val="0"/>
          <w:iCs w:val="0"/>
          <w:highlight w:val="none"/>
        </w:rPr>
        <w:fldChar w:fldCharType="begin"/>
      </w:r>
      <w:r>
        <w:rPr>
          <w:i w:val="0"/>
          <w:iCs w:val="0"/>
          <w:highlight w:val="none"/>
        </w:rPr>
        <w:instrText xml:space="preserve"> PAGEREF _Toc80 \h </w:instrText>
      </w:r>
      <w:r>
        <w:rPr>
          <w:i w:val="0"/>
          <w:iCs w:val="0"/>
          <w:highlight w:val="none"/>
        </w:rPr>
        <w:fldChar w:fldCharType="separate"/>
      </w:r>
      <w:r>
        <w:rPr>
          <w:i w:val="0"/>
          <w:iCs w:val="0"/>
          <w:highlight w:val="none"/>
        </w:rPr>
        <w:t>157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12"/>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_Toc8549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四、资格审查部分</w:t>
      </w:r>
      <w:r>
        <w:rPr>
          <w:i w:val="0"/>
          <w:iCs w:val="0"/>
          <w:highlight w:val="none"/>
        </w:rPr>
        <w:tab/>
      </w:r>
      <w:r>
        <w:rPr>
          <w:i w:val="0"/>
          <w:iCs w:val="0"/>
          <w:highlight w:val="none"/>
        </w:rPr>
        <w:fldChar w:fldCharType="begin"/>
      </w:r>
      <w:r>
        <w:rPr>
          <w:i w:val="0"/>
          <w:iCs w:val="0"/>
          <w:highlight w:val="none"/>
        </w:rPr>
        <w:instrText xml:space="preserve"> PAGEREF _Toc8549 \h </w:instrText>
      </w:r>
      <w:r>
        <w:rPr>
          <w:i w:val="0"/>
          <w:iCs w:val="0"/>
          <w:highlight w:val="none"/>
        </w:rPr>
        <w:fldChar w:fldCharType="separate"/>
      </w:r>
      <w:r>
        <w:rPr>
          <w:i w:val="0"/>
          <w:iCs w:val="0"/>
          <w:highlight w:val="none"/>
        </w:rPr>
        <w:t>159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_Toc7768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30"/>
          <w:highlight w:val="none"/>
        </w:rPr>
        <w:t>（一）法定代表人身份证明或附有法定代表人身份证明的授权委托书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_Toc7768 \h </w:instrText>
      </w:r>
      <w:r>
        <w:rPr>
          <w:i w:val="0"/>
          <w:iCs w:val="0"/>
          <w:highlight w:val="none"/>
        </w:rPr>
        <w:fldChar w:fldCharType="separate"/>
      </w:r>
      <w:r>
        <w:rPr>
          <w:i w:val="0"/>
          <w:iCs w:val="0"/>
          <w:highlight w:val="none"/>
        </w:rPr>
        <w:t>162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_Toc18199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lang w:eastAsia="zh-CN"/>
        </w:rPr>
        <w:t>（</w:t>
      </w:r>
      <w:r>
        <w:rPr>
          <w:rFonts w:hint="eastAsia" w:ascii="宋体" w:hAnsi="宋体"/>
          <w:bCs w:val="0"/>
          <w:i w:val="0"/>
          <w:iCs w:val="0"/>
          <w:highlight w:val="none"/>
          <w:lang w:val="en-US" w:eastAsia="zh-CN"/>
        </w:rPr>
        <w:t>二</w:t>
      </w:r>
      <w:r>
        <w:rPr>
          <w:rFonts w:hint="eastAsia" w:ascii="宋体" w:hAnsi="宋体"/>
          <w:bCs w:val="0"/>
          <w:i w:val="0"/>
          <w:iCs w:val="0"/>
          <w:highlight w:val="none"/>
          <w:lang w:eastAsia="zh-CN"/>
        </w:rPr>
        <w:t>）</w:t>
      </w:r>
      <w:r>
        <w:rPr>
          <w:rFonts w:hint="eastAsia" w:ascii="宋体" w:hAnsi="宋体"/>
          <w:bCs w:val="0"/>
          <w:i w:val="0"/>
          <w:iCs w:val="0"/>
          <w:snapToGrid w:val="0"/>
          <w:highlight w:val="none"/>
          <w:lang w:val="en-US" w:eastAsia="zh-CN"/>
        </w:rPr>
        <w:t>制造商资格声明</w:t>
      </w:r>
      <w:r>
        <w:rPr>
          <w:rFonts w:hint="eastAsia" w:ascii="宋体" w:hAnsi="宋体"/>
          <w:bCs w:val="0"/>
          <w:i w:val="0"/>
          <w:iCs w:val="0"/>
          <w:szCs w:val="21"/>
          <w:highlight w:val="none"/>
          <w:lang w:eastAsia="zh-CN"/>
        </w:rPr>
        <w:t>（</w:t>
      </w:r>
      <w:r>
        <w:rPr>
          <w:rFonts w:hint="eastAsia" w:ascii="宋体" w:hAnsi="宋体"/>
          <w:bCs w:val="0"/>
          <w:i w:val="0"/>
          <w:iCs w:val="0"/>
          <w:szCs w:val="21"/>
          <w:highlight w:val="none"/>
          <w:lang w:val="en-US" w:eastAsia="zh-CN"/>
        </w:rPr>
        <w:t>制造</w:t>
      </w:r>
      <w:r>
        <w:rPr>
          <w:rFonts w:hint="eastAsia" w:ascii="宋体" w:hAnsi="宋体"/>
          <w:bCs w:val="0"/>
          <w:i w:val="0"/>
          <w:iCs w:val="0"/>
          <w:szCs w:val="21"/>
          <w:highlight w:val="none"/>
          <w:lang w:eastAsia="zh-CN"/>
        </w:rPr>
        <w:t>商投标时提供）</w:t>
      </w:r>
      <w:r>
        <w:rPr>
          <w:rFonts w:hint="eastAsia" w:ascii="宋体" w:hAnsi="宋体"/>
          <w:bCs w:val="0"/>
          <w:i w:val="0"/>
          <w:iCs w:val="0"/>
          <w:snapToGrid w:val="0"/>
          <w:highlight w:val="none"/>
          <w:lang w:val="en-US" w:eastAsia="zh-CN"/>
        </w:rPr>
        <w:t>或</w:t>
      </w:r>
      <w:r>
        <w:rPr>
          <w:rFonts w:hint="eastAsia" w:ascii="宋体" w:hAnsi="宋体"/>
          <w:bCs w:val="0"/>
          <w:i w:val="0"/>
          <w:iCs w:val="0"/>
          <w:highlight w:val="none"/>
        </w:rPr>
        <w:t>制造商授权书</w:t>
      </w:r>
      <w:r>
        <w:rPr>
          <w:rFonts w:hint="eastAsia" w:ascii="宋体" w:hAnsi="宋体"/>
          <w:bCs w:val="0"/>
          <w:i w:val="0"/>
          <w:iCs w:val="0"/>
          <w:highlight w:val="none"/>
          <w:lang w:eastAsia="zh-CN"/>
        </w:rPr>
        <w:t>（代理商投标时提供）</w:t>
      </w:r>
      <w:r>
        <w:rPr>
          <w:i w:val="0"/>
          <w:iCs w:val="0"/>
          <w:highlight w:val="none"/>
        </w:rPr>
        <w:tab/>
      </w:r>
      <w:r>
        <w:rPr>
          <w:i w:val="0"/>
          <w:iCs w:val="0"/>
          <w:highlight w:val="none"/>
        </w:rPr>
        <w:fldChar w:fldCharType="begin"/>
      </w:r>
      <w:r>
        <w:rPr>
          <w:i w:val="0"/>
          <w:iCs w:val="0"/>
          <w:highlight w:val="none"/>
        </w:rPr>
        <w:instrText xml:space="preserve"> PAGEREF _Toc18199 \h </w:instrText>
      </w:r>
      <w:r>
        <w:rPr>
          <w:i w:val="0"/>
          <w:iCs w:val="0"/>
          <w:highlight w:val="none"/>
        </w:rPr>
        <w:fldChar w:fldCharType="separate"/>
      </w:r>
      <w:r>
        <w:rPr>
          <w:i w:val="0"/>
          <w:iCs w:val="0"/>
          <w:highlight w:val="none"/>
        </w:rPr>
        <w:t>164</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_Toc28032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三</w:t>
      </w:r>
      <w:r>
        <w:rPr>
          <w:rFonts w:hint="eastAsia" w:ascii="宋体" w:hAnsi="宋体"/>
          <w:bCs w:val="0"/>
          <w:i w:val="0"/>
          <w:iCs w:val="0"/>
          <w:highlight w:val="none"/>
        </w:rPr>
        <w:t>）联合体协议书（如有）</w:t>
      </w:r>
      <w:r>
        <w:rPr>
          <w:i w:val="0"/>
          <w:iCs w:val="0"/>
          <w:highlight w:val="none"/>
        </w:rPr>
        <w:tab/>
      </w:r>
      <w:r>
        <w:rPr>
          <w:i w:val="0"/>
          <w:iCs w:val="0"/>
          <w:highlight w:val="none"/>
        </w:rPr>
        <w:fldChar w:fldCharType="begin"/>
      </w:r>
      <w:r>
        <w:rPr>
          <w:i w:val="0"/>
          <w:iCs w:val="0"/>
          <w:highlight w:val="none"/>
        </w:rPr>
        <w:instrText xml:space="preserve"> PAGEREF _Toc28032 \h </w:instrText>
      </w:r>
      <w:r>
        <w:rPr>
          <w:i w:val="0"/>
          <w:iCs w:val="0"/>
          <w:highlight w:val="none"/>
        </w:rPr>
        <w:fldChar w:fldCharType="separate"/>
      </w:r>
      <w:r>
        <w:rPr>
          <w:i w:val="0"/>
          <w:iCs w:val="0"/>
          <w:highlight w:val="none"/>
        </w:rPr>
        <w:t>166</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_Toc23048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四</w:t>
      </w:r>
      <w:r>
        <w:rPr>
          <w:rFonts w:hint="eastAsia" w:ascii="宋体" w:hAnsi="宋体"/>
          <w:bCs w:val="0"/>
          <w:i w:val="0"/>
          <w:iCs w:val="0"/>
          <w:highlight w:val="none"/>
        </w:rPr>
        <w:t>）投标人基本情况表</w:t>
      </w:r>
      <w:r>
        <w:rPr>
          <w:i w:val="0"/>
          <w:iCs w:val="0"/>
          <w:highlight w:val="none"/>
        </w:rPr>
        <w:tab/>
      </w:r>
      <w:r>
        <w:rPr>
          <w:i w:val="0"/>
          <w:iCs w:val="0"/>
          <w:highlight w:val="none"/>
        </w:rPr>
        <w:fldChar w:fldCharType="begin"/>
      </w:r>
      <w:r>
        <w:rPr>
          <w:i w:val="0"/>
          <w:iCs w:val="0"/>
          <w:highlight w:val="none"/>
        </w:rPr>
        <w:instrText xml:space="preserve"> PAGEREF _Toc23048 \h </w:instrText>
      </w:r>
      <w:r>
        <w:rPr>
          <w:i w:val="0"/>
          <w:iCs w:val="0"/>
          <w:highlight w:val="none"/>
        </w:rPr>
        <w:fldChar w:fldCharType="separate"/>
      </w:r>
      <w:r>
        <w:rPr>
          <w:i w:val="0"/>
          <w:iCs w:val="0"/>
          <w:highlight w:val="none"/>
        </w:rPr>
        <w:t>168</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_Toc28698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五</w:t>
      </w:r>
      <w:r>
        <w:rPr>
          <w:rFonts w:hint="eastAsia" w:ascii="宋体" w:hAnsi="宋体"/>
          <w:bCs w:val="0"/>
          <w:i w:val="0"/>
          <w:iCs w:val="0"/>
          <w:highlight w:val="none"/>
        </w:rPr>
        <w:t>）</w:t>
      </w:r>
      <w:r>
        <w:rPr>
          <w:rFonts w:hint="eastAsia" w:ascii="宋体" w:hAnsi="宋体"/>
          <w:bCs w:val="0"/>
          <w:i w:val="0"/>
          <w:iCs w:val="0"/>
          <w:snapToGrid w:val="0"/>
          <w:highlight w:val="none"/>
        </w:rPr>
        <w:t>近年财务状况表（如有）</w:t>
      </w:r>
      <w:r>
        <w:rPr>
          <w:i w:val="0"/>
          <w:iCs w:val="0"/>
          <w:highlight w:val="none"/>
        </w:rPr>
        <w:tab/>
      </w:r>
      <w:r>
        <w:rPr>
          <w:i w:val="0"/>
          <w:iCs w:val="0"/>
          <w:highlight w:val="none"/>
        </w:rPr>
        <w:fldChar w:fldCharType="begin"/>
      </w:r>
      <w:r>
        <w:rPr>
          <w:i w:val="0"/>
          <w:iCs w:val="0"/>
          <w:highlight w:val="none"/>
        </w:rPr>
        <w:instrText xml:space="preserve"> PAGEREF _Toc28698 \h </w:instrText>
      </w:r>
      <w:r>
        <w:rPr>
          <w:i w:val="0"/>
          <w:iCs w:val="0"/>
          <w:highlight w:val="none"/>
        </w:rPr>
        <w:fldChar w:fldCharType="separate"/>
      </w:r>
      <w:r>
        <w:rPr>
          <w:i w:val="0"/>
          <w:iCs w:val="0"/>
          <w:highlight w:val="none"/>
        </w:rPr>
        <w:t>169</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_Toc27157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六</w:t>
      </w:r>
      <w:r>
        <w:rPr>
          <w:rFonts w:hint="eastAsia" w:ascii="宋体" w:hAnsi="宋体"/>
          <w:bCs w:val="0"/>
          <w:i w:val="0"/>
          <w:iCs w:val="0"/>
          <w:highlight w:val="none"/>
        </w:rPr>
        <w:t>）</w:t>
      </w:r>
      <w:r>
        <w:rPr>
          <w:rFonts w:hint="eastAsia" w:ascii="宋体" w:hAnsi="宋体"/>
          <w:bCs w:val="0"/>
          <w:i w:val="0"/>
          <w:iCs w:val="0"/>
          <w:snapToGrid w:val="0"/>
          <w:highlight w:val="none"/>
        </w:rPr>
        <w:t>类似项目情况表（如有）</w:t>
      </w:r>
      <w:r>
        <w:rPr>
          <w:i w:val="0"/>
          <w:iCs w:val="0"/>
          <w:highlight w:val="none"/>
        </w:rPr>
        <w:tab/>
      </w:r>
      <w:r>
        <w:rPr>
          <w:i w:val="0"/>
          <w:iCs w:val="0"/>
          <w:highlight w:val="none"/>
        </w:rPr>
        <w:fldChar w:fldCharType="begin"/>
      </w:r>
      <w:r>
        <w:rPr>
          <w:i w:val="0"/>
          <w:iCs w:val="0"/>
          <w:highlight w:val="none"/>
        </w:rPr>
        <w:instrText xml:space="preserve"> PAGEREF _Toc27157 \h </w:instrText>
      </w:r>
      <w:r>
        <w:rPr>
          <w:i w:val="0"/>
          <w:iCs w:val="0"/>
          <w:highlight w:val="none"/>
        </w:rPr>
        <w:fldChar w:fldCharType="separate"/>
      </w:r>
      <w:r>
        <w:rPr>
          <w:i w:val="0"/>
          <w:iCs w:val="0"/>
          <w:highlight w:val="none"/>
        </w:rPr>
        <w:t>170</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_Toc6655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w:t>
      </w:r>
      <w:r>
        <w:rPr>
          <w:rFonts w:hint="eastAsia" w:ascii="宋体" w:hAnsi="宋体"/>
          <w:i w:val="0"/>
          <w:iCs w:val="0"/>
          <w:highlight w:val="none"/>
          <w:lang w:val="en-US" w:eastAsia="zh-CN"/>
        </w:rPr>
        <w:t>七</w:t>
      </w:r>
      <w:r>
        <w:rPr>
          <w:rFonts w:ascii="宋体" w:hAnsi="宋体"/>
          <w:i w:val="0"/>
          <w:iCs w:val="0"/>
          <w:highlight w:val="none"/>
        </w:rPr>
        <w:t>）</w:t>
      </w:r>
      <w:r>
        <w:rPr>
          <w:rFonts w:hint="eastAsia" w:ascii="宋体" w:hAnsi="宋体"/>
          <w:i w:val="0"/>
          <w:iCs w:val="0"/>
          <w:highlight w:val="none"/>
        </w:rPr>
        <w:t>承诺</w:t>
      </w:r>
      <w:r>
        <w:rPr>
          <w:i w:val="0"/>
          <w:iCs w:val="0"/>
          <w:highlight w:val="none"/>
        </w:rPr>
        <w:tab/>
      </w:r>
      <w:r>
        <w:rPr>
          <w:i w:val="0"/>
          <w:iCs w:val="0"/>
          <w:highlight w:val="none"/>
        </w:rPr>
        <w:fldChar w:fldCharType="begin"/>
      </w:r>
      <w:r>
        <w:rPr>
          <w:i w:val="0"/>
          <w:iCs w:val="0"/>
          <w:highlight w:val="none"/>
        </w:rPr>
        <w:instrText xml:space="preserve"> PAGEREF _Toc6655 \h </w:instrText>
      </w:r>
      <w:r>
        <w:rPr>
          <w:i w:val="0"/>
          <w:iCs w:val="0"/>
          <w:highlight w:val="none"/>
        </w:rPr>
        <w:fldChar w:fldCharType="separate"/>
      </w:r>
      <w:r>
        <w:rPr>
          <w:i w:val="0"/>
          <w:iCs w:val="0"/>
          <w:highlight w:val="none"/>
        </w:rPr>
        <w:t>171</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_Toc31075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val="en-US" w:eastAsia="zh-CN"/>
        </w:rPr>
        <w:t>八</w:t>
      </w:r>
      <w:r>
        <w:rPr>
          <w:rFonts w:hint="eastAsia" w:ascii="宋体" w:hAnsi="宋体"/>
          <w:i w:val="0"/>
          <w:iCs w:val="0"/>
          <w:highlight w:val="none"/>
        </w:rPr>
        <w:t>）其他资料</w:t>
      </w:r>
      <w:r>
        <w:rPr>
          <w:i w:val="0"/>
          <w:iCs w:val="0"/>
          <w:highlight w:val="none"/>
        </w:rPr>
        <w:tab/>
      </w:r>
      <w:r>
        <w:rPr>
          <w:i w:val="0"/>
          <w:iCs w:val="0"/>
          <w:highlight w:val="none"/>
        </w:rPr>
        <w:fldChar w:fldCharType="begin"/>
      </w:r>
      <w:r>
        <w:rPr>
          <w:i w:val="0"/>
          <w:iCs w:val="0"/>
          <w:highlight w:val="none"/>
        </w:rPr>
        <w:instrText xml:space="preserve"> PAGEREF _Toc31075 \h </w:instrText>
      </w:r>
      <w:r>
        <w:rPr>
          <w:i w:val="0"/>
          <w:iCs w:val="0"/>
          <w:highlight w:val="none"/>
        </w:rPr>
        <w:fldChar w:fldCharType="separate"/>
      </w:r>
      <w:r>
        <w:rPr>
          <w:i w:val="0"/>
          <w:iCs w:val="0"/>
          <w:highlight w:val="none"/>
        </w:rPr>
        <w:t>172</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pStyle w:val="7"/>
        <w:tabs>
          <w:tab w:val="right" w:leader="dot" w:pos="9469"/>
        </w:tabs>
        <w:rPr>
          <w:i w:val="0"/>
          <w:iCs w:val="0"/>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Times New Roman"/>
          <w:bCs/>
          <w:i w:val="0"/>
          <w:iCs w:val="0"/>
          <w:kern w:val="2"/>
          <w:szCs w:val="32"/>
          <w:highlight w:val="none"/>
          <w:lang w:val="en-US" w:eastAsia="zh-CN" w:bidi="ar-SA"/>
        </w:rPr>
        <w:t>（九）投标人投标信息汇总表</w:t>
      </w:r>
      <w:r>
        <w:rPr>
          <w:i w:val="0"/>
          <w:iCs w:val="0"/>
          <w:highlight w:val="none"/>
        </w:rPr>
        <w:tab/>
      </w:r>
      <w:r>
        <w:rPr>
          <w:i w:val="0"/>
          <w:iCs w:val="0"/>
          <w:highlight w:val="none"/>
        </w:rPr>
        <w:fldChar w:fldCharType="begin"/>
      </w:r>
      <w:r>
        <w:rPr>
          <w:i w:val="0"/>
          <w:iCs w:val="0"/>
          <w:highlight w:val="none"/>
        </w:rPr>
        <w:instrText xml:space="preserve"> PAGEREF _Toc29636 \h </w:instrText>
      </w:r>
      <w:r>
        <w:rPr>
          <w:i w:val="0"/>
          <w:iCs w:val="0"/>
          <w:highlight w:val="none"/>
        </w:rPr>
        <w:fldChar w:fldCharType="separate"/>
      </w:r>
      <w:r>
        <w:rPr>
          <w:i w:val="0"/>
          <w:iCs w:val="0"/>
          <w:highlight w:val="none"/>
        </w:rPr>
        <w:t>177</w:t>
      </w:r>
      <w:r>
        <w:rPr>
          <w:i w:val="0"/>
          <w:iCs w:val="0"/>
          <w:highlight w:val="none"/>
        </w:rPr>
        <w:fldChar w:fldCharType="end"/>
      </w:r>
      <w:r>
        <w:rPr>
          <w:rFonts w:hint="eastAsia" w:ascii="宋体" w:hAnsi="宋体" w:eastAsia="宋体" w:cs="宋体"/>
          <w:bCs/>
          <w:i w:val="0"/>
          <w:iCs w:val="0"/>
          <w:color w:val="auto"/>
          <w:szCs w:val="20"/>
          <w:highlight w:val="none"/>
          <w:lang w:val="zh-CN"/>
        </w:rPr>
        <w:fldChar w:fldCharType="end"/>
      </w:r>
    </w:p>
    <w:p>
      <w:pPr>
        <w:rPr>
          <w:rFonts w:ascii="宋体" w:hAnsi="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ascii="宋体" w:hAnsi="宋体"/>
          <w:color w:val="auto"/>
          <w:highlight w:val="none"/>
        </w:rPr>
      </w:pPr>
      <w:bookmarkStart w:id="7" w:name="_Toc430530414"/>
    </w:p>
    <w:p>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8" w:name="_Toc509218690"/>
      <w:bookmarkStart w:id="9" w:name="_Toc22718"/>
      <w:r>
        <w:rPr>
          <w:rFonts w:hint="eastAsia" w:ascii="宋体" w:hAnsi="宋体"/>
          <w:color w:val="auto"/>
          <w:sz w:val="52"/>
          <w:szCs w:val="52"/>
          <w:highlight w:val="none"/>
        </w:rPr>
        <w:t>第 一 卷</w:t>
      </w:r>
      <w:bookmarkEnd w:id="8"/>
      <w:bookmarkEnd w:id="9"/>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0" w:name="_Toc13341"/>
      <w:bookmarkStart w:id="11" w:name="_Toc287620666"/>
      <w:bookmarkStart w:id="12" w:name="_Toc509218691"/>
      <w:bookmarkStart w:id="13" w:name="_Toc277082535"/>
      <w:bookmarkStart w:id="14" w:name="_Toc224103298"/>
      <w:bookmarkStart w:id="15" w:name="_Toc430530415"/>
      <w:bookmarkStart w:id="16" w:name="_Toc287607727"/>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sz w:val="28"/>
          <w:szCs w:val="28"/>
          <w:highlight w:val="none"/>
        </w:rPr>
      </w:pPr>
      <w:r>
        <w:rPr>
          <w:rFonts w:hint="eastAsia" w:ascii="宋体" w:hAnsi="宋体"/>
          <w:snapToGrid w:val="0"/>
          <w:color w:val="auto"/>
          <w:kern w:val="0"/>
          <w:sz w:val="28"/>
          <w:szCs w:val="28"/>
          <w:highlight w:val="none"/>
          <w:u w:val="none"/>
          <w:lang w:eastAsia="zh-CN"/>
        </w:rPr>
        <w:t>重庆高速集团所属路段视频监测优化提升项目摄像机采购（第二次）</w:t>
      </w:r>
      <w:r>
        <w:rPr>
          <w:rFonts w:ascii="宋体" w:hAnsi="宋体"/>
          <w:snapToGrid w:val="0"/>
          <w:color w:val="auto"/>
          <w:w w:val="100"/>
          <w:kern w:val="0"/>
          <w:sz w:val="28"/>
          <w:szCs w:val="28"/>
          <w:highlight w:val="none"/>
          <w:u w:val="none"/>
        </w:rPr>
        <w:t>招标公告</w:t>
      </w:r>
      <w:bookmarkStart w:id="17" w:name="_Toc287620667"/>
      <w:bookmarkStart w:id="18" w:name="_Toc287607728"/>
      <w:bookmarkStart w:id="19" w:name="_Toc224103299"/>
      <w:bookmarkStart w:id="20" w:name="_Toc200359427"/>
      <w:bookmarkStart w:id="21" w:name="_Toc277082536"/>
      <w:bookmarkStart w:id="22" w:name="_Toc430530416"/>
      <w:bookmarkStart w:id="23" w:name="_Toc200359238"/>
      <w:bookmarkStart w:id="24" w:name="_Toc509218692"/>
    </w:p>
    <w:p>
      <w:pPr>
        <w:pStyle w:val="4"/>
        <w:spacing w:before="100" w:after="100" w:line="460" w:lineRule="exact"/>
        <w:rPr>
          <w:rFonts w:ascii="宋体" w:hAnsi="宋体"/>
          <w:snapToGrid w:val="0"/>
          <w:color w:val="auto"/>
          <w:sz w:val="28"/>
          <w:szCs w:val="28"/>
          <w:highlight w:val="none"/>
        </w:rPr>
      </w:pPr>
      <w:bookmarkStart w:id="25" w:name="_Toc7355"/>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pPr>
        <w:keepNext w:val="0"/>
        <w:keepLines w:val="0"/>
        <w:pageBreakBefore w:val="0"/>
        <w:widowControl w:val="0"/>
        <w:tabs>
          <w:tab w:val="left" w:pos="3315"/>
          <w:tab w:val="left" w:pos="3390"/>
          <w:tab w:val="left" w:pos="6120"/>
          <w:tab w:val="left" w:pos="8850"/>
        </w:tabs>
        <w:kinsoku/>
        <w:wordWrap w:val="0"/>
        <w:overflowPunct/>
        <w:topLinePunct w:val="0"/>
        <w:autoSpaceDE w:val="0"/>
        <w:autoSpaceDN w:val="0"/>
        <w:bidi w:val="0"/>
        <w:adjustRightInd w:val="0"/>
        <w:snapToGrid w:val="0"/>
        <w:spacing w:line="460" w:lineRule="exact"/>
        <w:ind w:firstLine="420"/>
        <w:jc w:val="left"/>
        <w:textAlignment w:val="auto"/>
        <w:rPr>
          <w:rFonts w:ascii="宋体" w:hAnsi="宋体"/>
          <w:snapToGrid w:val="0"/>
          <w:color w:val="auto"/>
          <w:kern w:val="0"/>
          <w:position w:val="-2"/>
          <w:szCs w:val="21"/>
          <w:highlight w:val="none"/>
        </w:rPr>
      </w:pPr>
      <w:r>
        <w:rPr>
          <w:rFonts w:hint="eastAsia" w:ascii="宋体" w:hAnsi="宋体"/>
          <w:snapToGrid w:val="0"/>
          <w:color w:val="auto"/>
          <w:kern w:val="0"/>
          <w:szCs w:val="21"/>
          <w:highlight w:val="none"/>
          <w:lang w:val="en-US" w:eastAsia="zh-CN"/>
        </w:rPr>
        <w:t>重庆高速集团所属路段视频监测优化提升项目已由</w:t>
      </w:r>
      <w:r>
        <w:rPr>
          <w:rFonts w:hint="eastAsia" w:ascii="宋体" w:hAnsi="宋体"/>
          <w:snapToGrid w:val="0"/>
          <w:color w:val="auto"/>
          <w:kern w:val="0"/>
          <w:szCs w:val="21"/>
          <w:highlight w:val="none"/>
          <w:u w:val="none"/>
          <w:lang w:val="en-US" w:eastAsia="zh-CN"/>
        </w:rPr>
        <w:t>重庆高速公路集团有限公司</w:t>
      </w:r>
      <w:r>
        <w:rPr>
          <w:rFonts w:hint="eastAsia" w:ascii="宋体" w:hAnsi="宋体"/>
          <w:snapToGrid w:val="0"/>
          <w:color w:val="auto"/>
          <w:kern w:val="0"/>
          <w:szCs w:val="21"/>
          <w:highlight w:val="none"/>
          <w:lang w:val="en-US" w:eastAsia="zh-CN"/>
        </w:rPr>
        <w:t>批准建设，并已纳入重庆高速公路集团有限公司各子分公司2024年年度计划，资金已落实。</w:t>
      </w: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none"/>
          <w:lang w:eastAsia="zh-CN"/>
        </w:rPr>
        <w:t>重庆高速公路视频监测优化提升项目</w:t>
      </w:r>
      <w:r>
        <w:rPr>
          <w:rFonts w:hint="eastAsia" w:ascii="宋体" w:hAnsi="宋体"/>
          <w:snapToGrid w:val="0"/>
          <w:color w:val="auto"/>
          <w:kern w:val="0"/>
          <w:szCs w:val="21"/>
          <w:highlight w:val="none"/>
          <w:u w:val="none"/>
          <w:lang w:val="en-US" w:eastAsia="zh-CN"/>
        </w:rPr>
        <w:t>中主要设备</w:t>
      </w:r>
      <w:r>
        <w:rPr>
          <w:rFonts w:hint="eastAsia" w:ascii="宋体" w:hAnsi="宋体"/>
          <w:snapToGrid w:val="0"/>
          <w:color w:val="auto"/>
          <w:kern w:val="0"/>
          <w:szCs w:val="21"/>
          <w:highlight w:val="none"/>
          <w:u w:val="none"/>
          <w:lang w:eastAsia="zh-CN"/>
        </w:rPr>
        <w:t>摄像机采购</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重庆高速公路集团有限公司所辖</w:t>
      </w:r>
      <w:r>
        <w:rPr>
          <w:rFonts w:hint="eastAsia" w:ascii="宋体" w:hAnsi="宋体"/>
          <w:snapToGrid w:val="0"/>
          <w:color w:val="auto"/>
          <w:kern w:val="0"/>
          <w:szCs w:val="21"/>
          <w:highlight w:val="none"/>
          <w:u w:val="single"/>
          <w:lang w:val="en-US" w:eastAsia="zh-CN"/>
        </w:rPr>
        <w:t>12家全资及</w:t>
      </w:r>
      <w:r>
        <w:rPr>
          <w:rFonts w:hint="eastAsia" w:ascii="宋体" w:hAnsi="宋体"/>
          <w:snapToGrid w:val="0"/>
          <w:color w:val="auto"/>
          <w:kern w:val="0"/>
          <w:szCs w:val="21"/>
          <w:highlight w:val="none"/>
          <w:u w:val="single"/>
        </w:rPr>
        <w:t>控股公司</w:t>
      </w:r>
      <w:r>
        <w:rPr>
          <w:rFonts w:hint="eastAsia" w:ascii="宋体" w:hAnsi="宋体"/>
          <w:b/>
          <w:bCs/>
          <w:snapToGrid w:val="0"/>
          <w:color w:val="auto"/>
          <w:kern w:val="0"/>
          <w:szCs w:val="21"/>
          <w:highlight w:val="none"/>
          <w:u w:val="single"/>
          <w:lang w:eastAsia="zh-CN"/>
        </w:rPr>
        <w:t>（</w:t>
      </w:r>
      <w:r>
        <w:rPr>
          <w:rFonts w:hint="eastAsia" w:ascii="宋体" w:hAnsi="宋体"/>
          <w:b/>
          <w:bCs/>
          <w:snapToGrid w:val="0"/>
          <w:color w:val="auto"/>
          <w:kern w:val="0"/>
          <w:szCs w:val="21"/>
          <w:highlight w:val="none"/>
          <w:u w:val="single"/>
          <w:lang w:val="en-US" w:eastAsia="zh-CN"/>
        </w:rPr>
        <w:t>详见表一</w:t>
      </w:r>
      <w:r>
        <w:rPr>
          <w:rFonts w:hint="eastAsia" w:ascii="宋体" w:hAnsi="宋体"/>
          <w:b/>
          <w:bCs/>
          <w:snapToGrid w:val="0"/>
          <w:color w:val="auto"/>
          <w:kern w:val="0"/>
          <w:szCs w:val="21"/>
          <w:highlight w:val="none"/>
          <w:u w:val="single"/>
          <w:lang w:eastAsia="zh-CN"/>
        </w:rPr>
        <w:t>）</w:t>
      </w:r>
      <w:r>
        <w:rPr>
          <w:rFonts w:hint="eastAsia" w:ascii="新宋体" w:hAnsi="新宋体" w:eastAsia="新宋体" w:cs="宋体"/>
          <w:b/>
          <w:bCs/>
          <w:color w:val="000000"/>
          <w:kern w:val="0"/>
          <w:szCs w:val="21"/>
          <w:highlight w:val="none"/>
          <w:lang w:eastAsia="zh-CN"/>
        </w:rPr>
        <w:t>，</w:t>
      </w:r>
      <w:r>
        <w:rPr>
          <w:rFonts w:hint="eastAsia" w:ascii="宋体" w:hAnsi="宋体"/>
          <w:snapToGrid w:val="0"/>
          <w:color w:val="auto"/>
          <w:kern w:val="0"/>
          <w:szCs w:val="21"/>
          <w:highlight w:val="none"/>
          <w:lang w:val="en-US" w:eastAsia="zh-CN"/>
        </w:rPr>
        <w:t>招标项目</w:t>
      </w:r>
      <w:r>
        <w:rPr>
          <w:rFonts w:ascii="宋体" w:hAnsi="宋体"/>
          <w:snapToGrid w:val="0"/>
          <w:color w:val="auto"/>
          <w:kern w:val="0"/>
          <w:szCs w:val="21"/>
          <w:highlight w:val="none"/>
        </w:rPr>
        <w:t>资金来自</w:t>
      </w:r>
      <w:r>
        <w:rPr>
          <w:rFonts w:hint="eastAsia" w:ascii="新宋体" w:hAnsi="新宋体" w:eastAsia="新宋体" w:cs="宋体"/>
          <w:b w:val="0"/>
          <w:bCs w:val="0"/>
          <w:color w:val="000000"/>
          <w:kern w:val="0"/>
          <w:szCs w:val="21"/>
          <w:highlight w:val="none"/>
          <w:u w:val="single"/>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val="en-US" w:eastAsia="zh-CN"/>
        </w:rPr>
        <w:t>重庆中渝高速公路有限公司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lang w:eastAsia="zh-CN"/>
        </w:rPr>
        <w:t>重庆高速集团所属路段视频监测优化提升项目摄像机采购（第二次）</w:t>
      </w:r>
      <w:r>
        <w:rPr>
          <w:rFonts w:ascii="宋体" w:hAnsi="宋体"/>
          <w:snapToGrid w:val="0"/>
          <w:color w:val="auto"/>
          <w:kern w:val="0"/>
          <w:position w:val="-2"/>
          <w:szCs w:val="21"/>
          <w:highlight w:val="none"/>
        </w:rPr>
        <w:t>进行公开招标。</w:t>
      </w:r>
    </w:p>
    <w:p>
      <w:pPr>
        <w:spacing w:line="360" w:lineRule="auto"/>
        <w:ind w:firstLine="1476" w:firstLineChars="700"/>
        <w:rPr>
          <w:rFonts w:hint="eastAsia" w:ascii="新宋体" w:hAnsi="新宋体" w:eastAsia="新宋体" w:cs="宋体"/>
          <w:b/>
          <w:bCs/>
          <w:color w:val="000000"/>
          <w:kern w:val="0"/>
          <w:szCs w:val="21"/>
          <w:highlight w:val="none"/>
          <w:lang w:val="en-US" w:eastAsia="zh-CN"/>
        </w:rPr>
      </w:pPr>
    </w:p>
    <w:p>
      <w:pPr>
        <w:pStyle w:val="4"/>
        <w:spacing w:before="100" w:after="100" w:line="460" w:lineRule="exact"/>
        <w:rPr>
          <w:rFonts w:ascii="宋体" w:hAnsi="宋体"/>
          <w:snapToGrid w:val="0"/>
          <w:color w:val="auto"/>
          <w:sz w:val="28"/>
          <w:szCs w:val="28"/>
          <w:highlight w:val="none"/>
        </w:rPr>
      </w:pPr>
      <w:bookmarkStart w:id="26" w:name="_Toc200359239"/>
      <w:bookmarkStart w:id="27" w:name="_Toc287607729"/>
      <w:bookmarkStart w:id="28" w:name="_Toc224103300"/>
      <w:bookmarkStart w:id="29" w:name="_Toc509218693"/>
      <w:bookmarkStart w:id="30" w:name="_Toc200359428"/>
      <w:bookmarkStart w:id="31" w:name="_Toc18588"/>
      <w:bookmarkStart w:id="32" w:name="_Toc277082537"/>
      <w:bookmarkStart w:id="33" w:name="_Toc287620668"/>
      <w:bookmarkStart w:id="34" w:name="_Toc43053041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重庆市内（具体地点合同内约定</w:t>
      </w:r>
      <w:r>
        <w:rPr>
          <w:rFonts w:hint="eastAsia" w:ascii="宋体" w:hAnsi="宋体"/>
          <w:snapToGrid w:val="0"/>
          <w:color w:val="auto"/>
          <w:kern w:val="0"/>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2024年需实施</w:t>
      </w:r>
      <w:r>
        <w:rPr>
          <w:rFonts w:hint="eastAsia" w:ascii="宋体" w:hAnsi="宋体"/>
          <w:snapToGrid w:val="0"/>
          <w:color w:val="auto"/>
          <w:kern w:val="0"/>
          <w:szCs w:val="21"/>
          <w:highlight w:val="none"/>
          <w:u w:val="single"/>
          <w:lang w:eastAsia="zh-CN"/>
        </w:rPr>
        <w:t>视频监测优化提升项目，</w:t>
      </w:r>
      <w:r>
        <w:rPr>
          <w:rFonts w:hint="eastAsia" w:ascii="宋体" w:hAnsi="宋体"/>
          <w:snapToGrid w:val="0"/>
          <w:color w:val="auto"/>
          <w:kern w:val="0"/>
          <w:szCs w:val="21"/>
          <w:highlight w:val="none"/>
          <w:u w:val="single"/>
          <w:lang w:val="en-US" w:eastAsia="zh-CN"/>
        </w:rPr>
        <w:t>涉及路段、收费站、服务区视频监控摄像机升级改造。摄像机应为带云台功能的智能一体化整机，具备1个主摄像机、2个辅摄像机。（详见参数第五章供货要求）</w:t>
      </w:r>
    </w:p>
    <w:tbl>
      <w:tblPr>
        <w:tblStyle w:val="13"/>
        <w:tblpPr w:leftFromText="180" w:rightFromText="180" w:vertAnchor="text" w:horzAnchor="page" w:tblpX="884" w:tblpY="600"/>
        <w:tblOverlap w:val="never"/>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575"/>
        <w:gridCol w:w="3563"/>
        <w:gridCol w:w="2637"/>
        <w:gridCol w:w="1063"/>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类别</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公司全称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sz w:val="18"/>
                <w:szCs w:val="18"/>
                <w:highlight w:val="none"/>
                <w:u w:val="none"/>
                <w:lang w:val="en-US" w:eastAsia="zh-CN"/>
              </w:rPr>
              <w:t>路段</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sz w:val="18"/>
                <w:szCs w:val="18"/>
                <w:highlight w:val="none"/>
                <w:u w:val="none"/>
                <w:lang w:val="en-US" w:eastAsia="zh-CN"/>
              </w:rPr>
              <w:t>数量（套）</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项目业主</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重庆中渝高速公路有限公司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绕城路、江合路、武合路</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宋体"/>
                <w:color w:val="auto"/>
                <w:kern w:val="0"/>
                <w:sz w:val="18"/>
                <w:szCs w:val="18"/>
                <w:highlight w:val="none"/>
                <w:lang w:val="en-US" w:eastAsia="zh-CN"/>
              </w:rPr>
            </w:pPr>
            <w:r>
              <w:rPr>
                <w:rFonts w:hint="eastAsia" w:ascii="新宋体" w:hAnsi="新宋体" w:eastAsia="新宋体" w:cs="宋体"/>
                <w:color w:val="auto"/>
                <w:kern w:val="0"/>
                <w:sz w:val="18"/>
                <w:szCs w:val="18"/>
                <w:highlight w:val="none"/>
                <w:lang w:val="en-US" w:eastAsia="zh-CN"/>
              </w:rPr>
              <w:t>138</w:t>
            </w:r>
          </w:p>
        </w:tc>
        <w:tc>
          <w:tcPr>
            <w:tcW w:w="15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新宋体" w:hAnsi="新宋体" w:eastAsia="新宋体" w:cs="宋体"/>
                <w:color w:val="000000"/>
                <w:kern w:val="0"/>
                <w:sz w:val="18"/>
                <w:szCs w:val="18"/>
                <w:highlight w:val="none"/>
              </w:rPr>
              <w:t>中标后分别与</w:t>
            </w:r>
            <w:r>
              <w:rPr>
                <w:rFonts w:hint="eastAsia" w:ascii="新宋体" w:hAnsi="新宋体" w:eastAsia="新宋体" w:cs="宋体"/>
                <w:color w:val="000000"/>
                <w:kern w:val="0"/>
                <w:sz w:val="18"/>
                <w:szCs w:val="18"/>
                <w:highlight w:val="none"/>
                <w:lang w:val="en-US" w:eastAsia="zh-CN"/>
              </w:rPr>
              <w:t>各项目业主签订合同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重庆高速公路集团有限公司南方营运分公司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界水路、水武路、武黄路、南万路、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綦万路、南涪路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83</w:t>
            </w:r>
          </w:p>
        </w:tc>
        <w:tc>
          <w:tcPr>
            <w:tcW w:w="15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重庆江綦高速公路有限公司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江綦路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28</w:t>
            </w:r>
          </w:p>
        </w:tc>
        <w:tc>
          <w:tcPr>
            <w:tcW w:w="15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重庆通粤高速公路有限公司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南道路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5</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重速公庆高路集团有限公司东南营运分公司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彭武路、彭黔路、黔酉路、酉洪路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117</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6</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重庆高速公路集团有限公司东北营运分公司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奉溪</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奉巫</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云奉</w:t>
            </w:r>
            <w:r>
              <w:rPr>
                <w:rFonts w:hint="eastAsia" w:ascii="宋体" w:hAnsi="宋体" w:cs="宋体"/>
                <w:i w:val="0"/>
                <w:iCs w:val="0"/>
                <w:color w:val="auto"/>
                <w:sz w:val="18"/>
                <w:szCs w:val="18"/>
                <w:highlight w:val="none"/>
                <w:u w:val="none"/>
                <w:lang w:val="en-US" w:eastAsia="zh-CN"/>
              </w:rPr>
              <w:t>路、</w:t>
            </w:r>
            <w:r>
              <w:rPr>
                <w:rFonts w:hint="eastAsia" w:ascii="宋体" w:hAnsi="宋体" w:eastAsia="宋体" w:cs="宋体"/>
                <w:i w:val="0"/>
                <w:iCs w:val="0"/>
                <w:color w:val="auto"/>
                <w:sz w:val="18"/>
                <w:szCs w:val="18"/>
                <w:highlight w:val="none"/>
                <w:u w:val="none"/>
              </w:rPr>
              <w:t>万云</w:t>
            </w:r>
            <w:r>
              <w:rPr>
                <w:rFonts w:hint="eastAsia" w:ascii="宋体" w:hAnsi="宋体" w:cs="宋体"/>
                <w:i w:val="0"/>
                <w:iCs w:val="0"/>
                <w:color w:val="auto"/>
                <w:sz w:val="18"/>
                <w:szCs w:val="18"/>
                <w:highlight w:val="none"/>
                <w:u w:val="none"/>
                <w:lang w:val="en-US" w:eastAsia="zh-CN"/>
              </w:rPr>
              <w:t>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179</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重庆万利万达高速公路有限公司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万利路、万达路、酉沿路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26</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重庆渝东高速公路有限公司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长万路、石忠路、万开路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83</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重庆忠都高速公路有限公司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丰忠路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25</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重庆渝合高速公路有限公司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渝合路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13</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重庆铜永高速公路有限公司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铜永路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34</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12</w:t>
            </w:r>
          </w:p>
        </w:tc>
        <w:tc>
          <w:tcPr>
            <w:tcW w:w="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重庆渝广梁忠高速公路有限公司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渝广路、梁忠路</w:t>
            </w:r>
          </w:p>
        </w:tc>
        <w:tc>
          <w:tcPr>
            <w:tcW w:w="10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59</w:t>
            </w:r>
          </w:p>
        </w:tc>
        <w:tc>
          <w:tcPr>
            <w:tcW w:w="15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总计</w:t>
            </w: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791</w:t>
            </w:r>
          </w:p>
        </w:tc>
        <w:tc>
          <w:tcPr>
            <w:tcW w:w="15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spacing w:line="360" w:lineRule="auto"/>
        <w:jc w:val="center"/>
        <w:rPr>
          <w:rFonts w:hint="eastAsia" w:ascii="新宋体" w:hAnsi="新宋体" w:eastAsia="新宋体" w:cs="宋体"/>
          <w:b/>
          <w:bCs/>
          <w:color w:val="000000"/>
          <w:kern w:val="0"/>
          <w:szCs w:val="21"/>
          <w:highlight w:val="none"/>
          <w:vertAlign w:val="baseline"/>
          <w:lang w:val="en-US" w:eastAsia="zh-CN"/>
        </w:rPr>
      </w:pPr>
      <w:r>
        <w:rPr>
          <w:rFonts w:hint="eastAsia" w:ascii="新宋体" w:hAnsi="新宋体" w:eastAsia="新宋体" w:cs="宋体"/>
          <w:b/>
          <w:bCs/>
          <w:color w:val="000000"/>
          <w:kern w:val="0"/>
          <w:szCs w:val="21"/>
          <w:highlight w:val="none"/>
          <w:lang w:val="en-US" w:eastAsia="zh-CN"/>
        </w:rPr>
        <w:t>表</w:t>
      </w:r>
      <w:r>
        <w:rPr>
          <w:rFonts w:hint="eastAsia" w:ascii="新宋体" w:hAnsi="新宋体" w:eastAsia="新宋体" w:cs="宋体"/>
          <w:b/>
          <w:bCs/>
          <w:color w:val="000000"/>
          <w:kern w:val="0"/>
          <w:szCs w:val="21"/>
          <w:highlight w:val="none"/>
        </w:rPr>
        <w:t>一</w:t>
      </w:r>
      <w:r>
        <w:rPr>
          <w:rFonts w:hint="eastAsia" w:ascii="新宋体" w:hAnsi="新宋体" w:eastAsia="新宋体" w:cs="宋体"/>
          <w:b/>
          <w:bCs/>
          <w:color w:val="000000"/>
          <w:kern w:val="0"/>
          <w:szCs w:val="21"/>
          <w:highlight w:val="none"/>
          <w:lang w:val="en-US" w:eastAsia="zh-CN"/>
        </w:rPr>
        <w:t xml:space="preserve"> </w:t>
      </w:r>
      <w:r>
        <w:rPr>
          <w:rFonts w:hint="eastAsia" w:ascii="新宋体" w:hAnsi="新宋体" w:eastAsia="新宋体" w:cs="宋体"/>
          <w:b/>
          <w:bCs/>
          <w:color w:val="000000"/>
          <w:kern w:val="0"/>
          <w:szCs w:val="21"/>
          <w:highlight w:val="none"/>
          <w:lang w:eastAsia="zh-CN"/>
        </w:rPr>
        <w:t>摄像机采购</w:t>
      </w:r>
      <w:r>
        <w:rPr>
          <w:rFonts w:hint="eastAsia" w:ascii="新宋体" w:hAnsi="新宋体" w:eastAsia="新宋体" w:cs="宋体"/>
          <w:b/>
          <w:bCs/>
          <w:color w:val="000000"/>
          <w:kern w:val="0"/>
          <w:szCs w:val="21"/>
          <w:highlight w:val="none"/>
          <w:lang w:val="en-US" w:eastAsia="zh-CN"/>
        </w:rPr>
        <w:t>项目相关</w:t>
      </w:r>
      <w:r>
        <w:rPr>
          <w:rFonts w:hint="eastAsia" w:ascii="新宋体" w:hAnsi="新宋体" w:eastAsia="新宋体" w:cs="宋体"/>
          <w:b/>
          <w:bCs/>
          <w:color w:val="000000"/>
          <w:kern w:val="0"/>
          <w:szCs w:val="21"/>
          <w:highlight w:val="none"/>
        </w:rPr>
        <w:t>信息</w:t>
      </w:r>
      <w:r>
        <w:rPr>
          <w:rFonts w:hint="eastAsia" w:ascii="新宋体" w:hAnsi="新宋体" w:eastAsia="新宋体" w:cs="宋体"/>
          <w:b/>
          <w:bCs/>
          <w:color w:val="000000"/>
          <w:kern w:val="0"/>
          <w:szCs w:val="21"/>
          <w:highlight w:val="none"/>
          <w:lang w:val="en-US" w:eastAsia="zh-CN"/>
        </w:rPr>
        <w:t>表</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2.3 本次招标项目</w:t>
      </w:r>
      <w:r>
        <w:rPr>
          <w:rFonts w:hint="eastAsia" w:ascii="宋体" w:hAnsi="宋体"/>
          <w:snapToGrid w:val="0"/>
          <w:color w:val="auto"/>
          <w:kern w:val="0"/>
          <w:szCs w:val="21"/>
          <w:highlight w:val="none"/>
          <w:lang w:val="en-US" w:eastAsia="zh-CN"/>
        </w:rPr>
        <w:t>货物采购</w:t>
      </w:r>
      <w:r>
        <w:rPr>
          <w:rFonts w:hint="eastAsia" w:ascii="宋体" w:hAnsi="宋体"/>
          <w:snapToGrid w:val="0"/>
          <w:color w:val="auto"/>
          <w:kern w:val="0"/>
          <w:szCs w:val="21"/>
          <w:highlight w:val="none"/>
        </w:rPr>
        <w:t>估算金额：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823万元</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lang w:val="en-US" w:eastAsia="zh-CN"/>
        </w:rPr>
        <w:t>包括完成摄像机单机设备约791套的</w:t>
      </w:r>
      <w:r>
        <w:rPr>
          <w:rFonts w:hint="eastAsia" w:ascii="宋体" w:hAnsi="宋体" w:cs="宋体"/>
          <w:color w:val="auto"/>
          <w:kern w:val="0"/>
          <w:szCs w:val="21"/>
          <w:highlight w:val="none"/>
          <w:u w:val="single"/>
          <w:lang w:val="en-US" w:eastAsia="zh-CN"/>
        </w:rPr>
        <w:t>生产</w:t>
      </w:r>
      <w:r>
        <w:rPr>
          <w:rFonts w:hint="eastAsia" w:ascii="宋体" w:hAnsi="宋体" w:eastAsia="宋体" w:cs="宋体"/>
          <w:color w:val="auto"/>
          <w:kern w:val="0"/>
          <w:szCs w:val="21"/>
          <w:highlight w:val="none"/>
          <w:u w:val="single"/>
        </w:rPr>
        <w:t>制造</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含</w:t>
      </w:r>
      <w:r>
        <w:rPr>
          <w:rFonts w:hint="eastAsia" w:ascii="宋体" w:hAnsi="宋体" w:cs="宋体"/>
          <w:color w:val="auto"/>
          <w:kern w:val="0"/>
          <w:szCs w:val="21"/>
          <w:highlight w:val="none"/>
          <w:u w:val="single"/>
          <w:lang w:val="en-US" w:eastAsia="zh-CN"/>
        </w:rPr>
        <w:t>配件</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安装</w:t>
      </w:r>
      <w:r>
        <w:rPr>
          <w:rFonts w:hint="eastAsia" w:ascii="宋体" w:hAnsi="宋体" w:eastAsia="宋体" w:cs="宋体"/>
          <w:color w:val="auto"/>
          <w:kern w:val="0"/>
          <w:szCs w:val="21"/>
          <w:highlight w:val="none"/>
          <w:u w:val="single"/>
        </w:rPr>
        <w:t>专用工器具</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出厂</w:t>
      </w:r>
      <w:r>
        <w:rPr>
          <w:rFonts w:hint="eastAsia" w:ascii="宋体" w:hAnsi="宋体" w:eastAsia="宋体" w:cs="宋体"/>
          <w:color w:val="auto"/>
          <w:kern w:val="0"/>
          <w:szCs w:val="21"/>
          <w:highlight w:val="none"/>
          <w:u w:val="single"/>
        </w:rPr>
        <w:t>检验</w:t>
      </w:r>
      <w:r>
        <w:rPr>
          <w:rFonts w:hint="eastAsia" w:ascii="宋体" w:hAnsi="宋体" w:cs="宋体"/>
          <w:color w:val="auto"/>
          <w:kern w:val="0"/>
          <w:szCs w:val="21"/>
          <w:highlight w:val="none"/>
          <w:u w:val="single"/>
          <w:lang w:val="en-US" w:eastAsia="zh-CN"/>
        </w:rPr>
        <w:t>合格证</w:t>
      </w:r>
      <w:r>
        <w:rPr>
          <w:rFonts w:hint="eastAsia" w:ascii="宋体" w:hAnsi="宋体" w:eastAsia="宋体" w:cs="宋体"/>
          <w:color w:val="auto"/>
          <w:kern w:val="0"/>
          <w:szCs w:val="21"/>
          <w:highlight w:val="none"/>
          <w:u w:val="single"/>
        </w:rPr>
        <w:t>等）、</w:t>
      </w:r>
      <w:r>
        <w:rPr>
          <w:rFonts w:hint="eastAsia" w:ascii="宋体" w:hAnsi="宋体" w:cs="宋体"/>
          <w:color w:val="auto"/>
          <w:kern w:val="0"/>
          <w:szCs w:val="21"/>
          <w:highlight w:val="none"/>
          <w:u w:val="single"/>
          <w:lang w:val="en-US" w:eastAsia="zh-CN"/>
        </w:rPr>
        <w:t>供货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r>
        <w:rPr>
          <w:rFonts w:hint="eastAsia" w:ascii="宋体" w:hAnsi="宋体"/>
          <w:color w:val="auto"/>
          <w:highlight w:val="none"/>
        </w:rPr>
        <w:t>（</w:t>
      </w:r>
      <w:r>
        <w:rPr>
          <w:rFonts w:hint="eastAsia" w:ascii="宋体" w:hAnsi="宋体"/>
          <w:color w:val="auto"/>
          <w:highlight w:val="none"/>
          <w:lang w:val="en-US" w:eastAsia="zh-CN"/>
        </w:rPr>
        <w:t>技术规格详</w:t>
      </w:r>
      <w:r>
        <w:rPr>
          <w:rFonts w:hint="eastAsia" w:ascii="宋体" w:hAnsi="宋体"/>
          <w:color w:val="auto"/>
          <w:highlight w:val="none"/>
        </w:rPr>
        <w:t>见招标文件第五章</w:t>
      </w:r>
      <w:r>
        <w:rPr>
          <w:rFonts w:hint="eastAsia" w:ascii="宋体" w:hAnsi="宋体"/>
          <w:color w:val="auto"/>
          <w:highlight w:val="none"/>
          <w:lang w:val="en-US" w:eastAsia="zh-CN"/>
        </w:rPr>
        <w:t>供货</w:t>
      </w:r>
      <w:r>
        <w:rPr>
          <w:rFonts w:hint="eastAsia" w:ascii="宋体" w:hAnsi="宋体"/>
          <w:color w:val="auto"/>
          <w:highlight w:val="none"/>
        </w:rPr>
        <w:t>要求）。</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val="en-US" w:eastAsia="zh-CN"/>
        </w:rPr>
        <w:t>2.5 交货地点：</w:t>
      </w:r>
      <w:r>
        <w:rPr>
          <w:rFonts w:hint="eastAsia" w:ascii="宋体" w:hAnsi="宋体"/>
          <w:snapToGrid w:val="0"/>
          <w:color w:val="auto"/>
          <w:kern w:val="0"/>
          <w:szCs w:val="21"/>
          <w:highlight w:val="none"/>
          <w:u w:val="single"/>
        </w:rPr>
        <w:t xml:space="preserve"> 重庆市内（具体地点</w:t>
      </w:r>
      <w:r>
        <w:rPr>
          <w:rFonts w:hint="eastAsia" w:ascii="宋体" w:hAnsi="宋体"/>
          <w:snapToGrid w:val="0"/>
          <w:color w:val="auto"/>
          <w:kern w:val="0"/>
          <w:szCs w:val="21"/>
          <w:highlight w:val="none"/>
          <w:u w:val="single"/>
          <w:lang w:val="en-US" w:eastAsia="zh-CN"/>
        </w:rPr>
        <w:t>以招标人通知为准</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bookmarkStart w:id="35" w:name="_Hlk64626254"/>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color w:val="auto"/>
          <w:highlight w:val="none"/>
          <w:u w:val="single"/>
          <w:lang w:val="en-US" w:eastAsia="zh-CN"/>
        </w:rPr>
        <w:t>合同签订之日起</w:t>
      </w:r>
      <w:r>
        <w:rPr>
          <w:rFonts w:hint="eastAsia" w:ascii="宋体" w:hAnsi="宋体" w:cs="宋体"/>
          <w:color w:val="auto"/>
          <w:highlight w:val="none"/>
          <w:u w:val="single"/>
        </w:rPr>
        <w:t>不超过</w:t>
      </w:r>
      <w:r>
        <w:rPr>
          <w:rFonts w:hint="eastAsia" w:ascii="宋体" w:hAnsi="宋体" w:cs="宋体"/>
          <w:color w:val="auto"/>
          <w:highlight w:val="none"/>
          <w:u w:val="single"/>
          <w:lang w:val="en-US" w:eastAsia="zh-CN"/>
        </w:rPr>
        <w:t>30</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各批次以项目业主通知为准</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计划开始交货日期： 2024年11月20日</w:t>
      </w:r>
      <w:bookmarkEnd w:id="35"/>
    </w:p>
    <w:p>
      <w:pPr>
        <w:tabs>
          <w:tab w:val="left" w:pos="3840"/>
          <w:tab w:val="left" w:pos="5300"/>
        </w:tabs>
        <w:autoSpaceDE w:val="0"/>
        <w:autoSpaceDN w:val="0"/>
        <w:adjustRightInd w:val="0"/>
        <w:snapToGrid w:val="0"/>
        <w:spacing w:line="460" w:lineRule="exact"/>
        <w:ind w:firstLine="420" w:firstLineChars="200"/>
        <w:jc w:val="left"/>
        <w:rPr>
          <w:rFonts w:hint="default"/>
          <w:highlight w:val="none"/>
          <w:lang w:val="en-US" w:eastAsia="zh-CN"/>
        </w:rPr>
      </w:pPr>
      <w:r>
        <w:rPr>
          <w:rFonts w:hint="eastAsia" w:ascii="宋体" w:hAnsi="宋体"/>
          <w:snapToGrid w:val="0"/>
          <w:color w:val="auto"/>
          <w:kern w:val="0"/>
          <w:szCs w:val="21"/>
          <w:highlight w:val="none"/>
          <w:u w:val="single"/>
          <w:lang w:val="en-US" w:eastAsia="zh-CN"/>
        </w:rPr>
        <w:t>2.7 标段划分：本项目为一个标段。</w:t>
      </w:r>
    </w:p>
    <w:p>
      <w:pPr>
        <w:pStyle w:val="4"/>
        <w:spacing w:before="100" w:after="100" w:line="460" w:lineRule="exact"/>
        <w:rPr>
          <w:rFonts w:ascii="宋体" w:hAnsi="宋体"/>
          <w:snapToGrid w:val="0"/>
          <w:color w:val="auto"/>
          <w:sz w:val="28"/>
          <w:szCs w:val="28"/>
          <w:highlight w:val="none"/>
        </w:rPr>
      </w:pPr>
      <w:bookmarkStart w:id="36" w:name="_Toc430530418"/>
      <w:bookmarkStart w:id="37" w:name="_Toc20988"/>
      <w:bookmarkStart w:id="38" w:name="_Toc287607730"/>
      <w:bookmarkStart w:id="39" w:name="_Toc277082538"/>
      <w:bookmarkStart w:id="40" w:name="_Toc224103301"/>
      <w:bookmarkStart w:id="41" w:name="_Toc200359429"/>
      <w:bookmarkStart w:id="42" w:name="_Toc287620669"/>
      <w:bookmarkStart w:id="43" w:name="_Toc200359240"/>
      <w:bookmarkStart w:id="44"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6"/>
      <w:bookmarkEnd w:id="37"/>
      <w:bookmarkEnd w:id="38"/>
      <w:bookmarkEnd w:id="39"/>
      <w:bookmarkEnd w:id="40"/>
      <w:bookmarkEnd w:id="41"/>
      <w:bookmarkEnd w:id="42"/>
      <w:bookmarkEnd w:id="43"/>
      <w:bookmarkEnd w:id="44"/>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3.1  本次招标</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p>
    <w:p>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lang w:val="en-US" w:eastAsia="zh-CN"/>
        </w:rPr>
        <w:t xml:space="preserve">3.1.1 </w:t>
      </w:r>
      <w:r>
        <w:rPr>
          <w:rFonts w:hint="eastAsia" w:ascii="宋体" w:hAnsi="宋体"/>
          <w:b w:val="0"/>
          <w:bCs w:val="0"/>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eastAsia="宋体"/>
          <w:b w:val="0"/>
          <w:bCs w:val="0"/>
          <w:snapToGrid w:val="0"/>
          <w:color w:val="auto"/>
          <w:kern w:val="0"/>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lang w:val="en-US" w:eastAsia="zh-CN"/>
        </w:rPr>
        <w:t xml:space="preserve">3.1.2 </w:t>
      </w:r>
      <w:r>
        <w:rPr>
          <w:rFonts w:hint="eastAsia" w:ascii="宋体" w:hAnsi="宋体"/>
          <w:b w:val="0"/>
          <w:bCs w:val="0"/>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eastAsia"/>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代理商所投产品具备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投标人业绩</w:t>
      </w:r>
      <w:r>
        <w:rPr>
          <w:rFonts w:hint="eastAsia" w:ascii="宋体" w:hAnsi="宋体"/>
          <w:snapToGrid w:val="0"/>
          <w:color w:val="auto"/>
          <w:kern w:val="0"/>
          <w:szCs w:val="21"/>
          <w:highlight w:val="none"/>
          <w:lang w:val="en-US" w:eastAsia="zh-CN"/>
        </w:rPr>
        <w:t>要求：投标人自2021年1月1日起至投标截止日止（以合同签订时间为准）满足下列要求的监控摄像机供货业绩。</w:t>
      </w:r>
    </w:p>
    <w:p>
      <w:pPr>
        <w:autoSpaceDE w:val="0"/>
        <w:autoSpaceDN w:val="0"/>
        <w:adjustRightInd w:val="0"/>
        <w:snapToGrid w:val="0"/>
        <w:spacing w:line="400" w:lineRule="exact"/>
        <w:ind w:firstLine="420" w:firstLineChars="200"/>
        <w:rPr>
          <w:rFonts w:hint="eastAsia" w:ascii="宋体" w:hAnsi="宋体"/>
          <w:iCs/>
          <w:color w:val="auto"/>
          <w:szCs w:val="21"/>
          <w:highlight w:val="none"/>
          <w:u w:val="none"/>
        </w:rPr>
      </w:pPr>
      <w:r>
        <w:rPr>
          <w:rFonts w:hint="eastAsia" w:ascii="宋体" w:hAnsi="宋体"/>
          <w:snapToGrid w:val="0"/>
          <w:color w:val="auto"/>
          <w:kern w:val="0"/>
          <w:szCs w:val="21"/>
          <w:highlight w:val="none"/>
          <w:lang w:val="en-US" w:eastAsia="zh-CN"/>
        </w:rPr>
        <w:t>累计合同金额不低于600万元（其中单个合同金额不低于30万元）或累计合同供货量不低于600套（其中单个合同供货量不低于30套）（注：所提供的业绩可能包含监控摄像机和其他货物类别，则业绩只认定监控摄像机部分的合同金额或供货量，并须达到所设金额或供货量要求</w:t>
      </w:r>
      <w:r>
        <w:rPr>
          <w:rFonts w:hint="eastAsia" w:ascii="宋体" w:hAnsi="宋体"/>
          <w:iCs/>
          <w:color w:val="auto"/>
          <w:szCs w:val="21"/>
          <w:highlight w:val="none"/>
          <w:u w:val="none"/>
        </w:rPr>
        <w:t>）</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3.3 </w:t>
      </w:r>
      <w:r>
        <w:rPr>
          <w:rFonts w:hint="eastAsia" w:ascii="宋体" w:hAnsi="宋体"/>
          <w:snapToGrid w:val="0"/>
          <w:color w:val="auto"/>
          <w:kern w:val="0"/>
          <w:szCs w:val="21"/>
          <w:highlight w:val="none"/>
        </w:rPr>
        <w:t>投标人还应在资金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人员</w:t>
      </w:r>
      <w:r>
        <w:rPr>
          <w:rFonts w:hint="eastAsia" w:ascii="宋体" w:hAnsi="宋体"/>
          <w:snapToGrid w:val="0"/>
          <w:color w:val="auto"/>
          <w:kern w:val="0"/>
          <w:szCs w:val="21"/>
          <w:highlight w:val="none"/>
        </w:rPr>
        <w:t>等方面具有相应的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能力，详见招标文件第二章投标人须知前附表第1.4.1项内容。</w:t>
      </w:r>
    </w:p>
    <w:p>
      <w:pPr>
        <w:pageBreakBefore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45" w:name="_Toc200359241"/>
      <w:bookmarkStart w:id="46" w:name="_Toc224103302"/>
      <w:bookmarkStart w:id="47" w:name="_Toc430530419"/>
      <w:bookmarkStart w:id="48" w:name="_Toc200359430"/>
      <w:bookmarkStart w:id="49" w:name="_Toc277082539"/>
      <w:bookmarkStart w:id="50" w:name="_Toc287607731"/>
      <w:bookmarkStart w:id="51" w:name="_Toc509218695"/>
      <w:bookmarkStart w:id="52" w:name="_Toc5188"/>
      <w:bookmarkStart w:id="53" w:name="_Toc287620670"/>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5"/>
      <w:bookmarkEnd w:id="46"/>
      <w:bookmarkEnd w:id="47"/>
      <w:bookmarkEnd w:id="48"/>
      <w:bookmarkEnd w:id="49"/>
      <w:bookmarkEnd w:id="50"/>
      <w:bookmarkEnd w:id="51"/>
      <w:bookmarkEnd w:id="52"/>
      <w:bookmarkEnd w:id="53"/>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.1  </w:t>
      </w:r>
      <w:r>
        <w:rPr>
          <w:rFonts w:ascii="宋体" w:hAnsi="宋体"/>
          <w:snapToGrid w:val="0"/>
          <w:color w:val="auto"/>
          <w:kern w:val="0"/>
          <w:szCs w:val="21"/>
          <w:highlight w:val="none"/>
        </w:rPr>
        <w:t>本招标项目采用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重庆市公共资源交易网（https://www.cqggzy.com/，下同）</w:t>
      </w:r>
      <w:r>
        <w:rPr>
          <w:rFonts w:ascii="宋体" w:hAnsi="宋体"/>
          <w:snapToGrid w:val="0"/>
          <w:color w:val="auto"/>
          <w:kern w:val="0"/>
          <w:szCs w:val="21"/>
          <w:highlight w:val="none"/>
        </w:rPr>
        <w:t>下载招标文件资料。参与投标的投标人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.2  投标人可在</w:t>
      </w:r>
      <w:r>
        <w:rPr>
          <w:rFonts w:hint="eastAsia" w:ascii="宋体" w:hAnsi="宋体"/>
          <w:snapToGrid w:val="0"/>
          <w:kern w:val="0"/>
          <w:szCs w:val="21"/>
          <w:highlight w:val="none"/>
        </w:rPr>
        <w:t>附件</w:t>
      </w:r>
      <w:r>
        <w:rPr>
          <w:rFonts w:hint="eastAsia" w:ascii="宋体" w:hAnsi="宋体"/>
          <w:b w:val="0"/>
          <w:bCs w:val="0"/>
          <w:snapToGrid w:val="0"/>
          <w:color w:val="auto"/>
          <w:kern w:val="0"/>
          <w:szCs w:val="21"/>
          <w:highlight w:val="none"/>
          <w:lang w:val="en-US" w:eastAsia="zh-CN"/>
        </w:rPr>
        <w:t>招标公告规定</w:t>
      </w:r>
      <w:r>
        <w:rPr>
          <w:rFonts w:hint="eastAsia" w:ascii="宋体" w:hAnsi="宋体"/>
          <w:snapToGrid w:val="0"/>
          <w:color w:val="auto"/>
          <w:kern w:val="0"/>
          <w:szCs w:val="21"/>
          <w:highlight w:val="none"/>
        </w:rPr>
        <w:t>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本项目招标公告网页下方“我要提问”栏提出疑问。</w:t>
      </w:r>
    </w:p>
    <w:p>
      <w:pPr>
        <w:pageBreakBefore w:val="0"/>
        <w:tabs>
          <w:tab w:val="left" w:pos="2420"/>
          <w:tab w:val="left" w:pos="5445"/>
        </w:tabs>
        <w:kinsoku/>
        <w:wordWrap/>
        <w:overflowPunct/>
        <w:topLinePunct w:val="0"/>
        <w:autoSpaceDE w:val="0"/>
        <w:autoSpaceDN w:val="0"/>
        <w:bidi w:val="0"/>
        <w:adjustRightInd w:val="0"/>
        <w:snapToGrid w:val="0"/>
        <w:spacing w:line="400" w:lineRule="exact"/>
        <w:ind w:firstLine="42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.3  招标人应在</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发布澄清或修改。</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54" w:name="_Toc277082540"/>
      <w:bookmarkStart w:id="55" w:name="_Toc224103303"/>
      <w:bookmarkStart w:id="56" w:name="_Toc430530420"/>
      <w:bookmarkStart w:id="57" w:name="_Toc200359242"/>
      <w:bookmarkStart w:id="58" w:name="_Toc287607732"/>
      <w:bookmarkStart w:id="59" w:name="_Toc200359431"/>
      <w:bookmarkStart w:id="60" w:name="_Toc509218696"/>
      <w:bookmarkStart w:id="61" w:name="_Toc287620671"/>
      <w:bookmarkStart w:id="62" w:name="_Toc25061"/>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4"/>
      <w:bookmarkEnd w:id="55"/>
      <w:bookmarkEnd w:id="56"/>
      <w:bookmarkEnd w:id="57"/>
      <w:bookmarkEnd w:id="58"/>
      <w:bookmarkEnd w:id="59"/>
      <w:bookmarkEnd w:id="60"/>
      <w:bookmarkEnd w:id="61"/>
      <w:bookmarkEnd w:id="62"/>
    </w:p>
    <w:p>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  投标文件递交的截止时间（投标截止时间，下同）</w:t>
      </w:r>
      <w:r>
        <w:rPr>
          <w:rFonts w:hint="eastAsia" w:ascii="宋体" w:hAnsi="宋体"/>
          <w:snapToGrid w:val="0"/>
          <w:color w:val="auto"/>
          <w:kern w:val="0"/>
          <w:szCs w:val="21"/>
          <w:highlight w:val="none"/>
        </w:rPr>
        <w:t>详见</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规定的投标截止</w:t>
      </w:r>
      <w:r>
        <w:rPr>
          <w:rFonts w:ascii="宋体" w:hAnsi="宋体"/>
          <w:snapToGrid w:val="0"/>
          <w:color w:val="auto"/>
          <w:kern w:val="0"/>
          <w:szCs w:val="21"/>
          <w:highlight w:val="none"/>
        </w:rPr>
        <w:t>时间，</w:t>
      </w:r>
      <w:r>
        <w:rPr>
          <w:rFonts w:hint="eastAsia" w:ascii="宋体" w:hAnsi="宋体"/>
          <w:snapToGrid w:val="0"/>
          <w:color w:val="auto"/>
          <w:kern w:val="0"/>
          <w:szCs w:val="21"/>
          <w:highlight w:val="none"/>
        </w:rPr>
        <w:t>投标人应当在投标截止时间前，通过互联网使用CA数字证书登录重庆市电子招投标系统（https://ztb.cqggzy.com/CQTPBidder/memberLogin/，下同），将加密的电子投标文件上传。</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63" w:name="_Toc200359432"/>
      <w:bookmarkStart w:id="64" w:name="_Toc430530421"/>
      <w:bookmarkStart w:id="65" w:name="_Toc224103304"/>
      <w:bookmarkStart w:id="66" w:name="_Toc200359243"/>
      <w:bookmarkStart w:id="67" w:name="_Toc287607733"/>
      <w:bookmarkStart w:id="68" w:name="_Toc287620672"/>
      <w:bookmarkStart w:id="69" w:name="_Toc27786"/>
      <w:bookmarkStart w:id="70" w:name="_Toc509218697"/>
      <w:bookmarkStart w:id="71" w:name="_Toc277082541"/>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3"/>
      <w:bookmarkEnd w:id="64"/>
      <w:bookmarkEnd w:id="65"/>
      <w:bookmarkEnd w:id="66"/>
      <w:bookmarkEnd w:id="67"/>
      <w:bookmarkEnd w:id="68"/>
      <w:bookmarkEnd w:id="69"/>
      <w:bookmarkEnd w:id="70"/>
      <w:bookmarkEnd w:id="71"/>
    </w:p>
    <w:p>
      <w:pPr>
        <w:pageBreakBefore w:val="0"/>
        <w:tabs>
          <w:tab w:val="left" w:pos="4950"/>
        </w:tabs>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color w:val="auto"/>
          <w:highlight w:val="none"/>
        </w:rPr>
        <w:t>重庆市公共资源交易网（www.cqggzy.com）</w:t>
      </w:r>
      <w:r>
        <w:rPr>
          <w:rFonts w:hint="eastAsia" w:ascii="宋体" w:hAnsi="宋体" w:cs="宋体"/>
          <w:szCs w:val="21"/>
          <w:highlight w:val="none"/>
        </w:rPr>
        <w:t>、重庆高速公路集团有限公司官方网</w:t>
      </w:r>
      <w:r>
        <w:rPr>
          <w:rFonts w:hint="eastAsia" w:ascii="宋体" w:hAnsi="宋体" w:eastAsia="宋体" w:cs="宋体"/>
          <w:szCs w:val="21"/>
          <w:highlight w:val="none"/>
        </w:rPr>
        <w:t>站（http://www.cegc.com.cn/）和重庆高速公路集团有限公司招投标管理平台</w:t>
      </w:r>
      <w:r>
        <w:rPr>
          <w:rFonts w:hint="eastAsia" w:ascii="宋体" w:hAnsi="宋体" w:eastAsia="宋体" w:cs="宋体"/>
          <w:szCs w:val="21"/>
          <w:highlight w:val="none"/>
          <w:lang w:val="zh-TW"/>
        </w:rPr>
        <w:t>（http://cqgsbid.cegc.com.cn:7900）</w:t>
      </w:r>
      <w:r>
        <w:rPr>
          <w:rFonts w:ascii="宋体" w:hAnsi="宋体"/>
          <w:snapToGrid w:val="0"/>
          <w:color w:val="auto"/>
          <w:kern w:val="0"/>
          <w:szCs w:val="21"/>
          <w:highlight w:val="none"/>
        </w:rPr>
        <w:t>上发布。</w:t>
      </w:r>
    </w:p>
    <w:p>
      <w:pPr>
        <w:pStyle w:val="4"/>
        <w:pageBreakBefore w:val="0"/>
        <w:kinsoku/>
        <w:wordWrap/>
        <w:overflowPunct/>
        <w:topLinePunct w:val="0"/>
        <w:bidi w:val="0"/>
        <w:spacing w:before="100" w:after="100" w:line="400" w:lineRule="exact"/>
        <w:textAlignment w:val="auto"/>
        <w:rPr>
          <w:rFonts w:ascii="宋体" w:hAnsi="宋体"/>
          <w:snapToGrid w:val="0"/>
          <w:color w:val="auto"/>
          <w:sz w:val="28"/>
          <w:szCs w:val="28"/>
          <w:highlight w:val="none"/>
        </w:rPr>
      </w:pPr>
      <w:bookmarkStart w:id="72" w:name="_Toc224103305"/>
      <w:bookmarkStart w:id="73" w:name="_Toc287620673"/>
      <w:bookmarkStart w:id="74" w:name="_Toc7981"/>
      <w:bookmarkStart w:id="75" w:name="_Toc277082542"/>
      <w:bookmarkStart w:id="76" w:name="_Toc430530422"/>
      <w:bookmarkStart w:id="77" w:name="_Toc287607734"/>
      <w:bookmarkStart w:id="78" w:name="_Toc509218698"/>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2"/>
      <w:bookmarkEnd w:id="73"/>
      <w:bookmarkEnd w:id="74"/>
      <w:bookmarkEnd w:id="75"/>
      <w:bookmarkEnd w:id="76"/>
      <w:bookmarkEnd w:id="77"/>
      <w:bookmarkEnd w:id="78"/>
    </w:p>
    <w:p>
      <w:pPr>
        <w:pageBreakBefore w:val="0"/>
        <w:tabs>
          <w:tab w:val="left" w:pos="5140"/>
          <w:tab w:val="left" w:pos="85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重庆中渝高速公路有限公司</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w:t>
      </w:r>
      <w:r>
        <w:rPr>
          <w:rFonts w:hint="eastAsia" w:ascii="宋体" w:hAnsi="宋体"/>
          <w:snapToGrid w:val="0"/>
          <w:color w:val="auto"/>
          <w:kern w:val="0"/>
          <w:szCs w:val="21"/>
          <w:highlight w:val="none"/>
          <w:u w:val="single"/>
          <w:lang w:val="en-US" w:eastAsia="zh-CN"/>
        </w:rPr>
        <w:t>市投资咨询</w:t>
      </w:r>
      <w:r>
        <w:rPr>
          <w:rFonts w:hint="eastAsia" w:ascii="宋体" w:hAnsi="宋体"/>
          <w:snapToGrid w:val="0"/>
          <w:color w:val="auto"/>
          <w:kern w:val="0"/>
          <w:szCs w:val="21"/>
          <w:highlight w:val="none"/>
          <w:u w:val="single"/>
        </w:rPr>
        <w:t>有限公司</w:t>
      </w:r>
      <w:r>
        <w:rPr>
          <w:rFonts w:ascii="宋体" w:hAnsi="宋体"/>
          <w:snapToGrid w:val="0"/>
          <w:color w:val="auto"/>
          <w:kern w:val="0"/>
          <w:szCs w:val="21"/>
          <w:highlight w:val="none"/>
          <w:u w:val="singl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color w:val="auto"/>
          <w:sz w:val="21"/>
          <w:szCs w:val="21"/>
          <w:highlight w:val="none"/>
          <w:u w:val="single"/>
          <w:lang w:val="en-US" w:eastAsia="zh-CN"/>
        </w:rPr>
        <w:t>重庆市江津区津福镇双福南收费站</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地</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 xml:space="preserve"> 址：</w:t>
      </w:r>
      <w:r>
        <w:rPr>
          <w:rFonts w:hint="eastAsia" w:ascii="宋体" w:hAnsi="宋体"/>
          <w:snapToGrid w:val="0"/>
          <w:color w:val="auto"/>
          <w:kern w:val="0"/>
          <w:position w:val="-3"/>
          <w:szCs w:val="21"/>
          <w:highlight w:val="none"/>
          <w:u w:val="single"/>
        </w:rPr>
        <w:t>重庆市江北区五简路2号重咨大厦A橦</w:t>
      </w:r>
      <w:r>
        <w:rPr>
          <w:rFonts w:hint="eastAsia" w:ascii="宋体" w:hAnsi="宋体"/>
          <w:snapToGrid w:val="0"/>
          <w:color w:val="auto"/>
          <w:kern w:val="0"/>
          <w:position w:val="-3"/>
          <w:szCs w:val="21"/>
          <w:highlight w:val="none"/>
          <w:u w:val="single"/>
          <w:lang w:val="en-US" w:eastAsia="zh-CN"/>
        </w:rPr>
        <w:t>706</w:t>
      </w:r>
      <w:r>
        <w:rPr>
          <w:rFonts w:hint="eastAsia" w:ascii="宋体" w:hAnsi="宋体"/>
          <w:snapToGrid w:val="0"/>
          <w:color w:val="auto"/>
          <w:kern w:val="0"/>
          <w:position w:val="-3"/>
          <w:szCs w:val="21"/>
          <w:highlight w:val="none"/>
          <w:u w:val="single"/>
        </w:rPr>
        <w:t>室</w:t>
      </w:r>
      <w:r>
        <w:rPr>
          <w:rFonts w:ascii="宋体" w:hAnsi="宋体"/>
          <w:snapToGrid w:val="0"/>
          <w:color w:val="auto"/>
          <w:kern w:val="0"/>
          <w:position w:val="-3"/>
          <w:szCs w:val="21"/>
          <w:highlight w:val="none"/>
          <w:u w:val="singl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徐老师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赵老师</w:t>
      </w:r>
      <w:r>
        <w:rPr>
          <w:rFonts w:ascii="宋体" w:hAnsi="宋体"/>
          <w:snapToGrid w:val="0"/>
          <w:color w:val="auto"/>
          <w:kern w:val="0"/>
          <w:szCs w:val="21"/>
          <w:highlight w:val="none"/>
          <w:u w:val="single"/>
        </w:rPr>
        <w:t xml:space="preserve">                               </w:t>
      </w:r>
    </w:p>
    <w:p>
      <w:pPr>
        <w:pStyle w:val="16"/>
        <w:pageBreakBefore w:val="0"/>
        <w:tabs>
          <w:tab w:val="left" w:pos="3840"/>
          <w:tab w:val="left" w:pos="5300"/>
        </w:tabs>
        <w:kinsoku/>
        <w:wordWrap/>
        <w:overflowPunct/>
        <w:topLinePunct w:val="0"/>
        <w:bidi w:val="0"/>
        <w:spacing w:before="0" w:beforeAutospacing="0" w:after="0" w:afterAutospacing="0" w:line="400" w:lineRule="exact"/>
        <w:ind w:firstLine="420"/>
        <w:textAlignment w:val="auto"/>
        <w:rPr>
          <w:rFonts w:hint="default" w:ascii="宋体" w:hAnsi="宋体" w:eastAsia="宋体"/>
          <w:color w:val="auto"/>
          <w:sz w:val="21"/>
          <w:szCs w:val="21"/>
          <w:highlight w:val="none"/>
          <w:lang w:val="en-US" w:eastAsia="zh-CN"/>
        </w:rPr>
      </w:pPr>
      <w:r>
        <w:rPr>
          <w:rFonts w:ascii="宋体" w:hAnsi="宋体" w:eastAsia="宋体" w:cs="Times New Roman"/>
          <w:snapToGrid w:val="0"/>
          <w:color w:val="auto"/>
          <w:kern w:val="0"/>
          <w:sz w:val="21"/>
          <w:szCs w:val="21"/>
          <w:highlight w:val="none"/>
          <w:lang w:val="en-US" w:eastAsia="zh-CN" w:bidi="ar-SA"/>
        </w:rPr>
        <w:t>电    话</w:t>
      </w:r>
      <w:r>
        <w:rPr>
          <w:rFonts w:ascii="宋体" w:hAnsi="宋体"/>
          <w:snapToGrid w:val="0"/>
          <w:color w:val="auto"/>
          <w:kern w:val="0"/>
          <w:szCs w:val="21"/>
          <w:highlight w:val="none"/>
        </w:rPr>
        <w:t>：</w:t>
      </w:r>
      <w:r>
        <w:rPr>
          <w:rFonts w:hint="eastAsia" w:ascii="宋体" w:hAnsi="宋体" w:cs="Times New Roman"/>
          <w:color w:val="auto"/>
          <w:sz w:val="21"/>
          <w:szCs w:val="21"/>
          <w:highlight w:val="none"/>
          <w:u w:val="single"/>
          <w:lang w:val="en-US" w:eastAsia="zh-CN"/>
        </w:rPr>
        <w:t>023-47846406</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eastAsia="宋体" w:cs="Times New Roman"/>
          <w:snapToGrid w:val="0"/>
          <w:color w:val="auto"/>
          <w:kern w:val="0"/>
          <w:sz w:val="21"/>
          <w:szCs w:val="21"/>
          <w:highlight w:val="none"/>
          <w:lang w:val="en-US" w:eastAsia="zh-CN" w:bidi="ar-SA"/>
        </w:rPr>
        <w:t xml:space="preserve">   </w:t>
      </w:r>
      <w:r>
        <w:rPr>
          <w:rFonts w:hint="eastAsia" w:ascii="宋体" w:hAnsi="宋体" w:cs="Times New Roman"/>
          <w:snapToGrid w:val="0"/>
          <w:color w:val="auto"/>
          <w:kern w:val="0"/>
          <w:sz w:val="21"/>
          <w:szCs w:val="21"/>
          <w:highlight w:val="none"/>
          <w:lang w:val="en-US" w:eastAsia="zh-CN" w:bidi="ar-SA"/>
        </w:rPr>
        <w:t xml:space="preserve">      </w:t>
      </w:r>
      <w:r>
        <w:rPr>
          <w:rFonts w:hint="eastAsia" w:ascii="宋体" w:hAnsi="宋体" w:eastAsia="宋体" w:cs="Times New Roman"/>
          <w:snapToGrid w:val="0"/>
          <w:color w:val="auto"/>
          <w:kern w:val="0"/>
          <w:sz w:val="21"/>
          <w:szCs w:val="21"/>
          <w:highlight w:val="none"/>
          <w:lang w:val="en-US" w:eastAsia="zh-CN" w:bidi="ar-SA"/>
        </w:rPr>
        <w:t>电    话</w:t>
      </w:r>
      <w:r>
        <w:rPr>
          <w:rFonts w:ascii="宋体" w:hAnsi="宋体"/>
          <w:snapToGrid w:val="0"/>
          <w:color w:val="auto"/>
          <w:kern w:val="0"/>
          <w:szCs w:val="21"/>
          <w:highlight w:val="none"/>
        </w:rPr>
        <w:t>：</w:t>
      </w:r>
      <w:r>
        <w:rPr>
          <w:rFonts w:hint="eastAsia" w:ascii="宋体" w:hAnsi="宋体"/>
          <w:color w:val="auto"/>
          <w:sz w:val="21"/>
          <w:szCs w:val="21"/>
          <w:highlight w:val="none"/>
          <w:u w:val="single"/>
          <w:lang w:val="en-US" w:eastAsia="zh-CN"/>
        </w:rPr>
        <w:t>023-67790068</w:t>
      </w:r>
    </w:p>
    <w:p>
      <w:pPr>
        <w:pageBreakBefore w:val="0"/>
        <w:kinsoku/>
        <w:wordWrap/>
        <w:overflowPunct/>
        <w:topLinePunct w:val="0"/>
        <w:autoSpaceDE w:val="0"/>
        <w:autoSpaceDN w:val="0"/>
        <w:bidi w:val="0"/>
        <w:adjustRightInd w:val="0"/>
        <w:snapToGrid w:val="0"/>
        <w:spacing w:line="400" w:lineRule="exact"/>
        <w:ind w:firstLine="3906" w:firstLineChars="1860"/>
        <w:jc w:val="right"/>
        <w:textAlignment w:val="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9</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p>
    <w:p>
      <w:pPr>
        <w:pStyle w:val="2"/>
        <w:rPr>
          <w:snapToGrid w:val="0"/>
          <w:color w:val="auto"/>
          <w:highlight w:val="none"/>
        </w:rPr>
      </w:pPr>
      <w:r>
        <w:rPr>
          <w:snapToGrid w:val="0"/>
          <w:color w:val="auto"/>
          <w:highlight w:val="none"/>
        </w:rPr>
        <w:br w:type="page"/>
      </w:r>
    </w:p>
    <w:p>
      <w:pPr>
        <w:pStyle w:val="3"/>
        <w:spacing w:line="360" w:lineRule="auto"/>
        <w:jc w:val="center"/>
        <w:rPr>
          <w:rFonts w:ascii="宋体" w:hAnsi="宋体"/>
          <w:bCs w:val="0"/>
          <w:snapToGrid w:val="0"/>
          <w:color w:val="auto"/>
          <w:kern w:val="0"/>
          <w:highlight w:val="none"/>
        </w:rPr>
      </w:pPr>
      <w:bookmarkStart w:id="79" w:name="_Toc287607744"/>
      <w:bookmarkStart w:id="80" w:name="_Toc12782"/>
      <w:bookmarkStart w:id="81" w:name="_Toc287620683"/>
      <w:bookmarkStart w:id="82" w:name="_Toc430530432"/>
      <w:bookmarkStart w:id="83" w:name="_Toc224103315"/>
      <w:r>
        <w:rPr>
          <w:rFonts w:ascii="宋体" w:hAnsi="宋体"/>
          <w:snapToGrid w:val="0"/>
          <w:color w:val="auto"/>
          <w:kern w:val="0"/>
          <w:highlight w:val="none"/>
        </w:rPr>
        <w:t>第二章  投标人须知</w:t>
      </w:r>
      <w:bookmarkEnd w:id="79"/>
      <w:bookmarkEnd w:id="80"/>
      <w:bookmarkEnd w:id="81"/>
      <w:bookmarkEnd w:id="82"/>
      <w:bookmarkEnd w:id="83"/>
      <w:bookmarkStart w:id="84" w:name="_Toc277082551"/>
      <w:bookmarkStart w:id="85" w:name="_Toc287607745"/>
      <w:bookmarkStart w:id="86" w:name="_Toc224103316"/>
      <w:bookmarkStart w:id="87" w:name="_Toc430530433"/>
      <w:bookmarkStart w:id="88" w:name="_Toc287620684"/>
    </w:p>
    <w:p>
      <w:pPr>
        <w:pStyle w:val="4"/>
        <w:spacing w:before="100" w:after="100" w:line="360" w:lineRule="auto"/>
        <w:rPr>
          <w:rFonts w:ascii="宋体" w:hAnsi="宋体"/>
          <w:color w:val="auto"/>
          <w:highlight w:val="none"/>
        </w:rPr>
      </w:pPr>
      <w:bookmarkStart w:id="89" w:name="_Toc509218708"/>
      <w:bookmarkStart w:id="90" w:name="_Toc12185"/>
      <w:r>
        <w:rPr>
          <w:rFonts w:hint="eastAsia" w:ascii="宋体" w:hAnsi="宋体"/>
          <w:color w:val="auto"/>
          <w:highlight w:val="none"/>
        </w:rPr>
        <w:t>投标人须知前附表</w:t>
      </w:r>
      <w:bookmarkEnd w:id="84"/>
      <w:bookmarkEnd w:id="85"/>
      <w:bookmarkEnd w:id="86"/>
      <w:bookmarkEnd w:id="87"/>
      <w:bookmarkEnd w:id="88"/>
      <w:bookmarkEnd w:id="89"/>
      <w:bookmarkEnd w:id="90"/>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13"/>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5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75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u w:val="single"/>
              </w:rPr>
              <w:t>重庆中渝高速公路有限公司</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sz w:val="21"/>
                <w:szCs w:val="21"/>
                <w:highlight w:val="none"/>
                <w:u w:val="single"/>
                <w:lang w:val="en-US" w:eastAsia="zh-CN"/>
              </w:rPr>
              <w:t>重庆市江津区津福镇双福南收费站</w:t>
            </w:r>
          </w:p>
          <w:p>
            <w:pPr>
              <w:snapToGrid w:val="0"/>
              <w:spacing w:line="400" w:lineRule="exact"/>
              <w:rPr>
                <w:rFonts w:ascii="宋体" w:hAnsi="宋体"/>
                <w:snapToGrid w:val="0"/>
                <w:color w:val="auto"/>
                <w:kern w:val="0"/>
                <w:szCs w:val="21"/>
                <w:highlight w:val="none"/>
                <w:u w:val="single"/>
              </w:rPr>
            </w:pPr>
            <w:r>
              <w:rPr>
                <w:rFonts w:ascii="宋体" w:hAnsi="宋体"/>
                <w:color w:val="auto"/>
                <w:kern w:val="0"/>
                <w:szCs w:val="21"/>
                <w:highlight w:val="none"/>
              </w:rPr>
              <w:t>联系人：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徐老师</w:t>
            </w:r>
            <w:r>
              <w:rPr>
                <w:rFonts w:ascii="宋体" w:hAnsi="宋体"/>
                <w:snapToGrid w:val="0"/>
                <w:color w:val="auto"/>
                <w:kern w:val="0"/>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s="Times New Roman"/>
                <w:color w:val="auto"/>
                <w:sz w:val="21"/>
                <w:szCs w:val="21"/>
                <w:highlight w:val="none"/>
                <w:u w:val="single"/>
                <w:lang w:val="en-US" w:eastAsia="zh-CN"/>
              </w:rPr>
              <w:t xml:space="preserve">023-47846406 </w:t>
            </w:r>
            <w:r>
              <w:rPr>
                <w:rFonts w:ascii="宋体" w:hAnsi="宋体"/>
                <w:snapToGrid w:val="0"/>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u w:val="single"/>
              </w:rPr>
              <w:t>重庆</w:t>
            </w:r>
            <w:r>
              <w:rPr>
                <w:rFonts w:hint="eastAsia" w:ascii="宋体" w:hAnsi="宋体"/>
                <w:snapToGrid w:val="0"/>
                <w:color w:val="auto"/>
                <w:kern w:val="0"/>
                <w:szCs w:val="21"/>
                <w:highlight w:val="none"/>
                <w:u w:val="single"/>
                <w:lang w:val="en-US" w:eastAsia="zh-CN"/>
              </w:rPr>
              <w:t>市投资咨询</w:t>
            </w:r>
            <w:r>
              <w:rPr>
                <w:rFonts w:hint="eastAsia" w:ascii="宋体" w:hAnsi="宋体"/>
                <w:snapToGrid w:val="0"/>
                <w:color w:val="auto"/>
                <w:kern w:val="0"/>
                <w:szCs w:val="21"/>
                <w:highlight w:val="none"/>
                <w:u w:val="single"/>
              </w:rPr>
              <w:t>有限公司</w:t>
            </w:r>
            <w:r>
              <w:rPr>
                <w:rFonts w:ascii="宋体" w:hAnsi="宋体"/>
                <w:snapToGrid w:val="0"/>
                <w:color w:val="auto"/>
                <w:kern w:val="0"/>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snapToGrid w:val="0"/>
                <w:color w:val="auto"/>
                <w:kern w:val="0"/>
                <w:position w:val="-3"/>
                <w:szCs w:val="21"/>
                <w:highlight w:val="none"/>
                <w:u w:val="single"/>
              </w:rPr>
              <w:t>重庆市江北区五简路2号重咨大厦A橦</w:t>
            </w:r>
            <w:r>
              <w:rPr>
                <w:rFonts w:hint="eastAsia" w:ascii="宋体" w:hAnsi="宋体"/>
                <w:snapToGrid w:val="0"/>
                <w:color w:val="auto"/>
                <w:kern w:val="0"/>
                <w:position w:val="-3"/>
                <w:szCs w:val="21"/>
                <w:highlight w:val="none"/>
                <w:u w:val="single"/>
                <w:lang w:val="en-US" w:eastAsia="zh-CN"/>
              </w:rPr>
              <w:t>706</w:t>
            </w:r>
            <w:r>
              <w:rPr>
                <w:rFonts w:hint="eastAsia" w:ascii="宋体" w:hAnsi="宋体"/>
                <w:snapToGrid w:val="0"/>
                <w:color w:val="auto"/>
                <w:kern w:val="0"/>
                <w:position w:val="-3"/>
                <w:szCs w:val="21"/>
                <w:highlight w:val="none"/>
                <w:u w:val="single"/>
              </w:rPr>
              <w:t>室</w:t>
            </w:r>
            <w:r>
              <w:rPr>
                <w:rFonts w:ascii="宋体" w:hAnsi="宋体"/>
                <w:snapToGrid w:val="0"/>
                <w:color w:val="auto"/>
                <w:kern w:val="0"/>
                <w:position w:val="-3"/>
                <w:szCs w:val="21"/>
                <w:highlight w:val="none"/>
                <w:u w:val="single"/>
              </w:rPr>
              <w:t xml:space="preserve"> </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赵老师</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 w:val="21"/>
                <w:szCs w:val="21"/>
                <w:highlight w:val="none"/>
                <w:u w:val="single"/>
                <w:lang w:val="en-US" w:eastAsia="zh-CN"/>
              </w:rPr>
              <w:t>023-67790068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重庆高速集团所属路段视频监测优化提升项目摄像机采购（第二次）</w:t>
            </w:r>
            <w:r>
              <w:rPr>
                <w:rFonts w:ascii="宋体" w:hAnsi="宋体"/>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工程项目名称</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重庆高速集团所属路段视频监测优化提升项目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包括完成摄像机单机设备约791套的</w:t>
            </w:r>
            <w:r>
              <w:rPr>
                <w:rFonts w:hint="eastAsia" w:ascii="宋体" w:hAnsi="宋体" w:cs="宋体"/>
                <w:color w:val="auto"/>
                <w:kern w:val="0"/>
                <w:szCs w:val="21"/>
                <w:highlight w:val="none"/>
                <w:u w:val="single"/>
                <w:lang w:val="en-US" w:eastAsia="zh-CN"/>
              </w:rPr>
              <w:t>生产</w:t>
            </w:r>
            <w:r>
              <w:rPr>
                <w:rFonts w:hint="eastAsia" w:ascii="宋体" w:hAnsi="宋体" w:eastAsia="宋体" w:cs="宋体"/>
                <w:color w:val="auto"/>
                <w:kern w:val="0"/>
                <w:szCs w:val="21"/>
                <w:highlight w:val="none"/>
                <w:u w:val="single"/>
              </w:rPr>
              <w:t>制造</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含</w:t>
            </w:r>
            <w:r>
              <w:rPr>
                <w:rFonts w:hint="eastAsia" w:ascii="宋体" w:hAnsi="宋体" w:cs="宋体"/>
                <w:color w:val="auto"/>
                <w:kern w:val="0"/>
                <w:szCs w:val="21"/>
                <w:highlight w:val="none"/>
                <w:u w:val="single"/>
                <w:lang w:val="en-US" w:eastAsia="zh-CN"/>
              </w:rPr>
              <w:t>配件</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安装</w:t>
            </w:r>
            <w:r>
              <w:rPr>
                <w:rFonts w:hint="eastAsia" w:ascii="宋体" w:hAnsi="宋体" w:eastAsia="宋体" w:cs="宋体"/>
                <w:color w:val="auto"/>
                <w:kern w:val="0"/>
                <w:szCs w:val="21"/>
                <w:highlight w:val="none"/>
                <w:u w:val="single"/>
              </w:rPr>
              <w:t>专用工器具</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出厂</w:t>
            </w:r>
            <w:r>
              <w:rPr>
                <w:rFonts w:hint="eastAsia" w:ascii="宋体" w:hAnsi="宋体" w:eastAsia="宋体" w:cs="宋体"/>
                <w:color w:val="auto"/>
                <w:kern w:val="0"/>
                <w:szCs w:val="21"/>
                <w:highlight w:val="none"/>
                <w:u w:val="single"/>
              </w:rPr>
              <w:t>检验</w:t>
            </w:r>
            <w:r>
              <w:rPr>
                <w:rFonts w:hint="eastAsia" w:ascii="宋体" w:hAnsi="宋体" w:cs="宋体"/>
                <w:color w:val="auto"/>
                <w:kern w:val="0"/>
                <w:szCs w:val="21"/>
                <w:highlight w:val="none"/>
                <w:u w:val="single"/>
                <w:lang w:val="en-US" w:eastAsia="zh-CN"/>
              </w:rPr>
              <w:t>合格证</w:t>
            </w:r>
            <w:r>
              <w:rPr>
                <w:rFonts w:hint="eastAsia" w:ascii="宋体" w:hAnsi="宋体" w:eastAsia="宋体" w:cs="宋体"/>
                <w:color w:val="auto"/>
                <w:kern w:val="0"/>
                <w:szCs w:val="21"/>
                <w:highlight w:val="none"/>
                <w:u w:val="single"/>
              </w:rPr>
              <w:t>等）、</w:t>
            </w:r>
            <w:r>
              <w:rPr>
                <w:rFonts w:hint="eastAsia" w:ascii="宋体" w:hAnsi="宋体" w:cs="宋体"/>
                <w:color w:val="auto"/>
                <w:kern w:val="0"/>
                <w:szCs w:val="21"/>
                <w:highlight w:val="none"/>
                <w:u w:val="single"/>
                <w:lang w:val="en-US" w:eastAsia="zh-CN"/>
              </w:rPr>
              <w:t>供货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r>
              <w:rPr>
                <w:rFonts w:hint="eastAsia" w:ascii="宋体" w:hAnsi="宋体"/>
                <w:color w:val="auto"/>
                <w:highlight w:val="none"/>
              </w:rPr>
              <w:t>（</w:t>
            </w:r>
            <w:r>
              <w:rPr>
                <w:rFonts w:hint="eastAsia" w:ascii="宋体" w:hAnsi="宋体"/>
                <w:color w:val="auto"/>
                <w:highlight w:val="none"/>
                <w:lang w:val="en-US" w:eastAsia="zh-CN"/>
              </w:rPr>
              <w:t>技术规格详</w:t>
            </w:r>
            <w:r>
              <w:rPr>
                <w:rFonts w:hint="eastAsia" w:ascii="宋体" w:hAnsi="宋体"/>
                <w:color w:val="auto"/>
                <w:highlight w:val="none"/>
              </w:rPr>
              <w:t>见招标文件第五章</w:t>
            </w:r>
            <w:r>
              <w:rPr>
                <w:rFonts w:hint="eastAsia" w:ascii="宋体" w:hAnsi="宋体"/>
                <w:color w:val="auto"/>
                <w:highlight w:val="none"/>
                <w:lang w:val="en-US" w:eastAsia="zh-CN"/>
              </w:rPr>
              <w:t>供货</w:t>
            </w:r>
            <w:r>
              <w:rPr>
                <w:rFonts w:hint="eastAsia" w:ascii="宋体" w:hAnsi="宋体"/>
                <w:color w:val="auto"/>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交货期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交货期： 合同签订之日起不超过30日历天（各批次以项目业主通知为准）</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none"/>
                <w:lang w:val="en-US" w:eastAsia="zh-CN"/>
              </w:rPr>
              <w:t>计划开始交货日期：</w:t>
            </w:r>
            <w:r>
              <w:rPr>
                <w:rFonts w:hint="eastAsia" w:ascii="宋体" w:hAnsi="宋体"/>
                <w:snapToGrid w:val="0"/>
                <w:color w:val="auto"/>
                <w:kern w:val="0"/>
                <w:szCs w:val="21"/>
                <w:highlight w:val="none"/>
                <w:u w:val="single"/>
                <w:lang w:val="en-US" w:eastAsia="zh-CN"/>
              </w:rPr>
              <w:t>2024年11月20日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交货地点</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rPr>
              <w:t>重庆市内（具体地点</w:t>
            </w:r>
            <w:r>
              <w:rPr>
                <w:rFonts w:hint="eastAsia" w:ascii="宋体" w:hAnsi="宋体"/>
                <w:snapToGrid w:val="0"/>
                <w:color w:val="auto"/>
                <w:kern w:val="0"/>
                <w:szCs w:val="21"/>
                <w:highlight w:val="none"/>
                <w:u w:val="single"/>
                <w:lang w:val="en-US" w:eastAsia="zh-CN"/>
              </w:rPr>
              <w:t>以招标人通知为准</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1.3.</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质量标准、</w:t>
            </w:r>
          </w:p>
          <w:p>
            <w:pPr>
              <w:snapToGrid w:val="0"/>
              <w:spacing w:line="400" w:lineRule="exact"/>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技术性能指标</w:t>
            </w:r>
          </w:p>
        </w:tc>
        <w:tc>
          <w:tcPr>
            <w:tcW w:w="6490" w:type="dxa"/>
            <w:vAlign w:val="center"/>
          </w:tcPr>
          <w:p>
            <w:pPr>
              <w:snapToGrid w:val="0"/>
              <w:spacing w:line="400" w:lineRule="exact"/>
              <w:ind w:firstLine="420" w:firstLineChars="200"/>
              <w:rPr>
                <w:rFonts w:hint="eastAsia" w:ascii="宋体" w:hAnsi="宋体"/>
                <w:i/>
                <w:color w:val="auto"/>
                <w:szCs w:val="21"/>
                <w:highlight w:val="none"/>
              </w:rPr>
            </w:pPr>
            <w:r>
              <w:rPr>
                <w:rFonts w:hint="eastAsia"/>
                <w:color w:val="auto"/>
                <w:highlight w:val="none"/>
                <w:u w:val="single"/>
                <w:lang w:val="en-US" w:eastAsia="zh-CN"/>
              </w:rPr>
              <w:t>详见第五章供货要求中的技术实质性条款</w:t>
            </w:r>
            <w:r>
              <w:rPr>
                <w:rFonts w:hint="eastAsia"/>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3" w:hRule="atLeast"/>
          <w:jc w:val="center"/>
        </w:trPr>
        <w:tc>
          <w:tcPr>
            <w:tcW w:w="122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both"/>
              <w:rPr>
                <w:rFonts w:ascii="宋体" w:hAnsi="宋体"/>
                <w:color w:val="auto"/>
                <w:kern w:val="0"/>
                <w:szCs w:val="21"/>
                <w:highlight w:val="none"/>
              </w:rPr>
            </w:pPr>
          </w:p>
        </w:tc>
        <w:tc>
          <w:tcPr>
            <w:tcW w:w="175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6490" w:type="dxa"/>
            <w:vAlign w:val="center"/>
          </w:tcPr>
          <w:p>
            <w:pPr>
              <w:autoSpaceDE w:val="0"/>
              <w:autoSpaceDN w:val="0"/>
              <w:adjustRightInd w:val="0"/>
              <w:snapToGrid w:val="0"/>
              <w:spacing w:before="48" w:beforeLines="20" w:line="400" w:lineRule="exact"/>
              <w:ind w:firstLine="420" w:firstLineChars="200"/>
              <w:rPr>
                <w:rFonts w:ascii="宋体" w:hAnsi="宋体"/>
                <w:b/>
                <w:color w:val="auto"/>
                <w:szCs w:val="21"/>
                <w:highlight w:val="none"/>
              </w:rPr>
            </w:pPr>
            <w:bookmarkStart w:id="91" w:name="OLE_LINK1"/>
            <w:r>
              <w:rPr>
                <w:rFonts w:ascii="宋体" w:hAnsi="宋体"/>
                <w:color w:val="auto"/>
                <w:szCs w:val="21"/>
                <w:highlight w:val="none"/>
              </w:rPr>
              <w:t>本</w:t>
            </w:r>
            <w:r>
              <w:rPr>
                <w:rFonts w:hint="eastAsia" w:ascii="宋体" w:hAnsi="宋体"/>
                <w:color w:val="auto"/>
                <w:szCs w:val="21"/>
                <w:highlight w:val="none"/>
                <w:lang w:val="en-US" w:eastAsia="zh-CN"/>
              </w:rPr>
              <w:t>次货物采购</w:t>
            </w:r>
            <w:r>
              <w:rPr>
                <w:rFonts w:ascii="宋体" w:hAnsi="宋体"/>
                <w:color w:val="auto"/>
                <w:szCs w:val="21"/>
                <w:highlight w:val="none"/>
              </w:rPr>
              <w:t>招标实行资格后审，</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bookmarkEnd w:id="91"/>
          </w:p>
          <w:p>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eastAsia="zh-CN"/>
              </w:rPr>
            </w:pPr>
            <w:r>
              <w:rPr>
                <w:rFonts w:ascii="宋体" w:hAnsi="宋体"/>
                <w:b/>
                <w:color w:val="auto"/>
                <w:szCs w:val="21"/>
                <w:highlight w:val="none"/>
              </w:rPr>
              <w:t>1.营业执照</w:t>
            </w:r>
            <w:r>
              <w:rPr>
                <w:rFonts w:hint="eastAsia" w:ascii="宋体" w:hAnsi="宋体"/>
                <w:b/>
                <w:color w:val="auto"/>
                <w:szCs w:val="21"/>
                <w:highlight w:val="none"/>
                <w:lang w:val="en-US" w:eastAsia="zh-CN"/>
              </w:rPr>
              <w:t>和</w:t>
            </w:r>
            <w:r>
              <w:rPr>
                <w:rFonts w:ascii="宋体" w:hAnsi="宋体"/>
                <w:b/>
                <w:color w:val="auto"/>
                <w:szCs w:val="21"/>
                <w:highlight w:val="none"/>
              </w:rPr>
              <w:t>资质</w:t>
            </w:r>
            <w:r>
              <w:rPr>
                <w:rFonts w:hint="eastAsia" w:ascii="宋体" w:hAnsi="宋体"/>
                <w:b/>
                <w:color w:val="auto"/>
                <w:szCs w:val="21"/>
                <w:highlight w:val="none"/>
              </w:rPr>
              <w:t>要求</w:t>
            </w:r>
          </w:p>
          <w:p>
            <w:pPr>
              <w:autoSpaceDE w:val="0"/>
              <w:autoSpaceDN w:val="0"/>
              <w:adjustRightInd w:val="0"/>
              <w:snapToGrid w:val="0"/>
              <w:spacing w:line="400" w:lineRule="exact"/>
              <w:ind w:firstLine="422" w:firstLineChars="200"/>
              <w:rPr>
                <w:rFonts w:hint="eastAsia" w:ascii="宋体" w:hAnsi="宋体"/>
                <w:b/>
                <w:bCs/>
                <w:i w:val="0"/>
                <w:iCs/>
                <w:color w:val="auto"/>
                <w:szCs w:val="21"/>
                <w:highlight w:val="none"/>
                <w:lang w:val="en-US" w:eastAsia="zh-CN"/>
              </w:rPr>
            </w:pPr>
            <w:r>
              <w:rPr>
                <w:rFonts w:hint="eastAsia" w:ascii="宋体" w:hAnsi="宋体"/>
                <w:b/>
                <w:bCs/>
                <w:snapToGrid w:val="0"/>
                <w:color w:val="auto"/>
                <w:kern w:val="0"/>
                <w:szCs w:val="21"/>
                <w:highlight w:val="none"/>
                <w:lang w:val="en-US" w:eastAsia="zh-CN"/>
              </w:rPr>
              <w:t xml:space="preserve">1.1 </w:t>
            </w:r>
            <w:r>
              <w:rPr>
                <w:rFonts w:hint="eastAsia" w:ascii="宋体" w:hAnsi="宋体"/>
                <w:b/>
                <w:bCs/>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w:t>
            </w:r>
            <w:r>
              <w:rPr>
                <w:rFonts w:hint="eastAsia" w:ascii="宋体" w:hAnsi="宋体"/>
                <w:b w:val="0"/>
                <w:bCs w:val="0"/>
                <w:snapToGrid w:val="0"/>
                <w:color w:val="auto"/>
                <w:kern w:val="0"/>
                <w:szCs w:val="21"/>
                <w:highlight w:val="none"/>
              </w:rPr>
              <w:t>产品性能检测合格报告或产品质量检测报告</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2" w:firstLineChars="200"/>
              <w:rPr>
                <w:b/>
                <w:bCs/>
                <w:color w:val="auto"/>
                <w:highlight w:val="none"/>
              </w:rPr>
            </w:pPr>
            <w:r>
              <w:rPr>
                <w:rFonts w:hint="eastAsia" w:ascii="宋体" w:hAnsi="宋体"/>
                <w:b/>
                <w:bCs/>
                <w:snapToGrid w:val="0"/>
                <w:color w:val="auto"/>
                <w:kern w:val="0"/>
                <w:szCs w:val="21"/>
                <w:highlight w:val="none"/>
                <w:lang w:val="en-US" w:eastAsia="zh-CN"/>
              </w:rPr>
              <w:t xml:space="preserve">1.2 </w:t>
            </w:r>
            <w:r>
              <w:rPr>
                <w:rFonts w:hint="eastAsia" w:ascii="宋体" w:hAnsi="宋体"/>
                <w:b/>
                <w:bCs/>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eastAsia"/>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代理商所投产品具备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注：本招标项目中，一个制造商对同一品牌同一型号的货物，仅能委托一个代理商参加投标，</w:t>
            </w:r>
            <w:r>
              <w:rPr>
                <w:rFonts w:hint="eastAsia" w:ascii="宋体" w:hAnsi="宋体"/>
                <w:color w:val="auto"/>
                <w:szCs w:val="21"/>
                <w:highlight w:val="none"/>
              </w:rPr>
              <w:t>否则各相关投标均无效</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同一品牌同一型号货物的制造商和代理商不得在</w:t>
            </w:r>
            <w:r>
              <w:rPr>
                <w:rFonts w:hint="eastAsia" w:ascii="宋体" w:hAnsi="宋体"/>
                <w:color w:val="auto"/>
                <w:szCs w:val="21"/>
                <w:highlight w:val="none"/>
              </w:rPr>
              <w:t>本招标项目中投标</w:t>
            </w:r>
            <w:r>
              <w:rPr>
                <w:rFonts w:hint="eastAsia" w:ascii="宋体" w:hAnsi="宋体"/>
                <w:color w:val="auto"/>
                <w:szCs w:val="21"/>
                <w:highlight w:val="none"/>
                <w:lang w:eastAsia="zh-CN"/>
              </w:rPr>
              <w:t>，</w:t>
            </w:r>
            <w:r>
              <w:rPr>
                <w:rFonts w:hint="eastAsia" w:ascii="宋体" w:hAnsi="宋体"/>
                <w:color w:val="auto"/>
                <w:szCs w:val="21"/>
                <w:highlight w:val="none"/>
              </w:rPr>
              <w:t>否则各相关投标均无效。</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color w:val="auto"/>
                <w:szCs w:val="21"/>
                <w:highlight w:val="none"/>
                <w:lang w:val="en-US" w:eastAsia="zh-CN"/>
              </w:rPr>
              <w:t>，以及投标货物制造商向投标人出具的授权书</w:t>
            </w:r>
            <w:r>
              <w:rPr>
                <w:rFonts w:ascii="宋体" w:hAnsi="宋体"/>
                <w:color w:val="auto"/>
                <w:szCs w:val="21"/>
                <w:highlight w:val="none"/>
              </w:rPr>
              <w:t>。</w:t>
            </w: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lang w:val="en-US" w:eastAsia="zh-CN"/>
              </w:rPr>
              <w:t>2023</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年的</w:t>
            </w:r>
            <w:r>
              <w:rPr>
                <w:rFonts w:hint="eastAsia" w:ascii="宋体" w:hAnsi="宋体" w:eastAsia="宋体" w:cs="Times New Roman"/>
                <w:color w:val="auto"/>
                <w:kern w:val="0"/>
                <w:szCs w:val="21"/>
                <w:highlight w:val="none"/>
                <w:lang w:val="en-US" w:eastAsia="zh-CN"/>
              </w:rPr>
              <w:t>各</w:t>
            </w:r>
            <w:r>
              <w:rPr>
                <w:rFonts w:hint="eastAsia" w:ascii="宋体" w:hAnsi="宋体" w:eastAsia="宋体" w:cs="Times New Roman"/>
                <w:color w:val="auto"/>
                <w:kern w:val="0"/>
                <w:szCs w:val="21"/>
                <w:highlight w:val="none"/>
              </w:rPr>
              <w:t>年度财务状况不亏损</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净利润为正</w:t>
            </w:r>
            <w:r>
              <w:rPr>
                <w:rFonts w:hint="eastAsia" w:ascii="宋体" w:hAnsi="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业绩：</w:t>
            </w:r>
          </w:p>
          <w:p>
            <w:pPr>
              <w:autoSpaceDE w:val="0"/>
              <w:autoSpaceDN w:val="0"/>
              <w:adjustRightInd w:val="0"/>
              <w:snapToGrid w:val="0"/>
              <w:spacing w:line="400" w:lineRule="exact"/>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lang w:val="en-US" w:eastAsia="zh-CN"/>
              </w:rPr>
              <w:t>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年1月1日起至投标截止日止（</w:t>
            </w:r>
            <w:r>
              <w:rPr>
                <w:rFonts w:hint="eastAsia" w:ascii="宋体" w:hAnsi="宋体"/>
                <w:color w:val="auto"/>
                <w:szCs w:val="21"/>
                <w:highlight w:val="none"/>
                <w:u w:val="single"/>
              </w:rPr>
              <w:t>以</w:t>
            </w:r>
            <w:r>
              <w:rPr>
                <w:rFonts w:hint="eastAsia" w:ascii="宋体" w:hAnsi="宋体"/>
                <w:color w:val="auto"/>
                <w:szCs w:val="21"/>
                <w:highlight w:val="none"/>
                <w:u w:val="single"/>
                <w:lang w:val="en-US" w:eastAsia="zh-CN"/>
              </w:rPr>
              <w:t>合同签订</w:t>
            </w:r>
            <w:r>
              <w:rPr>
                <w:rFonts w:hint="eastAsia" w:ascii="宋体" w:hAnsi="宋体"/>
                <w:color w:val="auto"/>
                <w:szCs w:val="21"/>
                <w:highlight w:val="none"/>
                <w:u w:val="single"/>
              </w:rPr>
              <w:t>时间为准</w:t>
            </w:r>
            <w:r>
              <w:rPr>
                <w:rFonts w:hint="eastAsia" w:ascii="宋体" w:hAnsi="宋体"/>
                <w:color w:val="auto"/>
                <w:szCs w:val="21"/>
                <w:highlight w:val="none"/>
                <w:u w:val="single"/>
                <w:lang w:eastAsia="zh-CN"/>
              </w:rPr>
              <w:t>）</w:t>
            </w:r>
            <w:r>
              <w:rPr>
                <w:rFonts w:hint="eastAsia" w:ascii="宋体" w:hAnsi="宋体"/>
                <w:color w:val="auto"/>
                <w:szCs w:val="21"/>
                <w:highlight w:val="none"/>
                <w:lang w:val="en-US" w:eastAsia="zh-CN"/>
              </w:rPr>
              <w:t>具有满足下列要求的</w:t>
            </w:r>
            <w:r>
              <w:rPr>
                <w:rFonts w:hint="eastAsia" w:ascii="宋体" w:hAnsi="宋体"/>
                <w:color w:val="auto"/>
                <w:szCs w:val="21"/>
                <w:highlight w:val="none"/>
                <w:u w:val="single"/>
                <w:lang w:val="en-US" w:eastAsia="zh-CN"/>
              </w:rPr>
              <w:t>监控摄像机</w:t>
            </w:r>
            <w:r>
              <w:rPr>
                <w:rFonts w:hint="eastAsia" w:ascii="宋体" w:hAnsi="宋体"/>
                <w:color w:val="auto"/>
                <w:szCs w:val="21"/>
                <w:highlight w:val="none"/>
                <w:u w:val="none"/>
                <w:lang w:val="en-US" w:eastAsia="zh-CN"/>
              </w:rPr>
              <w:t>供货业绩。</w:t>
            </w:r>
            <w:bookmarkStart w:id="92" w:name="_Hlk75180069"/>
          </w:p>
          <w:p>
            <w:pPr>
              <w:autoSpaceDE w:val="0"/>
              <w:autoSpaceDN w:val="0"/>
              <w:adjustRightInd w:val="0"/>
              <w:snapToGrid w:val="0"/>
              <w:spacing w:line="400" w:lineRule="exact"/>
              <w:ind w:firstLine="420" w:firstLineChars="200"/>
              <w:rPr>
                <w:rFonts w:hint="eastAsia" w:ascii="宋体" w:hAnsi="宋体"/>
                <w:iCs/>
                <w:color w:val="auto"/>
                <w:szCs w:val="21"/>
                <w:highlight w:val="none"/>
                <w:u w:val="none"/>
              </w:rPr>
            </w:pPr>
            <w:r>
              <w:rPr>
                <w:rFonts w:hint="eastAsia" w:ascii="宋体" w:hAnsi="宋体"/>
                <w:iCs/>
                <w:color w:val="auto"/>
                <w:szCs w:val="21"/>
                <w:highlight w:val="none"/>
                <w:lang w:val="en-US" w:eastAsia="zh-CN"/>
              </w:rPr>
              <w:t>累计合同金额不低于</w:t>
            </w:r>
            <w:r>
              <w:rPr>
                <w:rFonts w:hint="eastAsia" w:ascii="宋体" w:hAnsi="宋体"/>
                <w:iCs/>
                <w:color w:val="auto"/>
                <w:szCs w:val="21"/>
                <w:highlight w:val="none"/>
                <w:u w:val="single"/>
              </w:rPr>
              <w:t xml:space="preserve"> </w:t>
            </w:r>
            <w:r>
              <w:rPr>
                <w:rFonts w:hint="eastAsia" w:ascii="宋体" w:hAnsi="宋体"/>
                <w:iCs/>
                <w:color w:val="auto"/>
                <w:szCs w:val="21"/>
                <w:highlight w:val="none"/>
                <w:u w:val="single"/>
                <w:lang w:val="en-US" w:eastAsia="zh-CN"/>
              </w:rPr>
              <w:t>600万元（其中单个合同金额不低于30万元）或累计合同供货量不低于600套（其中单个合同供货量不低于30套）</w:t>
            </w:r>
            <w:r>
              <w:rPr>
                <w:rFonts w:hint="eastAsia" w:ascii="宋体" w:hAnsi="宋体"/>
                <w:iCs/>
                <w:color w:val="auto"/>
                <w:szCs w:val="21"/>
                <w:highlight w:val="none"/>
                <w:u w:val="none"/>
              </w:rPr>
              <w:t>（注：</w:t>
            </w:r>
            <w:r>
              <w:rPr>
                <w:rFonts w:hint="eastAsia" w:ascii="宋体" w:hAnsi="宋体"/>
                <w:snapToGrid w:val="0"/>
                <w:color w:val="auto"/>
                <w:kern w:val="0"/>
                <w:szCs w:val="21"/>
                <w:highlight w:val="none"/>
                <w:lang w:val="en-US" w:eastAsia="zh-CN"/>
              </w:rPr>
              <w:t>所提供的业绩可能包含监控摄像机和其他货物类别，则业绩只认定监控摄像机部分的合同金额或供货量，并须达到所设金额或供货量要求</w:t>
            </w:r>
            <w:r>
              <w:rPr>
                <w:rFonts w:hint="eastAsia" w:ascii="宋体" w:hAnsi="宋体"/>
                <w:iCs/>
                <w:color w:val="auto"/>
                <w:szCs w:val="21"/>
                <w:highlight w:val="none"/>
                <w:u w:val="none"/>
              </w:rPr>
              <w:t>）</w:t>
            </w:r>
          </w:p>
          <w:p>
            <w:pPr>
              <w:pStyle w:val="2"/>
              <w:rPr>
                <w:rFonts w:hint="default" w:eastAsia="宋体"/>
                <w:highlight w:val="none"/>
                <w:lang w:val="en-US" w:eastAsia="zh-CN"/>
              </w:rPr>
            </w:pPr>
            <w:r>
              <w:rPr>
                <w:rFonts w:hint="eastAsia" w:ascii="宋体" w:hAnsi="宋体"/>
                <w:iCs/>
                <w:color w:val="auto"/>
                <w:szCs w:val="21"/>
                <w:highlight w:val="none"/>
                <w:u w:val="none"/>
                <w:lang w:val="en-US" w:eastAsia="zh-CN"/>
              </w:rPr>
              <w:t xml:space="preserve">    注：投标人须对照业绩证明材料如实填写业绩情况汇总表</w:t>
            </w:r>
          </w:p>
          <w:bookmarkEnd w:id="92"/>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t xml:space="preserve"> </w:t>
            </w:r>
            <w:r>
              <w:rPr>
                <w:rFonts w:hint="eastAsia" w:ascii="宋体" w:hAnsi="宋体"/>
                <w:color w:val="auto"/>
                <w:szCs w:val="21"/>
                <w:highlight w:val="none"/>
              </w:rPr>
              <w:t>业绩证明材料要求：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投标人须在投标文件资格审查部分提供该业绩的合同协议书复印件与合同清单。合同协议书提供关键页即可，包括但不限于首页、尾页、签章页、主要商务条款页，关键页需能充分体现以上业绩要求各项要素。</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注：合同清单能清晰载明项目名称、型号、对应的设备合同价及数量。</w:t>
            </w:r>
          </w:p>
          <w:p>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rPr>
              <w:t>不满足上述业绩要求的业绩</w:t>
            </w:r>
            <w:r>
              <w:rPr>
                <w:rFonts w:hint="eastAsia" w:ascii="宋体" w:hAnsi="宋体"/>
                <w:color w:val="auto"/>
                <w:szCs w:val="21"/>
                <w:highlight w:val="none"/>
                <w:lang w:val="en-US" w:eastAsia="zh-CN"/>
              </w:rPr>
              <w:t>视为</w:t>
            </w:r>
            <w:r>
              <w:rPr>
                <w:rFonts w:hint="eastAsia" w:ascii="宋体" w:hAnsi="宋体"/>
                <w:color w:val="auto"/>
                <w:szCs w:val="21"/>
                <w:highlight w:val="none"/>
              </w:rPr>
              <w:t>无效。</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w:t>
            </w:r>
          </w:p>
          <w:p>
            <w:pPr>
              <w:autoSpaceDE w:val="0"/>
              <w:autoSpaceDN w:val="0"/>
              <w:adjustRightInd w:val="0"/>
              <w:snapToGrid w:val="0"/>
              <w:spacing w:line="400" w:lineRule="exact"/>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投标人提供的上述业绩中的货物品牌应与本次投标货物品牌一致。</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color w:val="auto"/>
                <w:highlight w:val="none"/>
              </w:rPr>
              <w:t>投标人提供的</w:t>
            </w:r>
            <w:r>
              <w:rPr>
                <w:rFonts w:hint="eastAsia"/>
                <w:color w:val="auto"/>
                <w:highlight w:val="none"/>
                <w:lang w:val="en-US" w:eastAsia="zh-CN"/>
              </w:rPr>
              <w:t>上述</w:t>
            </w:r>
            <w:r>
              <w:rPr>
                <w:rFonts w:hint="eastAsia"/>
                <w:color w:val="auto"/>
                <w:highlight w:val="none"/>
              </w:rPr>
              <w:t>业绩为联合体业绩的，其在该业绩中的工作分工应与本项目承担的工作一致。</w:t>
            </w:r>
          </w:p>
          <w:p>
            <w:pPr>
              <w:adjustRightInd w:val="0"/>
              <w:snapToGrid w:val="0"/>
              <w:spacing w:line="400" w:lineRule="exact"/>
              <w:ind w:firstLine="422" w:firstLineChars="200"/>
              <w:rPr>
                <w:rFonts w:hint="default" w:ascii="宋体" w:hAnsi="宋体" w:eastAsia="宋体"/>
                <w:b/>
                <w:color w:val="auto"/>
                <w:szCs w:val="21"/>
                <w:highlight w:val="none"/>
                <w:lang w:val="en-US" w:eastAsia="zh-CN"/>
              </w:rPr>
            </w:pPr>
            <w:r>
              <w:rPr>
                <w:rFonts w:ascii="宋体" w:hAnsi="宋体"/>
                <w:b/>
                <w:color w:val="auto"/>
                <w:szCs w:val="21"/>
                <w:highlight w:val="none"/>
              </w:rPr>
              <w:t>4.</w:t>
            </w:r>
            <w:r>
              <w:rPr>
                <w:rFonts w:hint="eastAsia" w:ascii="宋体" w:hAnsi="宋体"/>
                <w:b/>
                <w:color w:val="auto"/>
                <w:szCs w:val="21"/>
                <w:highlight w:val="none"/>
                <w:lang w:val="en-US" w:eastAsia="zh-CN"/>
              </w:rPr>
              <w:t>信誉要求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r>
              <w:rPr>
                <w:rFonts w:hint="eastAsia" w:ascii="宋体" w:hAnsi="宋体"/>
                <w:color w:val="auto"/>
                <w:szCs w:val="21"/>
                <w:highlight w:val="none"/>
                <w:lang w:eastAsia="zh-CN"/>
              </w:rPr>
              <w:t>。</w:t>
            </w:r>
          </w:p>
          <w:p>
            <w:pPr>
              <w:snapToGrid w:val="0"/>
              <w:spacing w:line="400" w:lineRule="exact"/>
              <w:ind w:firstLine="420" w:firstLineChars="200"/>
              <w:rPr>
                <w:rFonts w:ascii="宋体" w:hAnsi="宋体"/>
                <w:color w:val="auto"/>
                <w:szCs w:val="21"/>
                <w:highlight w:val="none"/>
              </w:rPr>
            </w:pPr>
            <w:r>
              <w:rPr>
                <w:rFonts w:hint="eastAsia"/>
                <w:color w:val="auto"/>
                <w:highlight w:val="none"/>
              </w:rPr>
              <w:t>投标人须在投标文件资格审查部分提供承诺（格式见第六章投标文件格式）。</w:t>
            </w:r>
          </w:p>
          <w:p>
            <w:pPr>
              <w:snapToGrid w:val="0"/>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pPr>
              <w:snapToGrid w:val="0"/>
              <w:spacing w:line="400" w:lineRule="exact"/>
              <w:ind w:firstLine="420" w:firstLineChars="200"/>
              <w:rPr>
                <w:color w:val="auto"/>
                <w:highlight w:val="none"/>
              </w:rPr>
            </w:pPr>
            <w:r>
              <w:rPr>
                <w:rFonts w:hint="eastAsia"/>
                <w:color w:val="auto"/>
                <w:highlight w:val="none"/>
              </w:rPr>
              <w:t>注：投标人是否因有不良行为记分、进入重点关注名单或黑名单而被限制投标的，以开标环节信用状况查询结果为准。</w:t>
            </w:r>
          </w:p>
          <w:p>
            <w:pPr>
              <w:autoSpaceDE w:val="0"/>
              <w:autoSpaceDN w:val="0"/>
              <w:adjustRightInd w:val="0"/>
              <w:snapToGrid w:val="0"/>
              <w:spacing w:line="400" w:lineRule="exact"/>
              <w:ind w:firstLine="422" w:firstLineChars="200"/>
              <w:rPr>
                <w:color w:val="auto"/>
                <w:highlight w:val="none"/>
              </w:rPr>
            </w:pPr>
            <w:r>
              <w:rPr>
                <w:rFonts w:ascii="宋体" w:hAnsi="宋体"/>
                <w:b/>
                <w:color w:val="auto"/>
                <w:szCs w:val="21"/>
                <w:highlight w:val="none"/>
              </w:rPr>
              <w:t>5.其他要求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ascii="宋体" w:hAnsi="宋体"/>
                <w:color w:val="auto"/>
                <w:kern w:val="0"/>
                <w:szCs w:val="21"/>
                <w:highlight w:val="none"/>
              </w:rPr>
              <w:t>委托代理人</w:t>
            </w:r>
          </w:p>
          <w:p>
            <w:pPr>
              <w:autoSpaceDE w:val="0"/>
              <w:autoSpaceDN w:val="0"/>
              <w:adjustRightInd w:val="0"/>
              <w:snapToGrid w:val="0"/>
              <w:spacing w:line="400" w:lineRule="exact"/>
              <w:ind w:firstLine="420" w:firstLineChars="200"/>
              <w:rPr>
                <w:rFonts w:ascii="宋体" w:hAnsi="宋体"/>
                <w:i w:val="0"/>
                <w:iCs/>
                <w:color w:val="auto"/>
                <w:kern w:val="0"/>
                <w:szCs w:val="21"/>
                <w:highlight w:val="none"/>
              </w:rPr>
            </w:pPr>
            <w:r>
              <w:rPr>
                <w:rFonts w:hint="eastAsia" w:ascii="宋体" w:hAnsi="宋体"/>
                <w:i w:val="0"/>
                <w:iCs/>
                <w:color w:val="auto"/>
                <w:kern w:val="0"/>
                <w:szCs w:val="21"/>
                <w:highlight w:val="none"/>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该委托代理人的授权委托书、</w:t>
            </w:r>
            <w:r>
              <w:rPr>
                <w:rFonts w:hint="eastAsia" w:ascii="宋体" w:hAnsi="宋体"/>
                <w:color w:val="auto"/>
                <w:kern w:val="0"/>
                <w:szCs w:val="21"/>
                <w:highlight w:val="none"/>
              </w:rPr>
              <w:t>投标人为</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缴纳的养老保险证明</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）投标文件中的所有内容真实有效，不存在弄虚作假情形。</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投标人须在投标文件资格审查部分提供承诺（格式见第六章投标文件格式）。</w:t>
            </w:r>
          </w:p>
          <w:p>
            <w:pPr>
              <w:autoSpaceDE w:val="0"/>
              <w:autoSpaceDN w:val="0"/>
              <w:adjustRightInd w:val="0"/>
              <w:snapToGrid w:val="0"/>
              <w:spacing w:line="400" w:lineRule="exact"/>
              <w:ind w:firstLine="415" w:firstLineChars="198"/>
              <w:rPr>
                <w:rFonts w:hint="eastAsia" w:ascii="宋体" w:hAnsi="宋体" w:eastAsia="宋体" w:cs="宋体"/>
                <w:b/>
                <w:bCs w:val="0"/>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hint="eastAsia" w:ascii="宋体" w:hAnsi="宋体" w:cs="宋体"/>
                <w:b/>
                <w:bCs w:val="0"/>
                <w:color w:val="auto"/>
                <w:szCs w:val="21"/>
                <w:highlight w:val="none"/>
                <w:lang w:val="en-US" w:eastAsia="zh-CN"/>
              </w:rPr>
              <w:t>投标人所提供设备需在制造商（厂商）官方网站上展示，包含设备型号、参数、功能等信息。（投标人需提供制造商（厂商）官方网站截图）</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要求须提交的相关证明材料均为扫描件（原件或复印件的扫描件均可），扫描件须清晰可辨，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取消其中标资格，并按相关法律法规报招标投标监督部门，其投标保证金以现金形式交纳的不予退还</w:t>
            </w:r>
            <w:r>
              <w:rPr>
                <w:rFonts w:hint="eastAsia" w:ascii="宋体" w:hAnsi="宋体" w:cs="宋体"/>
                <w:color w:val="auto"/>
                <w:szCs w:val="21"/>
                <w:highlight w:val="none"/>
                <w:u w:val="single"/>
                <w:lang w:eastAsia="zh-CN"/>
              </w:rPr>
              <w:t>，以保函形式交纳的由保函开立人支付保函担保的与投标保证金等额的款项</w:t>
            </w:r>
            <w:r>
              <w:rPr>
                <w:rFonts w:hint="eastAsia" w:ascii="宋体" w:hAnsi="宋体" w:cs="宋体"/>
                <w:color w:val="auto"/>
                <w:szCs w:val="21"/>
                <w:highlight w:val="none"/>
                <w:u w:val="single"/>
              </w:rPr>
              <w:t>，投标人承担因此造成的相关责任并赔偿相应损失。</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7</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val="en-US" w:eastAsia="zh-CN"/>
              </w:rPr>
              <w:t>9</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0</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color w:val="auto"/>
                <w:highlight w:val="none"/>
              </w:rPr>
            </w:pPr>
            <w:r>
              <w:rPr>
                <w:color w:val="auto"/>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s="宋体"/>
                <w:highlight w:val="none"/>
              </w:rPr>
              <w:t>质量保证期</w:t>
            </w:r>
          </w:p>
        </w:tc>
        <w:tc>
          <w:tcPr>
            <w:tcW w:w="6490" w:type="dxa"/>
            <w:vAlign w:val="center"/>
          </w:tcPr>
          <w:p>
            <w:pPr>
              <w:rPr>
                <w:highlight w:val="none"/>
              </w:rPr>
            </w:pPr>
          </w:p>
          <w:p>
            <w:pPr>
              <w:snapToGrid w:val="0"/>
              <w:spacing w:line="400" w:lineRule="exact"/>
              <w:ind w:left="1260" w:hanging="1260" w:hangingChars="600"/>
              <w:rPr>
                <w:rFonts w:hint="eastAsia" w:ascii="宋体" w:hAnsi="宋体" w:eastAsia="宋体" w:cs="宋体"/>
                <w:highlight w:val="none"/>
                <w:lang w:eastAsia="zh-CN"/>
              </w:rPr>
            </w:pPr>
            <w:r>
              <w:rPr>
                <w:rFonts w:hint="eastAsia" w:ascii="宋体" w:hAnsi="宋体" w:cs="宋体"/>
                <w:highlight w:val="none"/>
              </w:rPr>
              <w:t>质量保证期：</w:t>
            </w:r>
            <w:r>
              <w:rPr>
                <w:rFonts w:hint="eastAsia" w:ascii="宋体" w:hAnsi="宋体"/>
                <w:color w:val="auto"/>
                <w:highlight w:val="none"/>
                <w:u w:val="single"/>
              </w:rPr>
              <w:t>验收</w:t>
            </w:r>
            <w:r>
              <w:rPr>
                <w:rFonts w:hint="eastAsia" w:ascii="宋体" w:hAnsi="宋体"/>
                <w:color w:val="auto"/>
                <w:highlight w:val="none"/>
                <w:u w:val="single"/>
                <w:lang w:val="en-US" w:eastAsia="zh-CN"/>
              </w:rPr>
              <w:t>合格</w:t>
            </w:r>
            <w:r>
              <w:rPr>
                <w:rFonts w:hint="eastAsia" w:ascii="宋体" w:hAnsi="宋体"/>
                <w:color w:val="auto"/>
                <w:highlight w:val="none"/>
                <w:u w:val="single"/>
              </w:rPr>
              <w:t>之日起</w:t>
            </w:r>
            <w:r>
              <w:rPr>
                <w:rFonts w:hint="eastAsia" w:ascii="宋体" w:hAnsi="宋体" w:cs="宋体"/>
                <w:highlight w:val="none"/>
                <w:lang w:val="en-US" w:eastAsia="zh-CN"/>
              </w:rPr>
              <w:t>3年</w:t>
            </w:r>
            <w:r>
              <w:rPr>
                <w:rFonts w:hint="eastAsia" w:ascii="宋体" w:hAnsi="宋体" w:cs="宋体"/>
                <w:highlight w:val="none"/>
                <w:lang w:eastAsia="zh-CN"/>
              </w:rPr>
              <w:t>。（</w:t>
            </w:r>
            <w:r>
              <w:rPr>
                <w:rFonts w:hint="eastAsia" w:ascii="宋体" w:hAnsi="宋体" w:cs="宋体"/>
                <w:highlight w:val="none"/>
                <w:lang w:val="en-US" w:eastAsia="zh-CN"/>
              </w:rPr>
              <w:t>注：售后服务由厂家提供，投标人提供厂家出具的质保期承诺函</w:t>
            </w:r>
            <w:r>
              <w:rPr>
                <w:rFonts w:hint="eastAsia" w:ascii="宋体" w:hAnsi="宋体" w:cs="宋体"/>
                <w:highlight w:val="none"/>
                <w:lang w:eastAsia="zh-CN"/>
              </w:rPr>
              <w:t>）</w:t>
            </w:r>
          </w:p>
          <w:p>
            <w:pPr>
              <w:snapToGrid w:val="0"/>
              <w:spacing w:line="400" w:lineRule="exact"/>
              <w:ind w:firstLine="420" w:firstLineChars="200"/>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1.11.3</w:t>
            </w:r>
          </w:p>
        </w:tc>
        <w:tc>
          <w:tcPr>
            <w:tcW w:w="1754" w:type="dxa"/>
            <w:vAlign w:val="center"/>
          </w:tcPr>
          <w:p>
            <w:pPr>
              <w:snapToGrid w:val="0"/>
              <w:spacing w:line="400" w:lineRule="exact"/>
              <w:jc w:val="center"/>
              <w:rPr>
                <w:rFonts w:ascii="宋体" w:hAnsi="宋体"/>
                <w:color w:val="auto"/>
                <w:kern w:val="0"/>
                <w:szCs w:val="21"/>
                <w:highlight w:val="none"/>
              </w:rPr>
            </w:pPr>
            <w:r>
              <w:rPr>
                <w:color w:val="auto"/>
                <w:sz w:val="21"/>
                <w:highlight w:val="none"/>
              </w:rPr>
              <w:t>其他可以被接受的技术支持资料</w:t>
            </w:r>
          </w:p>
        </w:tc>
        <w:tc>
          <w:tcPr>
            <w:tcW w:w="6490" w:type="dxa"/>
            <w:vAlign w:val="center"/>
          </w:tcPr>
          <w:p>
            <w:pPr>
              <w:snapToGrid w:val="0"/>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偏差</w:t>
            </w:r>
          </w:p>
        </w:tc>
        <w:tc>
          <w:tcPr>
            <w:tcW w:w="6490" w:type="dxa"/>
            <w:vAlign w:val="center"/>
          </w:tcPr>
          <w:p>
            <w:pPr>
              <w:snapToGrid w:val="0"/>
              <w:spacing w:line="400" w:lineRule="exact"/>
              <w:ind w:firstLine="420" w:firstLineChars="200"/>
              <w:rPr>
                <w:rFonts w:hint="default" w:eastAsia="宋体"/>
                <w:color w:val="auto"/>
                <w:highlight w:val="none"/>
                <w:lang w:val="en-US" w:eastAsia="zh-CN"/>
              </w:rPr>
            </w:pPr>
            <w:r>
              <w:rPr>
                <w:rFonts w:hint="eastAsia" w:ascii="宋体" w:hAnsi="宋体"/>
                <w:color w:val="auto"/>
                <w:szCs w:val="21"/>
                <w:highlight w:val="none"/>
                <w:lang w:val="en-US" w:eastAsia="zh-CN"/>
              </w:rPr>
              <w:t>不允许负偏离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w:t>
            </w:r>
            <w:r>
              <w:rPr>
                <w:rFonts w:hint="eastAsia" w:ascii="宋体" w:hAnsi="宋体"/>
                <w:color w:val="auto"/>
                <w:kern w:val="0"/>
                <w:szCs w:val="21"/>
                <w:highlight w:val="none"/>
                <w:lang w:val="en-US" w:eastAsia="zh-CN"/>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75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投标人要求澄清招标文件的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在招标公告规定的时间</w:t>
            </w:r>
            <w:r>
              <w:rPr>
                <w:rFonts w:ascii="宋体" w:hAnsi="宋体"/>
                <w:color w:val="auto"/>
                <w:kern w:val="0"/>
                <w:szCs w:val="21"/>
                <w:highlight w:val="none"/>
              </w:rPr>
              <w:t>前</w:t>
            </w:r>
            <w:r>
              <w:rPr>
                <w:rFonts w:hint="eastAsia" w:ascii="宋体" w:hAnsi="宋体"/>
                <w:color w:val="auto"/>
                <w:kern w:val="0"/>
                <w:szCs w:val="21"/>
                <w:highlight w:val="none"/>
              </w:rPr>
              <w:t>在本项目招标公告网页下方“我要提问”栏</w:t>
            </w:r>
            <w:r>
              <w:rPr>
                <w:rFonts w:ascii="宋体" w:hAnsi="宋体"/>
                <w:color w:val="auto"/>
                <w:kern w:val="0"/>
                <w:szCs w:val="21"/>
                <w:highlight w:val="none"/>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75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招标人应在招标公告规定的时间前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重庆市公共资源交易网</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招标文件修改发出的形式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招标人应在招标公告规定的时间前</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重庆市公共资源交易网</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w:t>
            </w:r>
            <w:r>
              <w:rPr>
                <w:rFonts w:hint="eastAsia" w:ascii="宋体" w:hAnsi="宋体"/>
                <w:color w:val="auto"/>
                <w:kern w:val="0"/>
                <w:szCs w:val="21"/>
                <w:highlight w:val="none"/>
              </w:rPr>
              <w:t>形式和时间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通过重庆市电子招投标系统提出，</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w:t>
            </w:r>
            <w:r>
              <w:rPr>
                <w:rFonts w:ascii="宋体" w:hAnsi="宋体"/>
                <w:snapToGrid w:val="0"/>
                <w:color w:val="auto"/>
                <w:kern w:val="0"/>
                <w:szCs w:val="21"/>
                <w:highlight w:val="none"/>
              </w:rPr>
              <w:t>可能影响投标文件编制的</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将以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hint="eastAsia" w:ascii="宋体" w:hAnsi="宋体"/>
                <w:snapToGrid w:val="0"/>
                <w:color w:val="auto"/>
                <w:kern w:val="0"/>
                <w:szCs w:val="21"/>
                <w:highlight w:val="none"/>
              </w:rPr>
              <w:t>于</w:t>
            </w:r>
            <w:r>
              <w:rPr>
                <w:rFonts w:ascii="宋体" w:hAnsi="宋体"/>
                <w:snapToGrid w:val="0"/>
                <w:color w:val="auto"/>
                <w:kern w:val="0"/>
                <w:szCs w:val="21"/>
                <w:highlight w:val="none"/>
              </w:rPr>
              <w:t>投标截止时间15日前在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澄清修改区</w:t>
            </w:r>
            <w:r>
              <w:rPr>
                <w:rFonts w:ascii="宋体" w:hAnsi="宋体"/>
                <w:snapToGrid w:val="0"/>
                <w:color w:val="auto"/>
                <w:kern w:val="0"/>
                <w:szCs w:val="21"/>
                <w:highlight w:val="none"/>
              </w:rPr>
              <w:t>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pPr>
              <w:snapToGrid w:val="0"/>
              <w:spacing w:line="400" w:lineRule="exact"/>
              <w:ind w:firstLine="420" w:firstLineChars="200"/>
              <w:rPr>
                <w:rFonts w:hint="default" w:eastAsia="宋体"/>
                <w:color w:val="auto"/>
                <w:highlight w:val="none"/>
                <w:lang w:val="en-US" w:eastAsia="zh-CN"/>
              </w:rPr>
            </w:pPr>
            <w:r>
              <w:rPr>
                <w:rFonts w:hint="eastAsia" w:ascii="宋体" w:hAnsi="宋体"/>
                <w:color w:val="auto"/>
                <w:kern w:val="0"/>
                <w:szCs w:val="21"/>
                <w:highlight w:val="none"/>
              </w:rPr>
              <w:t>报价方式</w:t>
            </w:r>
            <w:r>
              <w:rPr>
                <w:rFonts w:hint="eastAsia"/>
                <w:color w:val="auto"/>
                <w:highlight w:val="none"/>
              </w:rPr>
              <w:t>：固定单价</w:t>
            </w:r>
            <w:r>
              <w:rPr>
                <w:rFonts w:hint="eastAsia"/>
                <w:color w:val="auto"/>
                <w:highlight w:val="none"/>
                <w:lang w:eastAsia="zh-CN"/>
              </w:rPr>
              <w:t>，</w:t>
            </w:r>
            <w:r>
              <w:rPr>
                <w:rFonts w:hint="eastAsia"/>
                <w:color w:val="auto"/>
                <w:highlight w:val="none"/>
                <w:lang w:val="en-US" w:eastAsia="zh-CN"/>
              </w:rPr>
              <w:t>采购有效期为6个月，合同签订之日起算，有效期内招标人可根据需求增减采购数量，采购价格不因市场因素或数量变化调整，</w:t>
            </w:r>
          </w:p>
          <w:p>
            <w:pPr>
              <w:snapToGrid w:val="0"/>
              <w:spacing w:line="40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供货数量</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single"/>
                <w:lang w:val="en-US" w:eastAsia="zh-CN"/>
              </w:rPr>
              <w:t>暂定791套，实际供货数量以招标人通知为准</w:t>
            </w:r>
            <w:r>
              <w:rPr>
                <w:rFonts w:hint="eastAsia" w:ascii="宋体" w:hAnsi="宋体" w:eastAsia="宋体" w:cs="宋体"/>
                <w:color w:val="auto"/>
                <w:szCs w:val="21"/>
                <w:highlight w:val="none"/>
                <w:u w:val="none"/>
                <w:lang w:val="en-US" w:eastAsia="zh-CN"/>
              </w:rPr>
              <w:t>；</w:t>
            </w:r>
          </w:p>
          <w:p>
            <w:pPr>
              <w:snapToGrid w:val="0"/>
              <w:spacing w:line="400" w:lineRule="exact"/>
              <w:ind w:firstLine="420" w:firstLineChars="200"/>
              <w:rPr>
                <w:color w:val="auto"/>
                <w:highlight w:val="none"/>
              </w:rPr>
            </w:pPr>
            <w:r>
              <w:rPr>
                <w:rFonts w:hint="eastAsia"/>
                <w:color w:val="auto"/>
                <w:highlight w:val="none"/>
                <w:lang w:val="en-US" w:eastAsia="zh-CN"/>
              </w:rPr>
              <w:t>投标报价</w:t>
            </w:r>
            <w:r>
              <w:rPr>
                <w:rFonts w:hint="eastAsia"/>
                <w:color w:val="auto"/>
                <w:highlight w:val="none"/>
              </w:rPr>
              <w:t>=固定单价报价×</w:t>
            </w:r>
            <w:r>
              <w:rPr>
                <w:rFonts w:hint="eastAsia"/>
                <w:color w:val="auto"/>
                <w:highlight w:val="none"/>
                <w:lang w:val="en-US" w:eastAsia="zh-CN"/>
              </w:rPr>
              <w:t>暂定供货量</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固定单价报价的数值保留两位小数，</w:t>
            </w:r>
            <w:r>
              <w:rPr>
                <w:rFonts w:hint="eastAsia"/>
                <w:color w:val="auto"/>
                <w:highlight w:val="none"/>
                <w:lang w:val="en-US" w:eastAsia="zh-CN"/>
              </w:rPr>
              <w:t>小数点后</w:t>
            </w:r>
            <w:r>
              <w:rPr>
                <w:rFonts w:hint="eastAsia"/>
                <w:color w:val="auto"/>
                <w:highlight w:val="none"/>
              </w:rPr>
              <w:t>第三位四舍五入，</w:t>
            </w:r>
            <w:r>
              <w:rPr>
                <w:rFonts w:hint="eastAsia"/>
                <w:color w:val="auto"/>
                <w:highlight w:val="none"/>
                <w:lang w:val="en-US" w:eastAsia="zh-CN"/>
              </w:rPr>
              <w:t>小数点后</w:t>
            </w:r>
            <w:r>
              <w:rPr>
                <w:rFonts w:hint="eastAsia"/>
                <w:color w:val="auto"/>
                <w:highlight w:val="none"/>
              </w:rPr>
              <w:t>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pPr>
              <w:snapToGrid w:val="0"/>
              <w:spacing w:line="400" w:lineRule="exact"/>
              <w:ind w:firstLine="420" w:firstLineChars="200"/>
              <w:rPr>
                <w:color w:val="auto"/>
                <w:highlight w:val="none"/>
              </w:rPr>
            </w:pPr>
            <w:r>
              <w:rPr>
                <w:rFonts w:ascii="宋体" w:hAnsi="宋体"/>
                <w:color w:val="auto"/>
                <w:szCs w:val="21"/>
                <w:highlight w:val="none"/>
              </w:rPr>
              <w:t>有，</w:t>
            </w:r>
            <w:r>
              <w:rPr>
                <w:rFonts w:hint="eastAsia"/>
                <w:color w:val="auto"/>
                <w:highlight w:val="none"/>
              </w:rPr>
              <w:t>暂定投标报价最高限价为</w:t>
            </w:r>
            <w:r>
              <w:rPr>
                <w:rFonts w:hint="eastAsia"/>
                <w:color w:val="auto"/>
                <w:highlight w:val="none"/>
                <w:u w:val="single"/>
              </w:rPr>
              <w:t xml:space="preserve">    </w:t>
            </w:r>
            <w:r>
              <w:rPr>
                <w:rFonts w:hint="eastAsia" w:ascii="Times New Roman" w:hAnsi="Times New Roman" w:cs="Times New Roman"/>
                <w:color w:val="auto"/>
                <w:highlight w:val="none"/>
                <w:u w:val="single"/>
                <w:lang w:val="en-US" w:eastAsia="zh-CN"/>
              </w:rPr>
              <w:t>8230355</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lang w:val="en-US" w:eastAsia="zh-CN"/>
              </w:rPr>
              <w:t>固定单价报价最高限价</w:t>
            </w:r>
            <w:r>
              <w:rPr>
                <w:rFonts w:hint="eastAsia"/>
                <w:color w:val="auto"/>
                <w:highlight w:val="none"/>
                <w:u w:val="none"/>
                <w:lang w:val="en-US" w:eastAsia="zh-CN"/>
              </w:rPr>
              <w:t>详见《分项报价表》</w:t>
            </w:r>
            <w:r>
              <w:rPr>
                <w:rFonts w:hint="eastAsia"/>
                <w:color w:val="auto"/>
                <w:highlight w:val="none"/>
              </w:rPr>
              <w:t>。</w:t>
            </w:r>
            <w:r>
              <w:rPr>
                <w:rFonts w:hint="eastAsia" w:ascii="宋体" w:hAnsi="宋体" w:cs="宋体"/>
                <w:color w:val="auto"/>
                <w:szCs w:val="21"/>
                <w:highlight w:val="none"/>
              </w:rPr>
              <w:t>投标人的投标报价不得超过其最高限价，否则由评标委员会作</w:t>
            </w:r>
            <w:r>
              <w:rPr>
                <w:rFonts w:hint="eastAsia" w:ascii="宋体" w:hAnsi="宋体"/>
                <w:color w:val="auto"/>
                <w:szCs w:val="21"/>
                <w:highlight w:val="none"/>
              </w:rPr>
              <w:t>否决投标处理。</w:t>
            </w:r>
          </w:p>
          <w:p>
            <w:pPr>
              <w:numPr>
                <w:ilvl w:val="-1"/>
                <w:numId w:val="0"/>
              </w:numPr>
              <w:adjustRightInd w:val="0"/>
              <w:snapToGrid w:val="0"/>
              <w:spacing w:line="360" w:lineRule="auto"/>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r>
              <w:rPr>
                <w:rFonts w:ascii="宋体" w:hAnsi="宋体"/>
                <w:color w:val="auto"/>
                <w:kern w:val="0"/>
                <w:szCs w:val="21"/>
                <w:highlight w:val="none"/>
              </w:rPr>
              <w:t>.5</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r>
              <w:rPr>
                <w:rFonts w:hint="eastAsia" w:ascii="宋体" w:hAnsi="宋体"/>
                <w:color w:val="auto"/>
                <w:kern w:val="0"/>
                <w:szCs w:val="21"/>
                <w:highlight w:val="none"/>
              </w:rPr>
              <w:t>的其他要求</w:t>
            </w:r>
          </w:p>
        </w:tc>
        <w:tc>
          <w:tcPr>
            <w:tcW w:w="6490" w:type="dxa"/>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（1）投标报价为：含税包干价格+相关费用。</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（2）含税包干价：货到招标人项目现场指定地点价。</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（3）相关费用：</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投标人的投标报价包含但不限于投标货物及材料、备品备件、专用工具、系统改造、</w:t>
            </w:r>
            <w:r>
              <w:rPr>
                <w:rFonts w:hint="eastAsia" w:ascii="宋体" w:hAnsi="宋体" w:cs="宋体"/>
                <w:color w:val="auto"/>
                <w:highlight w:val="none"/>
                <w:lang w:val="en-US" w:eastAsia="zh-CN"/>
              </w:rPr>
              <w:t>视频接入平台授权、</w:t>
            </w:r>
            <w:r>
              <w:rPr>
                <w:rFonts w:hint="eastAsia" w:ascii="宋体" w:hAnsi="宋体" w:cs="宋体"/>
                <w:color w:val="auto"/>
                <w:highlight w:val="none"/>
              </w:rPr>
              <w:t>技术升级、技术资料、技术服务和技术培训的价格和费用，还包括货到交货地点的运输、装卸、保险及所有货物的包装费（所有费用含税）及招标代理服务费、交易服务费等所有费用。报价为含税包干价格，招标人不再额外支付其他费用。</w:t>
            </w:r>
          </w:p>
          <w:p>
            <w:pPr>
              <w:adjustRightInd w:val="0"/>
              <w:snapToGrid w:val="0"/>
              <w:spacing w:line="360" w:lineRule="auto"/>
              <w:ind w:firstLine="0" w:firstLineChars="0"/>
              <w:rPr>
                <w:rFonts w:ascii="宋体" w:hAnsi="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w:t>
            </w:r>
            <w:r>
              <w:rPr>
                <w:rFonts w:hint="eastAsia" w:ascii="宋体" w:hAnsi="宋体" w:cs="宋体"/>
                <w:color w:val="auto"/>
                <w:highlight w:val="none"/>
              </w:rPr>
              <w:t>为含税包干价格，采购人不再额外支付其他费用。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snapToGrid w:val="0"/>
              <w:spacing w:line="400" w:lineRule="exact"/>
              <w:rPr>
                <w:color w:val="auto"/>
                <w:highlight w:val="none"/>
              </w:rPr>
            </w:pPr>
            <w:r>
              <w:rPr>
                <w:color w:val="auto"/>
                <w:highlight w:val="none"/>
              </w:rPr>
              <w:t>是否要求投标人递交投标保证金：</w:t>
            </w:r>
          </w:p>
          <w:p>
            <w:pPr>
              <w:snapToGrid w:val="0"/>
              <w:spacing w:line="400" w:lineRule="exact"/>
              <w:ind w:firstLine="420" w:firstLineChars="200"/>
              <w:rPr>
                <w:color w:val="auto"/>
                <w:highlight w:val="none"/>
              </w:rPr>
            </w:pPr>
            <w:r>
              <w:rPr>
                <w:color w:val="auto"/>
                <w:highlight w:val="none"/>
              </w:rPr>
              <w:t>要求</w:t>
            </w:r>
            <w:r>
              <w:rPr>
                <w:rFonts w:hint="eastAsia"/>
                <w:color w:val="auto"/>
                <w:highlight w:val="none"/>
              </w:rPr>
              <w:t>，投标人可选择以下三种交纳方式之一：</w:t>
            </w:r>
          </w:p>
          <w:p>
            <w:pPr>
              <w:snapToGrid w:val="0"/>
              <w:spacing w:line="400" w:lineRule="exact"/>
              <w:ind w:firstLine="420" w:firstLineChars="200"/>
              <w:rPr>
                <w:color w:val="auto"/>
                <w:highlight w:val="none"/>
              </w:rPr>
            </w:pPr>
            <w:r>
              <w:rPr>
                <w:rFonts w:hint="eastAsia"/>
                <w:color w:val="auto"/>
                <w:highlight w:val="none"/>
              </w:rPr>
              <w:t>方式一</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以电子投标保函形式交纳投标保证金</w:t>
            </w:r>
          </w:p>
          <w:p>
            <w:pPr>
              <w:snapToGrid w:val="0"/>
              <w:spacing w:line="400" w:lineRule="exact"/>
              <w:ind w:firstLine="420" w:firstLineChars="200"/>
              <w:rPr>
                <w:color w:val="auto"/>
                <w:highlight w:val="none"/>
              </w:rPr>
            </w:pPr>
            <w:r>
              <w:rPr>
                <w:rFonts w:hint="eastAsia"/>
                <w:color w:val="auto"/>
                <w:highlight w:val="none"/>
              </w:rPr>
              <w:t>1. 电子投标保函交纳形式及要求：投标人在投标截止时间前通过重庆市公共资源交易金融服务平台电子投标保函系统（https://jrfw.cqggzy.com/，下同）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color w:val="auto"/>
                <w:highlight w:val="none"/>
              </w:rPr>
            </w:pPr>
            <w:r>
              <w:rPr>
                <w:rFonts w:hint="eastAsia"/>
                <w:color w:val="auto"/>
                <w:highlight w:val="none"/>
              </w:rPr>
              <w:t>若投标截止时间延期，则电子投标保函提交的截止时间和投标截止时间应当保持一致。</w:t>
            </w:r>
          </w:p>
          <w:p>
            <w:pPr>
              <w:snapToGrid w:val="0"/>
              <w:spacing w:line="400" w:lineRule="exact"/>
              <w:ind w:firstLine="420" w:firstLineChars="200"/>
              <w:rPr>
                <w:color w:val="auto"/>
                <w:highlight w:val="none"/>
              </w:rPr>
            </w:pPr>
            <w:r>
              <w:rPr>
                <w:rFonts w:hint="eastAsia"/>
                <w:color w:val="auto"/>
                <w:highlight w:val="none"/>
              </w:rPr>
              <w:t>不满足上述要求的电子</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以电子投标保函形式担保的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10</w:t>
            </w:r>
            <w:r>
              <w:rPr>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3. 电子投标保函</w:t>
            </w:r>
          </w:p>
          <w:p>
            <w:pPr>
              <w:snapToGrid w:val="0"/>
              <w:spacing w:line="400" w:lineRule="exact"/>
              <w:ind w:firstLine="420" w:firstLineChars="200"/>
              <w:rPr>
                <w:color w:val="auto"/>
                <w:highlight w:val="none"/>
              </w:rPr>
            </w:pPr>
            <w:r>
              <w:rPr>
                <w:rFonts w:hint="eastAsia"/>
                <w:color w:val="auto"/>
                <w:highlight w:val="none"/>
              </w:rPr>
              <w:t>以</w:t>
            </w:r>
            <w:r>
              <w:rPr>
                <w:rFonts w:hint="eastAsia"/>
                <w:color w:val="auto"/>
                <w:highlight w:val="none"/>
                <w:u w:val="single"/>
              </w:rPr>
              <w:t>重庆市公共资源交易中心</w:t>
            </w:r>
            <w:r>
              <w:rPr>
                <w:rFonts w:hint="eastAsia"/>
                <w:color w:val="auto"/>
                <w:highlight w:val="none"/>
              </w:rPr>
              <w:t>开标现场展示的电子投标保函交纳情况为准，投标人在投标时无须再提供电子投标保函的相关资料。</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电子</w:t>
            </w:r>
            <w:r>
              <w:rPr>
                <w:color w:val="auto"/>
                <w:highlight w:val="none"/>
              </w:rPr>
              <w:t>投标保函的</w:t>
            </w:r>
            <w:r>
              <w:rPr>
                <w:rFonts w:hint="eastAsia"/>
                <w:color w:val="auto"/>
                <w:highlight w:val="none"/>
              </w:rPr>
              <w:t>注销</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hint="eastAsia"/>
                <w:color w:val="auto"/>
                <w:highlight w:val="none"/>
              </w:rPr>
            </w:pPr>
            <w:r>
              <w:rPr>
                <w:rFonts w:hint="eastAsia"/>
                <w:color w:val="auto"/>
                <w:highlight w:val="none"/>
              </w:rPr>
              <w:t>招标人应当在法定时间内和中标人签订合同。招标人应当在合同生效后2个工作日内将签订的合同和电子投标保函退还通知抄告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在收到电子投标保函退还通知后2个工作日内，将保函注销信息推送给重庆市公共资源交易金融服务平台，由保函出具机构注销中标人和中标候选人的电子投标保函。</w:t>
            </w:r>
          </w:p>
          <w:p>
            <w:pPr>
              <w:pStyle w:val="2"/>
              <w:rPr>
                <w:highlight w:val="none"/>
              </w:rPr>
            </w:pPr>
          </w:p>
          <w:p>
            <w:pPr>
              <w:snapToGrid w:val="0"/>
              <w:spacing w:line="400" w:lineRule="exact"/>
              <w:ind w:firstLine="420" w:firstLineChars="200"/>
              <w:rPr>
                <w:color w:val="auto"/>
                <w:highlight w:val="none"/>
              </w:rPr>
            </w:pPr>
            <w:r>
              <w:rPr>
                <w:rFonts w:hint="eastAsia"/>
                <w:color w:val="auto"/>
                <w:highlight w:val="none"/>
              </w:rPr>
              <w:t>方式二</w:t>
            </w:r>
          </w:p>
          <w:p>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pPr>
              <w:snapToGrid w:val="0"/>
              <w:spacing w:line="400" w:lineRule="exact"/>
              <w:ind w:firstLine="420" w:firstLineChars="200"/>
              <w:rPr>
                <w:color w:val="auto"/>
                <w:highlight w:val="none"/>
              </w:rPr>
            </w:pPr>
            <w:r>
              <w:rPr>
                <w:rFonts w:hint="eastAsia"/>
                <w:color w:val="auto"/>
                <w:highlight w:val="none"/>
              </w:rPr>
              <w:t>1、投标保证金交款形式及要求：投标人从企业的基本账户（开户行）在投标截止时间前通过转账支票直接划付或以电汇方式直接划付至指定的投标保证金账户。若投标截止时间延期，则投标保证金提交的截止时间和投标截止时间应当保持一致。不满足上述要求的投标保证金</w:t>
            </w:r>
            <w:r>
              <w:rPr>
                <w:color w:val="auto"/>
                <w:highlight w:val="none"/>
              </w:rPr>
              <w:t>无效。</w:t>
            </w:r>
          </w:p>
          <w:p>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pPr>
              <w:snapToGrid w:val="0"/>
              <w:spacing w:line="400" w:lineRule="exact"/>
              <w:ind w:firstLine="420" w:firstLineChars="200"/>
              <w:rPr>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万元整（人民币）。</w:t>
            </w:r>
          </w:p>
          <w:p>
            <w:pPr>
              <w:snapToGrid w:val="0"/>
              <w:spacing w:line="400" w:lineRule="exact"/>
              <w:ind w:firstLine="420" w:firstLineChars="200"/>
              <w:rPr>
                <w:color w:val="auto"/>
                <w:highlight w:val="none"/>
              </w:rPr>
            </w:pPr>
            <w:r>
              <w:rPr>
                <w:rFonts w:hint="eastAsia"/>
                <w:color w:val="auto"/>
                <w:highlight w:val="none"/>
              </w:rPr>
              <w:t>3、投标保证金账户及账号（任选其一）：</w:t>
            </w:r>
          </w:p>
          <w:p>
            <w:pPr>
              <w:snapToGrid w:val="0"/>
              <w:spacing w:line="400" w:lineRule="exact"/>
              <w:ind w:firstLine="420" w:firstLineChars="200"/>
              <w:rPr>
                <w:color w:val="auto"/>
                <w:highlight w:val="none"/>
              </w:rPr>
            </w:pPr>
            <w:r>
              <w:rPr>
                <w:rFonts w:hint="eastAsia"/>
                <w:color w:val="auto"/>
                <w:highlight w:val="none"/>
              </w:rPr>
              <w:t>详见</w:t>
            </w:r>
            <w:r>
              <w:rPr>
                <w:rFonts w:hint="eastAsia"/>
                <w:color w:val="auto"/>
                <w:highlight w:val="none"/>
                <w:u w:val="single"/>
              </w:rPr>
              <w:t>重庆市公共资源交易网</w:t>
            </w:r>
            <w:r>
              <w:rPr>
                <w:rFonts w:hint="eastAsia"/>
                <w:color w:val="auto"/>
                <w:highlight w:val="none"/>
              </w:rPr>
              <w:t>对应本项目招标公告信息栏中的保证金信息。</w:t>
            </w:r>
          </w:p>
          <w:p>
            <w:pPr>
              <w:snapToGrid w:val="0"/>
              <w:spacing w:line="400" w:lineRule="exact"/>
              <w:ind w:firstLine="420" w:firstLineChars="200"/>
              <w:rPr>
                <w:color w:val="auto"/>
                <w:highlight w:val="none"/>
              </w:rPr>
            </w:pPr>
            <w:r>
              <w:rPr>
                <w:rFonts w:hint="eastAsia"/>
                <w:color w:val="auto"/>
                <w:highlight w:val="none"/>
              </w:rPr>
              <w:t>投标保证金以</w:t>
            </w:r>
            <w:r>
              <w:rPr>
                <w:rFonts w:hint="eastAsia"/>
                <w:color w:val="auto"/>
                <w:highlight w:val="none"/>
                <w:u w:val="single"/>
              </w:rPr>
              <w:t>重庆市公共资源交易中心</w:t>
            </w:r>
            <w:r>
              <w:rPr>
                <w:rFonts w:hint="eastAsia"/>
                <w:color w:val="auto"/>
                <w:highlight w:val="none"/>
              </w:rPr>
              <w:t>开标现场展示的保证金交纳情况为准。投标人须在投标文件资格审查部分“其他资料”中提供企业基本账户开户证明文件。</w:t>
            </w:r>
          </w:p>
          <w:p>
            <w:pPr>
              <w:snapToGrid w:val="0"/>
              <w:spacing w:line="400" w:lineRule="exact"/>
              <w:ind w:firstLine="420" w:firstLineChars="200"/>
              <w:rPr>
                <w:color w:val="auto"/>
                <w:highlight w:val="none"/>
              </w:rPr>
            </w:pPr>
            <w:r>
              <w:rPr>
                <w:rFonts w:hint="eastAsia"/>
                <w:color w:val="auto"/>
                <w:highlight w:val="none"/>
              </w:rPr>
              <w:t>4、投标人必须在付款凭证备注栏中注明是“</w:t>
            </w:r>
            <w:r>
              <w:rPr>
                <w:rFonts w:hint="eastAsia"/>
                <w:color w:val="auto"/>
                <w:highlight w:val="none"/>
                <w:u w:val="single"/>
              </w:rPr>
              <w:t xml:space="preserve"> </w:t>
            </w:r>
            <w:r>
              <w:rPr>
                <w:rFonts w:hint="eastAsia"/>
                <w:color w:val="auto"/>
                <w:highlight w:val="none"/>
                <w:u w:val="single"/>
                <w:lang w:eastAsia="zh-CN"/>
              </w:rPr>
              <w:t>重庆高速集团所属路段视频监测优化提升项目摄像机采购（第二次）</w:t>
            </w:r>
            <w:r>
              <w:rPr>
                <w:rFonts w:hint="eastAsia"/>
                <w:color w:val="auto"/>
                <w:highlight w:val="none"/>
                <w:u w:val="single"/>
              </w:rPr>
              <w:t>项目</w:t>
            </w:r>
            <w:r>
              <w:rPr>
                <w:rFonts w:hint="eastAsia"/>
                <w:color w:val="auto"/>
                <w:highlight w:val="none"/>
              </w:rPr>
              <w:t>投标保证金”。项目名称可简写成：</w:t>
            </w:r>
            <w:r>
              <w:rPr>
                <w:rFonts w:hint="eastAsia"/>
                <w:color w:val="auto"/>
                <w:highlight w:val="none"/>
                <w:u w:val="single"/>
              </w:rPr>
              <w:t xml:space="preserve">  </w:t>
            </w:r>
            <w:r>
              <w:rPr>
                <w:rFonts w:hint="eastAsia"/>
                <w:color w:val="auto"/>
                <w:highlight w:val="none"/>
                <w:u w:val="single"/>
                <w:lang w:val="en-US" w:eastAsia="zh-CN"/>
              </w:rPr>
              <w:t>高速摄像机采购</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5、投标保证金有效期与投标有效期一致。</w:t>
            </w:r>
          </w:p>
          <w:p>
            <w:pPr>
              <w:snapToGrid w:val="0"/>
              <w:spacing w:line="400" w:lineRule="exact"/>
              <w:ind w:firstLine="420" w:firstLineChars="200"/>
              <w:rPr>
                <w:color w:val="auto"/>
                <w:highlight w:val="none"/>
              </w:rPr>
            </w:pPr>
            <w:r>
              <w:rPr>
                <w:rFonts w:hint="eastAsia"/>
                <w:color w:val="auto"/>
                <w:highlight w:val="none"/>
              </w:rPr>
              <w:t>6、根据重庆市公共资源交易中心《关于开展公共资源交易市场主体信息登记工作的公告》的要求，投标人在开标前需在重庆市公共资源交易网（</w:t>
            </w:r>
            <w:r>
              <w:rPr>
                <w:rFonts w:hint="eastAsia" w:ascii="宋体" w:hAnsi="宋体"/>
                <w:snapToGrid w:val="0"/>
                <w:color w:val="auto"/>
                <w:kern w:val="0"/>
                <w:szCs w:val="21"/>
                <w:highlight w:val="none"/>
                <w:u w:val="none"/>
              </w:rPr>
              <w:t>https://www.cqggzy.com/</w:t>
            </w:r>
            <w:r>
              <w:rPr>
                <w:rFonts w:hint="eastAsia"/>
                <w:color w:val="auto"/>
                <w:highlight w:val="non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color w:val="auto"/>
                <w:highlight w:val="none"/>
              </w:rPr>
            </w:pPr>
            <w:r>
              <w:rPr>
                <w:rFonts w:hint="eastAsia"/>
                <w:color w:val="auto"/>
                <w:highlight w:val="none"/>
              </w:rPr>
              <w:t>二、投标保证金的退还</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在收到保证金退还通知后2个工作日内，向除中标人和中标候选人以外的投标人，退还投标保证金及银行同期活期存款利息。</w:t>
            </w:r>
          </w:p>
          <w:p>
            <w:pPr>
              <w:snapToGrid w:val="0"/>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在收到保证金退还通知后2个工作日内，向中标人和中标候选人退还投标保证金及银行同期活期存款利息。</w:t>
            </w:r>
          </w:p>
          <w:p>
            <w:pPr>
              <w:snapToGrid w:val="0"/>
              <w:spacing w:line="400" w:lineRule="exact"/>
              <w:ind w:firstLine="420" w:firstLineChars="200"/>
              <w:jc w:val="left"/>
              <w:rPr>
                <w:color w:val="auto"/>
                <w:highlight w:val="none"/>
              </w:rPr>
            </w:pPr>
            <w:r>
              <w:rPr>
                <w:rFonts w:hint="eastAsia"/>
                <w:color w:val="auto"/>
                <w:highlight w:val="none"/>
              </w:rPr>
              <w:t>投标保证金专用账户由</w:t>
            </w:r>
            <w:r>
              <w:rPr>
                <w:rFonts w:hint="eastAsia"/>
                <w:color w:val="auto"/>
                <w:highlight w:val="none"/>
                <w:u w:val="single"/>
              </w:rPr>
              <w:t>重庆市公共资源交易中心</w:t>
            </w:r>
            <w:r>
              <w:rPr>
                <w:rFonts w:hint="eastAsia"/>
                <w:color w:val="auto"/>
                <w:highlight w:val="none"/>
              </w:rPr>
              <w:t>制定，关于保证金相关情况的问题请咨询</w:t>
            </w:r>
            <w:r>
              <w:rPr>
                <w:rFonts w:hint="eastAsia"/>
                <w:color w:val="auto"/>
                <w:highlight w:val="none"/>
                <w:u w:val="single"/>
              </w:rPr>
              <w:t>重庆市公共资源交易中心</w:t>
            </w:r>
            <w:r>
              <w:rPr>
                <w:rFonts w:hint="eastAsia"/>
                <w:color w:val="auto"/>
                <w:highlight w:val="none"/>
              </w:rPr>
              <w:t>，联系电话023-</w:t>
            </w:r>
            <w:r>
              <w:rPr>
                <w:rFonts w:hint="eastAsia"/>
                <w:color w:val="auto"/>
                <w:highlight w:val="none"/>
                <w:u w:val="single"/>
              </w:rPr>
              <w:t xml:space="preserve"> </w:t>
            </w:r>
            <w:r>
              <w:rPr>
                <w:rFonts w:cs="宋体" w:asciiTheme="minorEastAsia" w:hAnsiTheme="minorEastAsia" w:eastAsiaTheme="minorEastAsia"/>
                <w:szCs w:val="21"/>
                <w:highlight w:val="none"/>
                <w:u w:val="single"/>
              </w:rPr>
              <w:t>63672115</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p>
          <w:p>
            <w:pPr>
              <w:snapToGrid w:val="0"/>
              <w:spacing w:line="400" w:lineRule="exact"/>
              <w:ind w:firstLine="420" w:firstLineChars="200"/>
              <w:rPr>
                <w:color w:val="auto"/>
                <w:highlight w:val="none"/>
              </w:rPr>
            </w:pPr>
            <w:r>
              <w:rPr>
                <w:rFonts w:hint="eastAsia"/>
                <w:color w:val="auto"/>
                <w:highlight w:val="none"/>
              </w:rPr>
              <w:t>方式三</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以纸质投标保函形式交纳投标保证金</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 纸质投标保函</w:t>
            </w:r>
            <w:r>
              <w:rPr>
                <w:color w:val="auto"/>
                <w:highlight w:val="none"/>
              </w:rPr>
              <w:t>交纳形式及要求：</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交</w:t>
            </w:r>
            <w:r>
              <w:rPr>
                <w:color w:val="auto"/>
                <w:highlight w:val="none"/>
              </w:rPr>
              <w:t>纳形式：</w:t>
            </w:r>
            <w:r>
              <w:rPr>
                <w:rFonts w:hint="eastAsia"/>
                <w:color w:val="auto"/>
                <w:highlight w:val="none"/>
              </w:rPr>
              <w:t>纸质投标保函包括银行保函、保证保险和担保保函，其示范文本详见第六章投标文件格式。投标人提交的纸质投标保函应严格执行其示范文本，不得对示范文本中的实质性内容进行修改。</w:t>
            </w:r>
          </w:p>
          <w:p>
            <w:pPr>
              <w:snapToGrid w:val="0"/>
              <w:spacing w:line="400" w:lineRule="exact"/>
              <w:ind w:firstLine="420" w:firstLineChars="200"/>
              <w:rPr>
                <w:rFonts w:hint="eastAsia"/>
                <w:color w:val="auto"/>
                <w:highlight w:val="none"/>
              </w:rPr>
            </w:pPr>
            <w:r>
              <w:rPr>
                <w:color w:val="auto"/>
                <w:highlight w:val="none"/>
              </w:rPr>
              <w:t>（2）具体要求：</w:t>
            </w:r>
            <w:r>
              <w:rPr>
                <w:rFonts w:hint="eastAsia"/>
                <w:color w:val="auto"/>
                <w:highlight w:val="none"/>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color w:val="auto"/>
                <w:highlight w:val="none"/>
              </w:rPr>
            </w:pPr>
            <w:r>
              <w:rPr>
                <w:rFonts w:hint="eastAsia"/>
                <w:color w:val="auto"/>
                <w:highlight w:val="none"/>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color w:val="auto"/>
                <w:highlight w:val="none"/>
              </w:rPr>
              <w:t>不满足上述要求的纸质</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以纸质投标保函形式担保的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10</w:t>
            </w:r>
            <w:r>
              <w:rPr>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 xml:space="preserve">3. </w:t>
            </w:r>
            <w:r>
              <w:rPr>
                <w:color w:val="auto"/>
                <w:highlight w:val="none"/>
              </w:rPr>
              <w:t>投标人须</w:t>
            </w:r>
            <w:r>
              <w:rPr>
                <w:rFonts w:hint="eastAsia"/>
                <w:color w:val="auto"/>
                <w:highlight w:val="none"/>
              </w:rPr>
              <w:t>在纸质投标保函中注明在重庆市辖区范围内的核验地址和核验方式，并确保其递交的纸质</w:t>
            </w:r>
            <w:r>
              <w:rPr>
                <w:color w:val="auto"/>
                <w:highlight w:val="none"/>
              </w:rPr>
              <w:t>投标保函能在</w:t>
            </w:r>
            <w:r>
              <w:rPr>
                <w:rFonts w:hint="eastAsia"/>
                <w:color w:val="auto"/>
                <w:highlight w:val="none"/>
              </w:rPr>
              <w:t>开立人在渝的总部或者分支机构进行核验。</w:t>
            </w:r>
          </w:p>
          <w:p>
            <w:pPr>
              <w:snapToGrid w:val="0"/>
              <w:spacing w:line="400" w:lineRule="exact"/>
              <w:ind w:firstLine="420" w:firstLineChars="200"/>
              <w:rPr>
                <w:color w:val="auto"/>
                <w:highlight w:val="none"/>
              </w:rPr>
            </w:pPr>
            <w:r>
              <w:rPr>
                <w:rFonts w:hint="eastAsia"/>
                <w:color w:val="auto"/>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color w:val="auto"/>
                <w:highlight w:val="none"/>
              </w:rPr>
            </w:pPr>
            <w:r>
              <w:rPr>
                <w:rFonts w:hint="eastAsia"/>
                <w:color w:val="auto"/>
                <w:highlight w:val="none"/>
              </w:rPr>
              <w:t>5. 在发出中标通知书前，招标人应当对投标人（至少中标候选人或中标人）</w:t>
            </w:r>
            <w:r>
              <w:rPr>
                <w:rFonts w:hint="eastAsia"/>
                <w:color w:val="auto"/>
                <w:highlight w:val="none"/>
                <w:lang w:val="en-US" w:eastAsia="zh-CN"/>
              </w:rPr>
              <w:t>递交</w:t>
            </w:r>
            <w:r>
              <w:rPr>
                <w:rFonts w:hint="eastAsia"/>
                <w:color w:val="auto"/>
                <w:highlight w:val="none"/>
              </w:rPr>
              <w:t>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纸质</w:t>
            </w:r>
            <w:r>
              <w:rPr>
                <w:color w:val="auto"/>
                <w:highlight w:val="none"/>
              </w:rPr>
              <w:t>投标保函的</w:t>
            </w:r>
            <w:r>
              <w:rPr>
                <w:rFonts w:hint="eastAsia"/>
                <w:color w:val="auto"/>
                <w:highlight w:val="none"/>
              </w:rPr>
              <w:t>退还、注销</w:t>
            </w:r>
          </w:p>
          <w:p>
            <w:pPr>
              <w:snapToGrid w:val="0"/>
              <w:spacing w:line="400" w:lineRule="exact"/>
              <w:ind w:firstLine="420" w:firstLineChars="200"/>
              <w:rPr>
                <w:color w:val="auto"/>
                <w:highlight w:val="none"/>
              </w:rPr>
            </w:pPr>
            <w:r>
              <w:rPr>
                <w:color w:val="auto"/>
                <w:highlight w:val="none"/>
              </w:rPr>
              <w:t>招标人应当在法定时间内确定中标人，向中标人发出中标通知书，同时向除中标候选人以外的其他投标人退还</w:t>
            </w:r>
            <w:r>
              <w:rPr>
                <w:rFonts w:hint="eastAsia"/>
                <w:color w:val="auto"/>
                <w:highlight w:val="none"/>
              </w:rPr>
              <w:t>纸质</w:t>
            </w:r>
            <w:r>
              <w:rPr>
                <w:color w:val="auto"/>
                <w:highlight w:val="none"/>
              </w:rPr>
              <w:t>投标保函正本并书面通知相关</w:t>
            </w:r>
            <w:r>
              <w:rPr>
                <w:rFonts w:hint="eastAsia"/>
                <w:color w:val="auto"/>
                <w:highlight w:val="none"/>
                <w:lang w:val="en-US" w:eastAsia="zh-CN"/>
              </w:rPr>
              <w:t>金融机构</w:t>
            </w:r>
            <w:r>
              <w:rPr>
                <w:color w:val="auto"/>
                <w:highlight w:val="none"/>
              </w:rPr>
              <w:t>本项目准予提前注销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p>
            <w:pPr>
              <w:snapToGrid w:val="0"/>
              <w:spacing w:line="400" w:lineRule="exact"/>
              <w:ind w:firstLine="420" w:firstLineChars="200"/>
              <w:jc w:val="left"/>
              <w:rPr>
                <w:color w:val="auto"/>
                <w:highlight w:val="none"/>
              </w:rPr>
            </w:pPr>
            <w:r>
              <w:rPr>
                <w:color w:val="auto"/>
                <w:highlight w:val="none"/>
              </w:rPr>
              <w:t>招标人应在法定时间内和中标人</w:t>
            </w:r>
            <w:r>
              <w:rPr>
                <w:rFonts w:hint="eastAsia"/>
                <w:color w:val="auto"/>
                <w:highlight w:val="none"/>
              </w:rPr>
              <w:t>签订</w:t>
            </w:r>
            <w:r>
              <w:rPr>
                <w:color w:val="auto"/>
                <w:highlight w:val="none"/>
              </w:rPr>
              <w:t>合同，并同时书面通知相关</w:t>
            </w:r>
            <w:r>
              <w:rPr>
                <w:rFonts w:hint="eastAsia"/>
                <w:color w:val="auto"/>
                <w:highlight w:val="none"/>
                <w:lang w:val="en-US" w:eastAsia="zh-CN"/>
              </w:rPr>
              <w:t>金融机构</w:t>
            </w:r>
            <w:r>
              <w:rPr>
                <w:color w:val="auto"/>
                <w:highlight w:val="none"/>
              </w:rPr>
              <w:t>向中标人和其他中标候选人注销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.4.4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不予退还投标保证金的情形</w:t>
            </w:r>
          </w:p>
        </w:tc>
        <w:tc>
          <w:tcPr>
            <w:tcW w:w="6490" w:type="dxa"/>
            <w:vAlign w:val="center"/>
          </w:tcPr>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（1）投标人在规定的投标有效期内撤销</w:t>
            </w:r>
            <w:r>
              <w:rPr>
                <w:rFonts w:hint="eastAsia" w:ascii="宋体" w:hAnsi="宋体"/>
                <w:color w:val="auto"/>
                <w:kern w:val="0"/>
                <w:szCs w:val="21"/>
                <w:highlight w:val="none"/>
                <w:lang w:val="en-US" w:eastAsia="zh-CN"/>
              </w:rPr>
              <w:t>或修改</w:t>
            </w:r>
            <w:r>
              <w:rPr>
                <w:rFonts w:hint="eastAsia" w:ascii="宋体" w:hAnsi="宋体"/>
                <w:color w:val="auto"/>
                <w:kern w:val="0"/>
                <w:szCs w:val="21"/>
                <w:highlight w:val="none"/>
              </w:rPr>
              <w:t>投标文件；</w:t>
            </w:r>
          </w:p>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（2）中标人在收到中标通知书后，无正当理由不与招标人订立合同，在签订合同时向招标人提出附加条件，或者不按照招标文件要求提交履约保证金；</w:t>
            </w:r>
          </w:p>
          <w:p>
            <w:pPr>
              <w:snapToGrid w:val="0"/>
              <w:spacing w:line="400" w:lineRule="exact"/>
              <w:ind w:firstLine="420" w:firstLineChars="200"/>
              <w:jc w:val="left"/>
              <w:rPr>
                <w:color w:val="auto"/>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ascii="宋体" w:hAnsi="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754" w:type="dxa"/>
            <w:vAlign w:val="center"/>
          </w:tcPr>
          <w:p>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投标文件应使用专用的“新点投标文件制作软件（重庆版）”编制而成。第六章 投标文件格式要求法定代表人或其委托代理人签名（或盖章）的须齐全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szCs w:val="21"/>
                <w:highlight w:val="none"/>
              </w:rPr>
              <w:t>签名采用手写签名</w:t>
            </w:r>
            <w:r>
              <w:rPr>
                <w:rFonts w:hint="eastAsia" w:ascii="宋体" w:hAnsi="宋体"/>
                <w:color w:val="auto"/>
                <w:szCs w:val="21"/>
                <w:highlight w:val="none"/>
                <w:lang w:eastAsia="zh-CN"/>
              </w:rPr>
              <w:t>或签章</w:t>
            </w:r>
            <w:r>
              <w:rPr>
                <w:rFonts w:hint="eastAsia" w:ascii="宋体" w:hAnsi="宋体"/>
                <w:color w:val="auto"/>
                <w:szCs w:val="21"/>
                <w:highlight w:val="none"/>
              </w:rPr>
              <w:t>或加盖CA数字证书均可。要求加盖单位法人章的，应使用 CA 数字证书加盖投标人的单位电子印章。</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75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rPr>
              <w:t>本工程采用全流程电子招标投标，投标人提供的投标文件为：</w:t>
            </w:r>
          </w:p>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加密电子投标文件（网上递交）一份。</w:t>
            </w:r>
          </w:p>
          <w:p>
            <w:pPr>
              <w:autoSpaceDE w:val="0"/>
              <w:autoSpaceDN w:val="0"/>
              <w:adjustRightInd w:val="0"/>
              <w:snapToGrid w:val="0"/>
              <w:spacing w:afterLines="30" w:line="400" w:lineRule="exact"/>
              <w:ind w:left="0" w:firstLine="420" w:firstLineChars="200"/>
              <w:rPr>
                <w:rFonts w:hint="eastAsia" w:ascii="宋体" w:hAnsi="宋体" w:cs="宋体"/>
                <w:kern w:val="0"/>
                <w:szCs w:val="21"/>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kern w:val="0"/>
                <w:szCs w:val="21"/>
                <w:highlight w:val="none"/>
              </w:rPr>
              <w:t>样品内容：</w:t>
            </w:r>
            <w:r>
              <w:rPr>
                <w:rFonts w:hint="eastAsia" w:ascii="宋体" w:hAnsi="宋体" w:cs="宋体"/>
                <w:kern w:val="0"/>
                <w:szCs w:val="21"/>
                <w:highlight w:val="none"/>
                <w:lang w:val="en-US" w:eastAsia="zh-CN"/>
              </w:rPr>
              <w:t>一套智能一体化整机监控摄像机</w:t>
            </w:r>
          </w:p>
          <w:p>
            <w:pPr>
              <w:autoSpaceDE w:val="0"/>
              <w:autoSpaceDN w:val="0"/>
              <w:adjustRightInd w:val="0"/>
              <w:snapToGrid w:val="0"/>
              <w:spacing w:afterLines="30" w:line="400" w:lineRule="exact"/>
              <w:ind w:left="0" w:firstLine="420" w:firstLineChars="200"/>
              <w:rPr>
                <w:rFonts w:ascii="宋体" w:hAnsi="宋体" w:cs="宋体"/>
                <w:kern w:val="0"/>
                <w:sz w:val="18"/>
                <w:szCs w:val="21"/>
                <w:highlight w:val="none"/>
              </w:rPr>
            </w:pPr>
            <w:r>
              <w:rPr>
                <w:rFonts w:hint="eastAsia"/>
                <w:color w:val="auto"/>
                <w:highlight w:val="none"/>
                <w:lang w:val="en-US" w:eastAsia="zh-CN"/>
              </w:rPr>
              <w:t>（3）样品要求：</w:t>
            </w:r>
            <w:r>
              <w:rPr>
                <w:rFonts w:hint="eastAsia" w:ascii="宋体" w:hAnsi="宋体" w:cs="宋体"/>
                <w:kern w:val="0"/>
                <w:szCs w:val="21"/>
                <w:highlight w:val="none"/>
              </w:rPr>
              <w:t>投标人在递交投标文件的同时，应按招标文件第五章供</w:t>
            </w:r>
            <w:r>
              <w:rPr>
                <w:rFonts w:hint="eastAsia" w:ascii="宋体" w:hAnsi="宋体" w:cs="宋体"/>
                <w:highlight w:val="none"/>
              </w:rPr>
              <w:t>货要求</w:t>
            </w:r>
            <w:r>
              <w:rPr>
                <w:rFonts w:hint="eastAsia" w:ascii="宋体" w:hAnsi="宋体" w:cs="宋体"/>
                <w:kern w:val="0"/>
                <w:szCs w:val="21"/>
                <w:highlight w:val="none"/>
              </w:rPr>
              <w:t>中要求的提供与供货实物一致的样品，样品不作为资格审查标准，但会影响评分，详见第三章。</w:t>
            </w:r>
          </w:p>
          <w:p>
            <w:pPr>
              <w:autoSpaceDE w:val="0"/>
              <w:autoSpaceDN w:val="0"/>
              <w:adjustRightInd w:val="0"/>
              <w:snapToGrid w:val="0"/>
              <w:spacing w:afterLines="30" w:line="400" w:lineRule="exact"/>
              <w:ind w:left="0" w:firstLine="420" w:firstLineChars="200"/>
              <w:rPr>
                <w:rFonts w:hint="eastAsia" w:ascii="宋体" w:hAnsi="宋体" w:eastAsia="宋体" w:cs="宋体"/>
                <w:kern w:val="0"/>
                <w:sz w:val="18"/>
                <w:szCs w:val="21"/>
                <w:highlight w:val="none"/>
                <w:lang w:eastAsia="zh-CN"/>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）样品提交的截止时间：同投标文件递交截止时间</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eastAsia" w:ascii="宋体" w:hAnsi="宋体" w:eastAsia="宋体" w:cs="宋体"/>
                <w:kern w:val="0"/>
                <w:sz w:val="18"/>
                <w:szCs w:val="21"/>
                <w:highlight w:val="none"/>
                <w:lang w:eastAsia="zh-CN"/>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）样品送达地点：同投标文件递交地点</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）样品逾期送达或者未送达指定地点，招标人将拒收投标人递交的样品</w:t>
            </w:r>
            <w:r>
              <w:rPr>
                <w:rFonts w:hint="eastAsia" w:ascii="宋体" w:hAnsi="宋体" w:cs="宋体"/>
                <w:kern w:val="0"/>
                <w:szCs w:val="21"/>
                <w:highlight w:val="none"/>
                <w:lang w:eastAsia="zh-CN"/>
              </w:rPr>
              <w:t>。</w:t>
            </w:r>
          </w:p>
          <w:p>
            <w:pPr>
              <w:autoSpaceDE w:val="0"/>
              <w:autoSpaceDN w:val="0"/>
              <w:adjustRightInd w:val="0"/>
              <w:snapToGrid w:val="0"/>
              <w:spacing w:afterLines="30" w:line="400" w:lineRule="exact"/>
              <w:ind w:left="0" w:firstLine="420" w:firstLineChars="200"/>
              <w:rPr>
                <w:rFonts w:hint="default"/>
                <w:highlight w:val="none"/>
                <w:lang w:val="en-US"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中标人样品供货有效期不予退还，作为验收参照。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）商务部分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电子投标文件技术</w:t>
            </w:r>
            <w:r>
              <w:rPr>
                <w:rFonts w:hint="eastAsia" w:ascii="宋体" w:hAnsi="宋体"/>
                <w:color w:val="auto"/>
                <w:szCs w:val="21"/>
                <w:highlight w:val="none"/>
                <w:lang w:val="en-US" w:eastAsia="zh-CN"/>
              </w:rPr>
              <w:t>部分</w:t>
            </w:r>
            <w:r>
              <w:rPr>
                <w:rFonts w:hint="eastAsia" w:ascii="宋体" w:hAnsi="宋体"/>
                <w:color w:val="auto"/>
                <w:szCs w:val="21"/>
                <w:highlight w:val="none"/>
              </w:rPr>
              <w:t>明标不设封面，应按照第六章规定格式排版，</w:t>
            </w:r>
            <w:r>
              <w:rPr>
                <w:rFonts w:hint="eastAsia" w:ascii="宋体" w:hAnsi="宋体"/>
                <w:color w:val="auto"/>
                <w:szCs w:val="21"/>
                <w:highlight w:val="none"/>
                <w:lang w:val="en-US" w:eastAsia="zh-CN"/>
              </w:rPr>
              <w:t>原则上</w:t>
            </w:r>
            <w:r>
              <w:rPr>
                <w:rFonts w:hint="eastAsia" w:ascii="宋体" w:hAnsi="宋体"/>
                <w:color w:val="auto"/>
                <w:szCs w:val="21"/>
                <w:highlight w:val="none"/>
              </w:rPr>
              <w:t>应编制目录，但不得将封面设置、目录编制作为评审因素。注：技术部分采用明标评审时，不因形式评审的问题（包括但不限于封面、页码、目录、字体、格式等）而被否决投标。</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技术部分</w:t>
            </w:r>
            <w:r>
              <w:rPr>
                <w:rFonts w:hint="eastAsia" w:ascii="宋体" w:hAnsi="宋体"/>
                <w:color w:val="auto"/>
                <w:szCs w:val="21"/>
                <w:highlight w:val="none"/>
              </w:rPr>
              <w:t>原则上不超过</w:t>
            </w:r>
            <w:r>
              <w:rPr>
                <w:rFonts w:hint="eastAsia" w:ascii="宋体" w:hAnsi="宋体"/>
                <w:color w:val="auto"/>
                <w:szCs w:val="21"/>
                <w:highlight w:val="none"/>
                <w:u w:val="single"/>
                <w:lang w:val="en-US" w:eastAsia="zh-CN"/>
              </w:rPr>
              <w:t>10</w:t>
            </w:r>
            <w:r>
              <w:rPr>
                <w:rFonts w:ascii="宋体" w:hAnsi="宋体"/>
                <w:color w:val="auto"/>
                <w:szCs w:val="21"/>
                <w:highlight w:val="none"/>
                <w:u w:val="single"/>
              </w:rPr>
              <w:t>0</w:t>
            </w:r>
            <w:r>
              <w:rPr>
                <w:rFonts w:hint="eastAsia" w:ascii="宋体" w:hAnsi="宋体"/>
                <w:color w:val="auto"/>
                <w:szCs w:val="21"/>
                <w:highlight w:val="none"/>
              </w:rPr>
              <w:t>页，但不得将页数作为评审因素。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75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pPr>
              <w:spacing w:line="400" w:lineRule="exact"/>
              <w:ind w:firstLine="420" w:firstLineChars="200"/>
              <w:rPr>
                <w:color w:val="auto"/>
                <w:highlight w:val="none"/>
              </w:rPr>
            </w:pPr>
            <w:r>
              <w:rPr>
                <w:rFonts w:hint="eastAsia"/>
                <w:color w:val="auto"/>
                <w:highlight w:val="none"/>
              </w:rPr>
              <w:t>电子投标文件的加密</w:t>
            </w:r>
            <w:r>
              <w:rPr>
                <w:rFonts w:hint="eastAsia"/>
                <w:color w:val="auto"/>
                <w:highlight w:val="none"/>
                <w:lang w:eastAsia="zh-CN"/>
              </w:rPr>
              <w:t>：</w:t>
            </w:r>
            <w:r>
              <w:rPr>
                <w:rFonts w:hint="eastAsia"/>
                <w:color w:val="auto"/>
                <w:highlight w:val="none"/>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hint="eastAsia"/>
                <w:color w:val="auto"/>
                <w:highlight w:val="none"/>
              </w:rPr>
            </w:pPr>
            <w:r>
              <w:rPr>
                <w:rFonts w:hint="eastAsia"/>
                <w:color w:val="auto"/>
                <w:highlight w:val="none"/>
              </w:rPr>
              <w:t>不加密电子投标文件（光盘备份）</w:t>
            </w:r>
            <w:r>
              <w:rPr>
                <w:rFonts w:hint="eastAsia"/>
                <w:color w:val="auto"/>
                <w:highlight w:val="none"/>
                <w:lang w:val="en-US" w:eastAsia="zh-CN"/>
              </w:rPr>
              <w:t>的封装</w:t>
            </w:r>
            <w:r>
              <w:rPr>
                <w:rFonts w:hint="eastAsia"/>
                <w:color w:val="auto"/>
                <w:highlight w:val="none"/>
                <w:lang w:eastAsia="zh-CN"/>
              </w:rPr>
              <w:t>：</w:t>
            </w:r>
            <w:r>
              <w:rPr>
                <w:rFonts w:hint="eastAsia"/>
                <w:color w:val="auto"/>
                <w:highlight w:val="none"/>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p>
            <w:pPr>
              <w:autoSpaceDE w:val="0"/>
              <w:autoSpaceDN w:val="0"/>
              <w:adjustRightInd w:val="0"/>
              <w:snapToGrid w:val="0"/>
              <w:spacing w:afterLines="30" w:line="400" w:lineRule="exact"/>
              <w:ind w:left="0" w:firstLine="420" w:firstLineChars="200"/>
              <w:rPr>
                <w:rFonts w:ascii="宋体" w:hAnsi="宋体" w:cs="宋体"/>
                <w:kern w:val="0"/>
                <w:sz w:val="18"/>
                <w:szCs w:val="21"/>
                <w:highlight w:val="none"/>
              </w:rPr>
            </w:pPr>
            <w:r>
              <w:rPr>
                <w:rFonts w:hint="eastAsia"/>
                <w:color w:val="auto"/>
                <w:highlight w:val="none"/>
                <w:lang w:val="en-US" w:eastAsia="zh-CN"/>
              </w:rPr>
              <w:t>样品的封装：</w:t>
            </w:r>
            <w:r>
              <w:rPr>
                <w:rFonts w:hint="eastAsia" w:ascii="宋体" w:hAnsi="宋体" w:cs="宋体"/>
                <w:kern w:val="0"/>
                <w:szCs w:val="21"/>
                <w:highlight w:val="none"/>
              </w:rPr>
              <w:t>投标人提交的样品将作为主要评审依据之一及成交后的货物验收依据，需</w:t>
            </w:r>
            <w:r>
              <w:rPr>
                <w:rFonts w:hint="eastAsia" w:ascii="宋体" w:hAnsi="宋体" w:cs="宋体"/>
                <w:kern w:val="0"/>
                <w:szCs w:val="21"/>
                <w:highlight w:val="none"/>
                <w:lang w:val="en-US" w:eastAsia="zh-CN"/>
              </w:rPr>
              <w:t>注明单位信息并</w:t>
            </w:r>
            <w:r>
              <w:rPr>
                <w:rFonts w:hint="eastAsia" w:ascii="宋体" w:hAnsi="宋体" w:cs="宋体"/>
                <w:kern w:val="0"/>
                <w:szCs w:val="21"/>
                <w:highlight w:val="none"/>
              </w:rPr>
              <w:t>封装盖章。若投标人成为中标候选人，中标候选人的样品经招标人检测为不合格，招标人有权取消其中标候选人资格。</w:t>
            </w:r>
          </w:p>
          <w:p>
            <w:pPr>
              <w:autoSpaceDE w:val="0"/>
              <w:autoSpaceDN w:val="0"/>
              <w:adjustRightInd w:val="0"/>
              <w:snapToGrid w:val="0"/>
              <w:spacing w:afterLines="30" w:line="400" w:lineRule="exact"/>
              <w:ind w:left="0" w:firstLine="420" w:firstLineChars="200"/>
              <w:rPr>
                <w:rFonts w:hint="default" w:eastAsia="宋体"/>
                <w:color w:val="auto"/>
                <w:highlight w:val="none"/>
                <w:lang w:val="en-US" w:eastAsia="zh-CN"/>
              </w:rPr>
            </w:pPr>
            <w:r>
              <w:rPr>
                <w:rFonts w:hint="eastAsia" w:ascii="宋体" w:hAnsi="宋体" w:cs="宋体"/>
                <w:kern w:val="0"/>
                <w:szCs w:val="21"/>
                <w:highlight w:val="none"/>
              </w:rPr>
              <w:t>样品在评审完成后，</w:t>
            </w:r>
            <w:r>
              <w:rPr>
                <w:rFonts w:hint="eastAsia" w:ascii="宋体" w:hAnsi="宋体" w:cs="宋体"/>
                <w:kern w:val="0"/>
                <w:szCs w:val="21"/>
                <w:highlight w:val="none"/>
                <w:lang w:val="en-US" w:eastAsia="zh-CN"/>
              </w:rPr>
              <w:t>由采购人带回保管，</w:t>
            </w:r>
            <w:r>
              <w:rPr>
                <w:rFonts w:hint="eastAsia" w:ascii="宋体" w:hAnsi="宋体" w:cs="宋体"/>
                <w:kern w:val="0"/>
                <w:szCs w:val="21"/>
                <w:highlight w:val="none"/>
              </w:rPr>
              <w:t>中标人的</w:t>
            </w:r>
            <w:r>
              <w:rPr>
                <w:rFonts w:hint="eastAsia" w:ascii="宋体" w:hAnsi="宋体" w:cs="宋体"/>
                <w:kern w:val="0"/>
                <w:szCs w:val="21"/>
                <w:highlight w:val="none"/>
                <w:lang w:val="en-US" w:eastAsia="zh-CN"/>
              </w:rPr>
              <w:t>样品供货有效期不予退还，作为验收参照。非中标人样品在中标结果公示期结束后由采购人通知非中标人自行取回</w:t>
            </w:r>
            <w:r>
              <w:rPr>
                <w:rFonts w:hint="eastAsia" w:ascii="宋体" w:hAnsi="宋体" w:cs="宋体"/>
                <w:kern w:val="0"/>
                <w:szCs w:val="21"/>
                <w:highlight w:val="none"/>
              </w:rPr>
              <w:t>。</w:t>
            </w:r>
            <w:r>
              <w:rPr>
                <w:rFonts w:hint="eastAsia"/>
                <w:color w:val="auto"/>
                <w:highlight w:val="none"/>
                <w:u w:val="none"/>
                <w:lang w:val="en-US" w:eastAsia="zh-CN"/>
              </w:rPr>
              <w:t>未按规定封装的，招标人不予接收。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w:t>
            </w:r>
            <w:r>
              <w:rPr>
                <w:rFonts w:hint="eastAsia" w:ascii="宋体" w:hAnsi="宋体"/>
                <w:color w:val="auto"/>
                <w:kern w:val="0"/>
                <w:szCs w:val="21"/>
                <w:highlight w:val="none"/>
                <w:lang w:val="en-US" w:eastAsia="zh-CN"/>
              </w:rPr>
              <w:t>载</w:t>
            </w:r>
            <w:r>
              <w:rPr>
                <w:rFonts w:ascii="宋体" w:hAnsi="宋体"/>
                <w:color w:val="auto"/>
                <w:kern w:val="0"/>
                <w:szCs w:val="21"/>
                <w:highlight w:val="none"/>
              </w:rPr>
              <w:t>明如下内容：</w:t>
            </w:r>
          </w:p>
          <w:p>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投标人应当在投标截止时间前，通过互联网使用CA数字证书登录重庆市电子招投标系统，将加密的电子投标文件上传。</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特别注意：投标人如需现场递交不加密电子投标文件（光盘备份）</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w:t>
            </w:r>
            <w:r>
              <w:rPr>
                <w:rFonts w:hint="eastAsia" w:ascii="宋体" w:hAnsi="宋体"/>
                <w:bCs/>
                <w:color w:val="auto"/>
                <w:szCs w:val="21"/>
                <w:highlight w:val="none"/>
              </w:rPr>
              <w:t>，则须在投标截止时间前递交，递交地点为</w:t>
            </w:r>
            <w:r>
              <w:rPr>
                <w:rFonts w:hint="eastAsia" w:ascii="宋体" w:hAnsi="宋体"/>
                <w:bCs/>
                <w:color w:val="auto"/>
                <w:szCs w:val="21"/>
                <w:highlight w:val="none"/>
                <w:u w:val="single"/>
              </w:rPr>
              <w:t>重庆市公共资源交易中心开标区</w:t>
            </w:r>
            <w:r>
              <w:rPr>
                <w:rFonts w:hint="eastAsia" w:ascii="宋体" w:hAnsi="宋体"/>
                <w:bCs/>
                <w:color w:val="auto"/>
                <w:szCs w:val="21"/>
                <w:highlight w:val="none"/>
              </w:rPr>
              <w:t>（具体请登陆</w:t>
            </w:r>
            <w:r>
              <w:rPr>
                <w:rFonts w:hint="eastAsia" w:ascii="宋体" w:hAnsi="宋体"/>
                <w:bCs/>
                <w:color w:val="auto"/>
                <w:szCs w:val="21"/>
                <w:highlight w:val="none"/>
                <w:u w:val="single"/>
              </w:rPr>
              <w:t>重庆市公共资源交易网</w:t>
            </w:r>
            <w:r>
              <w:rPr>
                <w:rFonts w:hint="eastAsia" w:ascii="宋体" w:hAnsi="宋体"/>
                <w:bCs/>
                <w:color w:val="auto"/>
                <w:szCs w:val="21"/>
                <w:highlight w:val="none"/>
              </w:rPr>
              <w:t>查询或递交</w:t>
            </w:r>
            <w:r>
              <w:rPr>
                <w:rFonts w:hint="eastAsia" w:ascii="宋体" w:hAnsi="宋体"/>
                <w:bCs/>
                <w:color w:val="auto"/>
                <w:szCs w:val="21"/>
                <w:highlight w:val="none"/>
                <w:lang w:val="en-US" w:eastAsia="zh-CN"/>
              </w:rPr>
              <w:t>投标</w:t>
            </w:r>
            <w:r>
              <w:rPr>
                <w:rFonts w:hint="eastAsia" w:ascii="宋体" w:hAnsi="宋体"/>
                <w:bCs/>
                <w:color w:val="auto"/>
                <w:szCs w:val="21"/>
                <w:highlight w:val="none"/>
              </w:rPr>
              <w:t>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color w:val="auto"/>
                <w:highlight w:val="none"/>
              </w:rPr>
            </w:pPr>
            <w:r>
              <w:rPr>
                <w:color w:val="auto"/>
                <w:highlight w:val="none"/>
              </w:rPr>
              <w:t>开标时间：同投标截止时间</w:t>
            </w:r>
          </w:p>
          <w:p>
            <w:pPr>
              <w:snapToGrid w:val="0"/>
              <w:spacing w:line="400" w:lineRule="exact"/>
              <w:ind w:firstLine="420" w:firstLineChars="200"/>
              <w:rPr>
                <w:color w:val="auto"/>
                <w:highlight w:val="none"/>
              </w:rPr>
            </w:pPr>
            <w:r>
              <w:rPr>
                <w:color w:val="auto"/>
                <w:highlight w:val="none"/>
              </w:rPr>
              <w:t>开标地点：</w:t>
            </w:r>
            <w:r>
              <w:rPr>
                <w:color w:val="auto"/>
                <w:highlight w:val="none"/>
                <w:u w:val="single"/>
              </w:rPr>
              <w:t>重庆市</w:t>
            </w:r>
            <w:r>
              <w:rPr>
                <w:rFonts w:hint="eastAsia"/>
                <w:color w:val="auto"/>
                <w:highlight w:val="none"/>
                <w:u w:val="single"/>
              </w:rPr>
              <w:t>公共资源</w:t>
            </w:r>
            <w:r>
              <w:rPr>
                <w:color w:val="auto"/>
                <w:highlight w:val="none"/>
                <w:u w:val="single"/>
              </w:rPr>
              <w:t>交易中心</w:t>
            </w:r>
            <w:r>
              <w:rPr>
                <w:color w:val="auto"/>
                <w:highlight w:val="none"/>
              </w:rPr>
              <w:t>开标室（具体请登陆</w:t>
            </w:r>
            <w:r>
              <w:rPr>
                <w:rFonts w:hint="eastAsia"/>
                <w:color w:val="auto"/>
                <w:highlight w:val="none"/>
                <w:u w:val="single"/>
              </w:rPr>
              <w:t>重庆市公共资源交易网</w:t>
            </w:r>
            <w:r>
              <w:rPr>
                <w:color w:val="auto"/>
                <w:highlight w:val="none"/>
              </w:rPr>
              <w:t>查询或递交</w:t>
            </w:r>
            <w:r>
              <w:rPr>
                <w:rFonts w:hint="eastAsia"/>
                <w:color w:val="auto"/>
                <w:highlight w:val="none"/>
                <w:lang w:val="en-US" w:eastAsia="zh-CN"/>
              </w:rPr>
              <w:t>投标</w:t>
            </w:r>
            <w:r>
              <w:rPr>
                <w:color w:val="auto"/>
                <w:highlight w:val="none"/>
              </w:rPr>
              <w:t>文件当日见交易中心大厅电子显示屏）。</w:t>
            </w:r>
          </w:p>
          <w:p>
            <w:pPr>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特别注意：</w:t>
            </w:r>
            <w:r>
              <w:rPr>
                <w:rFonts w:hint="eastAsia"/>
                <w:color w:val="auto"/>
                <w:highlight w:val="none"/>
                <w:lang w:val="en-US" w:eastAsia="zh-CN"/>
              </w:rPr>
              <w:t>1、</w:t>
            </w:r>
            <w:r>
              <w:rPr>
                <w:rFonts w:hint="eastAsia"/>
                <w:color w:val="auto"/>
                <w:highlight w:val="none"/>
              </w:rPr>
              <w:t>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5.1.2</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解密时间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解密时长为 30 分钟。</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特别注意：因电子招标投标系统原因影响解密时间的，招标人可根据现场实际情况延长解密时间；因投标人原因未完成解密工作的，视为撤销其投标文件，其投标保证金以现金形式交纳的不予退还</w:t>
            </w:r>
            <w:r>
              <w:rPr>
                <w:rFonts w:hint="eastAsia" w:ascii="宋体" w:hAnsi="宋体"/>
                <w:color w:val="auto"/>
                <w:kern w:val="0"/>
                <w:szCs w:val="21"/>
                <w:highlight w:val="none"/>
                <w:lang w:eastAsia="zh-CN"/>
              </w:rPr>
              <w:t>，以保函形式交纳的由保函开立人支付保函担保的与投标保证金等额的款项</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75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开标时间（应与投标截止时间一致），交易系统自动提取所有在投标截止时间前成功投递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汇总投标保证金交纳情况</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4.4 打印所有投标人的投标保证金交纳情</w:t>
            </w:r>
            <w:r>
              <w:rPr>
                <w:rFonts w:hint="eastAsia" w:ascii="宋体" w:hAnsi="宋体"/>
                <w:color w:val="auto"/>
                <w:szCs w:val="21"/>
                <w:highlight w:val="none"/>
                <w:lang w:val="en-US" w:eastAsia="zh-CN"/>
              </w:rPr>
              <w:t>况</w:t>
            </w:r>
            <w:r>
              <w:rPr>
                <w:rFonts w:hint="eastAsia" w:ascii="宋体" w:hAnsi="宋体"/>
                <w:color w:val="auto"/>
                <w:szCs w:val="21"/>
                <w:highlight w:val="none"/>
              </w:rPr>
              <w:t>，并由招标人代表、监标人、记录人签名确认。</w:t>
            </w:r>
          </w:p>
          <w:p>
            <w:pPr>
              <w:autoSpaceDE w:val="0"/>
              <w:autoSpaceDN w:val="0"/>
              <w:adjustRightInd w:val="0"/>
              <w:snapToGrid w:val="0"/>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5. 公布最高限价</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公布投标人名称、投标报价、</w:t>
            </w:r>
            <w:r>
              <w:rPr>
                <w:rFonts w:hint="eastAsia" w:ascii="宋体" w:hAnsi="宋体"/>
                <w:color w:val="auto"/>
                <w:szCs w:val="21"/>
                <w:highlight w:val="none"/>
                <w:lang w:val="en-US" w:eastAsia="zh-CN"/>
              </w:rPr>
              <w:t>供货期</w:t>
            </w:r>
            <w:r>
              <w:rPr>
                <w:rFonts w:hint="eastAsia" w:ascii="宋体" w:hAnsi="宋体"/>
                <w:color w:val="auto"/>
                <w:szCs w:val="21"/>
                <w:highlight w:val="none"/>
              </w:rPr>
              <w:t>及其他内容。</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u w:val="single"/>
              </w:rPr>
              <w:t>由招标人按法律法规及相关规定依法组建评标委员会</w:t>
            </w:r>
            <w:r>
              <w:rPr>
                <w:rFonts w:hint="eastAsia" w:ascii="宋体" w:hAnsi="宋体"/>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color w:val="auto"/>
                <w:highlight w:val="none"/>
              </w:rPr>
              <w:t>推荐经评审综合得分由高到低排名</w:t>
            </w:r>
            <w:r>
              <w:rPr>
                <w:rFonts w:hint="eastAsia"/>
                <w:color w:val="auto"/>
                <w:highlight w:val="none"/>
              </w:rPr>
              <w:t>前</w:t>
            </w:r>
            <w:r>
              <w:rPr>
                <w:rFonts w:hint="default" w:ascii="Times New Roman" w:hAnsi="Times New Roman"/>
                <w:color w:val="auto"/>
                <w:kern w:val="2"/>
                <w:szCs w:val="24"/>
                <w:highlight w:val="none"/>
                <w:u w:val="single"/>
                <w:lang w:val="en-US" w:eastAsia="zh-CN"/>
              </w:rPr>
              <w:t xml:space="preserve"> </w:t>
            </w:r>
            <w:r>
              <w:rPr>
                <w:rFonts w:hint="default" w:ascii="Times New Roman" w:hAnsi="Times New Roman"/>
                <w:color w:val="auto"/>
                <w:kern w:val="2"/>
                <w:szCs w:val="24"/>
                <w:highlight w:val="none"/>
                <w:u w:val="single"/>
              </w:rPr>
              <w:t>3</w:t>
            </w:r>
            <w:r>
              <w:rPr>
                <w:rFonts w:hint="eastAsia"/>
                <w:color w:val="auto"/>
                <w:highlight w:val="none"/>
                <w:u w:val="single"/>
                <w:lang w:val="en-US" w:eastAsia="zh-CN"/>
              </w:rPr>
              <w:t xml:space="preserve"> </w:t>
            </w:r>
            <w:r>
              <w:rPr>
                <w:color w:val="auto"/>
                <w:highlight w:val="none"/>
              </w:rPr>
              <w:t>名为中标候选人</w:t>
            </w:r>
            <w:r>
              <w:rPr>
                <w:rFonts w:hint="eastAsia"/>
                <w:color w:val="auto"/>
                <w:highlight w:val="none"/>
              </w:rPr>
              <w:t>，若有效投标人少于</w:t>
            </w:r>
            <w:r>
              <w:rPr>
                <w:rFonts w:hint="default" w:ascii="Times New Roman" w:hAnsi="Times New Roman"/>
                <w:color w:val="auto"/>
                <w:kern w:val="2"/>
                <w:szCs w:val="24"/>
                <w:highlight w:val="none"/>
                <w:u w:val="single"/>
              </w:rPr>
              <w:t xml:space="preserve"> 3 </w:t>
            </w:r>
            <w:r>
              <w:rPr>
                <w:rFonts w:hint="eastAsia"/>
                <w:color w:val="auto"/>
                <w:highlight w:val="none"/>
              </w:rPr>
              <w:t>个的则按实际数量推荐</w:t>
            </w: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中标候选人公示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招标人在收到评标报告后3日内将评标结果在</w:t>
            </w:r>
            <w:r>
              <w:rPr>
                <w:rFonts w:hint="eastAsia" w:ascii="宋体" w:hAnsi="宋体"/>
                <w:color w:val="auto"/>
                <w:highlight w:val="none"/>
                <w:u w:val="single"/>
              </w:rPr>
              <w:t>重庆市公共资源交易网（www.cqggzy.com）</w:t>
            </w:r>
            <w:r>
              <w:rPr>
                <w:rFonts w:hint="eastAsia" w:ascii="宋体" w:hAnsi="宋体" w:cs="宋体"/>
                <w:color w:val="auto"/>
                <w:szCs w:val="21"/>
                <w:highlight w:val="none"/>
                <w:u w:val="single"/>
              </w:rPr>
              <w:t>、重庆高速公路集团有限公司官方网站（http://www.cegc.com.cn/）和重庆高速公路集团有限公司招投标管理平台</w:t>
            </w:r>
            <w:r>
              <w:rPr>
                <w:rFonts w:hint="eastAsia" w:ascii="宋体" w:hAnsi="宋体" w:cs="宋体"/>
                <w:color w:val="auto"/>
                <w:szCs w:val="21"/>
                <w:highlight w:val="none"/>
                <w:u w:val="single"/>
                <w:lang w:val="zh-TW"/>
              </w:rPr>
              <w:t>（</w:t>
            </w:r>
            <w:r>
              <w:rPr>
                <w:rFonts w:hint="eastAsia" w:ascii="宋体" w:hAnsi="宋体"/>
                <w:snapToGrid w:val="0"/>
                <w:kern w:val="0"/>
                <w:szCs w:val="21"/>
                <w:highlight w:val="none"/>
                <w:u w:val="single"/>
              </w:rPr>
              <w:t>http://cqgsbid.cegc.com.cn:7900</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上进行公示，公示期</w:t>
            </w:r>
            <w:r>
              <w:rPr>
                <w:rFonts w:hint="eastAsia" w:ascii="宋体" w:hAnsi="宋体"/>
                <w:color w:val="auto"/>
                <w:spacing w:val="4"/>
                <w:kern w:val="0"/>
                <w:szCs w:val="21"/>
                <w:highlight w:val="none"/>
                <w:lang w:val="en-US" w:eastAsia="zh-CN"/>
              </w:rPr>
              <w:t>不少于</w:t>
            </w:r>
            <w:r>
              <w:rPr>
                <w:rFonts w:hint="eastAsia" w:ascii="宋体" w:hAnsi="宋体"/>
                <w:color w:val="auto"/>
                <w:spacing w:val="4"/>
                <w:kern w:val="0"/>
                <w:szCs w:val="21"/>
                <w:highlight w:val="none"/>
              </w:rPr>
              <w:t>3日。为深化信息公开，接受社会监督，按照《招标公告和公示信息发布管理办法》（国家发改委令第10号）的要求，公示内容包括中标候选人名称、排序、投标报价、</w:t>
            </w:r>
            <w:r>
              <w:rPr>
                <w:rFonts w:hint="eastAsia" w:ascii="宋体" w:hAnsi="宋体"/>
                <w:color w:val="auto"/>
                <w:spacing w:val="4"/>
                <w:kern w:val="0"/>
                <w:szCs w:val="21"/>
                <w:highlight w:val="none"/>
                <w:lang w:val="en-US" w:eastAsia="zh-CN"/>
              </w:rPr>
              <w:t>交货期</w:t>
            </w:r>
            <w:r>
              <w:rPr>
                <w:rFonts w:hint="eastAsia" w:ascii="宋体" w:hAnsi="宋体"/>
                <w:color w:val="auto"/>
                <w:spacing w:val="4"/>
                <w:kern w:val="0"/>
                <w:szCs w:val="21"/>
                <w:highlight w:val="none"/>
              </w:rPr>
              <w:t>；否决投标情况及理由；提出异议、投诉的渠道和方式。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754" w:type="dxa"/>
            <w:vAlign w:val="center"/>
          </w:tcPr>
          <w:p>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val="en-US" w:eastAsia="zh-CN"/>
              </w:rPr>
              <w:t>6</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1、中标人是否提供履约保证金：</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2、中标人提供履约保证金的形式、金额及期限：</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（1）履约保证金的形式：现金或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）履约保证金的金额：</w:t>
            </w:r>
            <w:r>
              <w:rPr>
                <w:rFonts w:hint="eastAsia" w:ascii="宋体" w:hAnsi="宋体"/>
                <w:color w:val="auto"/>
                <w:kern w:val="0"/>
                <w:szCs w:val="21"/>
                <w:highlight w:val="none"/>
                <w:u w:val="single"/>
              </w:rPr>
              <w:t xml:space="preserve">   中标合同金额的10%            </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）履约保证金的提交时间：见专用合同条款。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）履约保证金的期限：见专用合同条款。</w:t>
            </w:r>
          </w:p>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）履约保证金的退还时间：见专用合同条款。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中华人民共和国招标投标法实施条例》第七十四条规定行为的，视为特别严重信用不良行为且情节特别严重，按信用记分上限一次性记12分，纳入黑名单管理；中标人有《中华人民共和国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754" w:type="dxa"/>
            <w:vAlign w:val="center"/>
          </w:tcPr>
          <w:p>
            <w:pPr>
              <w:snapToGrid w:val="0"/>
              <w:spacing w:line="400" w:lineRule="exact"/>
              <w:jc w:val="center"/>
              <w:rPr>
                <w:color w:val="auto"/>
                <w:highlight w:val="none"/>
              </w:rPr>
            </w:pPr>
            <w:bookmarkStart w:id="93" w:name="_Toc509218709"/>
            <w:bookmarkStart w:id="94" w:name="_Toc430530434"/>
            <w:bookmarkStart w:id="95" w:name="_Toc13210670"/>
            <w:bookmarkStart w:id="96" w:name="_Toc16930431"/>
            <w:bookmarkStart w:id="97"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3"/>
            <w:bookmarkEnd w:id="94"/>
            <w:bookmarkEnd w:id="95"/>
            <w:bookmarkEnd w:id="96"/>
            <w:bookmarkEnd w:id="97"/>
          </w:p>
        </w:tc>
        <w:tc>
          <w:tcPr>
            <w:tcW w:w="6490" w:type="dxa"/>
            <w:vAlign w:val="center"/>
          </w:tcPr>
          <w:p>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24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w:t>
            </w:r>
            <w:r>
              <w:rPr>
                <w:rFonts w:hint="eastAsia" w:ascii="宋体" w:hAnsi="宋体"/>
                <w:color w:val="auto"/>
                <w:kern w:val="0"/>
                <w:szCs w:val="21"/>
                <w:highlight w:val="none"/>
                <w:lang w:val="en-US" w:eastAsia="zh-CN"/>
              </w:rPr>
              <w:t>姓名/</w:t>
            </w:r>
            <w:r>
              <w:rPr>
                <w:rFonts w:hint="eastAsia" w:ascii="宋体" w:hAnsi="宋体"/>
                <w:color w:val="auto"/>
                <w:kern w:val="0"/>
                <w:szCs w:val="21"/>
                <w:highlight w:val="none"/>
              </w:rPr>
              <w:t>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olor w:val="auto"/>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r>
              <w:rPr>
                <w:rFonts w:hint="eastAsia" w:ascii="宋体" w:hAnsi="宋体"/>
                <w:color w:val="auto"/>
                <w:highlight w:val="none"/>
              </w:rPr>
              <w:t>重庆中渝高速公路有限公司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s="Times New Roman"/>
                <w:color w:val="auto"/>
                <w:sz w:val="21"/>
                <w:szCs w:val="21"/>
                <w:highlight w:val="none"/>
                <w:u w:val="single"/>
                <w:lang w:val="en-US" w:eastAsia="zh-CN"/>
              </w:rPr>
              <w:t xml:space="preserve">023-47846406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投诉受理部门：重庆中渝高速公路有限公司</w:t>
            </w:r>
            <w:r>
              <w:rPr>
                <w:rFonts w:hint="eastAsia" w:ascii="宋体" w:hAnsi="宋体"/>
                <w:color w:val="auto"/>
                <w:kern w:val="0"/>
                <w:szCs w:val="21"/>
                <w:highlight w:val="none"/>
                <w:lang w:val="en-US" w:eastAsia="zh-CN"/>
              </w:rPr>
              <w:t>党群人力部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023-47846829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投标人注意事项</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 本次投标采用全流程电子开评标模式，第一次参与投标的单位务必在重庆市公共资源交易网（www.cqggzy.com）完成市场主体信息登记以及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color w:val="auto"/>
                <w:highlight w:val="none"/>
              </w:rPr>
            </w:pPr>
            <w:r>
              <w:rPr>
                <w:rFonts w:hint="eastAsia"/>
                <w:color w:val="auto"/>
                <w:highlight w:val="none"/>
              </w:rPr>
              <w:t>2. 制作投标文件需要使用CA 数字证书加密，并且加盖电子印章，CA 数字证书购买及办理方式请参见重庆市公共资源交易网（www.cqggzy.com）导航栏“主体信息”页面中“市场主体信息登记”“CA数字证书办理”。</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autoSpaceDE w:val="0"/>
              <w:autoSpaceDN w:val="0"/>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4. 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6. 电子投标文件编制要求</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（1）电子投标文件由投标人使用专用的“新点投标文件制作软件（重庆版）”制作生成。</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（2）投标人在编制电子投标文件时应当建立分级目录，并按照标签提示导入相关内容。</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（3）按本章前附表第3.7.3项签名盖章要求进行投标文件的签署。</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（4）电子投标文件制作完成后，将生成一份加密的电子投标文件（后缀名为. CQTF）和一份不加密的电子投标文件（后缀名为. nCQTF）。</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（5）投标人如需递交不加密电子投标文件的，应将不加密的电子投标文件复制到一张光盘中（光盘备份），光盘表面粘贴标签贴加盖单位法人章，并将招标项目名称、投标人名称等信息填写在标签贴上。</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highlight w:val="none"/>
              </w:rPr>
              <w:t>招标代理服务费</w:t>
            </w:r>
          </w:p>
        </w:tc>
        <w:tc>
          <w:tcPr>
            <w:tcW w:w="6490" w:type="dxa"/>
            <w:vAlign w:val="center"/>
          </w:tcPr>
          <w:p>
            <w:pPr>
              <w:snapToGrid w:val="0"/>
              <w:spacing w:line="360" w:lineRule="auto"/>
              <w:rPr>
                <w:rFonts w:ascii="宋体" w:hAnsi="宋体"/>
                <w:color w:val="auto"/>
                <w:kern w:val="0"/>
                <w:highlight w:val="none"/>
              </w:rPr>
            </w:pPr>
            <w:r>
              <w:rPr>
                <w:rFonts w:hint="eastAsia" w:ascii="宋体" w:hAnsi="宋体"/>
                <w:color w:val="auto"/>
                <w:kern w:val="0"/>
                <w:highlight w:val="none"/>
                <w:lang w:val="en-US" w:eastAsia="zh-CN"/>
              </w:rPr>
              <w:t>招</w:t>
            </w:r>
            <w:r>
              <w:rPr>
                <w:rFonts w:hint="eastAsia" w:ascii="宋体" w:hAnsi="宋体"/>
                <w:color w:val="auto"/>
                <w:kern w:val="0"/>
                <w:highlight w:val="none"/>
              </w:rPr>
              <w:t>标代理服务费收费标准：</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中标人须支付招标代理付费金额：</w:t>
            </w:r>
            <w:r>
              <w:rPr>
                <w:rFonts w:hint="eastAsia" w:ascii="宋体" w:hAnsi="宋体"/>
                <w:color w:val="auto"/>
                <w:kern w:val="0"/>
                <w:highlight w:val="none"/>
                <w:lang w:val="en-US" w:eastAsia="zh-CN"/>
              </w:rPr>
              <w:t>4</w:t>
            </w:r>
            <w:r>
              <w:rPr>
                <w:rFonts w:hint="eastAsia" w:ascii="宋体" w:hAnsi="宋体"/>
                <w:color w:val="auto"/>
                <w:kern w:val="0"/>
                <w:highlight w:val="none"/>
              </w:rPr>
              <w:t>万元整（人民币）；</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1、招标代理服务费支付：由中标人支付。</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2、招标代理服务费支付时间：中标人在领取中标通知书时，向招标机构一次性支付招标代理服务费。</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招标代理服务费缴费账号:</w:t>
            </w:r>
          </w:p>
          <w:p>
            <w:pPr>
              <w:snapToGrid w:val="0"/>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户名：重庆市投资咨询有限公司</w:t>
            </w:r>
          </w:p>
          <w:p>
            <w:pPr>
              <w:snapToGrid w:val="0"/>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开户行：兴业银行重庆分行营业部</w:t>
            </w:r>
          </w:p>
          <w:p>
            <w:pPr>
              <w:autoSpaceDE w:val="0"/>
              <w:autoSpaceDN w:val="0"/>
              <w:adjustRightInd w:val="0"/>
              <w:snapToGrid w:val="0"/>
              <w:spacing w:line="400" w:lineRule="exact"/>
              <w:ind w:firstLine="420"/>
              <w:rPr>
                <w:rFonts w:ascii="宋体" w:hAnsi="宋体"/>
                <w:i/>
                <w:color w:val="auto"/>
                <w:kern w:val="0"/>
                <w:szCs w:val="21"/>
                <w:highlight w:val="none"/>
              </w:rPr>
            </w:pPr>
            <w:r>
              <w:rPr>
                <w:rFonts w:hint="eastAsia" w:ascii="宋体" w:hAnsi="宋体"/>
                <w:color w:val="auto"/>
                <w:kern w:val="0"/>
                <w:highlight w:val="none"/>
              </w:rPr>
              <w:t>账号：346010100105354662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bookmarkStart w:id="98" w:name="_Toc287620685"/>
            <w:bookmarkStart w:id="99" w:name="_Toc277082552"/>
            <w:bookmarkStart w:id="100" w:name="_Toc200513126"/>
            <w:bookmarkStart w:id="101" w:name="_Toc224103317"/>
            <w:bookmarkStart w:id="102" w:name="_Toc287607746"/>
            <w:bookmarkStart w:id="103" w:name="_Toc430530435"/>
            <w:r>
              <w:rPr>
                <w:rFonts w:hint="eastAsia" w:ascii="宋体" w:hAnsi="宋体"/>
                <w:color w:val="auto"/>
                <w:kern w:val="0"/>
                <w:szCs w:val="21"/>
                <w:highlight w:val="none"/>
                <w:lang w:val="en-US" w:eastAsia="zh-CN"/>
              </w:rPr>
              <w:t>10.6</w:t>
            </w:r>
          </w:p>
        </w:tc>
        <w:tc>
          <w:tcPr>
            <w:tcW w:w="1754" w:type="dxa"/>
            <w:vAlign w:val="center"/>
          </w:tcPr>
          <w:p>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highlight w:val="none"/>
              </w:rPr>
              <w:t>入场交易服务费</w:t>
            </w:r>
          </w:p>
        </w:tc>
        <w:tc>
          <w:tcPr>
            <w:tcW w:w="6490" w:type="dxa"/>
            <w:vAlign w:val="center"/>
          </w:tcPr>
          <w:p>
            <w:pPr>
              <w:snapToGrid w:val="0"/>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kern w:val="0"/>
                <w:highlight w:val="none"/>
              </w:rPr>
              <w:t>. 入场交易服务费：</w:t>
            </w:r>
            <w:r>
              <w:rPr>
                <w:rFonts w:hint="eastAsia" w:ascii="宋体" w:hAnsi="宋体" w:cs="宋体"/>
                <w:color w:val="auto"/>
                <w:kern w:val="0"/>
                <w:highlight w:val="none"/>
              </w:rPr>
              <w:t>由中标人支付。</w:t>
            </w:r>
          </w:p>
          <w:p>
            <w:pPr>
              <w:autoSpaceDE w:val="0"/>
              <w:autoSpaceDN w:val="0"/>
              <w:adjustRightInd w:val="0"/>
              <w:snapToGrid w:val="0"/>
              <w:spacing w:line="400" w:lineRule="exact"/>
              <w:rPr>
                <w:rFonts w:hint="eastAsia" w:ascii="宋体" w:hAnsi="宋体"/>
                <w:i/>
                <w:color w:val="auto"/>
                <w:kern w:val="0"/>
                <w:szCs w:val="21"/>
                <w:highlight w:val="none"/>
              </w:rPr>
            </w:pPr>
            <w:r>
              <w:rPr>
                <w:rFonts w:hint="eastAsia" w:ascii="宋体" w:hAnsi="宋体"/>
                <w:color w:val="auto"/>
                <w:kern w:val="0"/>
                <w:highlight w:val="none"/>
              </w:rPr>
              <w:t>2. 在重庆市公共资源交易中心进行招标的，</w:t>
            </w:r>
            <w:r>
              <w:rPr>
                <w:rFonts w:hint="eastAsia" w:ascii="宋体" w:hAnsi="宋体" w:cs="宋体"/>
                <w:color w:val="auto"/>
                <w:kern w:val="0"/>
                <w:highlight w:val="none"/>
              </w:rPr>
              <w:t>中标人</w:t>
            </w:r>
            <w:r>
              <w:rPr>
                <w:rFonts w:hint="eastAsia" w:ascii="宋体" w:hAnsi="宋体"/>
                <w:color w:val="auto"/>
                <w:kern w:val="0"/>
                <w:highlight w:val="none"/>
              </w:rPr>
              <w:t>应向重庆联合产权交易所集团股份有限公司（交易中心）缴纳交易服务费，交易服务费的收取标准按照渝发改收费﹝2023﹞115号执行。此费由中标人在领取中标通知书后向交易中心一次性全额缴纳。投标人应将此费用纳入投标报价中，不得单列。</w:t>
            </w:r>
          </w:p>
        </w:tc>
      </w:tr>
    </w:tbl>
    <w:p>
      <w:pPr>
        <w:pStyle w:val="4"/>
        <w:spacing w:before="0" w:after="0" w:line="20" w:lineRule="exact"/>
        <w:rPr>
          <w:rFonts w:ascii="宋体" w:hAnsi="宋体"/>
          <w:b w:val="0"/>
          <w:snapToGrid w:val="0"/>
          <w:color w:val="auto"/>
          <w:highlight w:val="none"/>
        </w:rPr>
      </w:pPr>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4"/>
        <w:spacing w:before="0" w:after="0" w:line="360" w:lineRule="auto"/>
        <w:rPr>
          <w:rFonts w:ascii="宋体" w:hAnsi="宋体"/>
          <w:b w:val="0"/>
          <w:snapToGrid w:val="0"/>
          <w:color w:val="auto"/>
          <w:highlight w:val="none"/>
        </w:rPr>
      </w:pPr>
      <w:bookmarkStart w:id="104" w:name="_Toc509218710"/>
      <w:bookmarkStart w:id="105" w:name="_Toc29721"/>
      <w:r>
        <w:rPr>
          <w:rFonts w:ascii="宋体" w:hAnsi="宋体"/>
          <w:b w:val="0"/>
          <w:snapToGrid w:val="0"/>
          <w:color w:val="auto"/>
          <w:highlight w:val="none"/>
        </w:rPr>
        <w:t>1.  总则</w:t>
      </w:r>
      <w:bookmarkEnd w:id="98"/>
      <w:bookmarkEnd w:id="99"/>
      <w:bookmarkEnd w:id="100"/>
      <w:bookmarkEnd w:id="101"/>
      <w:bookmarkEnd w:id="102"/>
      <w:bookmarkEnd w:id="103"/>
      <w:bookmarkEnd w:id="104"/>
      <w:bookmarkEnd w:id="105"/>
    </w:p>
    <w:p>
      <w:pPr>
        <w:pStyle w:val="5"/>
        <w:snapToGrid w:val="0"/>
        <w:spacing w:before="0" w:after="0" w:line="360" w:lineRule="auto"/>
        <w:rPr>
          <w:rFonts w:ascii="宋体" w:hAnsi="宋体"/>
          <w:b w:val="0"/>
          <w:snapToGrid w:val="0"/>
          <w:color w:val="auto"/>
          <w:sz w:val="24"/>
          <w:szCs w:val="24"/>
          <w:highlight w:val="none"/>
        </w:rPr>
      </w:pPr>
      <w:bookmarkStart w:id="106" w:name="_Toc200513127"/>
      <w:bookmarkStart w:id="107" w:name="_Toc2118"/>
      <w:bookmarkStart w:id="108" w:name="_Toc430530436"/>
      <w:bookmarkStart w:id="109" w:name="_Toc277082553"/>
      <w:bookmarkStart w:id="110" w:name="_Toc509218711"/>
      <w:bookmarkStart w:id="111" w:name="_Toc224103318"/>
      <w:bookmarkStart w:id="112" w:name="_Toc287620686"/>
      <w:bookmarkStart w:id="113" w:name="_Toc287607747"/>
      <w:r>
        <w:rPr>
          <w:rFonts w:ascii="宋体" w:hAnsi="宋体"/>
          <w:b w:val="0"/>
          <w:snapToGrid w:val="0"/>
          <w:color w:val="auto"/>
          <w:sz w:val="24"/>
          <w:szCs w:val="24"/>
          <w:highlight w:val="none"/>
        </w:rPr>
        <w:t xml:space="preserve">1.1  </w:t>
      </w:r>
      <w:r>
        <w:rPr>
          <w:rFonts w:hint="eastAsia" w:ascii="宋体" w:hAnsi="宋体"/>
          <w:b w:val="0"/>
          <w:snapToGrid w:val="0"/>
          <w:color w:val="auto"/>
          <w:sz w:val="24"/>
          <w:szCs w:val="24"/>
          <w:highlight w:val="none"/>
          <w:lang w:val="en-US" w:eastAsia="zh-CN"/>
        </w:rPr>
        <w:t>招标</w:t>
      </w:r>
      <w:r>
        <w:rPr>
          <w:rFonts w:ascii="宋体" w:hAnsi="宋体"/>
          <w:b w:val="0"/>
          <w:snapToGrid w:val="0"/>
          <w:color w:val="auto"/>
          <w:sz w:val="24"/>
          <w:szCs w:val="24"/>
          <w:highlight w:val="none"/>
        </w:rPr>
        <w:t>项目概况</w:t>
      </w:r>
      <w:bookmarkEnd w:id="106"/>
      <w:bookmarkEnd w:id="107"/>
      <w:bookmarkEnd w:id="108"/>
      <w:bookmarkEnd w:id="109"/>
      <w:bookmarkEnd w:id="110"/>
      <w:bookmarkEnd w:id="111"/>
      <w:bookmarkEnd w:id="112"/>
      <w:bookmarkEnd w:id="11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货物采购</w:t>
      </w:r>
      <w:r>
        <w:rPr>
          <w:rFonts w:ascii="宋体" w:hAnsi="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val="en-US" w:eastAsia="zh-CN"/>
        </w:rPr>
        <w:t>工程项目名称</w:t>
      </w:r>
      <w:r>
        <w:rPr>
          <w:rFonts w:ascii="宋体" w:hAnsi="宋体"/>
          <w:snapToGrid w:val="0"/>
          <w:color w:val="auto"/>
          <w:kern w:val="0"/>
          <w:szCs w:val="21"/>
          <w:highlight w:val="none"/>
        </w:rPr>
        <w:t>：即招标项目所属的工程建设项目，见投标人须知前附表。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14" w:name="_Toc224103319"/>
      <w:bookmarkStart w:id="115" w:name="_Toc509218712"/>
      <w:bookmarkStart w:id="116" w:name="_Toc277082554"/>
      <w:bookmarkStart w:id="117" w:name="_Toc6180"/>
      <w:bookmarkStart w:id="118" w:name="_Toc287607748"/>
      <w:bookmarkStart w:id="119" w:name="_Toc430530437"/>
      <w:bookmarkStart w:id="120" w:name="_Toc200513128"/>
      <w:bookmarkStart w:id="121" w:name="_Toc287620687"/>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pPr>
        <w:pStyle w:val="5"/>
        <w:snapToGrid w:val="0"/>
        <w:spacing w:before="0" w:after="0" w:line="360" w:lineRule="auto"/>
        <w:rPr>
          <w:rFonts w:hint="default" w:ascii="宋体" w:hAnsi="宋体" w:eastAsia="宋体"/>
          <w:b w:val="0"/>
          <w:snapToGrid w:val="0"/>
          <w:color w:val="auto"/>
          <w:sz w:val="24"/>
          <w:szCs w:val="24"/>
          <w:highlight w:val="none"/>
          <w:lang w:val="en-US" w:eastAsia="zh-CN"/>
        </w:rPr>
      </w:pPr>
      <w:bookmarkStart w:id="122" w:name="_Toc224103320"/>
      <w:bookmarkStart w:id="123" w:name="_Toc287607749"/>
      <w:bookmarkStart w:id="124" w:name="_Toc430530438"/>
      <w:bookmarkStart w:id="125" w:name="_Toc200513129"/>
      <w:bookmarkStart w:id="126" w:name="_Toc509218713"/>
      <w:bookmarkStart w:id="127" w:name="_Toc277082555"/>
      <w:bookmarkStart w:id="128" w:name="_Toc287620688"/>
      <w:bookmarkStart w:id="129" w:name="_Toc28421"/>
      <w:r>
        <w:rPr>
          <w:rFonts w:ascii="宋体" w:hAnsi="宋体"/>
          <w:b w:val="0"/>
          <w:snapToGrid w:val="0"/>
          <w:color w:val="auto"/>
          <w:sz w:val="24"/>
          <w:szCs w:val="24"/>
          <w:highlight w:val="none"/>
        </w:rPr>
        <w:t>1.3  招标范围、</w:t>
      </w:r>
      <w:bookmarkEnd w:id="122"/>
      <w:bookmarkEnd w:id="123"/>
      <w:bookmarkEnd w:id="124"/>
      <w:bookmarkEnd w:id="125"/>
      <w:bookmarkEnd w:id="126"/>
      <w:bookmarkEnd w:id="127"/>
      <w:bookmarkEnd w:id="128"/>
      <w:r>
        <w:rPr>
          <w:rFonts w:hint="eastAsia" w:ascii="宋体" w:hAnsi="宋体"/>
          <w:b w:val="0"/>
          <w:snapToGrid w:val="0"/>
          <w:color w:val="auto"/>
          <w:sz w:val="24"/>
          <w:szCs w:val="24"/>
          <w:highlight w:val="none"/>
          <w:lang w:val="en-US" w:eastAsia="zh-CN"/>
        </w:rPr>
        <w:t>交货期、交货地点和技术性能指标</w:t>
      </w:r>
      <w:bookmarkEnd w:id="12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val="en-US" w:eastAsia="zh-CN"/>
        </w:rPr>
        <w:t>交货期</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snapToGrid w:val="0"/>
          <w:color w:val="auto"/>
          <w:kern w:val="0"/>
          <w:szCs w:val="21"/>
          <w:highlight w:val="none"/>
          <w:lang w:val="en-US" w:eastAsia="zh-CN"/>
        </w:rPr>
        <w:t>交货地点</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1.3.</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质量标准、技术性能指标</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30" w:name="_Toc509218715"/>
      <w:bookmarkStart w:id="131" w:name="_Toc277082557"/>
      <w:bookmarkStart w:id="132" w:name="_Toc200513131"/>
      <w:bookmarkStart w:id="133" w:name="_Toc287607751"/>
      <w:bookmarkStart w:id="134" w:name="_Toc12789"/>
      <w:bookmarkStart w:id="135" w:name="_Toc224103322"/>
      <w:bookmarkStart w:id="136" w:name="_Toc430530440"/>
      <w:bookmarkStart w:id="137" w:name="_Toc287620690"/>
      <w:r>
        <w:rPr>
          <w:rFonts w:ascii="宋体" w:hAnsi="宋体"/>
          <w:b w:val="0"/>
          <w:snapToGrid w:val="0"/>
          <w:color w:val="auto"/>
          <w:sz w:val="24"/>
          <w:szCs w:val="24"/>
          <w:highlight w:val="none"/>
        </w:rPr>
        <w:t>1.4投标人资格要求（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0"/>
      <w:bookmarkEnd w:id="131"/>
      <w:bookmarkEnd w:id="132"/>
      <w:bookmarkEnd w:id="133"/>
      <w:bookmarkEnd w:id="134"/>
      <w:bookmarkEnd w:id="135"/>
      <w:bookmarkEnd w:id="136"/>
      <w:bookmarkEnd w:id="13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color w:val="auto"/>
          <w:szCs w:val="21"/>
          <w:highlight w:val="none"/>
        </w:rPr>
        <w:t>营业执照及</w:t>
      </w:r>
      <w:r>
        <w:rPr>
          <w:rFonts w:ascii="宋体" w:hAnsi="宋体"/>
          <w:color w:val="auto"/>
          <w:szCs w:val="21"/>
          <w:highlight w:val="none"/>
        </w:rPr>
        <w:t>资质</w:t>
      </w:r>
      <w:r>
        <w:rPr>
          <w:rFonts w:hint="eastAsia" w:ascii="宋体" w:hAnsi="宋体"/>
          <w:color w:val="auto"/>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信誉要求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color w:val="auto"/>
          <w:highlight w:val="none"/>
        </w:rPr>
        <w:t>投标人为代理经销商的，对投标人的资质要求包含对制造商的资质要求，对投标人的业绩要求包含对投标</w:t>
      </w:r>
      <w:r>
        <w:rPr>
          <w:rFonts w:hint="eastAsia"/>
          <w:color w:val="auto"/>
          <w:highlight w:val="none"/>
          <w:lang w:val="en-US" w:eastAsia="zh-CN"/>
        </w:rPr>
        <w:t>货物</w:t>
      </w:r>
      <w:r>
        <w:rPr>
          <w:color w:val="auto"/>
          <w:highlight w:val="none"/>
        </w:rPr>
        <w:t>的业绩要求。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联合体协议约定</w:t>
      </w:r>
      <w:r>
        <w:rPr>
          <w:rFonts w:ascii="宋体" w:hAnsi="宋体"/>
          <w:snapToGrid w:val="0"/>
          <w:color w:val="auto"/>
          <w:kern w:val="0"/>
          <w:szCs w:val="21"/>
          <w:highlight w:val="none"/>
        </w:rPr>
        <w:t>同一专业</w:t>
      </w:r>
      <w:r>
        <w:rPr>
          <w:rFonts w:hint="eastAsia" w:ascii="宋体" w:hAnsi="宋体"/>
          <w:snapToGrid w:val="0"/>
          <w:color w:val="auto"/>
          <w:kern w:val="0"/>
          <w:szCs w:val="21"/>
          <w:highlight w:val="none"/>
        </w:rPr>
        <w:t>分工由两个及以上</w:t>
      </w:r>
      <w:r>
        <w:rPr>
          <w:rFonts w:ascii="宋体" w:hAnsi="宋体"/>
          <w:snapToGrid w:val="0"/>
          <w:color w:val="auto"/>
          <w:kern w:val="0"/>
          <w:szCs w:val="21"/>
          <w:highlight w:val="none"/>
        </w:rPr>
        <w:t>单位</w:t>
      </w:r>
      <w:r>
        <w:rPr>
          <w:rFonts w:hint="eastAsia" w:ascii="宋体" w:hAnsi="宋体"/>
          <w:snapToGrid w:val="0"/>
          <w:color w:val="auto"/>
          <w:kern w:val="0"/>
          <w:szCs w:val="21"/>
          <w:highlight w:val="none"/>
        </w:rPr>
        <w:t>共同承担的</w:t>
      </w:r>
      <w:r>
        <w:rPr>
          <w:rFonts w:ascii="宋体" w:hAnsi="宋体"/>
          <w:snapToGrid w:val="0"/>
          <w:color w:val="auto"/>
          <w:kern w:val="0"/>
          <w:szCs w:val="21"/>
          <w:highlight w:val="none"/>
        </w:rPr>
        <w:t>，按照资质等级较低的单位确定资质等级；</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1</w:t>
      </w:r>
      <w:r>
        <w:rPr>
          <w:rFonts w:ascii="宋体" w:hAnsi="宋体"/>
          <w:snapToGrid w:val="0"/>
          <w:color w:val="auto"/>
          <w:kern w:val="0"/>
          <w:position w:val="-2"/>
          <w:szCs w:val="21"/>
          <w:highlight w:val="none"/>
        </w:rPr>
        <w:t>）与招标人存在利害关系且可能影响招标公正性</w:t>
      </w:r>
      <w:r>
        <w:rPr>
          <w:rFonts w:hint="eastAsia" w:ascii="宋体" w:hAnsi="宋体"/>
          <w:snapToGrid w:val="0"/>
          <w:color w:val="auto"/>
          <w:kern w:val="0"/>
          <w:position w:val="-2"/>
          <w:szCs w:val="21"/>
          <w:highlight w:val="none"/>
        </w:rPr>
        <w:t>的法人、其他组织或者个人</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w:t>
      </w:r>
      <w:r>
        <w:rPr>
          <w:rFonts w:ascii="宋体" w:hAnsi="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3</w:t>
      </w:r>
      <w:r>
        <w:rPr>
          <w:rFonts w:hint="eastAsia" w:ascii="宋体" w:hAnsi="宋体"/>
          <w:snapToGrid w:val="0"/>
          <w:color w:val="auto"/>
          <w:kern w:val="0"/>
          <w:position w:val="-2"/>
          <w:szCs w:val="21"/>
          <w:highlight w:val="none"/>
        </w:rPr>
        <w:t>）</w:t>
      </w:r>
      <w:r>
        <w:rPr>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4</w:t>
      </w:r>
      <w:r>
        <w:rPr>
          <w:rFonts w:hint="eastAsia" w:ascii="宋体" w:hAnsi="宋体"/>
          <w:snapToGrid w:val="0"/>
          <w:color w:val="auto"/>
          <w:kern w:val="0"/>
          <w:position w:val="-2"/>
          <w:szCs w:val="21"/>
          <w:highlight w:val="none"/>
        </w:rPr>
        <w:t>）</w:t>
      </w:r>
      <w:r>
        <w:rPr>
          <w:color w:val="auto"/>
          <w:highlight w:val="none"/>
        </w:rPr>
        <w:t>与本招标项目其他投标人代理同一个制造商同一品牌同一型号的</w:t>
      </w:r>
      <w:r>
        <w:rPr>
          <w:rFonts w:hint="eastAsia"/>
          <w:color w:val="auto"/>
          <w:highlight w:val="none"/>
          <w:lang w:val="en-US" w:eastAsia="zh-CN"/>
        </w:rPr>
        <w:t>货物</w:t>
      </w:r>
      <w:r>
        <w:rPr>
          <w:color w:val="auto"/>
          <w:highlight w:val="none"/>
        </w:rPr>
        <w:t>投标；</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（6）为本工程项目的相关监理人</w:t>
      </w:r>
      <w:r>
        <w:rPr>
          <w:rFonts w:hint="eastAsia" w:ascii="宋体" w:hAnsi="宋体"/>
          <w:snapToGrid w:val="0"/>
          <w:color w:val="auto"/>
          <w:kern w:val="0"/>
          <w:position w:val="-2"/>
          <w:szCs w:val="21"/>
          <w:highlight w:val="none"/>
          <w:lang w:eastAsia="zh-CN"/>
        </w:rPr>
        <w:t>，</w:t>
      </w:r>
      <w:r>
        <w:rPr>
          <w:rFonts w:hint="eastAsia" w:ascii="宋体" w:hAnsi="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）为</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招标代理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10</w:t>
      </w:r>
      <w:r>
        <w:rPr>
          <w:rFonts w:ascii="宋体" w:hAnsi="宋体"/>
          <w:snapToGrid w:val="0"/>
          <w:color w:val="auto"/>
          <w:kern w:val="0"/>
          <w:szCs w:val="21"/>
          <w:highlight w:val="none"/>
        </w:rPr>
        <w:t>）与本招标项目的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11</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bookmarkStart w:id="138" w:name="_Hlk66280425"/>
      <w:r>
        <w:rPr>
          <w:rFonts w:ascii="宋体" w:hAnsi="宋体"/>
          <w:snapToGrid w:val="0"/>
          <w:color w:val="auto"/>
          <w:kern w:val="0"/>
          <w:szCs w:val="21"/>
          <w:highlight w:val="none"/>
        </w:rPr>
        <w:t>被责令停产停业、暂扣或者吊销许可证、暂扣或者吊销执照；</w:t>
      </w:r>
      <w:bookmarkEnd w:id="1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bookmarkStart w:id="139" w:name="_Hlk66280433"/>
      <w:r>
        <w:rPr>
          <w:rFonts w:ascii="宋体" w:hAnsi="宋体"/>
          <w:snapToGrid w:val="0"/>
          <w:color w:val="auto"/>
          <w:kern w:val="0"/>
          <w:szCs w:val="21"/>
          <w:highlight w:val="none"/>
        </w:rPr>
        <w:t>进入清算程序，或被宣告破产，或其他丧失履约能力的情形；</w:t>
      </w:r>
      <w:bookmarkEnd w:id="13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）法律法规或投标人须知前附表规定的其他情形。</w:t>
      </w:r>
    </w:p>
    <w:p>
      <w:pPr>
        <w:pStyle w:val="5"/>
        <w:snapToGrid w:val="0"/>
        <w:spacing w:before="0" w:after="0" w:line="360" w:lineRule="auto"/>
        <w:rPr>
          <w:rFonts w:ascii="宋体" w:hAnsi="宋体"/>
          <w:b w:val="0"/>
          <w:snapToGrid w:val="0"/>
          <w:color w:val="auto"/>
          <w:sz w:val="24"/>
          <w:szCs w:val="24"/>
          <w:highlight w:val="none"/>
        </w:rPr>
      </w:pPr>
      <w:bookmarkStart w:id="140" w:name="_Toc200513132"/>
      <w:bookmarkStart w:id="141" w:name="_Toc509218716"/>
      <w:bookmarkStart w:id="142" w:name="_Toc287620691"/>
      <w:bookmarkStart w:id="143" w:name="_Toc277082558"/>
      <w:bookmarkStart w:id="144" w:name="_Toc224103323"/>
      <w:bookmarkStart w:id="145" w:name="_Toc22056"/>
      <w:bookmarkStart w:id="146" w:name="_Toc430530441"/>
      <w:bookmarkStart w:id="147" w:name="_Toc287607752"/>
      <w:r>
        <w:rPr>
          <w:rFonts w:ascii="宋体" w:hAnsi="宋体"/>
          <w:b w:val="0"/>
          <w:snapToGrid w:val="0"/>
          <w:color w:val="auto"/>
          <w:sz w:val="24"/>
          <w:szCs w:val="24"/>
          <w:highlight w:val="none"/>
        </w:rPr>
        <w:t>1.5  费用承担</w:t>
      </w:r>
      <w:bookmarkEnd w:id="140"/>
      <w:bookmarkEnd w:id="141"/>
      <w:bookmarkEnd w:id="142"/>
      <w:bookmarkEnd w:id="143"/>
      <w:bookmarkEnd w:id="144"/>
      <w:bookmarkEnd w:id="145"/>
      <w:bookmarkEnd w:id="146"/>
      <w:bookmarkEnd w:id="1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48" w:name="_Toc287620692"/>
      <w:bookmarkStart w:id="149" w:name="_Toc16656"/>
      <w:bookmarkStart w:id="150" w:name="_Toc224103324"/>
      <w:bookmarkStart w:id="151" w:name="_Toc277082559"/>
      <w:bookmarkStart w:id="152" w:name="_Toc287607753"/>
      <w:bookmarkStart w:id="153" w:name="_Toc200513133"/>
      <w:bookmarkStart w:id="154" w:name="_Toc509218717"/>
      <w:bookmarkStart w:id="155" w:name="_Toc430530442"/>
      <w:r>
        <w:rPr>
          <w:rFonts w:ascii="宋体" w:hAnsi="宋体"/>
          <w:b w:val="0"/>
          <w:snapToGrid w:val="0"/>
          <w:color w:val="auto"/>
          <w:sz w:val="24"/>
          <w:szCs w:val="24"/>
          <w:highlight w:val="none"/>
        </w:rPr>
        <w:t>1.6  保密</w:t>
      </w:r>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ascii="宋体" w:hAnsi="宋体"/>
          <w:b w:val="0"/>
          <w:snapToGrid w:val="0"/>
          <w:color w:val="auto"/>
          <w:sz w:val="24"/>
          <w:szCs w:val="24"/>
          <w:highlight w:val="none"/>
        </w:rPr>
      </w:pPr>
      <w:bookmarkStart w:id="156" w:name="_Toc277082560"/>
      <w:bookmarkStart w:id="157" w:name="_Toc224103325"/>
      <w:bookmarkStart w:id="158" w:name="_Toc287620693"/>
      <w:bookmarkStart w:id="159" w:name="_Toc200513134"/>
      <w:bookmarkStart w:id="160" w:name="_Toc287607754"/>
      <w:bookmarkStart w:id="161" w:name="_Toc509218718"/>
      <w:bookmarkStart w:id="162" w:name="_Toc452"/>
      <w:bookmarkStart w:id="163" w:name="_Toc430530443"/>
      <w:r>
        <w:rPr>
          <w:rFonts w:ascii="宋体" w:hAnsi="宋体"/>
          <w:b w:val="0"/>
          <w:snapToGrid w:val="0"/>
          <w:color w:val="auto"/>
          <w:sz w:val="24"/>
          <w:szCs w:val="24"/>
          <w:highlight w:val="none"/>
        </w:rPr>
        <w:t>1.7  语言文字</w:t>
      </w:r>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ascii="宋体" w:hAnsi="宋体"/>
          <w:b w:val="0"/>
          <w:snapToGrid w:val="0"/>
          <w:color w:val="auto"/>
          <w:sz w:val="24"/>
          <w:szCs w:val="24"/>
          <w:highlight w:val="none"/>
        </w:rPr>
      </w:pPr>
      <w:bookmarkStart w:id="164" w:name="_Toc287607755"/>
      <w:bookmarkStart w:id="165" w:name="_Toc25490"/>
      <w:bookmarkStart w:id="166" w:name="_Toc509218719"/>
      <w:bookmarkStart w:id="167" w:name="_Toc430530444"/>
      <w:bookmarkStart w:id="168" w:name="_Toc200513135"/>
      <w:bookmarkStart w:id="169" w:name="_Toc287620694"/>
      <w:bookmarkStart w:id="170" w:name="_Toc277082561"/>
      <w:bookmarkStart w:id="171" w:name="_Toc224103326"/>
      <w:r>
        <w:rPr>
          <w:rFonts w:ascii="宋体" w:hAnsi="宋体"/>
          <w:b w:val="0"/>
          <w:snapToGrid w:val="0"/>
          <w:color w:val="auto"/>
          <w:sz w:val="24"/>
          <w:szCs w:val="24"/>
          <w:highlight w:val="none"/>
        </w:rPr>
        <w:t>1.8  计量单位</w:t>
      </w:r>
      <w:bookmarkEnd w:id="164"/>
      <w:bookmarkEnd w:id="165"/>
      <w:bookmarkEnd w:id="166"/>
      <w:bookmarkEnd w:id="167"/>
      <w:bookmarkEnd w:id="168"/>
      <w:bookmarkEnd w:id="169"/>
      <w:bookmarkEnd w:id="170"/>
      <w:bookmarkEnd w:id="171"/>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72" w:name="_Toc277082563"/>
      <w:bookmarkStart w:id="173" w:name="_Toc287607757"/>
      <w:bookmarkStart w:id="174" w:name="_Toc224103328"/>
      <w:bookmarkStart w:id="175" w:name="_Toc287620696"/>
      <w:bookmarkStart w:id="176" w:name="_Toc430530446"/>
      <w:bookmarkStart w:id="177" w:name="_Toc6615"/>
      <w:bookmarkStart w:id="178" w:name="_Toc200513137"/>
      <w:bookmarkStart w:id="179" w:name="_Toc509218721"/>
      <w:r>
        <w:rPr>
          <w:rFonts w:ascii="宋体" w:hAnsi="宋体"/>
          <w:b w:val="0"/>
          <w:snapToGrid w:val="0"/>
          <w:color w:val="auto"/>
          <w:sz w:val="24"/>
          <w:szCs w:val="24"/>
          <w:highlight w:val="none"/>
        </w:rPr>
        <w:t>1.</w:t>
      </w:r>
      <w:r>
        <w:rPr>
          <w:rFonts w:hint="eastAsia" w:ascii="宋体" w:hAnsi="宋体"/>
          <w:b w:val="0"/>
          <w:snapToGrid w:val="0"/>
          <w:color w:val="auto"/>
          <w:sz w:val="24"/>
          <w:szCs w:val="24"/>
          <w:highlight w:val="none"/>
          <w:lang w:val="en-US" w:eastAsia="zh-CN"/>
        </w:rPr>
        <w:t>9</w:t>
      </w:r>
      <w:r>
        <w:rPr>
          <w:rFonts w:ascii="宋体" w:hAnsi="宋体"/>
          <w:b w:val="0"/>
          <w:snapToGrid w:val="0"/>
          <w:color w:val="auto"/>
          <w:sz w:val="24"/>
          <w:szCs w:val="24"/>
          <w:highlight w:val="none"/>
        </w:rPr>
        <w:t xml:space="preserve">  投标预备会</w:t>
      </w:r>
      <w:bookmarkEnd w:id="172"/>
      <w:bookmarkEnd w:id="173"/>
      <w:bookmarkEnd w:id="174"/>
      <w:bookmarkEnd w:id="175"/>
      <w:bookmarkEnd w:id="176"/>
      <w:bookmarkEnd w:id="177"/>
      <w:bookmarkEnd w:id="178"/>
      <w:bookmarkEnd w:id="17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.2  投标人应按投标人须知前附表规定的时间和形式将提出的问题送达招标人，以便招标人在会议期间澄清</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.3  投标预备会后，招标人将对投标人所提问题的澄清，以投标人须知前附表规定的形式通知所有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180" w:name="_Toc509218722"/>
      <w:bookmarkStart w:id="181" w:name="_Toc200513138"/>
      <w:bookmarkStart w:id="182" w:name="_Toc430530447"/>
      <w:bookmarkStart w:id="183" w:name="_Toc287620697"/>
      <w:bookmarkStart w:id="184" w:name="_Toc224103329"/>
      <w:bookmarkStart w:id="185" w:name="_Toc277082564"/>
      <w:bookmarkStart w:id="186" w:name="_Toc287607758"/>
      <w:bookmarkStart w:id="187" w:name="_Toc19884"/>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0</w:t>
      </w:r>
      <w:r>
        <w:rPr>
          <w:rFonts w:ascii="宋体" w:hAnsi="宋体"/>
          <w:b w:val="0"/>
          <w:snapToGrid w:val="0"/>
          <w:color w:val="auto"/>
          <w:sz w:val="24"/>
          <w:szCs w:val="24"/>
          <w:highlight w:val="none"/>
        </w:rPr>
        <w:t xml:space="preserve">  分包</w:t>
      </w:r>
      <w:bookmarkEnd w:id="180"/>
      <w:bookmarkEnd w:id="181"/>
      <w:bookmarkEnd w:id="182"/>
      <w:bookmarkEnd w:id="183"/>
      <w:bookmarkEnd w:id="184"/>
      <w:bookmarkEnd w:id="185"/>
      <w:bookmarkEnd w:id="186"/>
      <w:bookmarkEnd w:id="187"/>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.1  投标人拟在中标后将中标项目的非主体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外，其他工作不得分包。</w:t>
      </w:r>
    </w:p>
    <w:p>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 xml:space="preserve">.2  </w:t>
      </w:r>
      <w:r>
        <w:rPr>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188" w:name="_Toc200513139"/>
      <w:bookmarkStart w:id="189" w:name="_Toc509218723"/>
      <w:bookmarkStart w:id="190" w:name="_Toc224103330"/>
      <w:bookmarkStart w:id="191" w:name="_Toc277082565"/>
      <w:bookmarkStart w:id="192" w:name="_Toc430530448"/>
      <w:bookmarkStart w:id="193" w:name="_Toc287607759"/>
      <w:bookmarkStart w:id="194" w:name="_Toc287620698"/>
      <w:bookmarkStart w:id="195" w:name="_Toc12593"/>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1</w:t>
      </w:r>
      <w:r>
        <w:rPr>
          <w:rFonts w:ascii="宋体" w:hAnsi="宋体"/>
          <w:b w:val="0"/>
          <w:snapToGrid w:val="0"/>
          <w:color w:val="auto"/>
          <w:sz w:val="24"/>
          <w:szCs w:val="24"/>
          <w:highlight w:val="none"/>
        </w:rPr>
        <w:t xml:space="preserve">  </w:t>
      </w:r>
      <w:bookmarkEnd w:id="188"/>
      <w:bookmarkEnd w:id="189"/>
      <w:bookmarkEnd w:id="190"/>
      <w:bookmarkEnd w:id="191"/>
      <w:bookmarkEnd w:id="192"/>
      <w:bookmarkEnd w:id="193"/>
      <w:bookmarkEnd w:id="194"/>
      <w:r>
        <w:rPr>
          <w:rFonts w:hint="eastAsia" w:ascii="宋体" w:hAnsi="宋体"/>
          <w:b w:val="0"/>
          <w:snapToGrid w:val="0"/>
          <w:color w:val="auto"/>
          <w:sz w:val="24"/>
          <w:szCs w:val="24"/>
          <w:highlight w:val="none"/>
        </w:rPr>
        <w:t>响应和偏</w:t>
      </w:r>
      <w:r>
        <w:rPr>
          <w:rFonts w:hint="eastAsia" w:ascii="宋体" w:hAnsi="宋体"/>
          <w:b w:val="0"/>
          <w:snapToGrid w:val="0"/>
          <w:color w:val="auto"/>
          <w:sz w:val="24"/>
          <w:szCs w:val="24"/>
          <w:highlight w:val="none"/>
          <w:lang w:val="en-US" w:eastAsia="zh-CN"/>
        </w:rPr>
        <w:t>差</w:t>
      </w:r>
      <w:bookmarkEnd w:id="195"/>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.1  投标文件应当对招标文件的实质性要求和条件作出满足性或更有利于招标人的响应，否则，投标人的投标将被否决。</w:t>
      </w:r>
      <w:r>
        <w:rPr>
          <w:color w:val="auto"/>
          <w:highlight w:val="none"/>
        </w:rPr>
        <w:t>实质性要求和条件见投标人须知前附表</w:t>
      </w:r>
      <w:r>
        <w:rPr>
          <w:rFonts w:hint="eastAsia"/>
          <w:color w:val="auto"/>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.2  投标人应根据招标文件的要求提供</w:t>
      </w:r>
      <w:r>
        <w:rPr>
          <w:color w:val="auto"/>
          <w:spacing w:val="-3"/>
          <w:sz w:val="21"/>
          <w:highlight w:val="none"/>
        </w:rPr>
        <w:t>投标设备技术性能指标的详细描述、技术支持资料及技术服务和质保期服务计划等内容以对招标文件作出响应</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  </w:t>
      </w:r>
      <w:r>
        <w:rPr>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color w:val="auto"/>
          <w:spacing w:val="-3"/>
          <w:sz w:val="21"/>
          <w:highlight w:val="none"/>
        </w:rPr>
        <w:t>投标人须知前附表规定了</w:t>
      </w:r>
      <w:r>
        <w:rPr>
          <w:rFonts w:hint="eastAsia"/>
          <w:color w:val="auto"/>
          <w:spacing w:val="-3"/>
          <w:sz w:val="21"/>
          <w:highlight w:val="none"/>
          <w:lang w:val="en-US" w:eastAsia="zh-CN"/>
        </w:rPr>
        <w:t>允许偏差</w:t>
      </w:r>
      <w:r>
        <w:rPr>
          <w:color w:val="auto"/>
          <w:spacing w:val="-3"/>
          <w:sz w:val="21"/>
          <w:highlight w:val="none"/>
        </w:rPr>
        <w:t>和最高偏差项数的，</w:t>
      </w:r>
      <w:r>
        <w:rPr>
          <w:rFonts w:hint="eastAsia"/>
          <w:color w:val="auto"/>
          <w:spacing w:val="-3"/>
          <w:sz w:val="21"/>
          <w:highlight w:val="none"/>
          <w:lang w:val="en-US" w:eastAsia="zh-CN"/>
        </w:rPr>
        <w:t>投标文件的</w:t>
      </w:r>
      <w:r>
        <w:rPr>
          <w:color w:val="auto"/>
          <w:spacing w:val="-3"/>
          <w:sz w:val="21"/>
          <w:highlight w:val="none"/>
        </w:rPr>
        <w:t>偏差</w:t>
      </w:r>
      <w:r>
        <w:rPr>
          <w:rFonts w:hint="eastAsia"/>
          <w:color w:val="auto"/>
          <w:spacing w:val="-3"/>
          <w:sz w:val="21"/>
          <w:highlight w:val="none"/>
          <w:lang w:val="en-US" w:eastAsia="zh-CN"/>
        </w:rPr>
        <w:t>项数</w:t>
      </w:r>
      <w:r>
        <w:rPr>
          <w:color w:val="auto"/>
          <w:spacing w:val="-3"/>
          <w:sz w:val="21"/>
          <w:highlight w:val="none"/>
        </w:rPr>
        <w:t>应当符合投标人须知前附表的规定。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  </w:t>
      </w:r>
      <w:r>
        <w:rPr>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ascii="宋体" w:hAnsi="宋体"/>
          <w:b w:val="0"/>
          <w:snapToGrid w:val="0"/>
          <w:color w:val="auto"/>
          <w:highlight w:val="none"/>
        </w:rPr>
      </w:pPr>
      <w:bookmarkStart w:id="196" w:name="_Toc287620699"/>
      <w:bookmarkStart w:id="197" w:name="_Toc287607760"/>
      <w:bookmarkStart w:id="198" w:name="_Toc16582"/>
      <w:bookmarkStart w:id="199" w:name="_Toc509218724"/>
      <w:bookmarkStart w:id="200" w:name="_Toc200513140"/>
      <w:bookmarkStart w:id="201" w:name="_Toc430530449"/>
      <w:bookmarkStart w:id="202" w:name="_Toc224103331"/>
      <w:bookmarkStart w:id="203" w:name="_Toc277082566"/>
      <w:r>
        <w:rPr>
          <w:rFonts w:ascii="宋体" w:hAnsi="宋体"/>
          <w:b w:val="0"/>
          <w:snapToGrid w:val="0"/>
          <w:color w:val="auto"/>
          <w:highlight w:val="none"/>
        </w:rPr>
        <w:t>2.  招标文件</w:t>
      </w:r>
      <w:bookmarkEnd w:id="196"/>
      <w:bookmarkEnd w:id="197"/>
      <w:bookmarkEnd w:id="198"/>
      <w:bookmarkEnd w:id="199"/>
      <w:bookmarkEnd w:id="200"/>
      <w:bookmarkEnd w:id="201"/>
      <w:bookmarkEnd w:id="202"/>
      <w:bookmarkEnd w:id="203"/>
    </w:p>
    <w:p>
      <w:pPr>
        <w:pStyle w:val="5"/>
        <w:snapToGrid w:val="0"/>
        <w:spacing w:before="0" w:after="0" w:line="360" w:lineRule="auto"/>
        <w:rPr>
          <w:rFonts w:ascii="宋体" w:hAnsi="宋体"/>
          <w:b w:val="0"/>
          <w:snapToGrid w:val="0"/>
          <w:color w:val="auto"/>
          <w:sz w:val="24"/>
          <w:szCs w:val="24"/>
          <w:highlight w:val="none"/>
        </w:rPr>
      </w:pPr>
      <w:bookmarkStart w:id="204" w:name="_Toc287607761"/>
      <w:bookmarkStart w:id="205" w:name="_Toc277082567"/>
      <w:bookmarkStart w:id="206" w:name="_Toc287620700"/>
      <w:bookmarkStart w:id="207" w:name="_Toc200513141"/>
      <w:bookmarkStart w:id="208" w:name="_Toc509218725"/>
      <w:bookmarkStart w:id="209" w:name="_Toc32268"/>
      <w:bookmarkStart w:id="210" w:name="_Toc224103332"/>
      <w:bookmarkStart w:id="211" w:name="_Toc430530450"/>
      <w:r>
        <w:rPr>
          <w:rFonts w:ascii="宋体" w:hAnsi="宋体"/>
          <w:b w:val="0"/>
          <w:snapToGrid w:val="0"/>
          <w:color w:val="auto"/>
          <w:sz w:val="24"/>
          <w:szCs w:val="24"/>
          <w:highlight w:val="none"/>
        </w:rPr>
        <w:t>2.1  招标文件的组成</w:t>
      </w:r>
      <w:bookmarkEnd w:id="204"/>
      <w:bookmarkEnd w:id="205"/>
      <w:bookmarkEnd w:id="206"/>
      <w:bookmarkEnd w:id="207"/>
      <w:bookmarkEnd w:id="208"/>
      <w:bookmarkEnd w:id="209"/>
      <w:bookmarkEnd w:id="210"/>
      <w:bookmarkEnd w:id="211"/>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12" w:name="_Toc430530451"/>
      <w:bookmarkStart w:id="213" w:name="_Toc29402"/>
      <w:bookmarkStart w:id="214" w:name="_Toc509218726"/>
      <w:r>
        <w:rPr>
          <w:rFonts w:ascii="宋体" w:hAnsi="宋体"/>
          <w:b w:val="0"/>
          <w:snapToGrid w:val="0"/>
          <w:color w:val="auto"/>
          <w:sz w:val="24"/>
          <w:szCs w:val="24"/>
          <w:highlight w:val="none"/>
        </w:rPr>
        <w:t>2.2  招标文件的澄清</w:t>
      </w:r>
      <w:bookmarkEnd w:id="212"/>
      <w:bookmarkEnd w:id="213"/>
      <w:bookmarkEnd w:id="21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ascii="宋体" w:hAnsi="宋体"/>
          <w:color w:val="auto"/>
          <w:kern w:val="0"/>
          <w:szCs w:val="21"/>
          <w:highlight w:val="none"/>
        </w:rPr>
        <w:t>招标人确认已收到该澄清。</w:t>
      </w:r>
      <w:r>
        <w:rPr>
          <w:rFonts w:hint="eastAsia" w:ascii="宋体" w:hAnsi="宋体"/>
          <w:color w:val="auto"/>
          <w:kern w:val="0"/>
          <w:szCs w:val="21"/>
          <w:highlight w:val="none"/>
        </w:rPr>
        <w:t>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ascii="宋体" w:hAnsi="宋体"/>
          <w:b w:val="0"/>
          <w:snapToGrid w:val="0"/>
          <w:color w:val="auto"/>
          <w:sz w:val="24"/>
          <w:szCs w:val="24"/>
          <w:highlight w:val="none"/>
        </w:rPr>
      </w:pPr>
      <w:bookmarkStart w:id="215" w:name="_Toc509218727"/>
      <w:bookmarkStart w:id="216" w:name="_Toc31864"/>
      <w:bookmarkStart w:id="217" w:name="_Toc277082569"/>
      <w:bookmarkStart w:id="218" w:name="_Toc287607763"/>
      <w:bookmarkStart w:id="219" w:name="_Toc224103334"/>
      <w:bookmarkStart w:id="220" w:name="_Toc430530452"/>
      <w:bookmarkStart w:id="221" w:name="_Toc200513143"/>
      <w:bookmarkStart w:id="222" w:name="_Toc287620702"/>
      <w:r>
        <w:rPr>
          <w:rFonts w:ascii="宋体" w:hAnsi="宋体"/>
          <w:b w:val="0"/>
          <w:snapToGrid w:val="0"/>
          <w:color w:val="auto"/>
          <w:sz w:val="24"/>
          <w:szCs w:val="24"/>
          <w:highlight w:val="none"/>
        </w:rPr>
        <w:t>2.3  招标文件的修改</w:t>
      </w:r>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0"/>
        <w:rPr>
          <w:rFonts w:ascii="宋体" w:hAnsi="宋体"/>
          <w:snapToGrid w:val="0"/>
          <w:color w:val="auto"/>
          <w:highlight w:val="none"/>
        </w:rPr>
      </w:pPr>
      <w:bookmarkStart w:id="223" w:name="_Toc287607764"/>
      <w:bookmarkStart w:id="224" w:name="_Toc224103335"/>
      <w:bookmarkStart w:id="225" w:name="_Toc200513144"/>
      <w:bookmarkStart w:id="226" w:name="_Toc277082570"/>
      <w:bookmarkStart w:id="227" w:name="_Toc287620703"/>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后，应向招标人确认已收到该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rPr>
        <w:t>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ascii="宋体" w:hAnsi="宋体"/>
          <w:b w:val="0"/>
          <w:snapToGrid w:val="0"/>
          <w:color w:val="auto"/>
          <w:sz w:val="24"/>
          <w:szCs w:val="24"/>
          <w:highlight w:val="none"/>
        </w:rPr>
      </w:pPr>
      <w:bookmarkStart w:id="228" w:name="_Toc7607"/>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228"/>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有异议的，应当在投标截止时间10日前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pPr>
        <w:pStyle w:val="4"/>
        <w:spacing w:before="0" w:after="0" w:line="360" w:lineRule="auto"/>
        <w:rPr>
          <w:rFonts w:ascii="宋体" w:hAnsi="宋体"/>
          <w:b w:val="0"/>
          <w:snapToGrid w:val="0"/>
          <w:color w:val="auto"/>
          <w:highlight w:val="none"/>
        </w:rPr>
      </w:pPr>
      <w:bookmarkStart w:id="229" w:name="_Toc509218728"/>
      <w:bookmarkStart w:id="230" w:name="_Toc23842"/>
      <w:bookmarkStart w:id="231" w:name="_Toc430530453"/>
      <w:r>
        <w:rPr>
          <w:rFonts w:ascii="宋体" w:hAnsi="宋体"/>
          <w:b w:val="0"/>
          <w:snapToGrid w:val="0"/>
          <w:color w:val="auto"/>
          <w:highlight w:val="none"/>
        </w:rPr>
        <w:t>3.  投标文件</w:t>
      </w:r>
      <w:bookmarkEnd w:id="223"/>
      <w:bookmarkEnd w:id="224"/>
      <w:bookmarkEnd w:id="225"/>
      <w:bookmarkEnd w:id="226"/>
      <w:bookmarkEnd w:id="227"/>
      <w:bookmarkEnd w:id="229"/>
      <w:bookmarkEnd w:id="230"/>
      <w:bookmarkEnd w:id="231"/>
    </w:p>
    <w:p>
      <w:pPr>
        <w:pStyle w:val="5"/>
        <w:snapToGrid w:val="0"/>
        <w:spacing w:before="0" w:after="0" w:line="360" w:lineRule="auto"/>
        <w:rPr>
          <w:rFonts w:ascii="宋体" w:hAnsi="宋体"/>
          <w:b w:val="0"/>
          <w:snapToGrid w:val="0"/>
          <w:color w:val="auto"/>
          <w:sz w:val="24"/>
          <w:szCs w:val="24"/>
          <w:highlight w:val="none"/>
        </w:rPr>
      </w:pPr>
      <w:bookmarkStart w:id="232" w:name="_Toc430530454"/>
      <w:bookmarkStart w:id="233" w:name="_Toc224103336"/>
      <w:bookmarkStart w:id="234" w:name="_Toc287620704"/>
      <w:bookmarkStart w:id="235" w:name="_Toc200513145"/>
      <w:bookmarkStart w:id="236" w:name="_Toc277082571"/>
      <w:bookmarkStart w:id="237" w:name="_Toc509218729"/>
      <w:bookmarkStart w:id="238" w:name="_Toc287607765"/>
      <w:bookmarkStart w:id="239" w:name="_Toc23838"/>
      <w:r>
        <w:rPr>
          <w:rFonts w:ascii="宋体" w:hAnsi="宋体"/>
          <w:b w:val="0"/>
          <w:snapToGrid w:val="0"/>
          <w:color w:val="auto"/>
          <w:sz w:val="24"/>
          <w:szCs w:val="24"/>
          <w:highlight w:val="none"/>
        </w:rPr>
        <w:t>3.1  投标文件的组成</w:t>
      </w:r>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hint="eastAsia" w:ascii="宋体" w:hAnsi="宋体"/>
          <w:snapToGrid w:val="0"/>
          <w:color w:val="auto"/>
          <w:highlight w:val="none"/>
          <w:lang w:val="en-US" w:eastAsia="zh-CN"/>
        </w:rPr>
        <w:t>分项报价表</w:t>
      </w:r>
      <w:r>
        <w:rPr>
          <w:rFonts w:hint="eastAsia" w:ascii="宋体" w:hAnsi="宋体"/>
          <w:snapToGrid w:val="0"/>
          <w:color w:val="auto"/>
          <w:highlight w:val="none"/>
        </w:rPr>
        <w:t>（如有）</w:t>
      </w:r>
      <w:r>
        <w:rPr>
          <w:rFonts w:ascii="宋体" w:hAnsi="宋体"/>
          <w:snapToGrid w:val="0"/>
          <w:color w:val="auto"/>
          <w:highlight w:val="none"/>
        </w:rPr>
        <w:t>；</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hint="eastAsia" w:ascii="宋体" w:hAnsi="宋体"/>
          <w:snapToGrid w:val="0"/>
          <w:color w:val="auto"/>
          <w:highlight w:val="none"/>
          <w:lang w:val="en-US" w:eastAsia="zh-CN"/>
        </w:rPr>
        <w:t>低价风险担保提交承诺书（如有）；</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3</w:t>
      </w:r>
      <w:r>
        <w:rPr>
          <w:rFonts w:hint="eastAsia" w:ascii="宋体" w:hAnsi="宋体"/>
          <w:snapToGrid w:val="0"/>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w:t>
      </w:r>
      <w:r>
        <w:rPr>
          <w:rFonts w:hint="eastAsia" w:ascii="宋体" w:hAnsi="宋体"/>
          <w:snapToGrid w:val="0"/>
          <w:color w:val="auto"/>
          <w:highlight w:val="none"/>
          <w:lang w:val="en-US" w:eastAsia="zh-CN"/>
        </w:rPr>
        <w:t>部分</w:t>
      </w:r>
      <w:r>
        <w:rPr>
          <w:rFonts w:hint="eastAsia" w:ascii="宋体" w:hAnsi="宋体"/>
          <w:snapToGrid w:val="0"/>
          <w:color w:val="auto"/>
          <w:highlight w:val="none"/>
        </w:rPr>
        <w:t>评审的不设此部分）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（1）法定代表人身份证明或附有法定代表人身份证明的授权委托书</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2）制造商资格声明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）联合体协议书（如有）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）投标人基本情况表</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color w:val="auto"/>
          <w:highlight w:val="none"/>
        </w:rPr>
      </w:pPr>
      <w:r>
        <w:rPr>
          <w:rFonts w:ascii="宋体" w:hAnsi="宋体"/>
          <w:snapToGrid w:val="0"/>
          <w:color w:val="auto"/>
          <w:highlight w:val="none"/>
        </w:rPr>
        <w:t>3.1.</w:t>
      </w:r>
      <w:r>
        <w:rPr>
          <w:rFonts w:hint="eastAsia" w:ascii="宋体" w:hAnsi="宋体"/>
          <w:snapToGrid w:val="0"/>
          <w:color w:val="auto"/>
          <w:highlight w:val="none"/>
          <w:lang w:val="en-US" w:eastAsia="zh-CN"/>
        </w:rPr>
        <w:t>3</w:t>
      </w:r>
      <w:r>
        <w:rPr>
          <w:rFonts w:ascii="宋体" w:hAnsi="宋体"/>
          <w:snapToGrid w:val="0"/>
          <w:color w:val="auto"/>
          <w:highlight w:val="none"/>
        </w:rPr>
        <w:t xml:space="preserve">  </w:t>
      </w:r>
      <w:r>
        <w:rPr>
          <w:color w:val="auto"/>
          <w:spacing w:val="-3"/>
          <w:sz w:val="21"/>
          <w:highlight w:val="none"/>
        </w:rPr>
        <w:t>投标人须知前附表未要求提交投标保证金的，投标文件不包括投标保证金。</w:t>
      </w:r>
    </w:p>
    <w:p>
      <w:pPr>
        <w:pStyle w:val="5"/>
        <w:snapToGrid w:val="0"/>
        <w:spacing w:before="0" w:after="0" w:line="360" w:lineRule="auto"/>
        <w:rPr>
          <w:rFonts w:ascii="宋体" w:hAnsi="宋体"/>
          <w:b w:val="0"/>
          <w:snapToGrid w:val="0"/>
          <w:color w:val="auto"/>
          <w:sz w:val="24"/>
          <w:szCs w:val="24"/>
          <w:highlight w:val="none"/>
        </w:rPr>
      </w:pPr>
      <w:bookmarkStart w:id="240" w:name="_Toc509218730"/>
      <w:bookmarkStart w:id="241" w:name="_Toc200513146"/>
      <w:bookmarkStart w:id="242" w:name="_Toc224103337"/>
      <w:bookmarkStart w:id="243" w:name="_Toc430530455"/>
      <w:bookmarkStart w:id="244" w:name="_Toc277082572"/>
      <w:bookmarkStart w:id="245" w:name="_Toc287620705"/>
      <w:bookmarkStart w:id="246" w:name="_Toc287607766"/>
      <w:bookmarkStart w:id="247" w:name="_Toc27489"/>
      <w:r>
        <w:rPr>
          <w:rFonts w:ascii="宋体" w:hAnsi="宋体"/>
          <w:b w:val="0"/>
          <w:snapToGrid w:val="0"/>
          <w:color w:val="auto"/>
          <w:sz w:val="24"/>
          <w:szCs w:val="24"/>
          <w:highlight w:val="none"/>
        </w:rPr>
        <w:t>3.2  投标报价</w:t>
      </w:r>
      <w:bookmarkEnd w:id="240"/>
      <w:bookmarkEnd w:id="241"/>
      <w:bookmarkEnd w:id="242"/>
      <w:bookmarkEnd w:id="243"/>
      <w:bookmarkEnd w:id="244"/>
      <w:bookmarkEnd w:id="245"/>
      <w:bookmarkEnd w:id="246"/>
      <w:bookmarkEnd w:id="2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color w:val="auto"/>
          <w:spacing w:val="-7"/>
          <w:sz w:val="21"/>
          <w:highlight w:val="none"/>
        </w:rPr>
        <w:t>并填写</w:t>
      </w:r>
      <w:r>
        <w:rPr>
          <w:color w:val="auto"/>
          <w:spacing w:val="-5"/>
          <w:sz w:val="21"/>
          <w:highlight w:val="none"/>
        </w:rPr>
        <w:t>分项报价表。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3.2.3  </w:t>
      </w:r>
      <w:r>
        <w:rPr>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color w:val="auto"/>
          <w:spacing w:val="-3"/>
          <w:sz w:val="21"/>
          <w:highlight w:val="none"/>
        </w:rPr>
        <w:t>分项报价之中。投标人在投标截止时间前修改投标函中的投标报价总额，应同时修改投标文件</w:t>
      </w:r>
      <w:r>
        <w:rPr>
          <w:rFonts w:ascii="宋体" w:hAnsi="宋体"/>
          <w:snapToGrid w:val="0"/>
          <w:color w:val="auto"/>
          <w:kern w:val="0"/>
          <w:szCs w:val="21"/>
          <w:highlight w:val="none"/>
        </w:rPr>
        <w:t>“</w:t>
      </w:r>
      <w:r>
        <w:rPr>
          <w:color w:val="auto"/>
          <w:highlight w:val="none"/>
        </w:rPr>
        <w:t>分项报价表</w:t>
      </w:r>
      <w:r>
        <w:rPr>
          <w:rFonts w:ascii="宋体" w:hAnsi="宋体"/>
          <w:snapToGrid w:val="0"/>
          <w:color w:val="auto"/>
          <w:kern w:val="0"/>
          <w:szCs w:val="21"/>
          <w:highlight w:val="none"/>
        </w:rPr>
        <w:t>”</w:t>
      </w:r>
      <w:r>
        <w:rPr>
          <w:color w:val="auto"/>
          <w:highlight w:val="none"/>
        </w:rPr>
        <w:t>中的相应报价</w:t>
      </w:r>
      <w:r>
        <w:rPr>
          <w:rFonts w:ascii="宋体" w:hAnsi="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248" w:name="_Toc224103338"/>
      <w:bookmarkStart w:id="249" w:name="_Toc287620706"/>
      <w:bookmarkStart w:id="250" w:name="_Toc31522"/>
      <w:bookmarkStart w:id="251" w:name="_Toc509218731"/>
      <w:bookmarkStart w:id="252" w:name="_Toc200513147"/>
      <w:bookmarkStart w:id="253" w:name="_Toc430530456"/>
      <w:bookmarkStart w:id="254" w:name="_Toc287607767"/>
      <w:bookmarkStart w:id="255" w:name="_Toc277082573"/>
      <w:r>
        <w:rPr>
          <w:rFonts w:ascii="宋体" w:hAnsi="宋体"/>
          <w:b w:val="0"/>
          <w:snapToGrid w:val="0"/>
          <w:color w:val="auto"/>
          <w:sz w:val="24"/>
          <w:szCs w:val="24"/>
          <w:highlight w:val="none"/>
        </w:rPr>
        <w:t>3.3  投标有效期</w:t>
      </w:r>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出现特殊情况需要延长投标有效期的，招标人以书面形式通知所有投标人延长投标有效期。</w:t>
      </w:r>
      <w:r>
        <w:rPr>
          <w:color w:val="auto"/>
          <w:spacing w:val="-8"/>
          <w:sz w:val="21"/>
          <w:highlight w:val="none"/>
        </w:rPr>
        <w:t>投标人应予以书面答复，</w:t>
      </w:r>
      <w:r>
        <w:rPr>
          <w:rFonts w:ascii="宋体" w:hAnsi="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w:t>
      </w:r>
      <w:r>
        <w:rPr>
          <w:color w:val="auto"/>
          <w:spacing w:val="-8"/>
          <w:sz w:val="21"/>
          <w:highlight w:val="none"/>
        </w:rPr>
        <w:t>投标人应予以书面答复，</w:t>
      </w:r>
      <w:r>
        <w:rPr>
          <w:rFonts w:hint="eastAsia" w:ascii="宋体" w:hAnsi="宋体" w:cs="MingLiU"/>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cs="MingLiU"/>
          <w:snapToGrid w:val="0"/>
          <w:color w:val="auto"/>
          <w:kern w:val="0"/>
          <w:szCs w:val="21"/>
          <w:highlight w:val="none"/>
          <w:lang w:val="en-US" w:eastAsia="zh-CN"/>
        </w:rPr>
        <w:t>及</w:t>
      </w:r>
      <w:r>
        <w:rPr>
          <w:color w:val="auto"/>
          <w:spacing w:val="-3"/>
          <w:sz w:val="21"/>
          <w:highlight w:val="none"/>
        </w:rPr>
        <w:t>银行同期存款利息</w:t>
      </w:r>
      <w:r>
        <w:rPr>
          <w:rFonts w:hint="eastAsia" w:ascii="宋体" w:hAnsi="宋体" w:cs="MingLiU"/>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56" w:name="_Toc277082574"/>
      <w:bookmarkStart w:id="257" w:name="_Toc287620707"/>
      <w:bookmarkStart w:id="258" w:name="_Toc224103339"/>
      <w:bookmarkStart w:id="259" w:name="_Toc430530457"/>
      <w:bookmarkStart w:id="260" w:name="_Toc287607768"/>
      <w:bookmarkStart w:id="261" w:name="_Toc200513148"/>
      <w:bookmarkStart w:id="262" w:name="_Toc509218732"/>
      <w:bookmarkStart w:id="263" w:name="_Toc11444"/>
      <w:r>
        <w:rPr>
          <w:rFonts w:ascii="宋体" w:hAnsi="宋体"/>
          <w:b w:val="0"/>
          <w:snapToGrid w:val="0"/>
          <w:color w:val="auto"/>
          <w:sz w:val="24"/>
          <w:szCs w:val="24"/>
          <w:highlight w:val="none"/>
        </w:rPr>
        <w:t>3.4  投标</w:t>
      </w:r>
      <w:bookmarkEnd w:id="256"/>
      <w:bookmarkEnd w:id="257"/>
      <w:bookmarkEnd w:id="258"/>
      <w:bookmarkEnd w:id="259"/>
      <w:bookmarkEnd w:id="260"/>
      <w:bookmarkEnd w:id="261"/>
      <w:bookmarkEnd w:id="262"/>
      <w:r>
        <w:rPr>
          <w:rFonts w:hint="eastAsia" w:ascii="宋体" w:hAnsi="宋体"/>
          <w:b w:val="0"/>
          <w:snapToGrid w:val="0"/>
          <w:color w:val="auto"/>
          <w:sz w:val="24"/>
          <w:szCs w:val="24"/>
          <w:highlight w:val="none"/>
        </w:rPr>
        <w:t>保证金</w:t>
      </w:r>
      <w:bookmarkEnd w:id="2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w:t>
      </w:r>
      <w:r>
        <w:rPr>
          <w:color w:val="auto"/>
          <w:spacing w:val="-3"/>
          <w:sz w:val="21"/>
          <w:highlight w:val="none"/>
        </w:rPr>
        <w:t>评标委员会将否决其投标</w:t>
      </w:r>
      <w:r>
        <w:rPr>
          <w:rFonts w:ascii="宋体" w:hAnsi="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w:t>
      </w:r>
      <w:r>
        <w:rPr>
          <w:rFonts w:hint="eastAsia" w:ascii="宋体" w:hAnsi="宋体"/>
          <w:snapToGrid w:val="0"/>
          <w:color w:val="auto"/>
          <w:kern w:val="0"/>
          <w:szCs w:val="21"/>
          <w:highlight w:val="none"/>
          <w:lang w:val="en-US" w:eastAsia="zh-CN"/>
        </w:rPr>
        <w:t>或修改</w:t>
      </w:r>
      <w:r>
        <w:rPr>
          <w:rFonts w:ascii="宋体" w:hAnsi="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不与招标人订立合同，</w:t>
      </w:r>
      <w:r>
        <w:rPr>
          <w:rFonts w:ascii="宋体" w:hAnsi="宋体"/>
          <w:snapToGrid w:val="0"/>
          <w:color w:val="auto"/>
          <w:kern w:val="0"/>
          <w:szCs w:val="21"/>
          <w:highlight w:val="none"/>
        </w:rPr>
        <w:t>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64" w:name="_Toc19727"/>
      <w:bookmarkStart w:id="265" w:name="_Toc277082576"/>
      <w:bookmarkStart w:id="266" w:name="_Toc430530459"/>
      <w:bookmarkStart w:id="267" w:name="_Toc509218734"/>
      <w:bookmarkStart w:id="268" w:name="_Toc287607770"/>
      <w:bookmarkStart w:id="269" w:name="_Toc224103341"/>
      <w:bookmarkStart w:id="270" w:name="_Toc200513150"/>
      <w:bookmarkStart w:id="271" w:name="_Toc287620709"/>
      <w:r>
        <w:rPr>
          <w:rFonts w:ascii="宋体" w:hAnsi="宋体"/>
          <w:b w:val="0"/>
          <w:snapToGrid w:val="0"/>
          <w:color w:val="auto"/>
          <w:sz w:val="24"/>
          <w:szCs w:val="24"/>
          <w:highlight w:val="none"/>
        </w:rPr>
        <w:t>3.5 资格审查资料</w:t>
      </w:r>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272" w:name="_Toc509218735"/>
      <w:bookmarkStart w:id="273" w:name="_Toc430530460"/>
      <w:bookmarkStart w:id="274" w:name="_Toc287620710"/>
      <w:bookmarkStart w:id="275" w:name="_Toc224103342"/>
      <w:bookmarkStart w:id="276" w:name="_Toc277082577"/>
      <w:bookmarkStart w:id="277" w:name="_Toc200513151"/>
      <w:bookmarkStart w:id="278" w:name="_Toc2218"/>
      <w:bookmarkStart w:id="279" w:name="_Toc287607771"/>
      <w:r>
        <w:rPr>
          <w:rFonts w:ascii="宋体" w:hAnsi="宋体"/>
          <w:b w:val="0"/>
          <w:snapToGrid w:val="0"/>
          <w:color w:val="auto"/>
          <w:sz w:val="24"/>
          <w:szCs w:val="24"/>
          <w:highlight w:val="none"/>
        </w:rPr>
        <w:t>3.6  备选投标方案</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w:t>
      </w:r>
      <w:r>
        <w:rPr>
          <w:rFonts w:hint="eastAsia" w:ascii="宋体" w:hAnsi="宋体"/>
          <w:snapToGrid w:val="0"/>
          <w:color w:val="auto"/>
          <w:kern w:val="0"/>
          <w:szCs w:val="21"/>
          <w:highlight w:val="none"/>
          <w:lang w:val="en-US" w:eastAsia="zh-CN"/>
        </w:rPr>
        <w:t>供货</w:t>
      </w:r>
      <w:r>
        <w:rPr>
          <w:rFonts w:ascii="宋体" w:hAnsi="宋体"/>
          <w:snapToGrid w:val="0"/>
          <w:color w:val="auto"/>
          <w:kern w:val="0"/>
          <w:szCs w:val="21"/>
          <w:highlight w:val="none"/>
        </w:rPr>
        <w:t>方案的，视为提供备选方案。</w:t>
      </w:r>
    </w:p>
    <w:p>
      <w:pPr>
        <w:pStyle w:val="5"/>
        <w:snapToGrid w:val="0"/>
        <w:spacing w:before="0" w:after="0" w:line="360" w:lineRule="auto"/>
        <w:rPr>
          <w:rFonts w:ascii="宋体" w:hAnsi="宋体"/>
          <w:b w:val="0"/>
          <w:snapToGrid w:val="0"/>
          <w:color w:val="auto"/>
          <w:sz w:val="24"/>
          <w:szCs w:val="24"/>
          <w:highlight w:val="none"/>
        </w:rPr>
      </w:pPr>
      <w:bookmarkStart w:id="280" w:name="_Toc509218736"/>
      <w:bookmarkStart w:id="281" w:name="_Toc430530461"/>
      <w:bookmarkStart w:id="282" w:name="_Toc200513152"/>
      <w:bookmarkStart w:id="283" w:name="_Toc287607772"/>
      <w:bookmarkStart w:id="284" w:name="_Toc224103343"/>
      <w:bookmarkStart w:id="285" w:name="_Toc277082578"/>
      <w:bookmarkStart w:id="286" w:name="_Toc287620711"/>
      <w:bookmarkStart w:id="287" w:name="_Toc18087"/>
      <w:r>
        <w:rPr>
          <w:rFonts w:ascii="宋体" w:hAnsi="宋体"/>
          <w:b w:val="0"/>
          <w:snapToGrid w:val="0"/>
          <w:color w:val="auto"/>
          <w:sz w:val="24"/>
          <w:szCs w:val="24"/>
          <w:highlight w:val="none"/>
        </w:rPr>
        <w:t>3.7  投标文件的编制</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color w:val="auto"/>
          <w:spacing w:val="-5"/>
          <w:sz w:val="21"/>
          <w:highlight w:val="none"/>
        </w:rPr>
        <w:t>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09" w:firstLine="420" w:firstLineChars="200"/>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hint="eastAsia" w:ascii="宋体" w:hAnsi="宋体"/>
          <w:color w:val="auto"/>
          <w:kern w:val="0"/>
          <w:szCs w:val="21"/>
          <w:highlight w:val="none"/>
        </w:rPr>
        <w:t>投标人网上提交加密电子投标文件一份</w:t>
      </w:r>
      <w:r>
        <w:rPr>
          <w:rFonts w:ascii="宋体" w:hAnsi="宋体"/>
          <w:color w:val="auto"/>
          <w:kern w:val="0"/>
          <w:szCs w:val="21"/>
          <w:highlight w:val="none"/>
        </w:rPr>
        <w:t>。</w:t>
      </w:r>
      <w:r>
        <w:rPr>
          <w:rFonts w:hint="eastAsia" w:ascii="宋体" w:hAnsi="宋体"/>
          <w:color w:val="auto"/>
          <w:kern w:val="0"/>
          <w:szCs w:val="21"/>
          <w:highlight w:val="none"/>
          <w:lang w:val="en-US" w:eastAsia="zh-CN"/>
        </w:rPr>
        <w:t>招标文件要求提供样品的，样品提供</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w:t>
      </w:r>
      <w:r>
        <w:rPr>
          <w:rFonts w:hint="eastAsia" w:ascii="宋体" w:hAnsi="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投标文件应按规定格式排版，并编制目录，具体编制要求按投标人须知前附表第3.7.5项执行。</w:t>
      </w:r>
    </w:p>
    <w:p>
      <w:pPr>
        <w:pStyle w:val="4"/>
        <w:keepNext w:val="0"/>
        <w:keepLines w:val="0"/>
        <w:spacing w:before="0" w:after="0" w:line="360" w:lineRule="auto"/>
        <w:rPr>
          <w:rFonts w:ascii="宋体" w:hAnsi="宋体"/>
          <w:b w:val="0"/>
          <w:snapToGrid w:val="0"/>
          <w:color w:val="auto"/>
          <w:highlight w:val="none"/>
        </w:rPr>
      </w:pPr>
      <w:bookmarkStart w:id="288" w:name="_Toc287620712"/>
      <w:bookmarkStart w:id="289" w:name="_Toc287607773"/>
      <w:bookmarkStart w:id="290" w:name="_Toc277082579"/>
      <w:bookmarkStart w:id="291" w:name="_Toc24565"/>
      <w:bookmarkStart w:id="292" w:name="_Toc224103344"/>
      <w:bookmarkStart w:id="293" w:name="_Toc430530462"/>
      <w:bookmarkStart w:id="294" w:name="_Toc200513153"/>
      <w:bookmarkStart w:id="295" w:name="_Toc509218737"/>
      <w:r>
        <w:rPr>
          <w:rFonts w:ascii="宋体" w:hAnsi="宋体"/>
          <w:b w:val="0"/>
          <w:snapToGrid w:val="0"/>
          <w:color w:val="auto"/>
          <w:highlight w:val="none"/>
        </w:rPr>
        <w:t>4.  投标</w:t>
      </w:r>
      <w:bookmarkEnd w:id="288"/>
      <w:bookmarkEnd w:id="289"/>
      <w:bookmarkEnd w:id="290"/>
      <w:bookmarkEnd w:id="291"/>
      <w:bookmarkEnd w:id="292"/>
      <w:bookmarkEnd w:id="293"/>
      <w:bookmarkEnd w:id="294"/>
      <w:bookmarkEnd w:id="295"/>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6" w:name="_Toc277082580"/>
      <w:bookmarkStart w:id="297" w:name="_Toc430530463"/>
      <w:bookmarkStart w:id="298" w:name="_Toc287620713"/>
      <w:bookmarkStart w:id="299" w:name="_Toc509218738"/>
      <w:bookmarkStart w:id="300" w:name="_Toc200513154"/>
      <w:bookmarkStart w:id="301" w:name="_Toc224103345"/>
      <w:bookmarkStart w:id="302" w:name="_Toc287607774"/>
      <w:bookmarkStart w:id="303" w:name="_Toc26919"/>
      <w:r>
        <w:rPr>
          <w:rFonts w:ascii="宋体" w:hAnsi="宋体"/>
          <w:b w:val="0"/>
          <w:snapToGrid w:val="0"/>
          <w:color w:val="auto"/>
          <w:sz w:val="24"/>
          <w:szCs w:val="24"/>
          <w:highlight w:val="none"/>
        </w:rPr>
        <w:t>4.1  投标文件的密封和标记</w:t>
      </w:r>
      <w:bookmarkEnd w:id="296"/>
      <w:bookmarkEnd w:id="297"/>
      <w:bookmarkEnd w:id="298"/>
      <w:bookmarkEnd w:id="299"/>
      <w:bookmarkEnd w:id="300"/>
      <w:bookmarkEnd w:id="301"/>
      <w:bookmarkEnd w:id="302"/>
      <w:bookmarkEnd w:id="30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04"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4.1.3  电子投标文件的加密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加密的电子投标文件应按照本章投标人须知前附表第10.6款相关要求制作并加密，未按要求加密的电子投标文件，将无法上传至重庆市电子招投标系统，逾期未完成上传投标文件的，视为撤回投标文件。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4.1.4  不加密电子投标文件的密封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05" w:name="_Toc8559"/>
      <w:bookmarkStart w:id="306" w:name="_Toc509218739"/>
      <w:bookmarkStart w:id="307" w:name="_Toc287607775"/>
      <w:bookmarkStart w:id="308" w:name="_Toc287620714"/>
      <w:bookmarkStart w:id="309" w:name="_Toc430530464"/>
      <w:bookmarkStart w:id="310" w:name="_Toc224103346"/>
      <w:bookmarkStart w:id="311" w:name="_Toc277082581"/>
      <w:r>
        <w:rPr>
          <w:rFonts w:ascii="宋体" w:hAnsi="宋体"/>
          <w:b w:val="0"/>
          <w:snapToGrid w:val="0"/>
          <w:color w:val="auto"/>
          <w:sz w:val="24"/>
          <w:szCs w:val="24"/>
          <w:highlight w:val="none"/>
        </w:rPr>
        <w:t>4.2  投标文件的递交</w:t>
      </w:r>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招标人收到投标文件后，由</w:t>
      </w:r>
      <w:r>
        <w:rPr>
          <w:rFonts w:hint="eastAsia" w:ascii="宋体" w:hAnsi="宋体" w:cs="宋体"/>
          <w:color w:val="auto"/>
          <w:szCs w:val="21"/>
          <w:highlight w:val="none"/>
        </w:rPr>
        <w:t>重庆市电子招投标系统</w:t>
      </w:r>
      <w:r>
        <w:rPr>
          <w:rFonts w:ascii="宋体" w:hAnsi="宋体"/>
          <w:snapToGrid w:val="0"/>
          <w:color w:val="auto"/>
          <w:kern w:val="0"/>
          <w:szCs w:val="21"/>
          <w:highlight w:val="none"/>
        </w:rPr>
        <w:t>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cs="宋体"/>
          <w:color w:val="auto"/>
          <w:szCs w:val="21"/>
          <w:highlight w:val="none"/>
        </w:rPr>
        <w:t>重庆市电子招投标系统</w:t>
      </w:r>
      <w:r>
        <w:rPr>
          <w:color w:val="auto"/>
          <w:highlight w:val="none"/>
        </w:rPr>
        <w:t>将予以拒收</w:t>
      </w:r>
      <w:r>
        <w:rPr>
          <w:rFonts w:ascii="宋体" w:hAnsi="宋体"/>
          <w:snapToGrid w:val="0"/>
          <w:color w:val="auto"/>
          <w:kern w:val="0"/>
          <w:szCs w:val="21"/>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12" w:name="_Toc277082582"/>
      <w:bookmarkStart w:id="313" w:name="_Toc224103347"/>
      <w:bookmarkStart w:id="314" w:name="_Toc287607776"/>
      <w:bookmarkStart w:id="315" w:name="_Toc430530465"/>
      <w:bookmarkStart w:id="316" w:name="_Toc200513156"/>
      <w:bookmarkStart w:id="317" w:name="_Toc17259"/>
      <w:bookmarkStart w:id="318" w:name="_Toc287620715"/>
      <w:bookmarkStart w:id="319" w:name="_Toc509218740"/>
      <w:r>
        <w:rPr>
          <w:rFonts w:ascii="宋体" w:hAnsi="宋体"/>
          <w:b w:val="0"/>
          <w:snapToGrid w:val="0"/>
          <w:color w:val="auto"/>
          <w:sz w:val="24"/>
          <w:szCs w:val="24"/>
          <w:highlight w:val="none"/>
        </w:rPr>
        <w:t>4.3  投标文件的修改与撤回</w:t>
      </w:r>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在投标人须知前附表第4.2.1项规定的投标截止时间前，投标人可以修改或撤回已递交的投标文件。</w:t>
      </w:r>
      <w:r>
        <w:rPr>
          <w:rFonts w:hint="eastAsia" w:ascii="宋体" w:hAnsi="宋体" w:cs="宋体"/>
          <w:color w:val="auto"/>
          <w:szCs w:val="21"/>
          <w:highlight w:val="none"/>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投标人撤回投标文件的，</w:t>
      </w:r>
      <w:r>
        <w:rPr>
          <w:color w:val="auto"/>
          <w:spacing w:val="-11"/>
          <w:sz w:val="21"/>
          <w:highlight w:val="none"/>
        </w:rPr>
        <w:t xml:space="preserve">招标人自收到投标人书面撤回通知之日起 </w:t>
      </w:r>
      <w:r>
        <w:rPr>
          <w:rFonts w:ascii="Times New Roman" w:eastAsia="Times New Roman"/>
          <w:color w:val="auto"/>
          <w:sz w:val="21"/>
          <w:highlight w:val="none"/>
        </w:rPr>
        <w:t>5</w:t>
      </w:r>
      <w:r>
        <w:rPr>
          <w:rFonts w:ascii="Times New Roman" w:eastAsia="Times New Roman"/>
          <w:color w:val="auto"/>
          <w:spacing w:val="15"/>
          <w:sz w:val="21"/>
          <w:highlight w:val="none"/>
        </w:rPr>
        <w:t xml:space="preserve"> </w:t>
      </w:r>
      <w:r>
        <w:rPr>
          <w:color w:val="auto"/>
          <w:spacing w:val="-3"/>
          <w:sz w:val="21"/>
          <w:highlight w:val="none"/>
        </w:rPr>
        <w:t>日内退还已收取的投标保证金。</w:t>
      </w:r>
    </w:p>
    <w:p>
      <w:pPr>
        <w:pStyle w:val="4"/>
        <w:keepNext w:val="0"/>
        <w:keepLines w:val="0"/>
        <w:spacing w:before="0" w:after="0" w:line="360" w:lineRule="auto"/>
        <w:rPr>
          <w:rFonts w:ascii="宋体" w:hAnsi="宋体"/>
          <w:b w:val="0"/>
          <w:snapToGrid w:val="0"/>
          <w:color w:val="auto"/>
          <w:highlight w:val="none"/>
        </w:rPr>
      </w:pPr>
      <w:bookmarkStart w:id="320" w:name="_Toc27053"/>
      <w:bookmarkStart w:id="321" w:name="_Toc277082583"/>
      <w:bookmarkStart w:id="322" w:name="_Toc224103348"/>
      <w:bookmarkStart w:id="323" w:name="_Toc200513157"/>
      <w:bookmarkStart w:id="324" w:name="_Toc430530466"/>
      <w:bookmarkStart w:id="325" w:name="_Toc287607777"/>
      <w:bookmarkStart w:id="326" w:name="_Toc287620716"/>
      <w:bookmarkStart w:id="327" w:name="_Toc509218741"/>
      <w:r>
        <w:rPr>
          <w:rFonts w:ascii="宋体" w:hAnsi="宋体"/>
          <w:b w:val="0"/>
          <w:snapToGrid w:val="0"/>
          <w:color w:val="auto"/>
          <w:highlight w:val="none"/>
        </w:rPr>
        <w:t>5.  开标</w:t>
      </w:r>
      <w:bookmarkEnd w:id="320"/>
      <w:bookmarkEnd w:id="321"/>
      <w:bookmarkEnd w:id="322"/>
      <w:bookmarkEnd w:id="323"/>
      <w:bookmarkEnd w:id="324"/>
      <w:bookmarkEnd w:id="325"/>
      <w:bookmarkEnd w:id="326"/>
      <w:bookmarkEnd w:id="327"/>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28" w:name="_Toc430530467"/>
      <w:bookmarkStart w:id="329" w:name="_Toc287607778"/>
      <w:bookmarkStart w:id="330" w:name="_Toc19509"/>
      <w:bookmarkStart w:id="331" w:name="_Toc200513158"/>
      <w:bookmarkStart w:id="332" w:name="_Toc224103349"/>
      <w:bookmarkStart w:id="333" w:name="_Toc287620717"/>
      <w:bookmarkStart w:id="334" w:name="_Toc277082584"/>
      <w:bookmarkStart w:id="335" w:name="_Toc509218742"/>
      <w:r>
        <w:rPr>
          <w:rFonts w:ascii="宋体" w:hAnsi="宋体"/>
          <w:b w:val="0"/>
          <w:snapToGrid w:val="0"/>
          <w:color w:val="auto"/>
          <w:sz w:val="24"/>
          <w:szCs w:val="24"/>
          <w:highlight w:val="none"/>
        </w:rPr>
        <w:t>5.1  开标时间和地点</w:t>
      </w:r>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招标人在投标人须知前附表第4.2.1项规定的投标截止时间（开标时间）和投标人须知前附表规定的地点公开开标，并邀请所有投标人的法定代表人</w:t>
      </w:r>
      <w:r>
        <w:rPr>
          <w:color w:val="auto"/>
          <w:spacing w:val="-3"/>
          <w:highlight w:val="none"/>
        </w:rPr>
        <w:t>（单位负责人</w:t>
      </w:r>
      <w:r>
        <w:rPr>
          <w:color w:val="auto"/>
          <w:highlight w:val="none"/>
        </w:rPr>
        <w:t>）</w:t>
      </w:r>
      <w:r>
        <w:rPr>
          <w:rFonts w:ascii="宋体" w:hAnsi="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投标人在投标人须知前附表第5.1.2项规定的解密时间内在线或到开标现场完成投标文件解密工作。</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36" w:name="_Toc287620718"/>
      <w:bookmarkStart w:id="337" w:name="_Toc30435"/>
      <w:bookmarkStart w:id="338" w:name="_Toc277082585"/>
      <w:bookmarkStart w:id="339" w:name="_Toc224103350"/>
      <w:bookmarkStart w:id="340" w:name="_Toc430530468"/>
      <w:bookmarkStart w:id="341" w:name="_Toc200513159"/>
      <w:bookmarkStart w:id="342" w:name="_Toc287607779"/>
      <w:bookmarkStart w:id="343" w:name="_Toc509218743"/>
      <w:r>
        <w:rPr>
          <w:rFonts w:ascii="宋体" w:hAnsi="宋体"/>
          <w:b w:val="0"/>
          <w:snapToGrid w:val="0"/>
          <w:color w:val="auto"/>
          <w:sz w:val="24"/>
          <w:szCs w:val="24"/>
          <w:highlight w:val="none"/>
        </w:rPr>
        <w:t>5.2  开标程序</w:t>
      </w:r>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firstLineChars="200"/>
        <w:rPr>
          <w:rFonts w:ascii="宋体" w:hAnsi="宋体"/>
          <w:color w:val="auto"/>
          <w:szCs w:val="21"/>
          <w:highlight w:val="none"/>
        </w:rPr>
      </w:pPr>
      <w:bookmarkStart w:id="344" w:name="_Toc287607780"/>
      <w:bookmarkStart w:id="345" w:name="_Toc224103351"/>
      <w:bookmarkStart w:id="346" w:name="_Toc287620719"/>
      <w:bookmarkStart w:id="347" w:name="_Toc200513160"/>
      <w:bookmarkStart w:id="348" w:name="_Toc277082586"/>
      <w:r>
        <w:rPr>
          <w:rFonts w:ascii="宋体" w:hAnsi="宋体"/>
          <w:color w:val="auto"/>
          <w:szCs w:val="21"/>
          <w:highlight w:val="none"/>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9" w:name="_Toc18813"/>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49"/>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w:t>
      </w:r>
      <w:r>
        <w:rPr>
          <w:rFonts w:hint="eastAsia" w:ascii="宋体" w:hAnsi="宋体"/>
          <w:color w:val="auto"/>
          <w:szCs w:val="21"/>
          <w:highlight w:val="none"/>
          <w:lang w:eastAsia="zh-CN"/>
        </w:rPr>
        <w:t>当</w:t>
      </w:r>
      <w:r>
        <w:rPr>
          <w:rFonts w:hint="eastAsia" w:ascii="宋体" w:hAnsi="宋体"/>
          <w:color w:val="auto"/>
          <w:szCs w:val="21"/>
          <w:highlight w:val="none"/>
        </w:rPr>
        <w:t>在开标现场或在线</w:t>
      </w:r>
      <w:r>
        <w:rPr>
          <w:rFonts w:hint="eastAsia" w:ascii="宋体" w:hAnsi="宋体"/>
          <w:color w:val="auto"/>
          <w:szCs w:val="21"/>
          <w:highlight w:val="none"/>
          <w:lang w:eastAsia="zh-CN"/>
        </w:rPr>
        <w:t>（不见面开标适用）</w:t>
      </w:r>
      <w:r>
        <w:rPr>
          <w:rFonts w:hint="eastAsia" w:ascii="宋体" w:hAnsi="宋体"/>
          <w:color w:val="auto"/>
          <w:szCs w:val="21"/>
          <w:highlight w:val="none"/>
        </w:rPr>
        <w:t>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ascii="宋体" w:hAnsi="宋体"/>
          <w:b w:val="0"/>
          <w:snapToGrid w:val="0"/>
          <w:color w:val="auto"/>
          <w:highlight w:val="none"/>
        </w:rPr>
      </w:pPr>
      <w:bookmarkStart w:id="350" w:name="_Toc430530469"/>
      <w:bookmarkStart w:id="351" w:name="_Toc509218744"/>
      <w:bookmarkStart w:id="352" w:name="_Toc15726"/>
      <w:r>
        <w:rPr>
          <w:rFonts w:ascii="宋体" w:hAnsi="宋体"/>
          <w:b w:val="0"/>
          <w:snapToGrid w:val="0"/>
          <w:color w:val="auto"/>
          <w:highlight w:val="none"/>
        </w:rPr>
        <w:t>6.  评标</w:t>
      </w:r>
      <w:bookmarkEnd w:id="344"/>
      <w:bookmarkEnd w:id="345"/>
      <w:bookmarkEnd w:id="346"/>
      <w:bookmarkEnd w:id="347"/>
      <w:bookmarkEnd w:id="348"/>
      <w:bookmarkEnd w:id="350"/>
      <w:bookmarkEnd w:id="351"/>
      <w:bookmarkEnd w:id="352"/>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53" w:name="_Toc287607781"/>
      <w:bookmarkStart w:id="354" w:name="_Toc224103352"/>
      <w:bookmarkStart w:id="355" w:name="_Toc430530470"/>
      <w:bookmarkStart w:id="356" w:name="_Toc13131"/>
      <w:bookmarkStart w:id="357" w:name="_Toc287620720"/>
      <w:bookmarkStart w:id="358" w:name="_Toc277082587"/>
      <w:bookmarkStart w:id="359" w:name="_Toc509218745"/>
      <w:bookmarkStart w:id="360" w:name="_Toc200513161"/>
      <w:r>
        <w:rPr>
          <w:rFonts w:ascii="宋体" w:hAnsi="宋体"/>
          <w:b w:val="0"/>
          <w:snapToGrid w:val="0"/>
          <w:color w:val="auto"/>
          <w:sz w:val="24"/>
          <w:szCs w:val="24"/>
          <w:highlight w:val="none"/>
        </w:rPr>
        <w:t>6.1  评标委员会</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pPr>
        <w:pStyle w:val="17"/>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361" w:name="_Toc287620721"/>
      <w:bookmarkStart w:id="362" w:name="_Toc200513162"/>
      <w:bookmarkStart w:id="363" w:name="_Toc430530471"/>
      <w:bookmarkStart w:id="364" w:name="_Toc509218746"/>
      <w:bookmarkStart w:id="365" w:name="_Toc24025"/>
      <w:bookmarkStart w:id="366" w:name="_Toc277082588"/>
      <w:bookmarkStart w:id="367" w:name="_Toc224103353"/>
      <w:bookmarkStart w:id="368" w:name="_Toc287607782"/>
      <w:r>
        <w:rPr>
          <w:rFonts w:ascii="宋体" w:hAnsi="宋体"/>
          <w:b w:val="0"/>
          <w:snapToGrid w:val="0"/>
          <w:color w:val="auto"/>
          <w:sz w:val="24"/>
          <w:szCs w:val="24"/>
          <w:highlight w:val="none"/>
        </w:rPr>
        <w:t>6.2  评标原则</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369" w:name="_Toc287607783"/>
      <w:bookmarkStart w:id="370" w:name="_Toc277082589"/>
      <w:bookmarkStart w:id="371" w:name="_Toc30257"/>
      <w:bookmarkStart w:id="372" w:name="_Toc509218747"/>
      <w:bookmarkStart w:id="373" w:name="_Toc224103354"/>
      <w:bookmarkStart w:id="374" w:name="_Toc200513163"/>
      <w:bookmarkStart w:id="375" w:name="_Toc430530472"/>
      <w:bookmarkStart w:id="376" w:name="_Toc287620722"/>
      <w:r>
        <w:rPr>
          <w:rFonts w:ascii="宋体" w:hAnsi="宋体"/>
          <w:b w:val="0"/>
          <w:snapToGrid w:val="0"/>
          <w:color w:val="auto"/>
          <w:sz w:val="24"/>
          <w:szCs w:val="24"/>
          <w:highlight w:val="none"/>
        </w:rPr>
        <w:t>6.3  评标</w:t>
      </w:r>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评标完成后，评标委员会应当向招标人提交书面评标报告和中标候选人名单。评标委员会推荐中标候选人的</w:t>
      </w:r>
      <w:r>
        <w:rPr>
          <w:rFonts w:hint="eastAsia"/>
          <w:color w:val="auto"/>
          <w:highlight w:val="none"/>
        </w:rPr>
        <w:t>数量</w:t>
      </w:r>
      <w:r>
        <w:rPr>
          <w:color w:val="auto"/>
          <w:highlight w:val="none"/>
        </w:rPr>
        <w:t>见投标人须知前附表。</w:t>
      </w:r>
    </w:p>
    <w:p>
      <w:pPr>
        <w:pStyle w:val="4"/>
        <w:spacing w:before="0" w:after="0" w:line="360" w:lineRule="auto"/>
        <w:rPr>
          <w:rFonts w:ascii="宋体" w:hAnsi="宋体"/>
          <w:b w:val="0"/>
          <w:snapToGrid w:val="0"/>
          <w:color w:val="auto"/>
          <w:highlight w:val="none"/>
        </w:rPr>
      </w:pPr>
      <w:bookmarkStart w:id="377" w:name="_Toc509218748"/>
      <w:bookmarkStart w:id="378" w:name="_Toc287620723"/>
      <w:bookmarkStart w:id="379" w:name="_Toc277082590"/>
      <w:bookmarkStart w:id="380" w:name="_Toc287607784"/>
      <w:bookmarkStart w:id="381" w:name="_Toc200513164"/>
      <w:bookmarkStart w:id="382" w:name="_Toc28625"/>
      <w:bookmarkStart w:id="383" w:name="_Toc430530473"/>
      <w:bookmarkStart w:id="384" w:name="_Toc224103355"/>
      <w:r>
        <w:rPr>
          <w:rFonts w:ascii="宋体" w:hAnsi="宋体"/>
          <w:b w:val="0"/>
          <w:snapToGrid w:val="0"/>
          <w:color w:val="auto"/>
          <w:highlight w:val="none"/>
        </w:rPr>
        <w:t>7.  合同授予</w:t>
      </w:r>
      <w:bookmarkEnd w:id="377"/>
      <w:bookmarkEnd w:id="378"/>
      <w:bookmarkEnd w:id="379"/>
      <w:bookmarkEnd w:id="380"/>
      <w:bookmarkEnd w:id="381"/>
      <w:bookmarkEnd w:id="382"/>
      <w:bookmarkEnd w:id="383"/>
      <w:bookmarkEnd w:id="384"/>
    </w:p>
    <w:p>
      <w:pPr>
        <w:pStyle w:val="5"/>
        <w:snapToGrid w:val="0"/>
        <w:spacing w:before="0" w:after="0" w:line="360" w:lineRule="auto"/>
        <w:rPr>
          <w:rFonts w:ascii="宋体" w:hAnsi="宋体"/>
          <w:b w:val="0"/>
          <w:snapToGrid w:val="0"/>
          <w:color w:val="auto"/>
          <w:sz w:val="24"/>
          <w:szCs w:val="24"/>
          <w:highlight w:val="none"/>
        </w:rPr>
      </w:pPr>
      <w:bookmarkStart w:id="385" w:name="_Toc430530474"/>
      <w:bookmarkStart w:id="386" w:name="_Toc509218749"/>
      <w:bookmarkStart w:id="387" w:name="_Toc224103356"/>
      <w:bookmarkStart w:id="388" w:name="_Toc287620724"/>
      <w:bookmarkStart w:id="389" w:name="_Toc200513165"/>
      <w:bookmarkStart w:id="390" w:name="_Toc287607785"/>
      <w:bookmarkStart w:id="391" w:name="_Toc277082591"/>
      <w:bookmarkStart w:id="392" w:name="_Toc23275"/>
      <w:r>
        <w:rPr>
          <w:rFonts w:ascii="宋体" w:hAnsi="宋体"/>
          <w:b w:val="0"/>
          <w:snapToGrid w:val="0"/>
          <w:color w:val="auto"/>
          <w:sz w:val="24"/>
          <w:szCs w:val="24"/>
          <w:highlight w:val="none"/>
        </w:rPr>
        <w:t xml:space="preserve">7.1  </w:t>
      </w:r>
      <w:bookmarkEnd w:id="385"/>
      <w:bookmarkEnd w:id="386"/>
      <w:bookmarkEnd w:id="387"/>
      <w:bookmarkEnd w:id="388"/>
      <w:bookmarkEnd w:id="389"/>
      <w:bookmarkEnd w:id="390"/>
      <w:bookmarkEnd w:id="391"/>
      <w:r>
        <w:rPr>
          <w:rFonts w:hint="eastAsia" w:ascii="宋体" w:hAnsi="宋体"/>
          <w:b w:val="0"/>
          <w:snapToGrid w:val="0"/>
          <w:color w:val="auto"/>
          <w:sz w:val="24"/>
          <w:szCs w:val="24"/>
          <w:highlight w:val="none"/>
        </w:rPr>
        <w:t>中标候选人公示</w:t>
      </w:r>
      <w:bookmarkEnd w:id="392"/>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ascii="宋体" w:hAnsi="宋体"/>
          <w:b w:val="0"/>
          <w:snapToGrid w:val="0"/>
          <w:color w:val="auto"/>
          <w:sz w:val="24"/>
          <w:szCs w:val="24"/>
          <w:highlight w:val="none"/>
        </w:rPr>
      </w:pPr>
      <w:bookmarkStart w:id="393" w:name="_Toc29151"/>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39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ascii="宋体" w:hAnsi="宋体"/>
          <w:b w:val="0"/>
          <w:snapToGrid w:val="0"/>
          <w:color w:val="auto"/>
          <w:sz w:val="24"/>
          <w:szCs w:val="24"/>
          <w:highlight w:val="none"/>
        </w:rPr>
      </w:pPr>
      <w:bookmarkStart w:id="394" w:name="_Toc17326"/>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39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ascii="宋体" w:hAnsi="宋体"/>
          <w:b w:val="0"/>
          <w:snapToGrid w:val="0"/>
          <w:color w:val="auto"/>
          <w:sz w:val="24"/>
          <w:szCs w:val="24"/>
          <w:highlight w:val="none"/>
        </w:rPr>
      </w:pPr>
      <w:bookmarkStart w:id="395" w:name="_Toc27627"/>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39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ascii="宋体" w:hAnsi="宋体"/>
          <w:b w:val="0"/>
          <w:snapToGrid w:val="0"/>
          <w:color w:val="auto"/>
          <w:sz w:val="24"/>
          <w:szCs w:val="24"/>
          <w:highlight w:val="none"/>
        </w:rPr>
      </w:pPr>
      <w:bookmarkStart w:id="396" w:name="_Toc509218750"/>
      <w:bookmarkStart w:id="397" w:name="_Toc13606"/>
      <w:bookmarkStart w:id="398" w:name="_Toc430530475"/>
      <w:r>
        <w:rPr>
          <w:rFonts w:ascii="宋体" w:hAnsi="宋体"/>
          <w:b w:val="0"/>
          <w:snapToGrid w:val="0"/>
          <w:color w:val="auto"/>
          <w:sz w:val="24"/>
          <w:szCs w:val="24"/>
          <w:highlight w:val="none"/>
        </w:rPr>
        <w:t>7.5  中标通知</w:t>
      </w:r>
      <w:bookmarkEnd w:id="396"/>
      <w:bookmarkEnd w:id="397"/>
      <w:bookmarkEnd w:id="39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w:t>
      </w:r>
      <w:r>
        <w:rPr>
          <w:rFonts w:hint="eastAsia" w:ascii="宋体" w:hAnsi="宋体"/>
          <w:snapToGrid w:val="0"/>
          <w:color w:val="auto"/>
          <w:kern w:val="0"/>
          <w:szCs w:val="21"/>
          <w:highlight w:val="none"/>
          <w:lang w:val="en-US" w:eastAsia="zh-CN"/>
        </w:rPr>
        <w:t>无异议和投诉，或异议和投诉不成立</w:t>
      </w:r>
      <w:r>
        <w:rPr>
          <w:rFonts w:ascii="宋体" w:hAnsi="宋体"/>
          <w:snapToGrid w:val="0"/>
          <w:color w:val="auto"/>
          <w:kern w:val="0"/>
          <w:szCs w:val="21"/>
          <w:highlight w:val="none"/>
        </w:rPr>
        <w:t>，招标人以书面形式向中标人发出中标通知书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399" w:name="_Toc224103358"/>
      <w:bookmarkStart w:id="400" w:name="_Toc287620726"/>
      <w:bookmarkStart w:id="401" w:name="_Toc430530476"/>
      <w:bookmarkStart w:id="402" w:name="_Toc509218751"/>
      <w:bookmarkStart w:id="403" w:name="_Toc277082593"/>
      <w:bookmarkStart w:id="404" w:name="_Toc200513167"/>
      <w:bookmarkStart w:id="405" w:name="_Toc287607787"/>
      <w:bookmarkStart w:id="406" w:name="_Toc71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 xml:space="preserve">  履约</w:t>
      </w:r>
      <w:bookmarkEnd w:id="399"/>
      <w:bookmarkEnd w:id="400"/>
      <w:bookmarkEnd w:id="401"/>
      <w:bookmarkEnd w:id="402"/>
      <w:bookmarkEnd w:id="403"/>
      <w:bookmarkEnd w:id="404"/>
      <w:bookmarkEnd w:id="405"/>
      <w:r>
        <w:rPr>
          <w:rFonts w:hint="eastAsia" w:ascii="宋体" w:hAnsi="宋体"/>
          <w:b w:val="0"/>
          <w:snapToGrid w:val="0"/>
          <w:color w:val="auto"/>
          <w:sz w:val="24"/>
          <w:szCs w:val="24"/>
          <w:highlight w:val="none"/>
          <w:lang w:val="en-US" w:eastAsia="zh-CN"/>
        </w:rPr>
        <w:t>保证金</w:t>
      </w:r>
      <w:bookmarkEnd w:id="40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和招标文件第四章“合同条款及格式”规定的或者事先经过招标人认可的履约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格式向招标人提交履约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。除投标人须知前附表另有规定外，履约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为中标合同金额的10%。联合体中标的，</w:t>
      </w:r>
      <w:r>
        <w:rPr>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.2  中标人不能按本章第7.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.1项要求提交履约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的，视为放弃中标，其投标保证金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07" w:name="_Toc224103359"/>
      <w:bookmarkStart w:id="408" w:name="_Toc430530477"/>
      <w:bookmarkStart w:id="409" w:name="_Toc287620727"/>
      <w:bookmarkStart w:id="410" w:name="_Toc4154"/>
      <w:bookmarkStart w:id="411" w:name="_Toc200513168"/>
      <w:bookmarkStart w:id="412" w:name="_Toc277082594"/>
      <w:bookmarkStart w:id="413" w:name="_Toc509218752"/>
      <w:bookmarkStart w:id="414" w:name="_Toc28760778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7</w:t>
      </w:r>
      <w:r>
        <w:rPr>
          <w:rFonts w:ascii="宋体" w:hAnsi="宋体"/>
          <w:b w:val="0"/>
          <w:snapToGrid w:val="0"/>
          <w:color w:val="auto"/>
          <w:sz w:val="24"/>
          <w:szCs w:val="24"/>
          <w:highlight w:val="none"/>
        </w:rPr>
        <w:t xml:space="preserve">  签订合同</w:t>
      </w:r>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的，</w:t>
      </w:r>
      <w:r>
        <w:rPr>
          <w:rFonts w:ascii="宋体" w:hAnsi="宋体"/>
          <w:snapToGrid w:val="0"/>
          <w:color w:val="auto"/>
          <w:kern w:val="0"/>
          <w:szCs w:val="21"/>
          <w:highlight w:val="none"/>
        </w:rPr>
        <w:t>招标人</w:t>
      </w:r>
      <w:r>
        <w:rPr>
          <w:color w:val="auto"/>
          <w:spacing w:val="-3"/>
          <w:highlight w:val="none"/>
        </w:rPr>
        <w:t>有权</w:t>
      </w:r>
      <w:r>
        <w:rPr>
          <w:rFonts w:ascii="宋体" w:hAnsi="宋体"/>
          <w:snapToGrid w:val="0"/>
          <w:color w:val="auto"/>
          <w:kern w:val="0"/>
          <w:szCs w:val="21"/>
          <w:highlight w:val="none"/>
        </w:rPr>
        <w:t>取消其中标资格，其投标保证金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发出中标通知书后，招标人无正当理由拒签合同，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ascii="宋体" w:hAnsi="宋体"/>
          <w:snapToGrid w:val="0"/>
          <w:color w:val="auto"/>
          <w:kern w:val="0"/>
          <w:szCs w:val="21"/>
          <w:highlight w:val="none"/>
        </w:rPr>
        <w:t>招标人向中标人退还投标保证金；给中标人造成损失的，还应当赔偿损失。</w:t>
      </w:r>
    </w:p>
    <w:p>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b w:val="0"/>
          <w:snapToGrid w:val="0"/>
          <w:color w:val="auto"/>
          <w:highlight w:val="none"/>
          <w:lang w:eastAsia="zh-CN"/>
        </w:rPr>
      </w:pPr>
      <w:bookmarkStart w:id="415" w:name="_Toc200513169"/>
      <w:bookmarkStart w:id="416" w:name="_Toc509218753"/>
      <w:bookmarkStart w:id="417" w:name="_Toc277082595"/>
      <w:bookmarkStart w:id="418" w:name="_Toc224103360"/>
      <w:bookmarkStart w:id="419" w:name="_Toc287607789"/>
      <w:bookmarkStart w:id="420" w:name="_Toc430530478"/>
      <w:bookmarkStart w:id="421" w:name="_Toc287620728"/>
      <w:bookmarkStart w:id="422" w:name="_Toc28031"/>
      <w:r>
        <w:rPr>
          <w:rFonts w:ascii="宋体" w:hAnsi="宋体"/>
          <w:b w:val="0"/>
          <w:snapToGrid w:val="0"/>
          <w:color w:val="auto"/>
          <w:highlight w:val="none"/>
        </w:rPr>
        <w:t>8.  重新招标和不再招标</w:t>
      </w:r>
      <w:bookmarkEnd w:id="415"/>
      <w:bookmarkEnd w:id="416"/>
      <w:bookmarkEnd w:id="417"/>
      <w:bookmarkEnd w:id="418"/>
      <w:bookmarkEnd w:id="419"/>
      <w:bookmarkEnd w:id="420"/>
      <w:bookmarkEnd w:id="421"/>
      <w:r>
        <w:rPr>
          <w:rFonts w:hint="eastAsia" w:ascii="宋体" w:hAnsi="宋体"/>
          <w:b w:val="0"/>
          <w:snapToGrid w:val="0"/>
          <w:color w:val="auto"/>
          <w:highlight w:val="none"/>
          <w:lang w:eastAsia="zh-CN"/>
        </w:rPr>
        <w:t>（</w:t>
      </w:r>
      <w:r>
        <w:rPr>
          <w:rFonts w:hint="eastAsia" w:ascii="宋体" w:hAnsi="宋体"/>
          <w:b w:val="0"/>
          <w:snapToGrid w:val="0"/>
          <w:color w:val="auto"/>
          <w:highlight w:val="none"/>
          <w:lang w:val="en-US" w:eastAsia="zh-CN"/>
        </w:rPr>
        <w:t>增加条款</w:t>
      </w:r>
      <w:r>
        <w:rPr>
          <w:rFonts w:hint="eastAsia" w:ascii="宋体" w:hAnsi="宋体"/>
          <w:b w:val="0"/>
          <w:snapToGrid w:val="0"/>
          <w:color w:val="auto"/>
          <w:highlight w:val="none"/>
          <w:lang w:eastAsia="zh-CN"/>
        </w:rPr>
        <w:t>）</w:t>
      </w:r>
      <w:bookmarkEnd w:id="422"/>
    </w:p>
    <w:p>
      <w:pPr>
        <w:pStyle w:val="5"/>
        <w:snapToGrid w:val="0"/>
        <w:spacing w:before="0" w:after="0" w:line="360" w:lineRule="auto"/>
        <w:rPr>
          <w:rFonts w:ascii="宋体" w:hAnsi="宋体"/>
          <w:b w:val="0"/>
          <w:snapToGrid w:val="0"/>
          <w:color w:val="auto"/>
          <w:sz w:val="24"/>
          <w:szCs w:val="24"/>
          <w:highlight w:val="none"/>
        </w:rPr>
      </w:pPr>
      <w:bookmarkStart w:id="423" w:name="_Toc287620729"/>
      <w:bookmarkStart w:id="424" w:name="_Toc287607790"/>
      <w:bookmarkStart w:id="425" w:name="_Toc224103361"/>
      <w:bookmarkStart w:id="426" w:name="_Toc200513170"/>
      <w:bookmarkStart w:id="427" w:name="_Toc509218754"/>
      <w:bookmarkStart w:id="428" w:name="_Toc277082596"/>
      <w:bookmarkStart w:id="429" w:name="_Toc430530479"/>
      <w:bookmarkStart w:id="430" w:name="_Toc19206"/>
      <w:r>
        <w:rPr>
          <w:rFonts w:ascii="宋体" w:hAnsi="宋体"/>
          <w:b w:val="0"/>
          <w:snapToGrid w:val="0"/>
          <w:color w:val="auto"/>
          <w:sz w:val="24"/>
          <w:szCs w:val="24"/>
          <w:highlight w:val="none"/>
        </w:rPr>
        <w:t>8.1  重新招标</w:t>
      </w:r>
      <w:bookmarkEnd w:id="423"/>
      <w:bookmarkEnd w:id="424"/>
      <w:bookmarkEnd w:id="425"/>
      <w:bookmarkEnd w:id="426"/>
      <w:bookmarkEnd w:id="427"/>
      <w:bookmarkEnd w:id="428"/>
      <w:bookmarkEnd w:id="429"/>
      <w:r>
        <w:rPr>
          <w:rFonts w:hint="eastAsia" w:ascii="宋体" w:hAnsi="宋体"/>
          <w:b w:val="0"/>
          <w:snapToGrid w:val="0"/>
          <w:color w:val="auto"/>
          <w:sz w:val="24"/>
          <w:szCs w:val="24"/>
          <w:highlight w:val="none"/>
        </w:rPr>
        <w:t>的情形</w:t>
      </w:r>
      <w:bookmarkEnd w:id="430"/>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31" w:name="_Toc224103362"/>
      <w:bookmarkStart w:id="432" w:name="_Toc509218755"/>
      <w:bookmarkStart w:id="433" w:name="_Toc287607791"/>
      <w:bookmarkStart w:id="434" w:name="_Toc277082597"/>
      <w:bookmarkStart w:id="435" w:name="_Toc430530480"/>
      <w:bookmarkStart w:id="436" w:name="_Toc287620730"/>
      <w:bookmarkStart w:id="437" w:name="_Toc159"/>
      <w:bookmarkStart w:id="438" w:name="_Toc20051317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31"/>
      <w:bookmarkEnd w:id="432"/>
      <w:bookmarkEnd w:id="433"/>
      <w:bookmarkEnd w:id="434"/>
      <w:bookmarkEnd w:id="435"/>
      <w:bookmarkEnd w:id="436"/>
      <w:bookmarkEnd w:id="437"/>
      <w:bookmarkEnd w:id="43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439" w:name="_Toc224103363"/>
      <w:bookmarkStart w:id="440" w:name="_Toc200513172"/>
      <w:bookmarkStart w:id="441" w:name="_Toc287620731"/>
      <w:bookmarkStart w:id="442" w:name="_Toc277082598"/>
      <w:bookmarkStart w:id="443" w:name="_Toc430530481"/>
      <w:bookmarkStart w:id="444" w:name="_Toc509218756"/>
      <w:bookmarkStart w:id="445" w:name="_Toc10936"/>
      <w:bookmarkStart w:id="446" w:name="_Toc287607792"/>
      <w:r>
        <w:rPr>
          <w:rFonts w:ascii="宋体" w:hAnsi="宋体"/>
          <w:b w:val="0"/>
          <w:snapToGrid w:val="0"/>
          <w:color w:val="auto"/>
          <w:highlight w:val="none"/>
        </w:rPr>
        <w:t>9.  纪律和监督</w:t>
      </w:r>
      <w:bookmarkEnd w:id="439"/>
      <w:bookmarkEnd w:id="440"/>
      <w:bookmarkEnd w:id="441"/>
      <w:bookmarkEnd w:id="442"/>
      <w:bookmarkEnd w:id="443"/>
      <w:bookmarkEnd w:id="444"/>
      <w:bookmarkEnd w:id="445"/>
      <w:bookmarkEnd w:id="446"/>
    </w:p>
    <w:p>
      <w:pPr>
        <w:pStyle w:val="5"/>
        <w:snapToGrid w:val="0"/>
        <w:spacing w:before="0" w:after="0" w:line="360" w:lineRule="auto"/>
        <w:rPr>
          <w:rFonts w:ascii="宋体" w:hAnsi="宋体"/>
          <w:b w:val="0"/>
          <w:snapToGrid w:val="0"/>
          <w:color w:val="auto"/>
          <w:sz w:val="24"/>
          <w:szCs w:val="24"/>
          <w:highlight w:val="none"/>
        </w:rPr>
      </w:pPr>
      <w:bookmarkStart w:id="447" w:name="_Toc287620732"/>
      <w:bookmarkStart w:id="448" w:name="_Toc287607793"/>
      <w:bookmarkStart w:id="449" w:name="_Toc224103364"/>
      <w:bookmarkStart w:id="450" w:name="_Toc200513173"/>
      <w:bookmarkStart w:id="451" w:name="_Toc430530482"/>
      <w:bookmarkStart w:id="452" w:name="_Toc277082599"/>
      <w:bookmarkStart w:id="453" w:name="_Toc509218757"/>
      <w:bookmarkStart w:id="454" w:name="_Toc27505"/>
      <w:r>
        <w:rPr>
          <w:rFonts w:ascii="宋体" w:hAnsi="宋体"/>
          <w:b w:val="0"/>
          <w:snapToGrid w:val="0"/>
          <w:color w:val="auto"/>
          <w:sz w:val="24"/>
          <w:szCs w:val="24"/>
          <w:highlight w:val="none"/>
        </w:rPr>
        <w:t>9.1  对招标人的纪律要求</w:t>
      </w:r>
      <w:bookmarkEnd w:id="447"/>
      <w:bookmarkEnd w:id="448"/>
      <w:bookmarkEnd w:id="449"/>
      <w:bookmarkEnd w:id="450"/>
      <w:bookmarkEnd w:id="451"/>
      <w:bookmarkEnd w:id="452"/>
      <w:bookmarkEnd w:id="453"/>
      <w:bookmarkEnd w:id="454"/>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招标人不得泄露招标投标活动中应当保密的情况和资料，不得与投标人串通损害国家利益、社会公共利益或者他人合法权益，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455" w:name="_Toc224103365"/>
      <w:bookmarkStart w:id="456" w:name="_Toc509218758"/>
      <w:bookmarkStart w:id="457" w:name="_Toc287607794"/>
      <w:bookmarkStart w:id="458" w:name="_Toc200513174"/>
      <w:bookmarkStart w:id="459" w:name="_Toc277082600"/>
      <w:bookmarkStart w:id="460" w:name="_Toc430530483"/>
      <w:bookmarkStart w:id="461" w:name="_Toc287620733"/>
      <w:bookmarkStart w:id="462" w:name="_Toc19754"/>
      <w:r>
        <w:rPr>
          <w:rFonts w:ascii="宋体" w:hAnsi="宋体"/>
          <w:b w:val="0"/>
          <w:snapToGrid w:val="0"/>
          <w:color w:val="auto"/>
          <w:sz w:val="24"/>
          <w:szCs w:val="24"/>
          <w:highlight w:val="none"/>
        </w:rPr>
        <w:t>9.2  对投标人的纪律要求</w:t>
      </w:r>
      <w:bookmarkEnd w:id="455"/>
      <w:bookmarkEnd w:id="456"/>
      <w:bookmarkEnd w:id="457"/>
      <w:bookmarkEnd w:id="458"/>
      <w:bookmarkEnd w:id="459"/>
      <w:bookmarkEnd w:id="460"/>
      <w:bookmarkEnd w:id="461"/>
      <w:bookmarkEnd w:id="46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463" w:name="_Toc200513175"/>
      <w:bookmarkStart w:id="464" w:name="_Toc224103366"/>
      <w:bookmarkStart w:id="465" w:name="_Toc287620734"/>
      <w:bookmarkStart w:id="466" w:name="_Toc277082601"/>
      <w:bookmarkStart w:id="467" w:name="_Toc22912"/>
      <w:bookmarkStart w:id="468" w:name="_Toc509218759"/>
      <w:bookmarkStart w:id="469" w:name="_Toc430530484"/>
      <w:bookmarkStart w:id="470" w:name="_Toc287607795"/>
      <w:r>
        <w:rPr>
          <w:rFonts w:ascii="宋体" w:hAnsi="宋体"/>
          <w:b w:val="0"/>
          <w:snapToGrid w:val="0"/>
          <w:color w:val="auto"/>
          <w:sz w:val="24"/>
          <w:szCs w:val="24"/>
          <w:highlight w:val="none"/>
        </w:rPr>
        <w:t>9.3  对评标委员会成员的纪律要求</w:t>
      </w:r>
      <w:bookmarkEnd w:id="463"/>
      <w:bookmarkEnd w:id="464"/>
      <w:bookmarkEnd w:id="465"/>
      <w:bookmarkEnd w:id="466"/>
      <w:bookmarkEnd w:id="467"/>
      <w:bookmarkEnd w:id="468"/>
      <w:bookmarkEnd w:id="469"/>
      <w:bookmarkEnd w:id="4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471" w:name="_Toc2158"/>
      <w:bookmarkStart w:id="472" w:name="_Toc287607796"/>
      <w:bookmarkStart w:id="473" w:name="_Toc509218760"/>
      <w:bookmarkStart w:id="474" w:name="_Toc287620735"/>
      <w:bookmarkStart w:id="475" w:name="_Toc224103367"/>
      <w:bookmarkStart w:id="476" w:name="_Toc277082602"/>
      <w:bookmarkStart w:id="477" w:name="_Toc200513176"/>
      <w:bookmarkStart w:id="478" w:name="_Toc430530485"/>
      <w:r>
        <w:rPr>
          <w:rFonts w:ascii="宋体" w:hAnsi="宋体"/>
          <w:b w:val="0"/>
          <w:snapToGrid w:val="0"/>
          <w:color w:val="auto"/>
          <w:sz w:val="24"/>
          <w:szCs w:val="24"/>
          <w:highlight w:val="none"/>
        </w:rPr>
        <w:t>9.4  对与评标活动有关的工作人员的纪律要求</w:t>
      </w:r>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479" w:name="_Toc430530486"/>
      <w:bookmarkStart w:id="480" w:name="_Toc224103368"/>
      <w:bookmarkStart w:id="481" w:name="_Toc509218761"/>
      <w:bookmarkStart w:id="482" w:name="_Toc287620736"/>
      <w:bookmarkStart w:id="483" w:name="_Toc1662"/>
      <w:bookmarkStart w:id="484" w:name="_Toc200513177"/>
      <w:bookmarkStart w:id="485" w:name="_Toc277082603"/>
      <w:bookmarkStart w:id="486" w:name="_Toc287607797"/>
      <w:r>
        <w:rPr>
          <w:rFonts w:ascii="宋体" w:hAnsi="宋体"/>
          <w:b w:val="0"/>
          <w:snapToGrid w:val="0"/>
          <w:color w:val="auto"/>
          <w:sz w:val="24"/>
          <w:szCs w:val="24"/>
          <w:highlight w:val="none"/>
        </w:rPr>
        <w:t>9.5  投诉</w:t>
      </w:r>
      <w:bookmarkEnd w:id="479"/>
      <w:bookmarkEnd w:id="480"/>
      <w:bookmarkEnd w:id="481"/>
      <w:bookmarkEnd w:id="482"/>
      <w:bookmarkEnd w:id="483"/>
      <w:bookmarkEnd w:id="484"/>
      <w:bookmarkEnd w:id="485"/>
      <w:bookmarkEnd w:id="48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.5.1 项规定的期限内。</w:t>
      </w:r>
    </w:p>
    <w:p>
      <w:pPr>
        <w:pStyle w:val="4"/>
        <w:spacing w:before="0" w:after="0" w:line="360" w:lineRule="auto"/>
        <w:rPr>
          <w:rFonts w:ascii="宋体" w:hAnsi="宋体"/>
          <w:b w:val="0"/>
          <w:snapToGrid w:val="0"/>
          <w:color w:val="auto"/>
          <w:highlight w:val="none"/>
        </w:rPr>
      </w:pPr>
      <w:bookmarkStart w:id="487" w:name="_Toc287607798"/>
      <w:bookmarkStart w:id="488" w:name="_Toc509218762"/>
      <w:bookmarkStart w:id="489" w:name="_Toc430530487"/>
      <w:bookmarkStart w:id="490" w:name="_Toc200513178"/>
      <w:bookmarkStart w:id="491" w:name="_Toc6064"/>
      <w:bookmarkStart w:id="492" w:name="_Toc277082604"/>
      <w:bookmarkStart w:id="493" w:name="_Toc287620737"/>
      <w:bookmarkStart w:id="494" w:name="_Toc224103369"/>
      <w:r>
        <w:rPr>
          <w:rFonts w:ascii="宋体" w:hAnsi="宋体"/>
          <w:b w:val="0"/>
          <w:snapToGrid w:val="0"/>
          <w:color w:val="auto"/>
          <w:highlight w:val="none"/>
        </w:rPr>
        <w:t>10. 需要补充的其他内容</w:t>
      </w:r>
      <w:bookmarkEnd w:id="487"/>
      <w:bookmarkEnd w:id="488"/>
      <w:bookmarkEnd w:id="489"/>
      <w:bookmarkEnd w:id="490"/>
      <w:bookmarkEnd w:id="491"/>
      <w:bookmarkEnd w:id="492"/>
      <w:bookmarkEnd w:id="493"/>
      <w:bookmarkEnd w:id="49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13"/>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2931"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暂定</w:t>
            </w:r>
            <w:r>
              <w:rPr>
                <w:rFonts w:hint="eastAsia" w:ascii="宋体" w:hAnsi="宋体"/>
                <w:snapToGrid w:val="0"/>
                <w:color w:val="auto"/>
                <w:kern w:val="0"/>
                <w:szCs w:val="21"/>
                <w:highlight w:val="none"/>
                <w:lang w:val="en-US" w:eastAsia="zh-CN"/>
              </w:rPr>
              <w:t>投标报价</w:t>
            </w:r>
            <w:r>
              <w:rPr>
                <w:rFonts w:hint="eastAsia" w:ascii="宋体" w:hAnsi="宋体"/>
                <w:snapToGrid w:val="0"/>
                <w:color w:val="auto"/>
                <w:kern w:val="0"/>
                <w:szCs w:val="21"/>
                <w:highlight w:val="none"/>
                <w:lang w:eastAsia="zh-CN"/>
              </w:rPr>
              <w:t>）</w:t>
            </w:r>
          </w:p>
        </w:tc>
        <w:tc>
          <w:tcPr>
            <w:tcW w:w="1551" w:type="dxa"/>
            <w:tcBorders>
              <w:left w:val="single" w:color="auto" w:sz="4" w:space="0"/>
            </w:tcBorders>
            <w:vAlign w:val="center"/>
          </w:tcPr>
          <w:p>
            <w:pPr>
              <w:autoSpaceDE w:val="0"/>
              <w:autoSpaceDN w:val="0"/>
              <w:adjustRightInd w:val="0"/>
              <w:snapToGrid w:val="0"/>
              <w:jc w:val="center"/>
              <w:rPr>
                <w:rFonts w:hint="default" w:ascii="宋体" w:hAnsi="宋体" w:eastAsia="宋体"/>
                <w:snapToGrid w:val="0"/>
                <w:color w:val="auto"/>
                <w:kern w:val="0"/>
                <w:szCs w:val="21"/>
                <w:highlight w:val="none"/>
                <w:lang w:val="en-US" w:eastAsia="zh-CN"/>
              </w:rPr>
            </w:pP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p>
        </w:tc>
        <w:tc>
          <w:tcPr>
            <w:tcW w:w="211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交货期</w:t>
            </w:r>
          </w:p>
        </w:tc>
        <w:tc>
          <w:tcPr>
            <w:tcW w:w="145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679"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860" w:type="dxa"/>
            <w:gridSpan w:val="6"/>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860"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860" w:type="dxa"/>
            <w:gridSpan w:val="6"/>
            <w:tcBorders>
              <w:top w:val="single" w:color="auto" w:sz="4" w:space="0"/>
            </w:tcBorders>
            <w:vAlign w:val="center"/>
          </w:tcPr>
          <w:p>
            <w:pPr>
              <w:autoSpaceDE w:val="0"/>
              <w:autoSpaceDN w:val="0"/>
              <w:adjustRightInd w:val="0"/>
              <w:snapToGrid w:val="0"/>
              <w:jc w:val="left"/>
              <w:rPr>
                <w:rFonts w:ascii="宋体" w:hAnsi="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48"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13"/>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pP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供货范围：</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供货期</w:t>
      </w:r>
      <w:r>
        <w:rPr>
          <w:color w:val="auto"/>
          <w:highlight w:val="none"/>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日历天</w:t>
      </w:r>
      <w:r>
        <w:rPr>
          <w:rFonts w:hint="eastAsia"/>
          <w:color w:val="auto"/>
          <w:highlight w:val="none"/>
          <w:lang w:eastAsia="zh-CN"/>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lang w:val="en-US" w:eastAsia="zh-CN"/>
        </w:rPr>
        <w:t>设备（材料）采购</w:t>
      </w:r>
      <w:r>
        <w:rPr>
          <w:rFonts w:ascii="宋体" w:hAnsi="宋体"/>
          <w:color w:val="auto"/>
          <w:kern w:val="0"/>
          <w:szCs w:val="21"/>
          <w:highlight w:val="none"/>
        </w:rPr>
        <w:t>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lang w:val="en-US" w:eastAsia="zh-CN"/>
        </w:rPr>
        <w:t>6</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495" w:name="招标文件03章02评标办法综合评估法"/>
      <w:bookmarkEnd w:id="495"/>
      <w:bookmarkStart w:id="496" w:name="招标文件03章02评标办法综合评估法00"/>
      <w:bookmarkEnd w:id="496"/>
      <w:bookmarkStart w:id="497" w:name="_Toc430530500"/>
      <w:bookmarkStart w:id="498" w:name="_Toc287620751"/>
      <w:bookmarkStart w:id="499" w:name="_Toc200513198"/>
      <w:bookmarkStart w:id="500" w:name="_Toc277082618"/>
      <w:bookmarkStart w:id="501" w:name="_Toc224103384"/>
      <w:bookmarkStart w:id="502" w:name="_Toc287607812"/>
    </w:p>
    <w:p>
      <w:pPr>
        <w:pStyle w:val="3"/>
        <w:spacing w:line="360" w:lineRule="auto"/>
        <w:ind w:firstLine="883" w:firstLineChars="200"/>
        <w:jc w:val="center"/>
        <w:rPr>
          <w:rFonts w:ascii="宋体" w:hAnsi="宋体"/>
          <w:color w:val="auto"/>
          <w:highlight w:val="none"/>
        </w:rPr>
      </w:pPr>
      <w:bookmarkStart w:id="503" w:name="_Toc32295"/>
      <w:bookmarkStart w:id="504" w:name="_Toc50921877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03"/>
      <w:bookmarkEnd w:id="504"/>
      <w:bookmarkStart w:id="505" w:name="_Toc277082617"/>
      <w:bookmarkStart w:id="506" w:name="_Toc287620750"/>
      <w:bookmarkStart w:id="507" w:name="_Toc287607811"/>
      <w:bookmarkStart w:id="508" w:name="_Toc224103383"/>
      <w:bookmarkStart w:id="509" w:name="_Toc430530499"/>
    </w:p>
    <w:p>
      <w:pPr>
        <w:pStyle w:val="4"/>
        <w:spacing w:before="100" w:after="100" w:line="360" w:lineRule="auto"/>
        <w:rPr>
          <w:rFonts w:ascii="宋体" w:hAnsi="宋体"/>
          <w:color w:val="auto"/>
          <w:highlight w:val="none"/>
        </w:rPr>
      </w:pPr>
      <w:bookmarkStart w:id="510" w:name="_Toc509218775"/>
      <w:bookmarkStart w:id="511" w:name="_Toc2060"/>
      <w:r>
        <w:rPr>
          <w:rFonts w:hint="eastAsia" w:ascii="宋体" w:hAnsi="宋体"/>
          <w:color w:val="auto"/>
          <w:highlight w:val="none"/>
        </w:rPr>
        <w:t>评标办法前附表</w:t>
      </w:r>
      <w:bookmarkEnd w:id="510"/>
      <w:bookmarkEnd w:id="511"/>
    </w:p>
    <w:p>
      <w:pPr>
        <w:spacing w:line="360" w:lineRule="auto"/>
        <w:ind w:firstLine="420" w:firstLineChars="200"/>
        <w:rPr>
          <w:color w:val="auto"/>
          <w:szCs w:val="21"/>
          <w:highlight w:val="none"/>
        </w:rPr>
      </w:pPr>
      <w:r>
        <w:rPr>
          <w:color w:val="auto"/>
          <w:szCs w:val="21"/>
          <w:highlight w:val="none"/>
        </w:rPr>
        <w:t>评标办法中的评审内容必须和投标人须知中的对应内容一致，若投标人须知中未作要求的内容，不得列入评标办法作为评定依据。</w:t>
      </w:r>
    </w:p>
    <w:tbl>
      <w:tblPr>
        <w:tblStyle w:val="13"/>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7" w:hRule="atLeast"/>
          <w:jc w:val="center"/>
        </w:trPr>
        <w:tc>
          <w:tcPr>
            <w:tcW w:w="808"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，按得分由高到低顺序推荐中标候选人，或根据招标人授权直接确定中标人。综合评分相等时，以</w:t>
            </w:r>
            <w:r>
              <w:rPr>
                <w:rFonts w:hint="eastAsia" w:ascii="宋体" w:hAnsi="宋体"/>
                <w:color w:val="auto"/>
                <w:kern w:val="0"/>
                <w:highlight w:val="none"/>
                <w:lang w:val="en-US" w:eastAsia="zh-CN"/>
              </w:rPr>
              <w:t>投标报价低</w:t>
            </w:r>
            <w:r>
              <w:rPr>
                <w:rFonts w:hint="eastAsia" w:ascii="宋体" w:hAnsi="宋体"/>
                <w:color w:val="auto"/>
                <w:kern w:val="0"/>
                <w:highlight w:val="none"/>
              </w:rPr>
              <w:t>的优先；</w:t>
            </w:r>
            <w:r>
              <w:rPr>
                <w:rFonts w:hint="eastAsia" w:ascii="宋体" w:hAnsi="宋体"/>
                <w:color w:val="auto"/>
                <w:kern w:val="0"/>
                <w:highlight w:val="none"/>
                <w:lang w:val="en-US" w:eastAsia="zh-CN"/>
              </w:rPr>
              <w:t>投标报价</w:t>
            </w:r>
            <w:r>
              <w:rPr>
                <w:rFonts w:hint="eastAsia" w:ascii="宋体" w:hAnsi="宋体"/>
                <w:color w:val="auto"/>
                <w:kern w:val="0"/>
                <w:highlight w:val="none"/>
              </w:rPr>
              <w:t>相等的，以</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部分得分高的优先；</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部分得分也相等的，以“投标人不良行为信息量化记分”低的优先；“投标人不良行为信息量化记分”相等的，由评标委员会按照</w:t>
            </w:r>
            <w:r>
              <w:rPr>
                <w:rFonts w:hint="eastAsia" w:ascii="宋体" w:hAnsi="宋体"/>
                <w:color w:val="auto"/>
                <w:kern w:val="0"/>
                <w:highlight w:val="none"/>
                <w:u w:val="single"/>
              </w:rPr>
              <w:t xml:space="preserve"> </w:t>
            </w:r>
            <w:r>
              <w:rPr>
                <w:rFonts w:hint="eastAsia" w:ascii="宋体" w:hAnsi="宋体" w:cs="宋体"/>
                <w:kern w:val="0"/>
                <w:highlight w:val="none"/>
                <w:u w:val="single"/>
              </w:rPr>
              <w:t>“投票表决”</w:t>
            </w:r>
            <w:r>
              <w:rPr>
                <w:rFonts w:hint="eastAsia" w:ascii="宋体" w:hAnsi="宋体"/>
                <w:color w:val="auto"/>
                <w:kern w:val="0"/>
                <w:highlight w:val="none"/>
                <w:u w:val="single"/>
              </w:rPr>
              <w:t xml:space="preserve"> </w:t>
            </w:r>
            <w:r>
              <w:rPr>
                <w:rFonts w:hint="eastAsia" w:ascii="宋体" w:hAnsi="宋体"/>
                <w:color w:val="auto"/>
                <w:kern w:val="0"/>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rPr>
              <w:t>营业执照</w:t>
            </w:r>
            <w:r>
              <w:rPr>
                <w:rFonts w:hint="eastAsia" w:ascii="宋体" w:hAnsi="宋体"/>
                <w:color w:val="auto"/>
                <w:kern w:val="0"/>
                <w:highlight w:val="none"/>
                <w:lang w:val="en-US" w:eastAsia="zh-CN"/>
              </w:rPr>
              <w:t>和资质要求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olor w:val="auto"/>
                <w:kern w:val="0"/>
                <w:highlight w:val="none"/>
              </w:rPr>
              <w:t>业绩要求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szCs w:val="21"/>
                <w:highlight w:val="none"/>
                <w:lang w:val="en-US" w:eastAsia="zh-CN"/>
              </w:rPr>
              <w:t>信誉要求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rPr>
                <w:rFonts w:ascii="宋体" w:hAnsi="宋体" w:cs="宋体"/>
                <w:color w:val="auto"/>
                <w:kern w:val="0"/>
                <w:highlight w:val="none"/>
              </w:rPr>
            </w:pPr>
            <w:r>
              <w:rPr>
                <w:color w:val="auto"/>
                <w:highlight w:val="none"/>
              </w:rPr>
              <w:t>不存在禁止投标的情形</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投标人名称</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投标文件格式</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章“投标</w:t>
            </w:r>
            <w:r>
              <w:rPr>
                <w:rFonts w:hint="eastAsia" w:ascii="宋体" w:hAnsi="宋体"/>
                <w:color w:val="auto"/>
                <w:kern w:val="0"/>
                <w:highlight w:val="none"/>
              </w:rPr>
              <w:t>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（不含投标函部分）</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39"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投标文件的签署</w:t>
            </w:r>
          </w:p>
        </w:tc>
        <w:tc>
          <w:tcPr>
            <w:tcW w:w="5728" w:type="dxa"/>
            <w:vAlign w:val="center"/>
          </w:tcPr>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投标文件</w:t>
            </w:r>
            <w:r>
              <w:rPr>
                <w:rFonts w:hint="eastAsia" w:ascii="宋体" w:hAnsi="宋体"/>
                <w:color w:val="auto"/>
                <w:kern w:val="0"/>
                <w:highlight w:val="none"/>
              </w:rPr>
              <w:t>格式（不含投标函部分）要求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p>
          <w:p>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投标文件格式（不含投标函部分）要求加盖单位法人章的，应使用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bottom w:val="single" w:color="auto" w:sz="4" w:space="0"/>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bottom w:val="single" w:color="auto" w:sz="4" w:space="0"/>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bottom w:val="single" w:color="auto" w:sz="4" w:space="0"/>
            </w:tcBorders>
            <w:vAlign w:val="center"/>
          </w:tcPr>
          <w:p>
            <w:pPr>
              <w:spacing w:line="400" w:lineRule="exact"/>
              <w:jc w:val="left"/>
              <w:rPr>
                <w:rFonts w:ascii="宋体" w:hAnsi="宋体"/>
                <w:color w:val="auto"/>
                <w:kern w:val="0"/>
                <w:highlight w:val="none"/>
              </w:rPr>
            </w:pPr>
            <w:r>
              <w:rPr>
                <w:color w:val="auto"/>
                <w:highlight w:val="none"/>
              </w:rPr>
              <w:t>备选投标方案</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除招标文件明确允许提交备选投标方案外，投标人不得提交备选投标方案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08" w:type="dxa"/>
            <w:vMerge w:val="restart"/>
            <w:tcBorders>
              <w:top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2.2.4</w:t>
            </w:r>
          </w:p>
        </w:tc>
        <w:tc>
          <w:tcPr>
            <w:tcW w:w="852" w:type="dxa"/>
            <w:vMerge w:val="restart"/>
            <w:tcBorders>
              <w:top w:val="single" w:color="auto" w:sz="4" w:space="0"/>
            </w:tcBorders>
            <w:textDirection w:val="tbRlV"/>
            <w:vAlign w:val="center"/>
          </w:tcPr>
          <w:p>
            <w:pPr>
              <w:spacing w:line="400" w:lineRule="exact"/>
              <w:jc w:val="center"/>
              <w:rPr>
                <w:rFonts w:ascii="宋体" w:hAnsi="宋体"/>
                <w:color w:val="auto"/>
                <w:kern w:val="0"/>
                <w:highlight w:val="none"/>
              </w:rPr>
            </w:pPr>
            <w:r>
              <w:rPr>
                <w:rFonts w:ascii="宋体" w:hAnsi="宋体" w:cs="Times New Roman"/>
                <w:color w:val="auto"/>
                <w:kern w:val="0"/>
                <w:highlight w:val="none"/>
              </w:rPr>
              <w:t>响应性评审标准</w:t>
            </w: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olor w:val="auto"/>
                <w:kern w:val="0"/>
                <w:highlight w:val="none"/>
                <w:lang w:val="en-US" w:eastAsia="zh-CN"/>
              </w:rPr>
              <w:t>质量标准（技术性能指标）</w:t>
            </w:r>
          </w:p>
        </w:tc>
        <w:tc>
          <w:tcPr>
            <w:tcW w:w="5728" w:type="dxa"/>
            <w:vAlign w:val="center"/>
          </w:tcPr>
          <w:p>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08" w:type="dxa"/>
            <w:vMerge w:val="continue"/>
            <w:vAlign w:val="center"/>
          </w:tcPr>
          <w:p>
            <w:pPr>
              <w:spacing w:line="400" w:lineRule="exact"/>
              <w:jc w:val="center"/>
              <w:rPr>
                <w:rFonts w:hint="default" w:ascii="宋体" w:hAnsi="宋体" w:eastAsia="宋体"/>
                <w:color w:val="auto"/>
                <w:kern w:val="0"/>
                <w:highlight w:val="none"/>
                <w:lang w:val="en-US" w:eastAsia="zh-CN"/>
              </w:rPr>
            </w:pPr>
          </w:p>
        </w:tc>
        <w:tc>
          <w:tcPr>
            <w:tcW w:w="852" w:type="dxa"/>
            <w:vMerge w:val="continue"/>
            <w:textDirection w:val="tbRlV"/>
            <w:vAlign w:val="center"/>
          </w:tcPr>
          <w:p>
            <w:pPr>
              <w:spacing w:line="400" w:lineRule="exact"/>
              <w:jc w:val="center"/>
              <w:rPr>
                <w:rFonts w:ascii="宋体" w:hAnsi="宋体"/>
                <w:color w:val="auto"/>
                <w:kern w:val="0"/>
                <w:highlight w:val="none"/>
              </w:rPr>
            </w:pP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olor w:val="auto"/>
                <w:kern w:val="0"/>
                <w:highlight w:val="none"/>
                <w:lang w:eastAsia="zh-CN"/>
              </w:rPr>
            </w:pPr>
            <w:r>
              <w:rPr>
                <w:rFonts w:ascii="宋体" w:hAnsi="宋体"/>
                <w:color w:val="auto"/>
                <w:kern w:val="0"/>
                <w:highlight w:val="none"/>
              </w:rPr>
              <w:t>符合第二章“投标人须知”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063"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1.11.1项的要求和</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w:t>
            </w:r>
            <w:r>
              <w:rPr>
                <w:rFonts w:hint="eastAsia" w:ascii="宋体" w:hAnsi="宋体" w:cs="宋体"/>
                <w:color w:val="auto"/>
                <w:kern w:val="0"/>
                <w:highlight w:val="none"/>
                <w:lang w:val="en-US" w:eastAsia="zh-CN"/>
              </w:rPr>
              <w:t>是否符合第四章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hint="eastAsia" w:ascii="宋体" w:hAnsi="宋体" w:cs="宋体"/>
                <w:highlight w:val="none"/>
              </w:rPr>
              <w:t>质量保证期</w:t>
            </w:r>
          </w:p>
        </w:tc>
        <w:tc>
          <w:tcPr>
            <w:tcW w:w="5728" w:type="dxa"/>
            <w:vAlign w:val="center"/>
          </w:tcPr>
          <w:p>
            <w:pPr>
              <w:spacing w:after="48" w:afterLines="20" w:line="400" w:lineRule="exact"/>
              <w:ind w:firstLine="420" w:firstLineChars="200"/>
              <w:rPr>
                <w:rFonts w:ascii="宋体" w:hAnsi="宋体" w:eastAsia="宋体" w:cs="Times New Roman"/>
                <w:color w:val="auto"/>
                <w:kern w:val="0"/>
                <w:sz w:val="21"/>
                <w:highlight w:val="none"/>
              </w:rPr>
            </w:pPr>
            <w:r>
              <w:rPr>
                <w:rFonts w:hint="eastAsia" w:ascii="宋体" w:hAnsi="宋体" w:cs="宋体"/>
                <w:kern w:val="0"/>
                <w:highlight w:val="none"/>
              </w:rPr>
              <w:t>符合第二章“投标人须知”第1.11.1项的要求。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808" w:type="dxa"/>
            <w:vMerge w:val="continue"/>
            <w:tcBorders>
              <w:bottom w:val="single" w:color="auto" w:sz="4" w:space="0"/>
            </w:tcBorders>
          </w:tcPr>
          <w:p>
            <w:pPr>
              <w:spacing w:line="400" w:lineRule="exact"/>
              <w:rPr>
                <w:rFonts w:ascii="宋体" w:hAnsi="宋体"/>
                <w:color w:val="auto"/>
                <w:highlight w:val="none"/>
              </w:rPr>
            </w:pPr>
          </w:p>
        </w:tc>
        <w:tc>
          <w:tcPr>
            <w:tcW w:w="852" w:type="dxa"/>
            <w:vMerge w:val="continue"/>
            <w:tcBorders>
              <w:bottom w:val="single" w:color="auto" w:sz="4" w:space="0"/>
            </w:tcBorders>
          </w:tcPr>
          <w:p>
            <w:pPr>
              <w:spacing w:line="400" w:lineRule="exact"/>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w:t>
            </w:r>
            <w:r>
              <w:rPr>
                <w:color w:val="auto"/>
                <w:highlight w:val="none"/>
              </w:rPr>
              <w:t>串通投标、弄虚作假、行贿等违法行为</w:t>
            </w:r>
            <w:r>
              <w:rPr>
                <w:rFonts w:ascii="宋体" w:hAnsi="宋体"/>
                <w:color w:val="auto"/>
                <w:kern w:val="0"/>
                <w:highlight w:val="none"/>
              </w:rPr>
              <w:t>。</w:t>
            </w:r>
          </w:p>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tcBorders>
              <w:top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bookmarkEnd w:id="505"/>
      <w:bookmarkEnd w:id="506"/>
      <w:bookmarkEnd w:id="507"/>
      <w:bookmarkEnd w:id="508"/>
      <w:bookmarkEnd w:id="509"/>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19"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vAlign w:val="center"/>
          </w:tcPr>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hint="default" w:ascii="宋体" w:hAnsi="宋体"/>
                <w:color w:val="auto"/>
                <w:kern w:val="0"/>
                <w:highlight w:val="none"/>
                <w:u w:val="single"/>
              </w:rPr>
              <w:t>20</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商务部分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hint="default" w:ascii="宋体" w:hAnsi="宋体"/>
                <w:color w:val="auto"/>
                <w:kern w:val="0"/>
                <w:highlight w:val="none"/>
                <w:u w:val="single"/>
              </w:rPr>
              <w:t>10</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pPr>
              <w:snapToGrid w:val="0"/>
              <w:spacing w:line="400" w:lineRule="exact"/>
              <w:ind w:firstLine="420" w:firstLineChars="200"/>
              <w:rPr>
                <w:rFonts w:hint="default" w:ascii="宋体" w:hAnsi="宋体" w:eastAsia="宋体"/>
                <w:i/>
                <w:color w:val="auto"/>
                <w:kern w:val="0"/>
                <w:highlight w:val="none"/>
                <w:lang w:val="en-US" w:eastAsia="zh-CN"/>
              </w:rPr>
            </w:pPr>
            <w:r>
              <w:rPr>
                <w:rFonts w:hint="eastAsia" w:ascii="宋体" w:hAnsi="宋体"/>
                <w:color w:val="auto"/>
                <w:kern w:val="0"/>
                <w:highlight w:val="none"/>
                <w:lang w:val="en-US" w:eastAsia="zh-CN"/>
              </w:rPr>
              <w:t>3</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default" w:ascii="宋体" w:hAnsi="宋体"/>
                <w:color w:val="auto"/>
                <w:kern w:val="0"/>
                <w:highlight w:val="none"/>
                <w:u w:val="single"/>
              </w:rPr>
              <w:t>70</w:t>
            </w:r>
            <w:r>
              <w:rPr>
                <w:rFonts w:hint="eastAsia" w:ascii="宋体" w:hAnsi="宋体"/>
                <w:color w:val="auto"/>
                <w:kern w:val="0"/>
                <w:highlight w:val="none"/>
                <w:u w:val="single"/>
              </w:rPr>
              <w:t xml:space="preserve">   </w:t>
            </w:r>
            <w:r>
              <w:rPr>
                <w:rFonts w:hint="eastAsia" w:ascii="宋体" w:hAnsi="宋体"/>
                <w:color w:val="auto"/>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728" w:type="dxa"/>
            <w:vAlign w:val="center"/>
          </w:tcPr>
          <w:p>
            <w:pPr>
              <w:snapToGrid w:val="0"/>
              <w:spacing w:line="400" w:lineRule="exact"/>
              <w:ind w:firstLine="420" w:firstLineChars="200"/>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w:t>
            </w:r>
            <w:r>
              <w:rPr>
                <w:color w:val="auto"/>
                <w:highlight w:val="none"/>
              </w:rPr>
              <w:t>合格</w:t>
            </w:r>
            <w:r>
              <w:rPr>
                <w:rFonts w:hint="eastAsia"/>
                <w:color w:val="auto"/>
                <w:highlight w:val="none"/>
              </w:rPr>
              <w:t>的</w:t>
            </w:r>
            <w:r>
              <w:rPr>
                <w:color w:val="auto"/>
                <w:highlight w:val="none"/>
              </w:rPr>
              <w:t>投标人的投标报价</w:t>
            </w:r>
            <w:r>
              <w:rPr>
                <w:rFonts w:hint="eastAsia"/>
                <w:color w:val="auto"/>
                <w:highlight w:val="none"/>
              </w:rPr>
              <w:t>（或暂定</w:t>
            </w:r>
            <w:r>
              <w:rPr>
                <w:rFonts w:hint="eastAsia"/>
                <w:color w:val="auto"/>
                <w:highlight w:val="none"/>
                <w:lang w:val="en-US" w:eastAsia="zh-CN"/>
              </w:rPr>
              <w:t>投标</w:t>
            </w:r>
            <w:r>
              <w:rPr>
                <w:rFonts w:hint="eastAsia"/>
                <w:color w:val="auto"/>
                <w:highlight w:val="none"/>
              </w:rPr>
              <w:t>报价）</w:t>
            </w:r>
            <w:r>
              <w:rPr>
                <w:color w:val="auto"/>
                <w:highlight w:val="none"/>
              </w:rPr>
              <w:t>中</w:t>
            </w:r>
            <w:r>
              <w:rPr>
                <w:rFonts w:hint="eastAsia"/>
                <w:color w:val="auto"/>
                <w:highlight w:val="none"/>
              </w:rPr>
              <w:t>，报价</w:t>
            </w:r>
            <w:r>
              <w:rPr>
                <w:color w:val="auto"/>
                <w:highlight w:val="none"/>
              </w:rPr>
              <w:t>最低</w:t>
            </w:r>
            <w:r>
              <w:rPr>
                <w:rFonts w:hint="eastAsia"/>
                <w:color w:val="auto"/>
                <w:highlight w:val="none"/>
              </w:rPr>
              <w:t>的为</w:t>
            </w:r>
            <w:r>
              <w:rPr>
                <w:color w:val="auto"/>
                <w:highlight w:val="none"/>
              </w:rPr>
              <w:t>本项目投标报价</w:t>
            </w:r>
            <w:r>
              <w:rPr>
                <w:rFonts w:hint="eastAsia"/>
                <w:color w:val="auto"/>
                <w:highlight w:val="none"/>
              </w:rPr>
              <w:t>的评标基准价</w:t>
            </w:r>
            <w:r>
              <w:rPr>
                <w:color w:val="auto"/>
                <w:highlight w:val="none"/>
              </w:rPr>
              <w:t>。</w:t>
            </w:r>
          </w:p>
          <w:p>
            <w:pPr>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评标基准价</w:t>
            </w:r>
            <w:r>
              <w:rPr>
                <w:color w:val="auto"/>
                <w:highlight w:val="none"/>
              </w:rPr>
              <w:t>计算</w:t>
            </w:r>
            <w:r>
              <w:rPr>
                <w:rFonts w:hint="eastAsia"/>
                <w:color w:val="auto"/>
                <w:highlight w:val="none"/>
              </w:rPr>
              <w:t>的最终结果保留两位小数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pPr>
              <w:tabs>
                <w:tab w:val="left" w:pos="1875"/>
              </w:tabs>
              <w:spacing w:line="400" w:lineRule="exact"/>
              <w:jc w:val="center"/>
              <w:rPr>
                <w:color w:val="auto"/>
                <w:highlight w:val="none"/>
              </w:rPr>
            </w:pPr>
            <w:r>
              <w:rPr>
                <w:color w:val="auto"/>
                <w:highlight w:val="none"/>
              </w:rPr>
              <w:t>投标报价的偏差率计算公式</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100％×（投标人报价一评标基准价）／评标基准价</w:t>
            </w:r>
          </w:p>
          <w:p>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保留两位小数</w:t>
            </w:r>
            <w:r>
              <w:rPr>
                <w:rFonts w:ascii="宋体" w:hAnsi="宋体"/>
                <w:color w:val="auto"/>
                <w:kern w:val="0"/>
                <w:szCs w:val="21"/>
                <w:highlight w:val="none"/>
              </w:rPr>
              <w:t>，小数点后第三位四舍五入。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pPr>
              <w:pStyle w:val="2"/>
              <w:jc w:val="center"/>
              <w:rPr>
                <w:rFonts w:ascii="宋体" w:hAnsi="宋体"/>
                <w:color w:val="auto"/>
                <w:kern w:val="0"/>
                <w:highlight w:val="none"/>
              </w:rPr>
            </w:pPr>
            <w:r>
              <w:rPr>
                <w:rFonts w:hint="eastAsia" w:ascii="宋体" w:hAnsi="宋体"/>
                <w:color w:val="auto"/>
                <w:kern w:val="0"/>
                <w:highlight w:val="none"/>
              </w:rPr>
              <w:t>技术部分（</w:t>
            </w:r>
            <w:r>
              <w:rPr>
                <w:color w:val="auto"/>
                <w:kern w:val="0"/>
                <w:highlight w:val="none"/>
              </w:rPr>
              <w:t>A</w:t>
            </w:r>
            <w:r>
              <w:rPr>
                <w:rFonts w:hint="eastAsia" w:ascii="宋体" w:hAnsi="宋体"/>
                <w:color w:val="auto"/>
                <w:kern w:val="0"/>
                <w:highlight w:val="none"/>
              </w:rPr>
              <w:t>）评分标准</w:t>
            </w:r>
          </w:p>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lang w:val="en-US" w:eastAsia="zh-CN"/>
              </w:rPr>
              <w:t>技术部分</w:t>
            </w:r>
            <w:r>
              <w:rPr>
                <w:rFonts w:hint="eastAsia" w:ascii="宋体" w:hAnsi="宋体"/>
                <w:color w:val="auto"/>
                <w:kern w:val="0"/>
                <w:highlight w:val="none"/>
              </w:rPr>
              <w:t>总体评审标准</w:t>
            </w:r>
          </w:p>
        </w:tc>
        <w:tc>
          <w:tcPr>
            <w:tcW w:w="5728" w:type="dxa"/>
            <w:vAlign w:val="center"/>
          </w:tcPr>
          <w:p>
            <w:pPr>
              <w:spacing w:line="400" w:lineRule="exact"/>
              <w:ind w:firstLine="420" w:firstLineChars="200"/>
              <w:rPr>
                <w:rFonts w:ascii="宋体" w:hAnsi="宋体"/>
                <w:snapToGrid w:val="0"/>
                <w:color w:val="auto"/>
                <w:kern w:val="0"/>
                <w:szCs w:val="21"/>
                <w:highlight w:val="none"/>
              </w:rPr>
            </w:pPr>
            <w:r>
              <w:rPr>
                <w:rFonts w:hint="eastAsia"/>
                <w:color w:val="auto"/>
                <w:szCs w:val="22"/>
                <w:highlight w:val="none"/>
              </w:rPr>
              <w:t>评标委员会按照优、良、一般、差四个档次进行评分</w:t>
            </w:r>
            <w:r>
              <w:rPr>
                <w:rFonts w:hint="eastAsia" w:ascii="宋体" w:hAnsi="宋体"/>
                <w:snapToGrid w:val="0"/>
                <w:color w:val="auto"/>
                <w:kern w:val="0"/>
                <w:szCs w:val="21"/>
                <w:highlight w:val="none"/>
              </w:rPr>
              <w:t>，</w:t>
            </w:r>
            <w:r>
              <w:rPr>
                <w:rFonts w:hint="eastAsia" w:ascii="宋体" w:hAnsi="宋体"/>
                <w:color w:val="auto"/>
                <w:kern w:val="0"/>
                <w:szCs w:val="21"/>
                <w:highlight w:val="none"/>
                <w:lang w:val="en-US" w:eastAsia="zh-CN"/>
              </w:rPr>
              <w:t>技术部分</w:t>
            </w:r>
            <w:r>
              <w:rPr>
                <w:rFonts w:hint="eastAsia" w:ascii="宋体" w:hAnsi="宋体"/>
                <w:snapToGrid w:val="0"/>
                <w:color w:val="auto"/>
                <w:kern w:val="0"/>
                <w:szCs w:val="21"/>
                <w:highlight w:val="none"/>
              </w:rPr>
              <w:t>缺项的该项得0分。</w:t>
            </w:r>
          </w:p>
          <w:p>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取算术平均值为该投标人</w:t>
            </w:r>
            <w:r>
              <w:rPr>
                <w:rFonts w:hint="eastAsia" w:ascii="宋体" w:hAnsi="宋体"/>
                <w:snapToGrid w:val="0"/>
                <w:color w:val="auto"/>
                <w:kern w:val="0"/>
                <w:szCs w:val="21"/>
                <w:highlight w:val="none"/>
                <w:lang w:val="en-US" w:eastAsia="zh-CN"/>
              </w:rPr>
              <w:t>技术部分</w:t>
            </w:r>
            <w:r>
              <w:rPr>
                <w:rFonts w:ascii="宋体" w:hAnsi="宋体"/>
                <w:snapToGrid w:val="0"/>
                <w:color w:val="auto"/>
                <w:kern w:val="0"/>
                <w:szCs w:val="21"/>
                <w:highlight w:val="none"/>
              </w:rPr>
              <w:t>得分。</w:t>
            </w:r>
          </w:p>
          <w:p>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lang w:val="en-US" w:eastAsia="zh-CN"/>
              </w:rPr>
              <w:t>技术部分</w:t>
            </w:r>
            <w:r>
              <w:rPr>
                <w:rFonts w:ascii="宋体" w:hAnsi="宋体"/>
                <w:color w:val="auto"/>
                <w:kern w:val="0"/>
                <w:szCs w:val="21"/>
                <w:highlight w:val="none"/>
              </w:rPr>
              <w:t>得分的最终结果</w:t>
            </w:r>
            <w:r>
              <w:rPr>
                <w:rFonts w:hint="eastAsia" w:ascii="宋体" w:hAnsi="宋体"/>
                <w:color w:val="auto"/>
                <w:kern w:val="0"/>
                <w:szCs w:val="21"/>
                <w:highlight w:val="none"/>
              </w:rPr>
              <w:t>保留两位小数</w:t>
            </w:r>
            <w:r>
              <w:rPr>
                <w:rFonts w:ascii="宋体" w:hAnsi="宋体"/>
                <w:color w:val="auto"/>
                <w:kern w:val="0"/>
                <w:szCs w:val="21"/>
                <w:highlight w:val="none"/>
              </w:rPr>
              <w:t>，</w:t>
            </w:r>
            <w:r>
              <w:rPr>
                <w:rFonts w:hint="eastAsia" w:ascii="宋体" w:hAnsi="宋体"/>
                <w:color w:val="auto"/>
                <w:kern w:val="0"/>
                <w:szCs w:val="21"/>
                <w:highlight w:val="none"/>
                <w:lang w:val="en-US" w:eastAsia="zh-CN"/>
              </w:rPr>
              <w:t>小数点后</w:t>
            </w:r>
            <w:r>
              <w:rPr>
                <w:rFonts w:ascii="宋体" w:hAnsi="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852" w:type="dxa"/>
            <w:vMerge w:val="continue"/>
            <w:tcBorders>
              <w:left w:val="single" w:color="auto" w:sz="4" w:space="0"/>
            </w:tcBorders>
            <w:vAlign w:val="center"/>
          </w:tcPr>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技术指标（12分）</w:t>
            </w:r>
          </w:p>
        </w:tc>
        <w:tc>
          <w:tcPr>
            <w:tcW w:w="5728" w:type="dxa"/>
            <w:vAlign w:val="center"/>
          </w:tcPr>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（一）产品技术指标（12分）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1.评审标准：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（1）对投标人技术规范书中技术参数的响应情况进行评审，全部响应得6分。投标人应在投标文件《技术偏差表》中对招标文件列明的各项要求和条件进行响应。</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对于所投产品中采用的“四新”内容，投标单位单独进行书面说明，包含但不限于：①适应强光抑制能力②适应低照度能力③适应视频宽动态能力④事件检测能力⑤镜头自动清洁能力⑥轻量化材质、防抖抗震能力。各项功能对照招标技术要求基础上，适应高速公路项目应用场景，功能性能差、提升差得0-3.6分；功能性能一般、提升有限得3.6-4.8分；功能性能良好，有较大提升得4.8-5.4分；功能性能优秀，有重大提升得5.4-6分；未提供得0分，最多加6分。</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2.评审依据：</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根据投标人提供的项目需求偏差表中对技术规范各项指标响应情况，以及所采用“四新”内容检测报告进行评审。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样品</w:t>
            </w:r>
            <w:r>
              <w:rPr>
                <w:rFonts w:hint="eastAsia" w:ascii="宋体" w:hAnsi="宋体"/>
                <w:color w:val="auto"/>
                <w:kern w:val="0"/>
                <w:highlight w:val="none"/>
                <w:lang w:val="en-US" w:eastAsia="zh-CN"/>
              </w:rPr>
              <w:t>（4分）</w:t>
            </w:r>
          </w:p>
        </w:tc>
        <w:tc>
          <w:tcPr>
            <w:tcW w:w="5728" w:type="dxa"/>
            <w:vAlign w:val="center"/>
          </w:tcPr>
          <w:p>
            <w:pPr>
              <w:snapToGrid/>
              <w:spacing w:line="40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u w:val="single"/>
                <w:lang w:val="en-US" w:eastAsia="zh-CN"/>
              </w:rPr>
              <w:t>4</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s="宋体"/>
                <w:color w:val="000000"/>
                <w:kern w:val="0"/>
                <w:highlight w:val="none"/>
              </w:rPr>
              <w:t>投标人提供样品进行评比（样品为</w:t>
            </w:r>
            <w:r>
              <w:rPr>
                <w:rFonts w:hint="eastAsia" w:ascii="宋体" w:hAnsi="宋体" w:cs="宋体"/>
                <w:kern w:val="0"/>
                <w:szCs w:val="21"/>
                <w:highlight w:val="none"/>
                <w:lang w:val="en-US" w:eastAsia="zh-CN"/>
              </w:rPr>
              <w:t>一套智能一体化整机监控摄像机</w:t>
            </w:r>
            <w:r>
              <w:rPr>
                <w:rFonts w:hint="eastAsia" w:ascii="宋体" w:hAnsi="宋体" w:cs="宋体"/>
                <w:color w:val="000000"/>
                <w:kern w:val="0"/>
                <w:highlight w:val="none"/>
              </w:rPr>
              <w:t>，样品上注明单位信息</w:t>
            </w:r>
            <w:r>
              <w:rPr>
                <w:rFonts w:hint="eastAsia" w:ascii="宋体" w:hAnsi="宋体" w:cs="宋体"/>
                <w:color w:val="000000"/>
                <w:kern w:val="0"/>
                <w:highlight w:val="none"/>
                <w:lang w:val="en-US" w:eastAsia="zh-CN"/>
              </w:rPr>
              <w:t>并封装盖章</w:t>
            </w:r>
            <w:r>
              <w:rPr>
                <w:rFonts w:hint="eastAsia" w:ascii="宋体" w:hAnsi="宋体" w:cs="宋体"/>
                <w:color w:val="000000"/>
                <w:kern w:val="0"/>
                <w:highlight w:val="none"/>
              </w:rPr>
              <w:t>）</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根据</w:t>
            </w:r>
            <w:r>
              <w:rPr>
                <w:rFonts w:hint="eastAsia" w:ascii="宋体" w:hAnsi="宋体"/>
                <w:color w:val="auto"/>
                <w:highlight w:val="none"/>
                <w:u w:val="single"/>
              </w:rPr>
              <w:t>提供样品材质</w:t>
            </w:r>
            <w:r>
              <w:rPr>
                <w:rFonts w:hint="eastAsia" w:ascii="宋体" w:hAnsi="宋体"/>
                <w:color w:val="auto"/>
                <w:highlight w:val="none"/>
                <w:u w:val="single"/>
                <w:lang w:eastAsia="zh-CN"/>
              </w:rPr>
              <w:t>、</w:t>
            </w:r>
            <w:r>
              <w:rPr>
                <w:rFonts w:hint="eastAsia" w:ascii="宋体" w:hAnsi="宋体"/>
                <w:color w:val="auto"/>
                <w:highlight w:val="none"/>
                <w:u w:val="single"/>
              </w:rPr>
              <w:t>用料</w:t>
            </w:r>
            <w:r>
              <w:rPr>
                <w:rFonts w:hint="eastAsia" w:ascii="宋体" w:hAnsi="宋体"/>
                <w:color w:val="auto"/>
                <w:highlight w:val="none"/>
                <w:u w:val="single"/>
                <w:lang w:eastAsia="zh-CN"/>
              </w:rPr>
              <w:t>、</w:t>
            </w:r>
            <w:r>
              <w:rPr>
                <w:rFonts w:hint="eastAsia" w:ascii="宋体" w:hAnsi="宋体"/>
                <w:color w:val="auto"/>
                <w:highlight w:val="none"/>
                <w:u w:val="single"/>
              </w:rPr>
              <w:t>做工</w:t>
            </w:r>
            <w:r>
              <w:rPr>
                <w:rFonts w:hint="eastAsia" w:ascii="宋体" w:hAnsi="宋体"/>
                <w:color w:val="auto"/>
                <w:highlight w:val="none"/>
                <w:u w:val="single"/>
                <w:lang w:val="en-US" w:eastAsia="zh-CN"/>
              </w:rPr>
              <w:t>进行评分。</w:t>
            </w:r>
          </w:p>
          <w:p>
            <w:pPr>
              <w:snapToGrid/>
              <w:spacing w:line="400" w:lineRule="exact"/>
              <w:ind w:firstLine="210" w:firstLineChars="100"/>
              <w:rPr>
                <w:rFonts w:hint="eastAsia" w:ascii="宋体" w:hAnsi="宋体"/>
                <w:color w:val="auto"/>
                <w:highlight w:val="none"/>
                <w:u w:val="single"/>
              </w:rPr>
            </w:pPr>
            <w:r>
              <w:rPr>
                <w:rFonts w:hint="eastAsia" w:ascii="宋体" w:hAnsi="宋体"/>
                <w:color w:val="auto"/>
                <w:highlight w:val="none"/>
                <w:u w:val="single"/>
              </w:rPr>
              <w:t xml:space="preserve">优得 </w:t>
            </w:r>
            <w:r>
              <w:rPr>
                <w:rFonts w:hint="eastAsia" w:ascii="宋体" w:hAnsi="宋体"/>
                <w:color w:val="auto"/>
                <w:highlight w:val="none"/>
                <w:u w:val="single"/>
                <w:lang w:val="en-US" w:eastAsia="zh-CN"/>
              </w:rPr>
              <w:t>3.6-4</w:t>
            </w:r>
            <w:r>
              <w:rPr>
                <w:rFonts w:hint="eastAsia" w:ascii="宋体" w:hAnsi="宋体"/>
                <w:color w:val="auto"/>
                <w:highlight w:val="none"/>
                <w:u w:val="single"/>
              </w:rPr>
              <w:t>分，良得</w:t>
            </w:r>
            <w:r>
              <w:rPr>
                <w:rFonts w:hint="eastAsia" w:ascii="宋体" w:hAnsi="宋体"/>
                <w:color w:val="auto"/>
                <w:highlight w:val="none"/>
                <w:u w:val="single"/>
                <w:lang w:val="en-US" w:eastAsia="zh-CN"/>
              </w:rPr>
              <w:t>3.2-3.6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2.4-3.2</w:t>
            </w:r>
            <w:r>
              <w:rPr>
                <w:rFonts w:hint="eastAsia" w:ascii="宋体" w:hAnsi="宋体"/>
                <w:color w:val="auto"/>
                <w:highlight w:val="none"/>
                <w:u w:val="single"/>
              </w:rPr>
              <w:t>分，差得</w:t>
            </w:r>
            <w:r>
              <w:rPr>
                <w:rFonts w:hint="eastAsia" w:ascii="宋体" w:hAnsi="宋体"/>
                <w:color w:val="auto"/>
                <w:highlight w:val="none"/>
                <w:u w:val="single"/>
                <w:lang w:val="en-US" w:eastAsia="zh-CN"/>
              </w:rPr>
              <w:t>0-2.4</w:t>
            </w:r>
            <w:r>
              <w:rPr>
                <w:rFonts w:ascii="宋体" w:hAnsi="宋体"/>
                <w:color w:val="auto"/>
                <w:highlight w:val="none"/>
                <w:u w:val="single"/>
              </w:rPr>
              <w:t xml:space="preserve"> </w:t>
            </w:r>
            <w:r>
              <w:rPr>
                <w:rFonts w:hint="eastAsia" w:ascii="宋体" w:hAnsi="宋体"/>
                <w:color w:val="auto"/>
                <w:highlight w:val="none"/>
                <w:u w:val="single"/>
              </w:rPr>
              <w:t>分。</w:t>
            </w:r>
          </w:p>
          <w:p>
            <w:pPr>
              <w:snapToGrid/>
              <w:spacing w:line="400" w:lineRule="exact"/>
              <w:ind w:firstLine="210" w:firstLineChars="100"/>
              <w:rPr>
                <w:rFonts w:hint="eastAsia" w:ascii="宋体" w:hAnsi="宋体"/>
                <w:color w:val="auto"/>
                <w:highlight w:val="none"/>
                <w:u w:val="none"/>
                <w:lang w:eastAsia="zh-CN"/>
              </w:rPr>
            </w:pPr>
            <w:r>
              <w:rPr>
                <w:rFonts w:hint="eastAsia"/>
                <w:color w:val="auto"/>
                <w:highlight w:val="none"/>
                <w:lang w:val="en-US" w:eastAsia="zh-CN"/>
              </w:rPr>
              <w:t>投标人未提供样品</w:t>
            </w:r>
            <w:r>
              <w:rPr>
                <w:rFonts w:hint="eastAsia"/>
                <w:color w:val="auto"/>
                <w:highlight w:val="none"/>
              </w:rPr>
              <w:t>的</w:t>
            </w:r>
            <w:r>
              <w:rPr>
                <w:rFonts w:hint="eastAsia"/>
                <w:color w:val="auto"/>
                <w:highlight w:val="none"/>
                <w:lang w:val="en-US" w:eastAsia="zh-CN"/>
              </w:rPr>
              <w:t>此项得</w:t>
            </w:r>
            <w:r>
              <w:rPr>
                <w:rFonts w:hint="eastAsia"/>
                <w:color w:val="auto"/>
                <w:highlight w:val="none"/>
              </w:rPr>
              <w:t>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jc w:val="center"/>
              <w:rPr>
                <w:rFonts w:hint="eastAsia" w:ascii="宋体" w:hAnsi="宋体" w:cs="宋体"/>
                <w:color w:val="auto"/>
                <w:kern w:val="0"/>
                <w:highlight w:val="none"/>
                <w:lang w:val="en-US" w:eastAsia="zh-CN"/>
              </w:rPr>
            </w:pPr>
            <w:r>
              <w:rPr>
                <w:rFonts w:hint="eastAsia"/>
                <w:highlight w:val="none"/>
              </w:rPr>
              <w:t>项目实施保障</w:t>
            </w:r>
            <w:r>
              <w:rPr>
                <w:rFonts w:hint="eastAsia" w:ascii="宋体" w:hAnsi="宋体"/>
                <w:color w:val="auto"/>
                <w:kern w:val="0"/>
                <w:highlight w:val="none"/>
                <w:lang w:val="en-US" w:eastAsia="zh-CN"/>
              </w:rPr>
              <w:t>（4分）</w:t>
            </w:r>
          </w:p>
        </w:tc>
        <w:tc>
          <w:tcPr>
            <w:tcW w:w="5728" w:type="dxa"/>
            <w:vAlign w:val="center"/>
          </w:tcPr>
          <w:p>
            <w:pPr>
              <w:snapToGrid/>
              <w:spacing w:line="400" w:lineRule="exact"/>
              <w:ind w:firstLine="210" w:firstLineChars="100"/>
              <w:rPr>
                <w:rFonts w:hint="eastAsia"/>
                <w:color w:val="auto"/>
                <w:highlight w:val="none"/>
                <w:lang w:val="en-US" w:eastAsia="zh-CN"/>
              </w:rPr>
            </w:pPr>
            <w:r>
              <w:rPr>
                <w:rFonts w:hint="eastAsia" w:ascii="宋体" w:hAnsi="宋体"/>
                <w:color w:val="auto"/>
                <w:highlight w:val="none"/>
                <w:u w:val="single"/>
                <w:lang w:val="en-US" w:eastAsia="zh-CN"/>
              </w:rPr>
              <w:t>4</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对投标人提供的“项目实施方案”，具体内容包括针对本项目的人员配备（服务人员是否充足）、产品供货周期及备品备件供给保障、产品使用培训、产品故障解决</w:t>
            </w:r>
            <w:r>
              <w:rPr>
                <w:rFonts w:hint="eastAsia" w:ascii="宋体" w:hAnsi="宋体"/>
                <w:color w:val="auto"/>
                <w:highlight w:val="none"/>
                <w:u w:val="single"/>
                <w:lang w:eastAsia="zh-CN"/>
              </w:rPr>
              <w:t>、</w:t>
            </w:r>
            <w:r>
              <w:rPr>
                <w:rFonts w:hint="eastAsia" w:ascii="宋体" w:hAnsi="宋体"/>
                <w:color w:val="auto"/>
                <w:highlight w:val="none"/>
                <w:u w:val="single"/>
              </w:rPr>
              <w:t>退换货</w:t>
            </w:r>
            <w:r>
              <w:rPr>
                <w:rFonts w:hint="eastAsia" w:ascii="宋体" w:hAnsi="宋体"/>
                <w:color w:val="auto"/>
                <w:highlight w:val="none"/>
                <w:u w:val="single"/>
                <w:lang w:val="en-US" w:eastAsia="zh-CN"/>
              </w:rPr>
              <w:t>保障</w:t>
            </w:r>
            <w:r>
              <w:rPr>
                <w:rFonts w:hint="eastAsia" w:ascii="宋体" w:hAnsi="宋体"/>
                <w:color w:val="auto"/>
                <w:highlight w:val="none"/>
                <w:u w:val="single"/>
              </w:rPr>
              <w:t xml:space="preserve">及应急处置等。优得 </w:t>
            </w:r>
            <w:r>
              <w:rPr>
                <w:rFonts w:hint="eastAsia" w:ascii="宋体" w:hAnsi="宋体"/>
                <w:color w:val="auto"/>
                <w:highlight w:val="none"/>
                <w:u w:val="single"/>
                <w:lang w:val="en-US" w:eastAsia="zh-CN"/>
              </w:rPr>
              <w:t>3.6-4</w:t>
            </w:r>
            <w:r>
              <w:rPr>
                <w:rFonts w:hint="eastAsia" w:ascii="宋体" w:hAnsi="宋体"/>
                <w:color w:val="auto"/>
                <w:highlight w:val="none"/>
                <w:u w:val="single"/>
              </w:rPr>
              <w:t>分，良得</w:t>
            </w:r>
            <w:r>
              <w:rPr>
                <w:rFonts w:hint="eastAsia" w:ascii="宋体" w:hAnsi="宋体"/>
                <w:color w:val="auto"/>
                <w:highlight w:val="none"/>
                <w:u w:val="single"/>
                <w:lang w:val="en-US" w:eastAsia="zh-CN"/>
              </w:rPr>
              <w:t>3.2-3.6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2.4-3.2</w:t>
            </w:r>
            <w:r>
              <w:rPr>
                <w:rFonts w:hint="eastAsia" w:ascii="宋体" w:hAnsi="宋体"/>
                <w:color w:val="auto"/>
                <w:highlight w:val="none"/>
                <w:u w:val="single"/>
              </w:rPr>
              <w:t>分，差得</w:t>
            </w:r>
            <w:r>
              <w:rPr>
                <w:rFonts w:hint="eastAsia" w:ascii="宋体" w:hAnsi="宋体"/>
                <w:color w:val="auto"/>
                <w:highlight w:val="none"/>
                <w:u w:val="single"/>
                <w:lang w:val="en-US" w:eastAsia="zh-CN"/>
              </w:rPr>
              <w:t>0-2.4</w:t>
            </w:r>
            <w:r>
              <w:rPr>
                <w:rFonts w:ascii="宋体" w:hAnsi="宋体"/>
                <w:color w:val="auto"/>
                <w:highlight w:val="none"/>
                <w:u w:val="single"/>
              </w:rPr>
              <w:t xml:space="preserve"> </w:t>
            </w:r>
            <w:r>
              <w:rPr>
                <w:rFonts w:hint="eastAsia" w:ascii="宋体" w:hAnsi="宋体"/>
                <w:color w:val="auto"/>
                <w:highlight w:val="none"/>
                <w:u w:val="singl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（2）</w:t>
            </w:r>
          </w:p>
        </w:tc>
        <w:tc>
          <w:tcPr>
            <w:tcW w:w="852" w:type="dxa"/>
            <w:vMerge w:val="restart"/>
            <w:tcBorders>
              <w:left w:val="single" w:color="auto" w:sz="4" w:space="0"/>
            </w:tcBorders>
            <w:vAlign w:val="center"/>
          </w:tcPr>
          <w:p>
            <w:pPr>
              <w:spacing w:line="400" w:lineRule="exact"/>
              <w:ind w:left="-63" w:leftChars="-30" w:right="-63" w:rightChars="-30"/>
              <w:jc w:val="center"/>
              <w:rPr>
                <w:rFonts w:hint="eastAsia"/>
                <w:color w:val="auto"/>
                <w:highlight w:val="none"/>
              </w:rPr>
            </w:pPr>
          </w:p>
          <w:p>
            <w:pPr>
              <w:spacing w:line="400" w:lineRule="exact"/>
              <w:ind w:left="-63" w:leftChars="-30" w:right="-63" w:rightChars="-30"/>
              <w:jc w:val="center"/>
              <w:rPr>
                <w:color w:val="auto"/>
                <w:highlight w:val="none"/>
              </w:rPr>
            </w:pPr>
            <w:r>
              <w:rPr>
                <w:rFonts w:hint="eastAsia"/>
                <w:color w:val="auto"/>
                <w:highlight w:val="none"/>
              </w:rPr>
              <w:t>商务部分（B）评分标准</w:t>
            </w:r>
          </w:p>
        </w:tc>
        <w:tc>
          <w:tcPr>
            <w:tcW w:w="2492" w:type="dxa"/>
            <w:vAlign w:val="center"/>
          </w:tcPr>
          <w:p>
            <w:pPr>
              <w:tabs>
                <w:tab w:val="left" w:pos="1875"/>
              </w:tabs>
              <w:spacing w:line="400" w:lineRule="exact"/>
              <w:rPr>
                <w:rFonts w:hint="eastAsia" w:ascii="宋体" w:hAnsi="宋体" w:cs="宋体"/>
                <w:color w:val="auto"/>
                <w:kern w:val="0"/>
                <w:highlight w:val="none"/>
              </w:rPr>
            </w:pPr>
            <w:r>
              <w:rPr>
                <w:rFonts w:hint="eastAsia"/>
                <w:color w:val="auto"/>
                <w:szCs w:val="22"/>
                <w:highlight w:val="none"/>
                <w:lang w:eastAsia="zh-CN"/>
              </w:rPr>
              <w:t>商务</w:t>
            </w:r>
            <w:r>
              <w:rPr>
                <w:rFonts w:hint="eastAsia"/>
                <w:color w:val="auto"/>
                <w:szCs w:val="22"/>
                <w:highlight w:val="none"/>
              </w:rPr>
              <w:t>部分总体评审标准</w:t>
            </w:r>
          </w:p>
        </w:tc>
        <w:tc>
          <w:tcPr>
            <w:tcW w:w="5728" w:type="dxa"/>
            <w:vAlign w:val="center"/>
          </w:tcPr>
          <w:p>
            <w:pPr>
              <w:snapToGrid w:val="0"/>
              <w:spacing w:line="400" w:lineRule="exact"/>
              <w:ind w:firstLine="420" w:firstLineChars="200"/>
              <w:rPr>
                <w:rFonts w:hint="default"/>
                <w:color w:val="auto"/>
                <w:highlight w:val="none"/>
                <w:lang w:val="en-US"/>
              </w:rPr>
            </w:pPr>
            <w:r>
              <w:rPr>
                <w:rFonts w:hint="eastAsia" w:ascii="宋体" w:hAnsi="宋体"/>
                <w:color w:val="auto"/>
                <w:szCs w:val="21"/>
                <w:highlight w:val="none"/>
              </w:rPr>
              <w:t>商务</w:t>
            </w:r>
            <w:r>
              <w:rPr>
                <w:rFonts w:ascii="宋体" w:hAnsi="宋体"/>
                <w:color w:val="auto"/>
                <w:szCs w:val="21"/>
                <w:highlight w:val="none"/>
              </w:rPr>
              <w:t>部分</w:t>
            </w:r>
            <w:r>
              <w:rPr>
                <w:rFonts w:hint="eastAsia" w:ascii="宋体" w:hAnsi="宋体"/>
                <w:color w:val="auto"/>
                <w:szCs w:val="21"/>
                <w:highlight w:val="none"/>
              </w:rPr>
              <w:t>评分为客观评分，</w:t>
            </w:r>
            <w:r>
              <w:rPr>
                <w:rFonts w:ascii="宋体" w:hAnsi="宋体"/>
                <w:color w:val="auto"/>
                <w:szCs w:val="21"/>
                <w:highlight w:val="none"/>
              </w:rPr>
              <w:t>评标委员会按</w:t>
            </w:r>
            <w:r>
              <w:rPr>
                <w:rFonts w:hint="eastAsia" w:ascii="宋体" w:hAnsi="宋体"/>
                <w:color w:val="auto"/>
                <w:szCs w:val="21"/>
                <w:highlight w:val="none"/>
                <w:lang w:eastAsia="zh-CN"/>
              </w:rPr>
              <w:t>以下</w:t>
            </w:r>
            <w:r>
              <w:rPr>
                <w:rFonts w:ascii="宋体" w:hAnsi="宋体"/>
                <w:color w:val="auto"/>
                <w:szCs w:val="21"/>
                <w:highlight w:val="none"/>
              </w:rPr>
              <w:t>各评审因素设定的分值</w:t>
            </w:r>
            <w:r>
              <w:rPr>
                <w:rFonts w:hint="eastAsia" w:ascii="宋体" w:hAnsi="宋体"/>
                <w:color w:val="auto"/>
                <w:szCs w:val="21"/>
                <w:highlight w:val="none"/>
              </w:rPr>
              <w:t>进行</w:t>
            </w:r>
            <w:r>
              <w:rPr>
                <w:rFonts w:ascii="宋体" w:hAnsi="宋体"/>
                <w:color w:val="auto"/>
                <w:szCs w:val="21"/>
                <w:highlight w:val="none"/>
              </w:rPr>
              <w:t>评分</w:t>
            </w:r>
            <w:r>
              <w:rPr>
                <w:rFonts w:hint="eastAsia" w:ascii="宋体" w:hAnsi="宋体"/>
                <w:color w:val="auto"/>
                <w:szCs w:val="21"/>
                <w:highlight w:val="none"/>
                <w:lang w:val="en-US" w:eastAsia="zh-CN"/>
              </w:rPr>
              <w:t>且保证分值统一。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eastAsia" w:ascii="宋体" w:hAnsi="宋体" w:eastAsia="宋体"/>
                <w:color w:val="auto"/>
                <w:highlight w:val="none"/>
                <w:u w:val="none"/>
                <w:lang w:eastAsia="zh-CN"/>
              </w:rPr>
            </w:pPr>
            <w:r>
              <w:rPr>
                <w:color w:val="auto"/>
                <w:highlight w:val="none"/>
              </w:rPr>
              <w:t>类似业绩</w:t>
            </w:r>
            <w:r>
              <w:rPr>
                <w:rFonts w:hint="eastAsia"/>
                <w:color w:val="auto"/>
                <w:highlight w:val="none"/>
                <w:lang w:eastAsia="zh-CN"/>
              </w:rPr>
              <w:t>（</w:t>
            </w:r>
            <w:r>
              <w:rPr>
                <w:rFonts w:hint="eastAsia"/>
                <w:color w:val="auto"/>
                <w:highlight w:val="none"/>
                <w:lang w:val="en-US" w:eastAsia="zh-CN"/>
              </w:rPr>
              <w:t>7分</w:t>
            </w:r>
            <w:r>
              <w:rPr>
                <w:rFonts w:hint="eastAsia"/>
                <w:color w:val="auto"/>
                <w:highlight w:val="none"/>
                <w:lang w:eastAsia="zh-CN"/>
              </w:rPr>
              <w:t>）</w:t>
            </w:r>
          </w:p>
        </w:tc>
        <w:tc>
          <w:tcPr>
            <w:tcW w:w="5728" w:type="dxa"/>
            <w:vAlign w:val="center"/>
          </w:tcPr>
          <w:p>
            <w:pPr>
              <w:numPr>
                <w:ilvl w:val="0"/>
                <w:numId w:val="1"/>
              </w:numPr>
              <w:snapToGrid w:val="0"/>
              <w:spacing w:line="400" w:lineRule="exact"/>
              <w:ind w:firstLine="420" w:firstLineChars="200"/>
              <w:rPr>
                <w:rFonts w:hint="eastAsia" w:ascii="宋体" w:hAnsi="宋体"/>
                <w:color w:val="auto"/>
                <w:highlight w:val="none"/>
                <w:lang w:val="en-US" w:eastAsia="zh-CN"/>
              </w:rPr>
            </w:pPr>
            <w:r>
              <w:rPr>
                <w:rFonts w:ascii="宋体" w:hAnsi="宋体"/>
                <w:color w:val="auto"/>
                <w:highlight w:val="none"/>
              </w:rPr>
              <w:t>满足</w:t>
            </w:r>
            <w:r>
              <w:rPr>
                <w:rFonts w:hint="eastAsia" w:ascii="宋体" w:hAnsi="宋体"/>
                <w:color w:val="auto"/>
                <w:highlight w:val="none"/>
                <w:lang w:val="en-US" w:eastAsia="zh-CN"/>
              </w:rPr>
              <w:t>业绩</w:t>
            </w:r>
            <w:r>
              <w:rPr>
                <w:rFonts w:ascii="宋体" w:hAnsi="宋体"/>
                <w:color w:val="auto"/>
                <w:highlight w:val="none"/>
              </w:rPr>
              <w:t>资格</w:t>
            </w:r>
            <w:r>
              <w:rPr>
                <w:rFonts w:hint="eastAsia" w:ascii="宋体" w:hAnsi="宋体"/>
                <w:color w:val="auto"/>
                <w:highlight w:val="none"/>
                <w:lang w:val="en-US" w:eastAsia="zh-CN"/>
              </w:rPr>
              <w:t>条件</w:t>
            </w:r>
            <w:r>
              <w:rPr>
                <w:rFonts w:ascii="宋体" w:hAnsi="宋体"/>
                <w:color w:val="auto"/>
                <w:highlight w:val="none"/>
              </w:rPr>
              <w:t>的</w:t>
            </w:r>
            <w:r>
              <w:rPr>
                <w:rFonts w:hint="eastAsia" w:ascii="宋体" w:hAnsi="宋体"/>
                <w:color w:val="auto"/>
                <w:highlight w:val="none"/>
                <w:lang w:val="en-US" w:eastAsia="zh-CN"/>
              </w:rPr>
              <w:t>投标人得3分。</w:t>
            </w:r>
          </w:p>
          <w:p>
            <w:pPr>
              <w:numPr>
                <w:ilvl w:val="0"/>
                <w:numId w:val="1"/>
              </w:numPr>
              <w:snapToGrid w:val="0"/>
              <w:spacing w:line="400" w:lineRule="exact"/>
              <w:ind w:firstLine="420" w:firstLineChars="200"/>
              <w:rPr>
                <w:rFonts w:hint="default" w:ascii="宋体" w:hAnsi="宋体"/>
                <w:color w:val="auto"/>
                <w:highlight w:val="none"/>
                <w:u w:val="none"/>
                <w:lang w:val="en-US"/>
              </w:rPr>
            </w:pPr>
            <w:r>
              <w:rPr>
                <w:rFonts w:hint="eastAsia" w:ascii="宋体" w:hAnsi="宋体"/>
                <w:color w:val="auto"/>
                <w:highlight w:val="none"/>
                <w:u w:val="none"/>
                <w:lang w:val="en-US" w:eastAsia="zh-CN"/>
              </w:rPr>
              <w:t>在</w:t>
            </w:r>
            <w:r>
              <w:rPr>
                <w:rFonts w:ascii="宋体" w:hAnsi="宋体"/>
                <w:color w:val="auto"/>
                <w:highlight w:val="none"/>
                <w:u w:val="none"/>
              </w:rPr>
              <w:t>满足</w:t>
            </w:r>
            <w:r>
              <w:rPr>
                <w:rFonts w:hint="eastAsia" w:ascii="宋体" w:hAnsi="宋体"/>
                <w:color w:val="auto"/>
                <w:highlight w:val="none"/>
                <w:u w:val="none"/>
                <w:lang w:val="en-US" w:eastAsia="zh-CN"/>
              </w:rPr>
              <w:t>业绩</w:t>
            </w:r>
            <w:r>
              <w:rPr>
                <w:rFonts w:ascii="宋体" w:hAnsi="宋体"/>
                <w:color w:val="auto"/>
                <w:highlight w:val="none"/>
                <w:u w:val="none"/>
              </w:rPr>
              <w:t>资格</w:t>
            </w:r>
            <w:r>
              <w:rPr>
                <w:rFonts w:hint="eastAsia" w:ascii="宋体" w:hAnsi="宋体"/>
                <w:color w:val="auto"/>
                <w:highlight w:val="none"/>
                <w:u w:val="none"/>
                <w:lang w:val="en-US" w:eastAsia="zh-CN"/>
              </w:rPr>
              <w:t>条件</w:t>
            </w:r>
            <w:r>
              <w:rPr>
                <w:rFonts w:ascii="宋体" w:hAnsi="宋体"/>
                <w:color w:val="auto"/>
                <w:highlight w:val="none"/>
                <w:u w:val="none"/>
              </w:rPr>
              <w:t>基础上每增加</w:t>
            </w:r>
            <w:r>
              <w:rPr>
                <w:rFonts w:hint="eastAsia" w:ascii="宋体" w:hAnsi="宋体"/>
                <w:color w:val="auto"/>
                <w:highlight w:val="none"/>
                <w:u w:val="none"/>
                <w:lang w:val="en-US" w:eastAsia="zh-CN"/>
              </w:rPr>
              <w:t>累计合同金额600万元</w:t>
            </w:r>
            <w:r>
              <w:rPr>
                <w:rFonts w:hint="eastAsia" w:ascii="宋体" w:hAnsi="宋体"/>
                <w:iCs/>
                <w:color w:val="auto"/>
                <w:szCs w:val="21"/>
                <w:highlight w:val="none"/>
                <w:u w:val="none"/>
                <w:lang w:val="en-US" w:eastAsia="zh-CN"/>
              </w:rPr>
              <w:t>（其中单个合同金额不低于30万元）</w:t>
            </w:r>
            <w:r>
              <w:rPr>
                <w:rFonts w:hint="eastAsia" w:ascii="宋体" w:hAnsi="宋体"/>
                <w:color w:val="auto"/>
                <w:highlight w:val="none"/>
                <w:u w:val="none"/>
                <w:lang w:val="en-US" w:eastAsia="zh-CN"/>
              </w:rPr>
              <w:t>或累计供货量600套</w:t>
            </w:r>
            <w:r>
              <w:rPr>
                <w:rFonts w:hint="eastAsia" w:ascii="宋体" w:hAnsi="宋体"/>
                <w:iCs/>
                <w:color w:val="auto"/>
                <w:szCs w:val="21"/>
                <w:highlight w:val="none"/>
                <w:u w:val="none"/>
                <w:lang w:val="en-US" w:eastAsia="zh-CN"/>
              </w:rPr>
              <w:t>（其中单个合同供货量不低于30套）</w:t>
            </w:r>
            <w:r>
              <w:rPr>
                <w:rFonts w:hint="eastAsia" w:ascii="宋体" w:hAnsi="宋体"/>
                <w:color w:val="auto"/>
                <w:highlight w:val="none"/>
                <w:u w:val="none"/>
                <w:lang w:val="en-US" w:eastAsia="zh-CN"/>
              </w:rPr>
              <w:t>加</w:t>
            </w:r>
            <w:r>
              <w:rPr>
                <w:rFonts w:hint="eastAsia" w:ascii="宋体" w:hAnsi="宋体"/>
                <w:color w:val="auto"/>
                <w:highlight w:val="none"/>
                <w:u w:val="none"/>
              </w:rPr>
              <w:t xml:space="preserve"> </w:t>
            </w:r>
            <w:r>
              <w:rPr>
                <w:rFonts w:hint="eastAsia" w:ascii="宋体" w:hAnsi="宋体"/>
                <w:color w:val="auto"/>
                <w:highlight w:val="none"/>
                <w:u w:val="none"/>
                <w:lang w:val="en-US" w:eastAsia="zh-CN"/>
              </w:rPr>
              <w:t>2</w:t>
            </w:r>
            <w:r>
              <w:rPr>
                <w:rFonts w:hint="eastAsia" w:ascii="宋体" w:hAnsi="宋体"/>
                <w:color w:val="auto"/>
                <w:highlight w:val="none"/>
                <w:u w:val="none"/>
              </w:rPr>
              <w:t>分</w:t>
            </w:r>
            <w:r>
              <w:rPr>
                <w:rFonts w:hint="eastAsia" w:ascii="宋体" w:hAnsi="宋体"/>
                <w:color w:val="auto"/>
                <w:highlight w:val="none"/>
                <w:u w:val="none"/>
                <w:lang w:eastAsia="zh-CN"/>
              </w:rPr>
              <w:t>，</w:t>
            </w:r>
            <w:r>
              <w:rPr>
                <w:rFonts w:hint="eastAsia" w:ascii="宋体" w:hAnsi="宋体"/>
                <w:color w:val="auto"/>
                <w:highlight w:val="none"/>
              </w:rPr>
              <w:t>最多</w:t>
            </w:r>
            <w:r>
              <w:rPr>
                <w:rFonts w:hint="eastAsia" w:ascii="宋体" w:hAnsi="宋体"/>
                <w:color w:val="auto"/>
                <w:highlight w:val="none"/>
                <w:lang w:val="en-US" w:eastAsia="zh-CN"/>
              </w:rPr>
              <w:t>加4</w:t>
            </w:r>
            <w:r>
              <w:rPr>
                <w:rFonts w:hint="eastAsia" w:ascii="宋体" w:hAnsi="宋体"/>
                <w:color w:val="auto"/>
                <w:highlight w:val="none"/>
              </w:rPr>
              <w:t>分。</w:t>
            </w:r>
          </w:p>
          <w:p>
            <w:pPr>
              <w:snapToGrid w:val="0"/>
              <w:spacing w:line="400" w:lineRule="exact"/>
              <w:ind w:firstLine="420" w:firstLineChars="200"/>
              <w:rPr>
                <w:rFonts w:hint="eastAsia" w:ascii="宋体" w:hAnsi="宋体"/>
                <w:color w:val="auto"/>
                <w:highlight w:val="none"/>
                <w:u w:val="none"/>
              </w:rPr>
            </w:pPr>
            <w:r>
              <w:rPr>
                <w:rFonts w:hint="eastAsia" w:ascii="宋体" w:hAnsi="宋体"/>
                <w:color w:val="auto"/>
                <w:highlight w:val="none"/>
                <w:u w:val="none"/>
              </w:rPr>
              <w:t>业绩证明材料按投标人须知前附表第1</w:t>
            </w:r>
            <w:r>
              <w:rPr>
                <w:rFonts w:ascii="宋体" w:hAnsi="宋体"/>
                <w:color w:val="auto"/>
                <w:highlight w:val="none"/>
                <w:u w:val="none"/>
              </w:rPr>
              <w:t>.4.1</w:t>
            </w:r>
            <w:r>
              <w:rPr>
                <w:rFonts w:hint="eastAsia" w:ascii="宋体" w:hAnsi="宋体"/>
                <w:color w:val="auto"/>
                <w:highlight w:val="none"/>
                <w:u w:val="none"/>
              </w:rPr>
              <w:t>条第3.3款相关要求</w:t>
            </w:r>
            <w:r>
              <w:rPr>
                <w:rFonts w:hint="eastAsia" w:ascii="宋体" w:hAnsi="宋体"/>
                <w:color w:val="auto"/>
                <w:highlight w:val="none"/>
                <w:u w:val="none"/>
                <w:lang w:val="en-US" w:eastAsia="zh-CN"/>
              </w:rPr>
              <w:t>在投标文件商务部分中</w:t>
            </w:r>
            <w:r>
              <w:rPr>
                <w:rFonts w:hint="eastAsia" w:ascii="宋体" w:hAnsi="宋体"/>
                <w:color w:val="auto"/>
                <w:highlight w:val="none"/>
                <w:u w:val="none"/>
              </w:rPr>
              <w:t>提供。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default" w:ascii="宋体" w:hAnsi="宋体" w:eastAsia="宋体"/>
                <w:color w:val="auto"/>
                <w:highlight w:val="none"/>
                <w:u w:val="none"/>
                <w:lang w:val="en-US" w:eastAsia="zh-CN"/>
              </w:rPr>
            </w:pPr>
            <w:r>
              <w:rPr>
                <w:rFonts w:hint="eastAsia" w:ascii="宋体" w:hAnsi="宋体"/>
                <w:color w:val="auto"/>
                <w:highlight w:val="none"/>
                <w:u w:val="none"/>
                <w:lang w:val="en-US" w:eastAsia="zh-CN"/>
              </w:rPr>
              <w:t>质保期（3分）</w:t>
            </w:r>
          </w:p>
        </w:tc>
        <w:tc>
          <w:tcPr>
            <w:tcW w:w="5728" w:type="dxa"/>
            <w:vAlign w:val="center"/>
          </w:tcPr>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u w:val="single"/>
                <w:lang w:val="en-US" w:eastAsia="zh-CN"/>
              </w:rPr>
              <w:t>3</w:t>
            </w:r>
            <w:r>
              <w:rPr>
                <w:rFonts w:ascii="宋体" w:hAnsi="宋体"/>
                <w:color w:val="auto"/>
                <w:highlight w:val="none"/>
                <w:u w:val="single"/>
              </w:rPr>
              <w:t>分</w:t>
            </w:r>
          </w:p>
          <w:p>
            <w:pPr>
              <w:snapToGrid w:val="0"/>
              <w:spacing w:line="400" w:lineRule="exact"/>
              <w:ind w:firstLine="420" w:firstLineChars="200"/>
              <w:rPr>
                <w:rFonts w:hint="eastAsia" w:ascii="宋体" w:hAnsi="宋体"/>
                <w:color w:val="auto"/>
                <w:highlight w:val="none"/>
                <w:u w:val="single"/>
                <w:lang w:val="en-US" w:eastAsia="zh-CN"/>
              </w:rPr>
            </w:pPr>
            <w:r>
              <w:rPr>
                <w:rFonts w:hint="eastAsia" w:ascii="宋体" w:hAnsi="宋体"/>
                <w:color w:val="auto"/>
                <w:highlight w:val="none"/>
                <w:u w:val="single"/>
                <w:lang w:val="en-US" w:eastAsia="zh-CN"/>
              </w:rPr>
              <w:t>在满足招标文件规定质保期的基础上，每延长1年，得1</w:t>
            </w:r>
            <w:r>
              <w:rPr>
                <w:rFonts w:ascii="宋体" w:hAnsi="宋体"/>
                <w:color w:val="auto"/>
                <w:highlight w:val="none"/>
                <w:u w:val="single"/>
              </w:rPr>
              <w:t>分</w:t>
            </w:r>
            <w:r>
              <w:rPr>
                <w:rFonts w:hint="eastAsia" w:ascii="宋体" w:hAnsi="宋体"/>
                <w:color w:val="auto"/>
                <w:highlight w:val="none"/>
                <w:u w:val="single"/>
                <w:lang w:val="en-US" w:eastAsia="zh-CN"/>
              </w:rPr>
              <w:t>，最多得3</w:t>
            </w:r>
            <w:r>
              <w:rPr>
                <w:rFonts w:ascii="宋体" w:hAnsi="宋体"/>
                <w:color w:val="auto"/>
                <w:highlight w:val="none"/>
                <w:u w:val="single"/>
              </w:rPr>
              <w:t>分</w:t>
            </w:r>
            <w:r>
              <w:rPr>
                <w:rFonts w:hint="eastAsia" w:ascii="宋体" w:hAnsi="宋体"/>
                <w:color w:val="auto"/>
                <w:highlight w:val="none"/>
                <w:u w:val="single"/>
                <w:lang w:val="en-US" w:eastAsia="zh-CN"/>
              </w:rPr>
              <w:t>。</w:t>
            </w:r>
          </w:p>
          <w:p>
            <w:pPr>
              <w:snapToGrid w:val="0"/>
              <w:spacing w:line="400" w:lineRule="exact"/>
              <w:ind w:firstLine="420" w:firstLineChars="200"/>
              <w:rPr>
                <w:rFonts w:hint="default" w:ascii="宋体" w:hAnsi="宋体" w:eastAsia="宋体"/>
                <w:color w:val="auto"/>
                <w:highlight w:val="none"/>
                <w:u w:val="none"/>
                <w:lang w:val="en-US" w:eastAsia="zh-CN"/>
              </w:rPr>
            </w:pPr>
            <w:r>
              <w:rPr>
                <w:rFonts w:hint="eastAsia" w:ascii="宋体" w:hAnsi="宋体"/>
                <w:color w:val="auto"/>
                <w:highlight w:val="none"/>
                <w:u w:val="single"/>
                <w:lang w:val="en-US" w:eastAsia="zh-CN"/>
              </w:rPr>
              <w:t>投标人所投标设备生产厂家应在商务部分响应招标文件规定的质保期，或提出优于招标文件的质保期，代理商承诺视为无效，不得分。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w:t>
            </w:r>
            <w:r>
              <w:rPr>
                <w:rFonts w:hint="eastAsia" w:ascii="宋体" w:hAnsi="宋体"/>
                <w:color w:val="auto"/>
                <w:kern w:val="0"/>
                <w:highlight w:val="none"/>
                <w:lang w:val="en-US" w:eastAsia="zh-CN"/>
              </w:rPr>
              <w:t>3</w:t>
            </w:r>
            <w:r>
              <w:rPr>
                <w:rFonts w:hint="eastAsia" w:ascii="宋体" w:hAnsi="宋体"/>
                <w:color w:val="auto"/>
                <w:kern w:val="0"/>
                <w:highlight w:val="none"/>
              </w:rPr>
              <w:t>）</w:t>
            </w:r>
          </w:p>
        </w:tc>
        <w:tc>
          <w:tcPr>
            <w:tcW w:w="852"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投标函部分评审标准</w:t>
            </w:r>
          </w:p>
        </w:tc>
        <w:tc>
          <w:tcPr>
            <w:tcW w:w="2492" w:type="dxa"/>
            <w:vAlign w:val="center"/>
          </w:tcPr>
          <w:p>
            <w:pPr>
              <w:tabs>
                <w:tab w:val="left" w:pos="1875"/>
              </w:tabs>
              <w:spacing w:line="4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签署</w:t>
            </w:r>
          </w:p>
        </w:tc>
        <w:tc>
          <w:tcPr>
            <w:tcW w:w="5728" w:type="dxa"/>
            <w:vAlign w:val="center"/>
          </w:tcPr>
          <w:p>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5728" w:type="dxa"/>
            <w:vAlign w:val="center"/>
          </w:tcPr>
          <w:p>
            <w:pPr>
              <w:snapToGrid/>
              <w:spacing w:line="40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.3项规定</w:t>
            </w:r>
            <w:r>
              <w:rPr>
                <w:rFonts w:hint="eastAsia" w:ascii="宋体" w:hAnsi="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投标内容</w:t>
            </w:r>
          </w:p>
        </w:tc>
        <w:tc>
          <w:tcPr>
            <w:tcW w:w="5728" w:type="dxa"/>
            <w:vAlign w:val="center"/>
          </w:tcPr>
          <w:p>
            <w:pPr>
              <w:spacing w:line="400" w:lineRule="exact"/>
              <w:ind w:firstLine="420" w:firstLineChars="200"/>
              <w:jc w:val="left"/>
              <w:rPr>
                <w:rFonts w:hint="eastAsia"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投标货物品牌</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交货期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交货地点</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投标有效期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lang w:val="en-US" w:eastAsia="zh-CN"/>
              </w:rPr>
              <w:t>4</w:t>
            </w:r>
            <w:r>
              <w:rPr>
                <w:rFonts w:ascii="宋体" w:hAnsi="宋体"/>
                <w:color w:val="auto"/>
                <w:highlight w:val="none"/>
              </w:rPr>
              <w:t>）</w:t>
            </w:r>
          </w:p>
        </w:tc>
        <w:tc>
          <w:tcPr>
            <w:tcW w:w="852" w:type="dxa"/>
            <w:vAlign w:val="center"/>
          </w:tcPr>
          <w:p>
            <w:pPr>
              <w:spacing w:line="400" w:lineRule="exact"/>
              <w:jc w:val="center"/>
              <w:rPr>
                <w:color w:val="auto"/>
                <w:highlight w:val="none"/>
              </w:rPr>
            </w:pPr>
            <w:r>
              <w:rPr>
                <w:color w:val="auto"/>
                <w:highlight w:val="none"/>
              </w:rPr>
              <w:t>投标报价</w:t>
            </w:r>
            <w:r>
              <w:rPr>
                <w:rFonts w:hint="eastAsia"/>
                <w:color w:val="auto"/>
                <w:highlight w:val="none"/>
              </w:rPr>
              <w:t>（</w:t>
            </w:r>
            <w:r>
              <w:rPr>
                <w:rFonts w:hint="eastAsia"/>
                <w:color w:val="auto"/>
                <w:highlight w:val="none"/>
                <w:lang w:val="en-US" w:eastAsia="zh-CN"/>
              </w:rPr>
              <w:t>C</w:t>
            </w:r>
            <w:r>
              <w:rPr>
                <w:rFonts w:hint="eastAsia"/>
                <w:color w:val="auto"/>
                <w:highlight w:val="none"/>
              </w:rPr>
              <w:t>）评分标准</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w:t>
            </w:r>
            <w:r>
              <w:rPr>
                <w:rFonts w:hint="eastAsia" w:ascii="宋体" w:hAnsi="宋体"/>
                <w:color w:val="auto"/>
                <w:highlight w:val="none"/>
                <w:lang w:val="en-US" w:eastAsia="zh-CN"/>
              </w:rPr>
              <w:t>投标</w:t>
            </w:r>
            <w:r>
              <w:rPr>
                <w:rFonts w:hint="eastAsia" w:ascii="宋体" w:hAnsi="宋体"/>
                <w:color w:val="auto"/>
                <w:highlight w:val="none"/>
              </w:rPr>
              <w:t>报价）</w:t>
            </w:r>
          </w:p>
        </w:tc>
        <w:tc>
          <w:tcPr>
            <w:tcW w:w="5728" w:type="dxa"/>
            <w:vAlign w:val="center"/>
          </w:tcPr>
          <w:p>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）目评审合格的投标人，投标报价得本附表第2.2.1项规定分值的满分</w:t>
            </w:r>
            <w:r>
              <w:rPr>
                <w:rFonts w:hint="eastAsia"/>
                <w:color w:val="auto"/>
                <w:highlight w:val="none"/>
                <w:u w:val="single"/>
              </w:rPr>
              <w:t xml:space="preserve">   </w:t>
            </w:r>
            <w:r>
              <w:rPr>
                <w:rFonts w:hint="eastAsia"/>
                <w:color w:val="auto"/>
                <w:highlight w:val="none"/>
                <w:u w:val="single"/>
                <w:lang w:val="en-US" w:eastAsia="zh-CN"/>
              </w:rPr>
              <w:t>70</w:t>
            </w:r>
            <w:r>
              <w:rPr>
                <w:rFonts w:hint="eastAsia"/>
                <w:color w:val="auto"/>
                <w:highlight w:val="none"/>
                <w:u w:val="single"/>
              </w:rPr>
              <w:t xml:space="preserve">  </w:t>
            </w:r>
            <w:r>
              <w:rPr>
                <w:rFonts w:hint="eastAsia"/>
                <w:color w:val="auto"/>
                <w:highlight w:val="none"/>
              </w:rPr>
              <w:t>分。</w:t>
            </w:r>
            <w:r>
              <w:rPr>
                <w:color w:val="auto"/>
                <w:highlight w:val="none"/>
              </w:rPr>
              <w:t>在此基础上，投标报价与评标基准价相比，每增加1%扣</w:t>
            </w:r>
            <w:r>
              <w:rPr>
                <w:color w:val="auto"/>
                <w:highlight w:val="none"/>
                <w:u w:val="single"/>
              </w:rPr>
              <w:t>　</w:t>
            </w:r>
            <w:r>
              <w:rPr>
                <w:rFonts w:hint="eastAsia"/>
                <w:color w:val="auto"/>
                <w:highlight w:val="none"/>
                <w:u w:val="single"/>
              </w:rPr>
              <w:t xml:space="preserve">   </w:t>
            </w:r>
            <w:r>
              <w:rPr>
                <w:color w:val="auto"/>
                <w:highlight w:val="none"/>
                <w:u w:val="single"/>
              </w:rPr>
              <w:t>　</w:t>
            </w:r>
            <w:r>
              <w:rPr>
                <w:rFonts w:hint="eastAsia" w:ascii="宋体" w:hAnsi="宋体"/>
                <w:szCs w:val="21"/>
                <w:highlight w:val="none"/>
                <w:lang w:val="en-US" w:eastAsia="zh-CN"/>
              </w:rPr>
              <w:t>0.1</w:t>
            </w:r>
            <w:r>
              <w:rPr>
                <w:rFonts w:ascii="宋体" w:hAnsi="宋体"/>
                <w:szCs w:val="21"/>
                <w:highlight w:val="none"/>
              </w:rPr>
              <w:t>分，扣完为止</w:t>
            </w:r>
            <w:r>
              <w:rPr>
                <w:color w:val="auto"/>
                <w:highlight w:val="none"/>
              </w:rPr>
              <w:t>。</w:t>
            </w:r>
          </w:p>
          <w:p>
            <w:pPr>
              <w:spacing w:line="400" w:lineRule="exact"/>
              <w:ind w:firstLine="420" w:firstLineChars="200"/>
              <w:rPr>
                <w:color w:val="auto"/>
                <w:highlight w:val="none"/>
              </w:rPr>
            </w:pPr>
            <w:r>
              <w:rPr>
                <w:color w:val="auto"/>
                <w:highlight w:val="none"/>
              </w:rPr>
              <w:t>按插入法计算得分。</w:t>
            </w:r>
          </w:p>
          <w:p>
            <w:pPr>
              <w:spacing w:line="400" w:lineRule="exact"/>
              <w:ind w:firstLine="420" w:firstLineChars="200"/>
              <w:rPr>
                <w:color w:val="auto"/>
                <w:highlight w:val="none"/>
              </w:rPr>
            </w:pPr>
            <w:r>
              <w:rPr>
                <w:color w:val="auto"/>
                <w:highlight w:val="none"/>
              </w:rPr>
              <w:t>未参与评标基准价计算的投标报价，仍应参加计算相应分值。</w:t>
            </w:r>
          </w:p>
          <w:p>
            <w:pPr>
              <w:spacing w:line="400" w:lineRule="exact"/>
              <w:ind w:firstLine="420" w:firstLineChars="200"/>
              <w:rPr>
                <w:color w:val="auto"/>
                <w:highlight w:val="none"/>
              </w:rPr>
            </w:pPr>
            <w:r>
              <w:rPr>
                <w:rFonts w:hint="eastAsia"/>
                <w:color w:val="auto"/>
                <w:highlight w:val="none"/>
              </w:rPr>
              <w:t>投标报价</w:t>
            </w:r>
            <w:r>
              <w:rPr>
                <w:rFonts w:hint="eastAsia"/>
                <w:color w:val="auto"/>
                <w:highlight w:val="none"/>
                <w:lang w:val="en-US" w:eastAsia="zh-CN"/>
              </w:rPr>
              <w:t>得分</w:t>
            </w:r>
            <w:r>
              <w:rPr>
                <w:rFonts w:hint="eastAsia"/>
                <w:color w:val="auto"/>
                <w:highlight w:val="none"/>
              </w:rPr>
              <w:t>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28" w:type="dxa"/>
            <w:vAlign w:val="center"/>
          </w:tcPr>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（2）目的规定对商务部分进行评审。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）目的规定对投标函部分进行评审，经评审不合格的投标文件不再参与后续评审。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.经评审合格的投标人按照本章第2.2.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）目规定的评分方法对投标报价进行评分。</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.对技术部分、商务部分、</w:t>
            </w:r>
            <w:r>
              <w:rPr>
                <w:rFonts w:hint="eastAsia" w:ascii="宋体" w:hAnsi="宋体"/>
                <w:color w:val="auto"/>
                <w:kern w:val="0"/>
                <w:szCs w:val="21"/>
                <w:highlight w:val="none"/>
                <w:lang w:val="en-US" w:eastAsia="zh-CN"/>
              </w:rPr>
              <w:t>其他评分因素、</w:t>
            </w:r>
            <w:r>
              <w:rPr>
                <w:rFonts w:hint="eastAsia" w:ascii="宋体" w:hAnsi="宋体"/>
                <w:color w:val="auto"/>
                <w:kern w:val="0"/>
                <w:szCs w:val="21"/>
                <w:highlight w:val="none"/>
              </w:rPr>
              <w:t>投标报价得分进行汇总，确定得分由高至低前三名投标人为中标候选人。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3.2.3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投标人得分</w:t>
            </w:r>
          </w:p>
        </w:tc>
        <w:tc>
          <w:tcPr>
            <w:tcW w:w="5728" w:type="dxa"/>
            <w:vAlign w:val="center"/>
          </w:tcPr>
          <w:p>
            <w:pPr>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highlight w:val="none"/>
              </w:rPr>
              <w:t>投标人得分=</w:t>
            </w:r>
            <w:r>
              <w:rPr>
                <w:rFonts w:hint="eastAsia" w:ascii="宋体" w:hAnsi="宋体"/>
                <w:color w:val="auto"/>
                <w:kern w:val="0"/>
                <w:szCs w:val="21"/>
                <w:highlight w:val="none"/>
              </w:rPr>
              <w:t>A+B+C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3.4</w:t>
            </w:r>
          </w:p>
        </w:tc>
        <w:tc>
          <w:tcPr>
            <w:tcW w:w="2492" w:type="dxa"/>
            <w:tcBorders>
              <w:top w:val="single" w:color="auto" w:sz="4" w:space="0"/>
            </w:tcBorders>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评标结果</w:t>
            </w:r>
          </w:p>
        </w:tc>
        <w:tc>
          <w:tcPr>
            <w:tcW w:w="5728" w:type="dxa"/>
            <w:vAlign w:val="center"/>
          </w:tcPr>
          <w:p>
            <w:pPr>
              <w:spacing w:line="400" w:lineRule="exact"/>
              <w:ind w:firstLine="420" w:firstLineChars="200"/>
              <w:rPr>
                <w:color w:val="auto"/>
                <w:highlight w:val="none"/>
              </w:rPr>
            </w:pPr>
            <w:r>
              <w:rPr>
                <w:rFonts w:hint="eastAsia"/>
                <w:color w:val="auto"/>
                <w:highlight w:val="none"/>
                <w:lang w:val="en-US" w:eastAsia="zh-CN"/>
              </w:rPr>
              <w:t>3.4.1</w:t>
            </w:r>
            <w:r>
              <w:rPr>
                <w:color w:val="auto"/>
                <w:highlight w:val="none"/>
              </w:rPr>
              <w:t>除第二章“投标人须知”前附表授权直接确定中标人外，评标委员会按照得分由高到低的顺序推荐中标候选人，并标明排序。</w:t>
            </w:r>
          </w:p>
          <w:p>
            <w:pPr>
              <w:spacing w:line="400" w:lineRule="exact"/>
              <w:ind w:firstLine="420" w:firstLineChars="200"/>
              <w:rPr>
                <w:rFonts w:hint="eastAsia"/>
                <w:color w:val="auto"/>
                <w:highlight w:val="none"/>
              </w:rPr>
            </w:pPr>
            <w:r>
              <w:rPr>
                <w:color w:val="auto"/>
                <w:szCs w:val="22"/>
                <w:highlight w:val="none"/>
              </w:rPr>
              <w:t>3.4.2 评标委员会完成评标后，应当向招标人提交书面评标报告和中标候选人名单。</w:t>
            </w:r>
          </w:p>
        </w:tc>
      </w:tr>
    </w:tbl>
    <w:p>
      <w:pPr>
        <w:pStyle w:val="4"/>
        <w:spacing w:before="0" w:after="0" w:line="360" w:lineRule="auto"/>
        <w:rPr>
          <w:rFonts w:ascii="宋体" w:hAnsi="宋体"/>
          <w:b w:val="0"/>
          <w:snapToGrid w:val="0"/>
          <w:color w:val="auto"/>
          <w:highlight w:val="none"/>
        </w:rPr>
      </w:pPr>
      <w:bookmarkStart w:id="512" w:name="_Toc509218776"/>
      <w:r>
        <w:rPr>
          <w:rFonts w:ascii="宋体" w:hAnsi="宋体"/>
          <w:b w:val="0"/>
          <w:snapToGrid w:val="0"/>
          <w:color w:val="auto"/>
          <w:highlight w:val="none"/>
        </w:rPr>
        <w:br w:type="page"/>
      </w:r>
      <w:bookmarkStart w:id="513" w:name="_Toc20523"/>
      <w:r>
        <w:rPr>
          <w:rFonts w:ascii="宋体" w:hAnsi="宋体"/>
          <w:b w:val="0"/>
          <w:snapToGrid w:val="0"/>
          <w:color w:val="auto"/>
          <w:highlight w:val="none"/>
        </w:rPr>
        <w:t>1.  评标方法</w:t>
      </w:r>
      <w:bookmarkEnd w:id="497"/>
      <w:bookmarkEnd w:id="498"/>
      <w:bookmarkEnd w:id="499"/>
      <w:bookmarkEnd w:id="500"/>
      <w:bookmarkEnd w:id="501"/>
      <w:bookmarkEnd w:id="502"/>
      <w:bookmarkEnd w:id="512"/>
      <w:bookmarkEnd w:id="51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评标委员会对满足招标文件实质性要求的投标文件，按照本章第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或根据招标人授权直接确定中标人。综合评分相等时，</w:t>
      </w:r>
      <w:r>
        <w:rPr>
          <w:rFonts w:hint="eastAsia" w:ascii="宋体" w:hAnsi="宋体"/>
          <w:color w:val="auto"/>
          <w:kern w:val="0"/>
          <w:szCs w:val="21"/>
          <w:highlight w:val="none"/>
        </w:rPr>
        <w:t>以评标办法前附表约定的原则确定</w:t>
      </w:r>
      <w:r>
        <w:rPr>
          <w:color w:val="auto"/>
          <w:highlight w:val="none"/>
        </w:rPr>
        <w:t>中标候选人顺序</w:t>
      </w:r>
      <w:r>
        <w:rPr>
          <w:rFonts w:ascii="宋体" w:hAnsi="宋体"/>
          <w:color w:val="auto"/>
          <w:spacing w:val="-31"/>
          <w:kern w:val="0"/>
          <w:szCs w:val="21"/>
          <w:highlight w:val="none"/>
        </w:rPr>
        <w:t>。</w:t>
      </w:r>
    </w:p>
    <w:p>
      <w:pPr>
        <w:pStyle w:val="4"/>
        <w:spacing w:before="0" w:after="0" w:line="360" w:lineRule="auto"/>
        <w:rPr>
          <w:rFonts w:ascii="宋体" w:hAnsi="宋体"/>
          <w:b w:val="0"/>
          <w:snapToGrid w:val="0"/>
          <w:color w:val="auto"/>
          <w:highlight w:val="none"/>
        </w:rPr>
      </w:pPr>
      <w:bookmarkStart w:id="514" w:name="_Toc509218777"/>
      <w:bookmarkStart w:id="515" w:name="_Toc430530501"/>
      <w:bookmarkStart w:id="516" w:name="_Toc287620752"/>
      <w:bookmarkStart w:id="517" w:name="_Toc287607813"/>
      <w:bookmarkStart w:id="518" w:name="_Toc11608"/>
      <w:bookmarkStart w:id="519" w:name="_Toc277082619"/>
      <w:bookmarkStart w:id="520" w:name="_Toc200513199"/>
      <w:bookmarkStart w:id="521" w:name="_Toc224103385"/>
      <w:r>
        <w:rPr>
          <w:rFonts w:ascii="宋体" w:hAnsi="宋体"/>
          <w:b w:val="0"/>
          <w:snapToGrid w:val="0"/>
          <w:color w:val="auto"/>
          <w:highlight w:val="none"/>
        </w:rPr>
        <w:t>2.  评审标准</w:t>
      </w:r>
      <w:bookmarkEnd w:id="514"/>
      <w:bookmarkEnd w:id="515"/>
      <w:bookmarkEnd w:id="516"/>
      <w:bookmarkEnd w:id="517"/>
      <w:bookmarkEnd w:id="518"/>
      <w:bookmarkEnd w:id="519"/>
      <w:bookmarkEnd w:id="520"/>
      <w:bookmarkEnd w:id="521"/>
    </w:p>
    <w:p>
      <w:pPr>
        <w:pStyle w:val="5"/>
        <w:snapToGrid w:val="0"/>
        <w:spacing w:before="0" w:after="0" w:line="360" w:lineRule="auto"/>
        <w:rPr>
          <w:rFonts w:ascii="宋体" w:hAnsi="宋体"/>
          <w:b w:val="0"/>
          <w:snapToGrid w:val="0"/>
          <w:color w:val="auto"/>
          <w:sz w:val="24"/>
          <w:szCs w:val="24"/>
          <w:highlight w:val="none"/>
        </w:rPr>
      </w:pPr>
      <w:bookmarkStart w:id="522" w:name="_Toc430530502"/>
      <w:bookmarkStart w:id="523" w:name="_Toc103"/>
      <w:bookmarkStart w:id="524" w:name="_Toc200513200"/>
      <w:bookmarkStart w:id="525" w:name="_Toc277082620"/>
      <w:bookmarkStart w:id="526" w:name="_Toc509218778"/>
      <w:bookmarkStart w:id="527" w:name="_Toc287620753"/>
      <w:bookmarkStart w:id="528" w:name="_Toc224103386"/>
      <w:bookmarkStart w:id="529" w:name="_Toc287607814"/>
      <w:r>
        <w:rPr>
          <w:rFonts w:ascii="宋体" w:hAnsi="宋体"/>
          <w:b w:val="0"/>
          <w:snapToGrid w:val="0"/>
          <w:color w:val="auto"/>
          <w:sz w:val="24"/>
          <w:szCs w:val="24"/>
          <w:highlight w:val="none"/>
        </w:rPr>
        <w:t>2.1  初步评审标准</w:t>
      </w:r>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pPr>
        <w:pStyle w:val="5"/>
        <w:snapToGrid w:val="0"/>
        <w:spacing w:before="0" w:after="0" w:line="360" w:lineRule="auto"/>
        <w:rPr>
          <w:rFonts w:ascii="宋体" w:hAnsi="宋体"/>
          <w:b w:val="0"/>
          <w:snapToGrid w:val="0"/>
          <w:color w:val="auto"/>
          <w:sz w:val="24"/>
          <w:szCs w:val="24"/>
          <w:highlight w:val="none"/>
        </w:rPr>
      </w:pPr>
      <w:bookmarkStart w:id="530" w:name="_Toc287620754"/>
      <w:bookmarkStart w:id="531" w:name="_Toc430530503"/>
      <w:bookmarkStart w:id="532" w:name="_Toc277082621"/>
      <w:bookmarkStart w:id="533" w:name="_Toc200513201"/>
      <w:bookmarkStart w:id="534" w:name="_Toc509218779"/>
      <w:bookmarkStart w:id="535" w:name="_Toc224103387"/>
      <w:bookmarkStart w:id="536" w:name="_Toc287607815"/>
      <w:bookmarkStart w:id="537" w:name="_Toc26090"/>
      <w:r>
        <w:rPr>
          <w:rFonts w:ascii="宋体" w:hAnsi="宋体"/>
          <w:b w:val="0"/>
          <w:snapToGrid w:val="0"/>
          <w:color w:val="auto"/>
          <w:sz w:val="24"/>
          <w:szCs w:val="24"/>
          <w:highlight w:val="none"/>
        </w:rPr>
        <w:t>2.2  分值构成与</w:t>
      </w:r>
      <w:r>
        <w:rPr>
          <w:rFonts w:hint="eastAsia" w:ascii="宋体" w:hAnsi="宋体"/>
          <w:b w:val="0"/>
          <w:snapToGrid w:val="0"/>
          <w:color w:val="auto"/>
          <w:sz w:val="24"/>
          <w:szCs w:val="24"/>
          <w:highlight w:val="none"/>
        </w:rPr>
        <w:t>评审</w:t>
      </w:r>
      <w:r>
        <w:rPr>
          <w:rFonts w:ascii="宋体" w:hAnsi="宋体"/>
          <w:b w:val="0"/>
          <w:snapToGrid w:val="0"/>
          <w:color w:val="auto"/>
          <w:sz w:val="24"/>
          <w:szCs w:val="24"/>
          <w:highlight w:val="none"/>
        </w:rPr>
        <w:t>标准</w:t>
      </w:r>
      <w:bookmarkEnd w:id="530"/>
      <w:bookmarkEnd w:id="531"/>
      <w:bookmarkEnd w:id="532"/>
      <w:bookmarkEnd w:id="533"/>
      <w:bookmarkEnd w:id="534"/>
      <w:bookmarkEnd w:id="535"/>
      <w:bookmarkEnd w:id="536"/>
      <w:bookmarkEnd w:id="537"/>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商务部分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商务部分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投标函部分评审</w:t>
      </w:r>
      <w:r>
        <w:rPr>
          <w:rFonts w:ascii="宋体" w:hAnsi="宋体"/>
          <w:color w:val="auto"/>
          <w:kern w:val="0"/>
          <w:szCs w:val="21"/>
          <w:highlight w:val="none"/>
        </w:rPr>
        <w:t>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pPr>
        <w:pStyle w:val="4"/>
        <w:spacing w:before="0" w:after="0" w:line="360" w:lineRule="auto"/>
        <w:rPr>
          <w:rFonts w:ascii="宋体" w:hAnsi="宋体"/>
          <w:b w:val="0"/>
          <w:snapToGrid w:val="0"/>
          <w:color w:val="auto"/>
          <w:highlight w:val="none"/>
        </w:rPr>
      </w:pPr>
      <w:bookmarkStart w:id="538" w:name="_Toc287607816"/>
      <w:bookmarkStart w:id="539" w:name="_Toc200513202"/>
      <w:bookmarkStart w:id="540" w:name="_Toc287620755"/>
      <w:bookmarkStart w:id="541" w:name="_Toc277082622"/>
      <w:bookmarkStart w:id="542" w:name="_Toc509218780"/>
      <w:bookmarkStart w:id="543" w:name="_Toc32251"/>
      <w:bookmarkStart w:id="544" w:name="_Toc430530504"/>
      <w:bookmarkStart w:id="545" w:name="_Toc224103388"/>
      <w:r>
        <w:rPr>
          <w:rFonts w:ascii="宋体" w:hAnsi="宋体"/>
          <w:b w:val="0"/>
          <w:snapToGrid w:val="0"/>
          <w:color w:val="auto"/>
          <w:highlight w:val="none"/>
        </w:rPr>
        <w:t>3.  评标程序</w:t>
      </w:r>
      <w:bookmarkEnd w:id="538"/>
      <w:bookmarkEnd w:id="539"/>
      <w:bookmarkEnd w:id="540"/>
      <w:bookmarkEnd w:id="541"/>
      <w:bookmarkEnd w:id="542"/>
      <w:bookmarkEnd w:id="543"/>
      <w:bookmarkEnd w:id="544"/>
      <w:bookmarkEnd w:id="545"/>
    </w:p>
    <w:p>
      <w:pPr>
        <w:pStyle w:val="5"/>
        <w:snapToGrid w:val="0"/>
        <w:spacing w:before="0" w:after="0" w:line="360" w:lineRule="auto"/>
        <w:rPr>
          <w:rFonts w:ascii="宋体" w:hAnsi="宋体"/>
          <w:b w:val="0"/>
          <w:snapToGrid w:val="0"/>
          <w:color w:val="auto"/>
          <w:sz w:val="24"/>
          <w:szCs w:val="24"/>
          <w:highlight w:val="none"/>
        </w:rPr>
      </w:pPr>
      <w:bookmarkStart w:id="546" w:name="_Toc287620756"/>
      <w:bookmarkStart w:id="547" w:name="_Toc200513203"/>
      <w:bookmarkStart w:id="548" w:name="_Toc224103389"/>
      <w:bookmarkStart w:id="549" w:name="_Toc509218781"/>
      <w:bookmarkStart w:id="550" w:name="_Toc430530505"/>
      <w:bookmarkStart w:id="551" w:name="_Toc28133"/>
      <w:bookmarkStart w:id="552" w:name="_Toc277082623"/>
      <w:bookmarkStart w:id="553" w:name="_Toc287607817"/>
      <w:r>
        <w:rPr>
          <w:rFonts w:ascii="宋体" w:hAnsi="宋体"/>
          <w:b w:val="0"/>
          <w:snapToGrid w:val="0"/>
          <w:color w:val="auto"/>
          <w:sz w:val="24"/>
          <w:szCs w:val="24"/>
          <w:highlight w:val="none"/>
        </w:rPr>
        <w:t>3.1  初步评审</w:t>
      </w:r>
      <w:bookmarkEnd w:id="546"/>
      <w:bookmarkEnd w:id="547"/>
      <w:bookmarkEnd w:id="548"/>
      <w:bookmarkEnd w:id="549"/>
      <w:bookmarkEnd w:id="550"/>
      <w:bookmarkEnd w:id="551"/>
      <w:bookmarkEnd w:id="552"/>
      <w:bookmarkEnd w:id="55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napToGrid w:val="0"/>
        <w:spacing w:before="0" w:after="0" w:line="360" w:lineRule="auto"/>
        <w:rPr>
          <w:rFonts w:ascii="宋体" w:hAnsi="宋体"/>
          <w:b w:val="0"/>
          <w:snapToGrid w:val="0"/>
          <w:color w:val="auto"/>
          <w:sz w:val="24"/>
          <w:szCs w:val="24"/>
          <w:highlight w:val="none"/>
        </w:rPr>
      </w:pPr>
      <w:bookmarkStart w:id="554" w:name="_Toc224103390"/>
      <w:bookmarkStart w:id="555" w:name="_Toc430530506"/>
      <w:bookmarkStart w:id="556" w:name="_Toc509218782"/>
      <w:bookmarkStart w:id="557" w:name="_Toc277082624"/>
      <w:bookmarkStart w:id="558" w:name="_Toc287607818"/>
      <w:bookmarkStart w:id="559" w:name="_Toc287620757"/>
      <w:bookmarkStart w:id="560" w:name="_Toc1"/>
      <w:bookmarkStart w:id="561" w:name="_Toc200513204"/>
      <w:r>
        <w:rPr>
          <w:rFonts w:ascii="宋体" w:hAnsi="宋体"/>
          <w:b w:val="0"/>
          <w:snapToGrid w:val="0"/>
          <w:color w:val="auto"/>
          <w:sz w:val="24"/>
          <w:szCs w:val="24"/>
          <w:highlight w:val="none"/>
        </w:rPr>
        <w:t>3.2  详细评审</w:t>
      </w:r>
      <w:bookmarkEnd w:id="554"/>
      <w:bookmarkEnd w:id="555"/>
      <w:bookmarkEnd w:id="556"/>
      <w:bookmarkEnd w:id="557"/>
      <w:bookmarkEnd w:id="558"/>
      <w:bookmarkEnd w:id="559"/>
      <w:bookmarkEnd w:id="560"/>
      <w:bookmarkEnd w:id="561"/>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2.2.4（2）目规定的评审因素和分值对</w:t>
      </w:r>
      <w:r>
        <w:rPr>
          <w:rFonts w:hint="eastAsia" w:ascii="宋体" w:hAnsi="宋体"/>
          <w:color w:val="auto"/>
          <w:kern w:val="0"/>
          <w:szCs w:val="21"/>
          <w:highlight w:val="none"/>
        </w:rPr>
        <w:t>商务</w:t>
      </w:r>
      <w:r>
        <w:rPr>
          <w:rFonts w:ascii="宋体" w:hAnsi="宋体"/>
          <w:color w:val="auto"/>
          <w:kern w:val="0"/>
          <w:szCs w:val="21"/>
          <w:highlight w:val="none"/>
        </w:rPr>
        <w:t>部分计算出得分 B；</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）按本章第 2.2.4（</w:t>
      </w:r>
      <w:r>
        <w:rPr>
          <w:rFonts w:hint="eastAsia" w:ascii="宋体" w:hAnsi="宋体"/>
          <w:color w:val="auto"/>
          <w:kern w:val="0"/>
          <w:szCs w:val="21"/>
          <w:highlight w:val="none"/>
          <w:lang w:val="en-US" w:eastAsia="zh-CN"/>
        </w:rPr>
        <w:t>4</w:t>
      </w:r>
      <w:r>
        <w:rPr>
          <w:rFonts w:ascii="宋体" w:hAnsi="宋体"/>
          <w:color w:val="auto"/>
          <w:kern w:val="0"/>
          <w:szCs w:val="21"/>
          <w:highlight w:val="none"/>
        </w:rPr>
        <w:t xml:space="preserve">）目规定的评审因素和分值对投标报价计算出得分 </w:t>
      </w:r>
      <w:r>
        <w:rPr>
          <w:rFonts w:hint="eastAsia" w:ascii="宋体" w:hAnsi="宋体"/>
          <w:color w:val="auto"/>
          <w:kern w:val="0"/>
          <w:szCs w:val="21"/>
          <w:highlight w:val="none"/>
          <w:lang w:val="en-US" w:eastAsia="zh-CN"/>
        </w:rPr>
        <w:t>C</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w:t>
      </w:r>
      <w:r>
        <w:rPr>
          <w:rFonts w:hint="eastAsia" w:ascii="宋体" w:hAnsi="宋体"/>
          <w:color w:val="auto"/>
          <w:kern w:val="0"/>
          <w:szCs w:val="21"/>
          <w:highlight w:val="none"/>
          <w:lang w:val="en-US" w:eastAsia="zh-CN"/>
        </w:rPr>
        <w:t>两位小数</w:t>
      </w:r>
      <w:r>
        <w:rPr>
          <w:rFonts w:ascii="宋体" w:hAnsi="宋体"/>
          <w:color w:val="auto"/>
          <w:kern w:val="0"/>
          <w:szCs w:val="21"/>
          <w:highlight w:val="none"/>
        </w:rPr>
        <w:t>，小数点后第三位“四舍五入”。</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r>
        <w:rPr>
          <w:rFonts w:ascii="宋体" w:hAnsi="宋体"/>
          <w:color w:val="auto"/>
          <w:kern w:val="0"/>
          <w:szCs w:val="21"/>
          <w:highlight w:val="none"/>
        </w:rPr>
        <w:t>C</w:t>
      </w:r>
      <w:r>
        <w:rPr>
          <w:rFonts w:hint="eastAsia" w:ascii="宋体" w:hAnsi="宋体"/>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562" w:name="_Toc287607819"/>
      <w:bookmarkStart w:id="563" w:name="_Toc277082625"/>
      <w:bookmarkStart w:id="564" w:name="_Toc509218783"/>
      <w:bookmarkStart w:id="565" w:name="_Toc430530507"/>
      <w:bookmarkStart w:id="566" w:name="_Toc200513205"/>
      <w:bookmarkStart w:id="567" w:name="_Toc287620758"/>
      <w:bookmarkStart w:id="568" w:name="_Toc17810"/>
      <w:bookmarkStart w:id="569" w:name="_Toc224103391"/>
      <w:r>
        <w:rPr>
          <w:rFonts w:ascii="宋体" w:hAnsi="宋体"/>
          <w:b w:val="0"/>
          <w:snapToGrid w:val="0"/>
          <w:color w:val="auto"/>
          <w:sz w:val="24"/>
          <w:szCs w:val="24"/>
          <w:highlight w:val="none"/>
        </w:rPr>
        <w:t>3.3  投标文件的澄清</w:t>
      </w:r>
      <w:bookmarkEnd w:id="562"/>
      <w:bookmarkEnd w:id="563"/>
      <w:bookmarkEnd w:id="564"/>
      <w:bookmarkEnd w:id="565"/>
      <w:bookmarkEnd w:id="566"/>
      <w:bookmarkEnd w:id="567"/>
      <w:bookmarkEnd w:id="568"/>
      <w:bookmarkEnd w:id="569"/>
    </w:p>
    <w:p>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570" w:name="_Hlk71569932"/>
      <w:r>
        <w:rPr>
          <w:rFonts w:ascii="宋体" w:hAnsi="宋体"/>
          <w:color w:val="auto"/>
          <w:kern w:val="0"/>
          <w:szCs w:val="21"/>
          <w:highlight w:val="none"/>
        </w:rPr>
        <w:t>3.3.1  在评标过程中，评标委员会可以书面形式要求投标人对所提交投标文件中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澄清、说明或补正不得超出投标文件的范围且不得改变投标文件的实质性内容，并构成投标文件的组成部分。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bookmarkEnd w:id="570"/>
    </w:p>
    <w:p>
      <w:pPr>
        <w:pStyle w:val="5"/>
        <w:snapToGrid w:val="0"/>
        <w:spacing w:before="0" w:after="0" w:line="360" w:lineRule="auto"/>
        <w:rPr>
          <w:rFonts w:ascii="宋体" w:hAnsi="宋体"/>
          <w:b w:val="0"/>
          <w:snapToGrid w:val="0"/>
          <w:color w:val="auto"/>
          <w:sz w:val="24"/>
          <w:szCs w:val="24"/>
          <w:highlight w:val="none"/>
        </w:rPr>
      </w:pPr>
      <w:bookmarkStart w:id="571" w:name="_Toc200513206"/>
      <w:bookmarkStart w:id="572" w:name="_Toc287607820"/>
      <w:bookmarkStart w:id="573" w:name="_Toc23781"/>
      <w:bookmarkStart w:id="574" w:name="_Toc430530508"/>
      <w:bookmarkStart w:id="575" w:name="_Toc287620759"/>
      <w:bookmarkStart w:id="576" w:name="_Toc224103392"/>
      <w:bookmarkStart w:id="577" w:name="_Toc509218784"/>
      <w:bookmarkStart w:id="578" w:name="_Toc277082626"/>
      <w:r>
        <w:rPr>
          <w:rFonts w:ascii="宋体" w:hAnsi="宋体"/>
          <w:b w:val="0"/>
          <w:snapToGrid w:val="0"/>
          <w:color w:val="auto"/>
          <w:sz w:val="24"/>
          <w:szCs w:val="24"/>
          <w:highlight w:val="none"/>
        </w:rPr>
        <w:t>3.4  评标结果</w:t>
      </w:r>
      <w:bookmarkEnd w:id="571"/>
      <w:bookmarkEnd w:id="572"/>
      <w:bookmarkEnd w:id="573"/>
      <w:bookmarkEnd w:id="574"/>
      <w:bookmarkEnd w:id="575"/>
      <w:bookmarkEnd w:id="576"/>
      <w:bookmarkEnd w:id="577"/>
      <w:bookmarkEnd w:id="578"/>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pPr>
        <w:pStyle w:val="11"/>
        <w:spacing w:line="360" w:lineRule="auto"/>
        <w:rPr>
          <w:rFonts w:ascii="宋体" w:hAnsi="宋体"/>
          <w:b/>
          <w:color w:val="auto"/>
          <w:sz w:val="28"/>
          <w:szCs w:val="28"/>
          <w:highlight w:val="none"/>
          <w:u w:val="none"/>
          <w:lang w:eastAsia="zh-CN"/>
        </w:rPr>
      </w:pPr>
      <w:bookmarkStart w:id="579" w:name="招标文件03章02评标办法综合评估法02附件02"/>
      <w:bookmarkEnd w:id="579"/>
      <w:bookmarkStart w:id="580" w:name="招标文件04章合同条款及格式"/>
      <w:bookmarkEnd w:id="580"/>
      <w:bookmarkStart w:id="581" w:name="_Toc230410480"/>
      <w:bookmarkStart w:id="582" w:name="_Toc277082627"/>
      <w:r>
        <w:rPr>
          <w:rFonts w:ascii="宋体" w:hAnsi="宋体"/>
          <w:b/>
          <w:color w:val="auto"/>
          <w:sz w:val="28"/>
          <w:szCs w:val="28"/>
          <w:highlight w:val="none"/>
          <w:u w:val="none"/>
          <w:lang w:eastAsia="zh-CN"/>
        </w:rPr>
        <w:t>附件A：综合评估法否决投标情况一览表</w:t>
      </w:r>
      <w:bookmarkEnd w:id="581"/>
    </w:p>
    <w:bookmarkEnd w:id="582"/>
    <w:p>
      <w:pPr>
        <w:pStyle w:val="11"/>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13"/>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A-1投标人的营业执照、</w:t>
            </w:r>
            <w:r>
              <w:rPr>
                <w:rFonts w:hint="eastAsia" w:ascii="宋体" w:hAnsi="宋体"/>
                <w:color w:val="auto"/>
                <w:kern w:val="0"/>
                <w:highlight w:val="none"/>
                <w:lang w:val="en-US" w:eastAsia="zh-CN"/>
              </w:rPr>
              <w:t>资质要求</w:t>
            </w:r>
            <w:r>
              <w:rPr>
                <w:rFonts w:hint="eastAsia" w:ascii="宋体" w:hAnsi="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w:t>
            </w:r>
            <w:r>
              <w:rPr>
                <w:rFonts w:hint="eastAsia" w:ascii="宋体" w:hAnsi="宋体"/>
                <w:color w:val="auto"/>
                <w:szCs w:val="21"/>
                <w:highlight w:val="none"/>
                <w:lang w:val="en-US" w:eastAsia="zh-CN"/>
              </w:rPr>
              <w:t>信誉</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6</w:t>
            </w:r>
            <w:r>
              <w:rPr>
                <w:rFonts w:hint="eastAsia" w:ascii="宋体" w:hAnsi="宋体" w:cs="宋体"/>
                <w:color w:val="auto"/>
                <w:kern w:val="0"/>
                <w:szCs w:val="22"/>
                <w:highlight w:val="none"/>
              </w:rPr>
              <w:t>投标人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第六章 投标文件格式（不含投标函部分）要求加盖单位法人章的，应使用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2 </w:t>
            </w:r>
            <w:r>
              <w:rPr>
                <w:rFonts w:hint="eastAsia" w:ascii="宋体" w:hAnsi="宋体"/>
                <w:color w:val="auto"/>
                <w:kern w:val="0"/>
                <w:highlight w:val="none"/>
                <w:lang w:val="en-US" w:eastAsia="zh-CN"/>
              </w:rPr>
              <w:t>质量标准（技术性能指标）</w:t>
            </w: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投标人应按第二章“投标人须知”第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1.11.1项的要求和</w:t>
            </w:r>
            <w:r>
              <w:rPr>
                <w:rFonts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color w:val="auto"/>
                <w:sz w:val="21"/>
                <w:highlight w:val="none"/>
              </w:rPr>
              <w:t>投标</w:t>
            </w:r>
            <w:r>
              <w:rPr>
                <w:rFonts w:hint="eastAsia"/>
                <w:color w:val="auto"/>
                <w:sz w:val="21"/>
                <w:highlight w:val="none"/>
                <w:lang w:val="en-US" w:eastAsia="zh-CN"/>
              </w:rPr>
              <w:t>货物</w:t>
            </w:r>
            <w:r>
              <w:rPr>
                <w:rFonts w:hint="eastAsia" w:ascii="宋体" w:hAnsi="宋体" w:cs="宋体"/>
                <w:highlight w:val="none"/>
              </w:rPr>
              <w:t>质量保证期</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color w:val="auto"/>
                <w:highlight w:val="none"/>
              </w:rPr>
              <w:t>串通投标、弄虚作假、行贿等违法行为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s="宋体"/>
                <w:color w:val="auto"/>
                <w:kern w:val="0"/>
                <w:highlight w:val="none"/>
              </w:rPr>
              <w:t>投标函部分的格式要求法定代表人或其委托代理人签名（或盖章）的须齐全，要求加盖单位法人章的，应使用 CA 数字证书加盖投标人的单位电子印章</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eastAsia="宋体"/>
                <w:color w:val="auto"/>
                <w:highlight w:val="none"/>
                <w:lang w:val="en-US" w:eastAsia="zh-CN"/>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计算出的结果不</w:t>
            </w:r>
            <w:r>
              <w:rPr>
                <w:color w:val="auto"/>
                <w:highlight w:val="none"/>
              </w:rPr>
              <w:t>一致</w:t>
            </w:r>
            <w:r>
              <w:rPr>
                <w:rFonts w:hint="eastAsia"/>
                <w:color w:val="auto"/>
                <w:highlight w:val="none"/>
                <w:lang w:val="en-US" w:eastAsia="zh-CN"/>
              </w:rPr>
              <w:t>的</w:t>
            </w:r>
            <w:r>
              <w:rPr>
                <w:rFonts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22</w:t>
            </w:r>
            <w:r>
              <w:rPr>
                <w:rFonts w:hint="eastAsia" w:ascii="宋体" w:hAnsi="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，否则</w:t>
            </w:r>
            <w:r>
              <w:rPr>
                <w:rFonts w:hint="eastAsia" w:ascii="宋体" w:hAnsi="宋体"/>
                <w:color w:val="auto"/>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25交货期</w:t>
            </w:r>
            <w:r>
              <w:rPr>
                <w:rFonts w:hint="eastAsia" w:ascii="宋体" w:hAnsi="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26交货地点</w:t>
            </w:r>
            <w:r>
              <w:rPr>
                <w:rFonts w:hint="eastAsia" w:ascii="宋体" w:hAnsi="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p>
        </w:tc>
      </w:tr>
    </w:tbl>
    <w:p>
      <w:pPr>
        <w:autoSpaceDE w:val="0"/>
        <w:autoSpaceDN w:val="0"/>
        <w:adjustRightInd w:val="0"/>
        <w:snapToGrid w:val="0"/>
        <w:spacing w:line="360" w:lineRule="auto"/>
        <w:jc w:val="left"/>
        <w:rPr>
          <w:rFonts w:ascii="宋体" w:hAnsi="宋体"/>
          <w:b/>
          <w:color w:val="auto"/>
          <w:kern w:val="0"/>
          <w:sz w:val="20"/>
          <w:szCs w:val="20"/>
          <w:highlight w:val="none"/>
        </w:rPr>
      </w:pPr>
    </w:p>
    <w:p>
      <w:pPr>
        <w:rPr>
          <w:color w:val="auto"/>
          <w:highlight w:val="none"/>
        </w:rPr>
      </w:pPr>
    </w:p>
    <w:p>
      <w:pPr>
        <w:rPr>
          <w:rFonts w:ascii="宋体" w:hAnsi="宋体"/>
          <w:color w:val="auto"/>
          <w:kern w:val="0"/>
          <w:sz w:val="52"/>
          <w:szCs w:val="52"/>
          <w:highlight w:val="none"/>
        </w:rPr>
      </w:pPr>
      <w:bookmarkStart w:id="583" w:name="_Toc58860121"/>
      <w:r>
        <w:rPr>
          <w:rFonts w:ascii="宋体" w:hAnsi="宋体"/>
          <w:snapToGrid w:val="0"/>
          <w:color w:val="auto"/>
          <w:kern w:val="0"/>
          <w:highlight w:val="none"/>
        </w:rPr>
        <w:br w:type="page"/>
      </w:r>
      <w:bookmarkEnd w:id="583"/>
    </w:p>
    <w:p>
      <w:pPr>
        <w:pStyle w:val="3"/>
        <w:spacing w:line="360" w:lineRule="auto"/>
        <w:jc w:val="center"/>
        <w:rPr>
          <w:rFonts w:hint="eastAsia" w:ascii="宋体" w:hAnsi="宋体"/>
          <w:color w:val="auto"/>
          <w:kern w:val="0"/>
          <w:highlight w:val="none"/>
        </w:rPr>
      </w:pPr>
      <w:bookmarkStart w:id="584" w:name="_Toc4368"/>
      <w:bookmarkStart w:id="585" w:name="_Toc430530509"/>
      <w:bookmarkStart w:id="586" w:name="_Toc509218785"/>
      <w:r>
        <w:rPr>
          <w:rFonts w:hint="eastAsia" w:ascii="宋体" w:hAnsi="宋体"/>
          <w:color w:val="auto"/>
          <w:kern w:val="0"/>
          <w:highlight w:val="none"/>
        </w:rPr>
        <w:t>第四章  合同条款及格式</w:t>
      </w:r>
      <w:bookmarkEnd w:id="584"/>
      <w:bookmarkEnd w:id="585"/>
      <w:bookmarkEnd w:id="586"/>
    </w:p>
    <w:p>
      <w:pPr>
        <w:rPr>
          <w:color w:val="auto"/>
          <w:highlight w:val="none"/>
        </w:rPr>
      </w:pPr>
      <w:r>
        <w:rPr>
          <w:color w:val="auto"/>
          <w:highlight w:val="none"/>
        </w:rPr>
        <w:br w:type="page"/>
      </w:r>
    </w:p>
    <w:p>
      <w:pPr>
        <w:rPr>
          <w:color w:val="auto"/>
          <w:sz w:val="32"/>
          <w:szCs w:val="32"/>
          <w:highlight w:val="none"/>
        </w:rPr>
      </w:pPr>
    </w:p>
    <w:p>
      <w:pPr>
        <w:pStyle w:val="2"/>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宋体"/>
          <w:color w:val="auto"/>
          <w:highlight w:val="none"/>
          <w:lang w:val="en-US" w:eastAsia="zh-CN"/>
        </w:rPr>
      </w:pPr>
      <w:bookmarkStart w:id="587" w:name="_Toc18188"/>
      <w:r>
        <w:rPr>
          <w:rFonts w:hint="default" w:ascii="宋体" w:hAnsi="宋体"/>
          <w:b/>
          <w:bCs/>
          <w:color w:val="auto"/>
          <w:kern w:val="0"/>
          <w:sz w:val="28"/>
          <w:szCs w:val="28"/>
          <w:highlight w:val="none"/>
          <w:lang w:val="en-US" w:eastAsia="zh-CN"/>
        </w:rPr>
        <w:t>设备采购合同示范文本</w:t>
      </w:r>
      <w:bookmarkEnd w:id="587"/>
    </w:p>
    <w:p>
      <w:pPr>
        <w:rPr>
          <w:rFonts w:ascii="宋体" w:hAnsi="宋体"/>
          <w:color w:val="auto"/>
          <w:sz w:val="44"/>
          <w:szCs w:val="44"/>
          <w:highlight w:val="none"/>
        </w:rPr>
      </w:pPr>
      <w:r>
        <w:rPr>
          <w:rFonts w:ascii="宋体" w:hAnsi="宋体"/>
          <w:color w:val="auto"/>
          <w:highlight w:val="none"/>
        </w:rPr>
        <w:br w:type="page"/>
      </w:r>
      <w:bookmarkStart w:id="588" w:name="_Toc351203480"/>
      <w:bookmarkStart w:id="589" w:name="_Toc296890982"/>
      <w:bookmarkStart w:id="590" w:name="_Toc296503025"/>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591" w:name="_Toc509218786"/>
      <w:bookmarkStart w:id="592" w:name="_Toc534185765"/>
      <w:bookmarkStart w:id="593" w:name="_Toc21263"/>
      <w:bookmarkStart w:id="594" w:name="_Toc351203494"/>
      <w:bookmarkStart w:id="595" w:name="_Toc25181"/>
      <w:bookmarkStart w:id="596" w:name="_Toc267261701"/>
      <w:bookmarkStart w:id="597" w:name="_Toc351203632"/>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bookmarkEnd w:id="591"/>
      <w:bookmarkEnd w:id="592"/>
      <w:bookmarkEnd w:id="593"/>
      <w:bookmarkEnd w:id="594"/>
      <w:bookmarkEnd w:id="595"/>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ascii="宋体" w:hAnsi="宋体" w:eastAsia="宋体" w:cs="宋体"/>
          <w:color w:val="auto"/>
          <w:highlight w:val="none"/>
          <w:lang w:eastAsia="zh-CN"/>
        </w:rPr>
        <w:t>“</w:t>
      </w:r>
      <w:r>
        <w:rPr>
          <w:color w:val="auto"/>
          <w:szCs w:val="24"/>
          <w:highlight w:val="none"/>
        </w:rPr>
        <w:t>买方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rPr>
        <w:t>和</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lang w:eastAsia="zh-CN"/>
        </w:rPr>
        <w:t>、</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的投标。买卖双方共同达成如下协议。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（3）投标函；</w:t>
      </w:r>
    </w:p>
    <w:p>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ascii="宋体" w:hAnsi="宋体"/>
          <w:i w:val="0"/>
          <w:iCs w:val="0"/>
          <w:color w:val="auto"/>
          <w:kern w:val="0"/>
          <w:szCs w:val="21"/>
          <w:highlight w:val="none"/>
          <w:lang w:val="en-US" w:eastAsia="zh-CN"/>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中标设备技术性能指标的详细描述</w:t>
      </w:r>
      <w:r>
        <w:rPr>
          <w:rFonts w:hint="eastAsia" w:ascii="宋体" w:hAnsi="宋体"/>
          <w:i w:val="0"/>
          <w:iCs w:val="0"/>
          <w:color w:val="auto"/>
          <w:kern w:val="0"/>
          <w:szCs w:val="21"/>
          <w:highlight w:val="none"/>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技术服务和质保期服务计划</w:t>
      </w:r>
      <w:r>
        <w:rPr>
          <w:rFonts w:hint="eastAsia" w:ascii="宋体" w:hAnsi="宋体"/>
          <w:i w:val="0"/>
          <w:iCs w:val="0"/>
          <w:color w:val="auto"/>
          <w:kern w:val="0"/>
          <w:szCs w:val="21"/>
          <w:highlight w:val="none"/>
        </w:rPr>
        <w:t>；</w:t>
      </w:r>
    </w:p>
    <w:p>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u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卖方承诺保证完全按照合同约定提供合同设备</w:t>
      </w:r>
      <w:r>
        <w:rPr>
          <w:rFonts w:hint="eastAsia"/>
          <w:color w:val="auto"/>
          <w:szCs w:val="24"/>
          <w:highlight w:val="none"/>
          <w:lang w:eastAsia="zh-CN"/>
        </w:rPr>
        <w:t>、</w:t>
      </w:r>
      <w:r>
        <w:rPr>
          <w:rFonts w:hint="eastAsia" w:ascii="Times New Roman" w:hAnsi="Times New Roman"/>
          <w:color w:val="auto"/>
          <w:szCs w:val="24"/>
          <w:highlight w:val="none"/>
        </w:rPr>
        <w:t>技术服务和质保期服务并修补缺陷。</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rPr>
        <w:t xml:space="preserve"> </w:t>
      </w:r>
      <w:r>
        <w:rPr>
          <w:rFonts w:hint="eastAsia" w:hAnsi="宋体"/>
          <w:color w:val="auto"/>
          <w:szCs w:val="24"/>
          <w:highlight w:val="none"/>
          <w:u w:val="single"/>
        </w:rPr>
        <w:t xml:space="preserve">   </w:t>
      </w:r>
      <w:r>
        <w:rPr>
          <w:rFonts w:hAnsi="宋体"/>
          <w:color w:val="auto"/>
          <w:szCs w:val="24"/>
          <w:highlight w:val="none"/>
        </w:rPr>
        <w:t>份。</w:t>
      </w:r>
    </w:p>
    <w:p>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598" w:name="_Toc529388289"/>
      <w:bookmarkStart w:id="599" w:name="_Toc11011"/>
      <w:bookmarkStart w:id="600" w:name="_Toc26125"/>
      <w:bookmarkStart w:id="601" w:name="_Toc532375586"/>
      <w:bookmarkStart w:id="602" w:name="_Toc532377179"/>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598"/>
      <w:bookmarkEnd w:id="599"/>
      <w:bookmarkEnd w:id="600"/>
      <w:bookmarkEnd w:id="601"/>
      <w:bookmarkEnd w:id="602"/>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3" w:name="_Toc2881580"/>
      <w:bookmarkStart w:id="604" w:name="_Toc29127"/>
      <w:r>
        <w:rPr>
          <w:rFonts w:hint="eastAsia" w:ascii="Times New Roman" w:hAnsi="Times New Roman" w:eastAsia="宋体" w:cs="Times New Roman"/>
          <w:b/>
          <w:bCs/>
          <w:color w:val="auto"/>
          <w:kern w:val="2"/>
          <w:sz w:val="32"/>
          <w:szCs w:val="32"/>
          <w:highlight w:val="none"/>
          <w:lang w:val="en-US" w:eastAsia="zh-CN" w:bidi="ar-SA"/>
        </w:rPr>
        <w:t>1.一般约定</w:t>
      </w:r>
      <w:bookmarkEnd w:id="603"/>
      <w:bookmarkEnd w:id="604"/>
    </w:p>
    <w:p>
      <w:pPr>
        <w:tabs>
          <w:tab w:val="left" w:pos="1134"/>
        </w:tabs>
        <w:spacing w:line="360" w:lineRule="auto"/>
        <w:ind w:firstLine="420" w:firstLineChars="200"/>
        <w:rPr>
          <w:rFonts w:ascii="微软雅黑" w:eastAsia="微软雅黑" w:cs="微软雅黑"/>
          <w:color w:val="auto"/>
          <w:kern w:val="0"/>
          <w:sz w:val="17"/>
          <w:szCs w:val="17"/>
          <w:highlight w:val="none"/>
        </w:rPr>
      </w:pPr>
      <w:r>
        <w:rPr>
          <w:rFonts w:ascii="宋体" w:hAnsi="宋体"/>
          <w:color w:val="auto"/>
          <w:szCs w:val="21"/>
          <w:highlight w:val="none"/>
        </w:rPr>
        <w:t xml:space="preserve">1.1 </w:t>
      </w:r>
      <w:r>
        <w:rPr>
          <w:rFonts w:hint="eastAsia" w:ascii="宋体" w:hAnsi="宋体"/>
          <w:color w:val="auto"/>
          <w:szCs w:val="21"/>
          <w:highlight w:val="none"/>
        </w:rPr>
        <w:t>词语定义</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合同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合同协议书：指买方和卖方共同签署的合同协议书。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中标通知书：指买方通知卖方中标的函件。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投标函：指由卖方填写并签署的，名为“投标函”的函件。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商务和技术偏差表：指卖方投标文件中的商务和技术偏差表。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供货要求：指合同文件中名为“供货要求”的文件。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1.1.1.7 </w:t>
      </w:r>
      <w:r>
        <w:rPr>
          <w:rFonts w:hint="eastAsia" w:ascii="宋体" w:hAnsi="宋体"/>
          <w:color w:val="auto"/>
          <w:szCs w:val="21"/>
          <w:highlight w:val="none"/>
        </w:rPr>
        <w:t>中标设备技术性能指标的详细描述：指卖方投标文件中的投标设备技术性能指标的详细描述。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1.1.1.8 </w:t>
      </w:r>
      <w:r>
        <w:rPr>
          <w:rFonts w:hint="eastAsia" w:ascii="宋体" w:hAnsi="宋体"/>
          <w:color w:val="auto"/>
          <w:szCs w:val="21"/>
          <w:highlight w:val="none"/>
        </w:rPr>
        <w:t>技术服务和质保期服务计划：指卖方投标文件中的技术服务和质保期服务计划。</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1.1.1.9 </w:t>
      </w:r>
      <w:r>
        <w:rPr>
          <w:rFonts w:hint="eastAsia" w:ascii="宋体" w:hAnsi="宋体"/>
          <w:color w:val="auto"/>
          <w:szCs w:val="21"/>
          <w:highlight w:val="none"/>
        </w:rPr>
        <w:t>分项报价表：指卖方投标文件中的分项报价表。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1.1.1.10 </w:t>
      </w:r>
      <w:r>
        <w:rPr>
          <w:rFonts w:hint="eastAsia" w:ascii="宋体" w:hAnsi="宋体"/>
          <w:color w:val="auto"/>
          <w:szCs w:val="21"/>
          <w:highlight w:val="none"/>
        </w:rPr>
        <w:t>其他合同文件：指经合同双方当事人确认构成合同文件的其他文件。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合同当事人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1.1.2.1 </w:t>
      </w:r>
      <w:r>
        <w:rPr>
          <w:rFonts w:hint="eastAsia" w:ascii="宋体" w:hAnsi="宋体"/>
          <w:color w:val="auto"/>
          <w:szCs w:val="21"/>
          <w:highlight w:val="none"/>
        </w:rPr>
        <w:t>合同当事人：指买方和（或）卖方。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1.1.2.2 </w:t>
      </w:r>
      <w:r>
        <w:rPr>
          <w:rFonts w:hint="eastAsia" w:ascii="宋体" w:hAnsi="宋体"/>
          <w:color w:val="auto"/>
          <w:szCs w:val="21"/>
          <w:highlight w:val="none"/>
        </w:rPr>
        <w:t>买方：指与卖方签订合同协议书，购买合同设备和技术服务和质保期服务的当事人，及其合法继承人。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1.1.2.3 </w:t>
      </w:r>
      <w:r>
        <w:rPr>
          <w:rFonts w:hint="eastAsia" w:ascii="宋体" w:hAnsi="宋体"/>
          <w:color w:val="auto"/>
          <w:szCs w:val="21"/>
          <w:highlight w:val="none"/>
        </w:rPr>
        <w:t>卖方：指与买方签订合同协议书，提供合同设备和技术服务和质保期服务的当事人，及其合法继承人。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签约合同价：是签订合同时合同协议书中写明的合同总金额。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1.1.3.2 </w:t>
      </w:r>
      <w:r>
        <w:rPr>
          <w:rFonts w:hint="eastAsia" w:ascii="宋体" w:hAnsi="宋体"/>
          <w:color w:val="auto"/>
          <w:szCs w:val="21"/>
          <w:highlight w:val="none"/>
        </w:rPr>
        <w:t>合同价格：指卖方按合同约定履行了全部合同义务后，买方应付给卖方的金额。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合同设备：指卖方按合同约定应向买方提供的设备、装置、备品、备件、易损易耗件、配套使用的软件或其他辅助电子应用程序及技术资料，或其中任何一部分。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技术资料：指各种纸质及电子载体的与合同设备的设计、检验、安装、调试、考核、操作、维修以及保养等有关的技术指标、规格、图纸和说明文件。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安装：指对合同设备进行的组装、连接以及根据需要将合同设备固定在施工场地内一定的位置上，使其就位并与相关设备、工程实现连接。</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调试：指在合同设备安装完成后，对合同设备所进行的调校和测试。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考核：指在合同设备调试完成后，对合同设备进行的用于确定其是否达到合同约定的技术性能考核指标的考核。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1.1.9 </w:t>
      </w:r>
      <w:r>
        <w:rPr>
          <w:rFonts w:hint="eastAsia" w:ascii="宋体" w:hAnsi="宋体"/>
          <w:color w:val="auto"/>
          <w:szCs w:val="21"/>
          <w:highlight w:val="none"/>
        </w:rPr>
        <w:t>验收：指合同设备通过考核达到合同约定的技术性能考核指标后，买方作出接受合同设备的确认。</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1.1.10 </w:t>
      </w:r>
      <w:r>
        <w:rPr>
          <w:rFonts w:hint="eastAsia" w:ascii="宋体" w:hAnsi="宋体"/>
          <w:color w:val="auto"/>
          <w:szCs w:val="21"/>
          <w:highlight w:val="none"/>
        </w:rPr>
        <w:t>技术服务：指卖方按合同约定，在合同设备验收前，向买方提供的安装、调试服务，或者在由买方负责的安装、调试、考核中对买方进行的技术指导、协助、监督和培训等。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质量保证期：指合同设备验收后，卖方按合同约定保证合同设备适当、稳定运行，并负责消除合同设备故障的期限。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质保期服务：指在质量保证期内，卖方向买方提供的合同设备维护服务、咨询服务、技术指导、协助以及对出现故障的合同设备进行修理或更换的服务。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1.1.13.1 </w:t>
      </w:r>
      <w:r>
        <w:rPr>
          <w:rFonts w:hint="eastAsia" w:ascii="宋体" w:hAnsi="宋体"/>
          <w:color w:val="auto"/>
          <w:szCs w:val="21"/>
          <w:highlight w:val="none"/>
        </w:rPr>
        <w:t>工程：指在</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中指明的，安装运行合同设备的工程。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1.1.13.2 </w:t>
      </w:r>
      <w:r>
        <w:rPr>
          <w:rFonts w:hint="eastAsia" w:ascii="宋体" w:hAnsi="宋体"/>
          <w:color w:val="auto"/>
          <w:szCs w:val="21"/>
          <w:highlight w:val="none"/>
        </w:rPr>
        <w:t>施工场地（或称工地、施工现场）：指</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中指明的工程所在场所。</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语言文字</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pPr>
        <w:tabs>
          <w:tab w:val="left" w:pos="1134"/>
        </w:tabs>
        <w:spacing w:line="360" w:lineRule="auto"/>
        <w:ind w:firstLine="420" w:firstLineChars="200"/>
        <w:rPr>
          <w:rFonts w:ascii="宋体" w:hAnsi="宋体"/>
          <w:color w:val="auto"/>
          <w:szCs w:val="21"/>
          <w:highlight w:val="none"/>
        </w:rPr>
      </w:pPr>
      <w:bookmarkStart w:id="605" w:name="_Hlk2542503"/>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）中标设备技术性能指标的详细描述；</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）技术服务和质保期服务计划；</w:t>
      </w:r>
    </w:p>
    <w:bookmarkEnd w:id="605"/>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合同的生效及变更</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联络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买卖双方应就合同履行中有关的事项及时进行联络，重要事项应通过书面形式进行联络或确认。合同履行过程中的任何联络及相关文件的签署，均应通过</w:t>
      </w:r>
      <w:r>
        <w:rPr>
          <w:rFonts w:hint="eastAsia" w:ascii="宋体" w:hAnsi="宋体" w:eastAsia="黑体"/>
          <w:b/>
          <w:color w:val="auto"/>
          <w:szCs w:val="21"/>
          <w:highlight w:val="none"/>
        </w:rPr>
        <w:t>专用合同条款</w:t>
      </w:r>
      <w:r>
        <w:rPr>
          <w:rFonts w:hint="eastAsia" w:ascii="宋体" w:hAnsi="宋体"/>
          <w:color w:val="auto"/>
          <w:szCs w:val="21"/>
          <w:highlight w:val="none"/>
        </w:rPr>
        <w:t>指定的联系人和联系方式进行。合同履行过程中，双方可以书面形式增加或变更指定联系人。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合同履行中或与合同有关的任何联络，送达到第</w:t>
      </w:r>
      <w:r>
        <w:rPr>
          <w:rFonts w:ascii="宋体" w:hAnsi="宋体"/>
          <w:color w:val="auto"/>
          <w:szCs w:val="21"/>
          <w:highlight w:val="none"/>
        </w:rPr>
        <w:t xml:space="preserve"> 1.5.1 </w:t>
      </w:r>
      <w:r>
        <w:rPr>
          <w:rFonts w:hint="eastAsia" w:ascii="宋体" w:hAnsi="宋体"/>
          <w:color w:val="auto"/>
          <w:szCs w:val="21"/>
          <w:highlight w:val="none"/>
        </w:rPr>
        <w:t>项指定的联系人即视为送达。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1.5.3 </w:t>
      </w:r>
      <w:r>
        <w:rPr>
          <w:rFonts w:hint="eastAsia" w:ascii="宋体" w:hAnsi="宋体"/>
          <w:color w:val="auto"/>
          <w:szCs w:val="21"/>
          <w:highlight w:val="none"/>
        </w:rPr>
        <w:t>买方可以安排监理等相关人员作为买方人员，与卖方进行联络或参加合同设备的监造（如有）、交货前检验（如有）、开箱检验、安装、调试、考核、验收等，但应按照第</w:t>
      </w:r>
      <w:r>
        <w:rPr>
          <w:rFonts w:ascii="宋体" w:hAnsi="宋体"/>
          <w:color w:val="auto"/>
          <w:szCs w:val="21"/>
          <w:highlight w:val="none"/>
        </w:rPr>
        <w:t xml:space="preserve"> 1.5.1 </w:t>
      </w:r>
      <w:r>
        <w:rPr>
          <w:rFonts w:hint="eastAsia" w:ascii="宋体" w:hAnsi="宋体"/>
          <w:color w:val="auto"/>
          <w:szCs w:val="21"/>
          <w:highlight w:val="none"/>
        </w:rPr>
        <w:t>项的约定事先书面通知卖方。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联合体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卖方为联合体的，联合体各方应当共同与买方签订合同，并向买方为履行合同承担连带责任。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在合同履行过程中，未经买方同意，不得修改联合体协议。联合体协议中关于联合体</w:t>
      </w:r>
      <w:r>
        <w:rPr>
          <w:rFonts w:ascii="宋体" w:hAnsi="宋体"/>
          <w:color w:val="auto"/>
          <w:szCs w:val="21"/>
          <w:highlight w:val="none"/>
        </w:rPr>
        <w:t xml:space="preserve"> </w:t>
      </w:r>
      <w:r>
        <w:rPr>
          <w:rFonts w:hint="eastAsia" w:ascii="宋体" w:hAnsi="宋体"/>
          <w:color w:val="auto"/>
          <w:szCs w:val="21"/>
          <w:highlight w:val="none"/>
        </w:rPr>
        <w:t>成员间权利义务的划分，并不影响或减损联合体各方应就履行合同向买方承担的连带责任。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联合体牵头人代表联合体与买方联系，并接受指示，负责组织联合体各成员全面履行合同。除非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1.7 </w:t>
      </w:r>
      <w:r>
        <w:rPr>
          <w:rFonts w:hint="eastAsia" w:ascii="宋体" w:hAnsi="宋体"/>
          <w:color w:val="auto"/>
          <w:szCs w:val="21"/>
          <w:highlight w:val="none"/>
        </w:rPr>
        <w:t>转让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未经对方当事人书面同意，合同任何一方均不得转让其在合同项下的权利和（或）义务。</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6" w:name="_Toc2881581"/>
      <w:bookmarkStart w:id="607" w:name="_Toc812"/>
      <w:r>
        <w:rPr>
          <w:rFonts w:hint="eastAsia" w:ascii="Times New Roman" w:hAnsi="Times New Roman" w:eastAsia="宋体" w:cs="Times New Roman"/>
          <w:b/>
          <w:bCs/>
          <w:color w:val="auto"/>
          <w:kern w:val="2"/>
          <w:sz w:val="32"/>
          <w:szCs w:val="32"/>
          <w:highlight w:val="none"/>
          <w:lang w:val="en-US" w:eastAsia="zh-CN" w:bidi="ar-SA"/>
        </w:rPr>
        <w:t>2.合同范围</w:t>
      </w:r>
      <w:bookmarkEnd w:id="606"/>
      <w:bookmarkEnd w:id="607"/>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卖方应根据供货要求、中标设备技术性能指标的详细描述、技术服务和质保期服务计划等合同文件的约定向买方提供合同设备、技术服务和质保期服务。</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08" w:name="_Toc2881582"/>
      <w:bookmarkStart w:id="609" w:name="_Toc1650"/>
      <w:r>
        <w:rPr>
          <w:rFonts w:hint="eastAsia" w:ascii="Times New Roman" w:hAnsi="Times New Roman" w:eastAsia="宋体" w:cs="Times New Roman"/>
          <w:b/>
          <w:bCs/>
          <w:color w:val="auto"/>
          <w:kern w:val="2"/>
          <w:sz w:val="32"/>
          <w:szCs w:val="32"/>
          <w:highlight w:val="none"/>
          <w:lang w:val="en-US" w:eastAsia="zh-CN" w:bidi="ar-SA"/>
        </w:rPr>
        <w:t>3.合同价格与支付</w:t>
      </w:r>
      <w:bookmarkEnd w:id="608"/>
      <w:bookmarkEnd w:id="609"/>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另有约定外，签约合同价为固定价格。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合同价款的支付</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日内，向卖方支付签约合同价的</w:t>
      </w:r>
      <w:r>
        <w:rPr>
          <w:rFonts w:ascii="宋体" w:hAnsi="宋体"/>
          <w:color w:val="auto"/>
          <w:szCs w:val="21"/>
          <w:highlight w:val="none"/>
        </w:rPr>
        <w:t xml:space="preserve"> 10%</w:t>
      </w:r>
      <w:r>
        <w:rPr>
          <w:rFonts w:hint="eastAsia" w:ascii="宋体" w:hAnsi="宋体"/>
          <w:color w:val="auto"/>
          <w:szCs w:val="21"/>
          <w:highlight w:val="none"/>
        </w:rPr>
        <w:t>作为预付款。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交货款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卖方按合同约定交付全部合同设备后，买方在收到卖方提交的下列全部单据并经审核无误后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70</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验收款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买方在收到卖方提交的买卖双方签署的合同设备验收证书或已生效的验收款支付函正本一份并经审核无误后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95</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结清款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买方在收到卖方提交的买方签署的质量保证期届满证书或已生效的结清款支付函正本一份并经审核无误后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到</w:t>
      </w:r>
      <w:r>
        <w:rPr>
          <w:rFonts w:hint="eastAsia" w:ascii="宋体" w:hAnsi="宋体"/>
          <w:color w:val="auto"/>
          <w:szCs w:val="21"/>
          <w:highlight w:val="none"/>
        </w:rPr>
        <w:t>合同价格的</w:t>
      </w:r>
      <w:r>
        <w:rPr>
          <w:rFonts w:hint="eastAsia" w:ascii="宋体" w:hAnsi="宋体"/>
          <w:color w:val="auto"/>
          <w:szCs w:val="21"/>
          <w:highlight w:val="none"/>
          <w:lang w:val="en-US" w:eastAsia="zh-CN"/>
        </w:rPr>
        <w:t>100</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如果依照合同第</w:t>
      </w:r>
      <w:r>
        <w:rPr>
          <w:rFonts w:ascii="宋体" w:hAnsi="宋体"/>
          <w:color w:val="auto"/>
          <w:szCs w:val="21"/>
          <w:highlight w:val="none"/>
        </w:rPr>
        <w:t xml:space="preserve"> 9.1 </w:t>
      </w:r>
      <w:r>
        <w:rPr>
          <w:rFonts w:hint="eastAsia" w:ascii="宋体" w:hAnsi="宋体"/>
          <w:color w:val="auto"/>
          <w:szCs w:val="21"/>
          <w:highlight w:val="none"/>
        </w:rPr>
        <w:t>项，卖方应向买方支付费用的，买方有权从结清款中直接扣除该笔费用。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另有约定外，在买方向卖方支付验收款的同时或其后的任何时间内，卖方可在向买方提交买方可接受的金额为合同价格</w:t>
      </w:r>
      <w:r>
        <w:rPr>
          <w:rFonts w:ascii="宋体" w:hAnsi="宋体"/>
          <w:color w:val="auto"/>
          <w:szCs w:val="21"/>
          <w:highlight w:val="none"/>
        </w:rPr>
        <w:t xml:space="preserve"> 5%</w:t>
      </w:r>
      <w:r>
        <w:rPr>
          <w:rFonts w:hint="eastAsia" w:ascii="宋体" w:hAnsi="宋体"/>
          <w:color w:val="auto"/>
          <w:szCs w:val="21"/>
          <w:highlight w:val="none"/>
        </w:rPr>
        <w:t>的合同结清款保函的前提下，要求买方支付合同结清款，买方不得拒绝。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买方扣款的权利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0" w:name="_Toc5809"/>
      <w:bookmarkStart w:id="611" w:name="_Toc2881583"/>
      <w:r>
        <w:rPr>
          <w:rFonts w:hint="eastAsia" w:ascii="Times New Roman" w:hAnsi="Times New Roman" w:eastAsia="宋体" w:cs="Times New Roman"/>
          <w:b/>
          <w:bCs/>
          <w:color w:val="auto"/>
          <w:kern w:val="2"/>
          <w:sz w:val="32"/>
          <w:szCs w:val="32"/>
          <w:highlight w:val="none"/>
          <w:lang w:val="en-US" w:eastAsia="zh-CN" w:bidi="ar-SA"/>
        </w:rPr>
        <w:t>4.监造及交货前检验</w:t>
      </w:r>
      <w:bookmarkEnd w:id="610"/>
      <w:bookmarkEnd w:id="61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监造</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约定买方对合同设备进行监造的，双方应按本款及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4.1.1 </w:t>
      </w:r>
      <w:r>
        <w:rPr>
          <w:rFonts w:hint="eastAsia" w:ascii="宋体" w:hAnsi="宋体"/>
          <w:color w:val="auto"/>
          <w:szCs w:val="21"/>
          <w:highlight w:val="none"/>
        </w:rPr>
        <w:t>在合同设备的制造过程中，买方可派出监造人员，对合同设备的生产制造进行监造，监督合同设备制造、检验等情况。监造的范围、方式等应符合</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另有约定外，买方监造人员的交通、食宿费用由买方承担。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4.1.3 </w:t>
      </w:r>
      <w:r>
        <w:rPr>
          <w:rFonts w:hint="eastAsia" w:ascii="宋体" w:hAnsi="宋体"/>
          <w:color w:val="auto"/>
          <w:szCs w:val="21"/>
          <w:highlight w:val="none"/>
        </w:rPr>
        <w:t>卖方制订生产制造合同设备的进度计划时，应将买方监造纳入计划安排，并提前通知买方；买方进行监造不应影响合同设备的正常生产。除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日将需要买方监造人员现场监造事项通知买方；如买方监造人员未按通知出席，不影响合同设备及其关键部件的制造或检验，但买方监造人员有权事后了解、查阅、复制相关制造或检验记录。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4.1.4 </w:t>
      </w:r>
      <w:r>
        <w:rPr>
          <w:rFonts w:hint="eastAsia" w:ascii="宋体" w:hAnsi="宋体"/>
          <w:color w:val="auto"/>
          <w:szCs w:val="21"/>
          <w:highlight w:val="none"/>
        </w:rPr>
        <w:t>买方监造人员在监造中如发现合同设备及其关键部件不符合合同约定的标准，则有权提出意见和建议。卖方应采取必要措施消除合同设备的不符，由此增加的费用和（或）造成的延误由卖方负责。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4.1.5 </w:t>
      </w:r>
      <w:r>
        <w:rPr>
          <w:rFonts w:hint="eastAsia" w:ascii="宋体" w:hAnsi="宋体"/>
          <w:color w:val="auto"/>
          <w:szCs w:val="21"/>
          <w:highlight w:val="none"/>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交货前检验</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约定买方参与交货前检验的，双方应按本款及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另有约定外，买方代表的交通、食宿费用由买方承担。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4.2.3 </w:t>
      </w:r>
      <w:r>
        <w:rPr>
          <w:rFonts w:hint="eastAsia" w:ascii="宋体" w:hAnsi="宋体"/>
          <w:color w:val="auto"/>
          <w:szCs w:val="21"/>
          <w:highlight w:val="none"/>
        </w:rPr>
        <w:t>买方代表在检验中如发现合同设备不符合合同约定的标准，则有权提出异议。卖方应采取必要措施消除合同设备的不符，由此增加的费用和（或）造成的延误由卖方负责。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4.2.4 </w:t>
      </w:r>
      <w:r>
        <w:rPr>
          <w:rFonts w:hint="eastAsia" w:ascii="宋体" w:hAnsi="宋体"/>
          <w:color w:val="auto"/>
          <w:szCs w:val="21"/>
          <w:highlight w:val="none"/>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2" w:name="_Toc5747"/>
      <w:bookmarkStart w:id="613" w:name="_Toc2881584"/>
      <w:r>
        <w:rPr>
          <w:rFonts w:hint="eastAsia" w:ascii="Times New Roman" w:hAnsi="Times New Roman" w:eastAsia="宋体" w:cs="Times New Roman"/>
          <w:b/>
          <w:bCs/>
          <w:color w:val="auto"/>
          <w:kern w:val="2"/>
          <w:sz w:val="32"/>
          <w:szCs w:val="32"/>
          <w:highlight w:val="none"/>
          <w:lang w:val="en-US" w:eastAsia="zh-CN" w:bidi="ar-SA"/>
        </w:rPr>
        <w:t>5.包装、标记、运输和交付</w:t>
      </w:r>
      <w:bookmarkEnd w:id="612"/>
      <w:bookmarkEnd w:id="61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 </w:t>
      </w:r>
      <w:r>
        <w:rPr>
          <w:rFonts w:hint="eastAsia" w:ascii="宋体" w:hAnsi="宋体"/>
          <w:color w:val="auto"/>
          <w:szCs w:val="21"/>
          <w:highlight w:val="none"/>
        </w:rPr>
        <w:t>包装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5.1.1 </w:t>
      </w:r>
      <w:r>
        <w:rPr>
          <w:rFonts w:hint="eastAsia" w:ascii="宋体" w:hAnsi="宋体"/>
          <w:color w:val="auto"/>
          <w:szCs w:val="21"/>
          <w:highlight w:val="none"/>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5.1.2 </w:t>
      </w:r>
      <w:r>
        <w:rPr>
          <w:rFonts w:hint="eastAsia" w:ascii="宋体" w:hAnsi="宋体"/>
          <w:color w:val="auto"/>
          <w:szCs w:val="21"/>
          <w:highlight w:val="none"/>
        </w:rPr>
        <w:t>每个独立包装箱内应附装箱清单、质量合格证、装配图、说明书、操作指南等资料。</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另有约定外，卖方应在每一包装箱相邻的四个侧面以不可擦除的、明显的方式标记必要的装运信息和标记，以满足合同设备运输和保管的需要。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5.2.2 </w:t>
      </w:r>
      <w:r>
        <w:rPr>
          <w:rFonts w:hint="eastAsia" w:ascii="宋体" w:hAnsi="宋体"/>
          <w:color w:val="auto"/>
          <w:szCs w:val="21"/>
          <w:highlight w:val="none"/>
        </w:rPr>
        <w:t>根据合同设备的特点和运输、保管的不同要求，卖方应在包装箱上清楚地标注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等字样和其他适当标记。对于</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约定的超大超重件，卖方应在包装箱两侧标注</w:t>
      </w:r>
      <w:r>
        <w:rPr>
          <w:rFonts w:ascii="宋体" w:hAnsi="宋体"/>
          <w:color w:val="auto"/>
          <w:szCs w:val="21"/>
          <w:highlight w:val="none"/>
        </w:rPr>
        <w:t>“</w:t>
      </w:r>
      <w:r>
        <w:rPr>
          <w:rFonts w:hint="eastAsia" w:ascii="宋体" w:hAnsi="宋体"/>
          <w:color w:val="auto"/>
          <w:szCs w:val="21"/>
          <w:highlight w:val="none"/>
        </w:rPr>
        <w:t>重心</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起吊点</w:t>
      </w:r>
      <w:r>
        <w:rPr>
          <w:rFonts w:ascii="宋体" w:hAnsi="宋体"/>
          <w:color w:val="auto"/>
          <w:szCs w:val="21"/>
          <w:highlight w:val="none"/>
        </w:rPr>
        <w:t>”</w:t>
      </w:r>
      <w:r>
        <w:rPr>
          <w:rFonts w:hint="eastAsia" w:ascii="宋体" w:hAnsi="宋体"/>
          <w:color w:val="auto"/>
          <w:szCs w:val="21"/>
          <w:highlight w:val="none"/>
        </w:rPr>
        <w:t>以便装卸和搬运。如果发运合同设备中含有易燃易爆物品、腐蚀物品、放射性物质等危险品，则应在包装箱上标明危险品标志。</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 </w:t>
      </w:r>
      <w:r>
        <w:rPr>
          <w:rFonts w:hint="eastAsia" w:ascii="宋体" w:hAnsi="宋体"/>
          <w:color w:val="auto"/>
          <w:szCs w:val="21"/>
          <w:highlight w:val="none"/>
        </w:rPr>
        <w:t>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5.3.1 </w:t>
      </w:r>
      <w:r>
        <w:rPr>
          <w:rFonts w:hint="eastAsia" w:ascii="宋体" w:hAnsi="宋体"/>
          <w:color w:val="auto"/>
          <w:szCs w:val="21"/>
          <w:highlight w:val="none"/>
        </w:rPr>
        <w:t>卖方应自行选择适宜的运输工具及线路安排合同设备运输。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另有约定外，每件能够独立运行的设备应整套装运。该设备安装、调试、考核和运行所使用的备品、备件、易损易耗件等应随相关的主机一齐装运。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另有约定外，卖方应在合同设备预计启运</w:t>
      </w:r>
      <w:r>
        <w:rPr>
          <w:rFonts w:ascii="宋体" w:hAnsi="宋体"/>
          <w:color w:val="auto"/>
          <w:szCs w:val="21"/>
          <w:highlight w:val="none"/>
        </w:rPr>
        <w:t xml:space="preserve"> 7 </w:t>
      </w:r>
      <w:r>
        <w:rPr>
          <w:rFonts w:hint="eastAsia" w:ascii="宋体" w:hAnsi="宋体"/>
          <w:color w:val="auto"/>
          <w:szCs w:val="21"/>
          <w:highlight w:val="none"/>
        </w:rPr>
        <w:t>日前，将合同设备名称、数量、箱数、总毛重、总体积（用</w:t>
      </w:r>
      <w:r>
        <w:rPr>
          <w:rFonts w:ascii="宋体" w:hAnsi="宋体"/>
          <w:color w:val="auto"/>
          <w:szCs w:val="21"/>
          <w:highlight w:val="none"/>
        </w:rPr>
        <w:t xml:space="preserve"> m3 </w:t>
      </w:r>
      <w:r>
        <w:rPr>
          <w:rFonts w:hint="eastAsia" w:ascii="宋体" w:hAnsi="宋体"/>
          <w:color w:val="auto"/>
          <w:szCs w:val="21"/>
          <w:highlight w:val="none"/>
        </w:rPr>
        <w:t>表示）、每箱尺寸（长</w:t>
      </w:r>
      <w:r>
        <w:rPr>
          <w:rFonts w:ascii="宋体" w:hAnsi="宋体"/>
          <w:color w:val="auto"/>
          <w:szCs w:val="21"/>
          <w:highlight w:val="none"/>
        </w:rPr>
        <w:t>×</w:t>
      </w:r>
      <w:r>
        <w:rPr>
          <w:rFonts w:hint="eastAsia" w:ascii="宋体" w:hAnsi="宋体"/>
          <w:color w:val="auto"/>
          <w:szCs w:val="21"/>
          <w:highlight w:val="none"/>
        </w:rPr>
        <w:t>宽</w:t>
      </w:r>
      <w:r>
        <w:rPr>
          <w:rFonts w:ascii="宋体" w:hAnsi="宋体"/>
          <w:color w:val="auto"/>
          <w:szCs w:val="21"/>
          <w:highlight w:val="none"/>
        </w:rPr>
        <w:t>×</w:t>
      </w:r>
      <w:r>
        <w:rPr>
          <w:rFonts w:hint="eastAsia" w:ascii="宋体" w:hAnsi="宋体"/>
          <w:color w:val="auto"/>
          <w:szCs w:val="21"/>
          <w:highlight w:val="none"/>
        </w:rPr>
        <w:t>高）、装运合同设备总金额、运输方式、预计交付日期和合同设备在运输、装卸、保管中的注意事项等预通知买方，并在合同设备启运后</w:t>
      </w:r>
      <w:r>
        <w:rPr>
          <w:rFonts w:ascii="宋体" w:hAnsi="宋体"/>
          <w:color w:val="auto"/>
          <w:szCs w:val="21"/>
          <w:highlight w:val="none"/>
        </w:rPr>
        <w:t xml:space="preserve"> 24 </w:t>
      </w:r>
      <w:r>
        <w:rPr>
          <w:rFonts w:hint="eastAsia" w:ascii="宋体" w:hAnsi="宋体"/>
          <w:color w:val="auto"/>
          <w:szCs w:val="21"/>
          <w:highlight w:val="none"/>
        </w:rPr>
        <w:t>小时之内正式通知买方。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5.3.4 </w:t>
      </w:r>
      <w:r>
        <w:rPr>
          <w:rFonts w:hint="eastAsia" w:ascii="宋体" w:hAnsi="宋体"/>
          <w:color w:val="auto"/>
          <w:szCs w:val="21"/>
          <w:highlight w:val="none"/>
        </w:rPr>
        <w:t>卖方在根据第</w:t>
      </w:r>
      <w:r>
        <w:rPr>
          <w:rFonts w:ascii="宋体" w:hAnsi="宋体"/>
          <w:color w:val="auto"/>
          <w:szCs w:val="21"/>
          <w:highlight w:val="none"/>
        </w:rPr>
        <w:t xml:space="preserve"> 5.3.3 </w:t>
      </w:r>
      <w:r>
        <w:rPr>
          <w:rFonts w:hint="eastAsia" w:ascii="宋体" w:hAnsi="宋体"/>
          <w:color w:val="auto"/>
          <w:szCs w:val="21"/>
          <w:highlight w:val="none"/>
        </w:rPr>
        <w:t>项进行通知时，如果发运合同设备中包括</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交付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设备交付给买方，买方对卖方交付的合同设备的外观及件数进行清点核验后应签发收货清单。买方签发收货清单不代表对合同设备的接受，双方还应按合同约定进行后续的检验和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5.4.2 </w:t>
      </w:r>
      <w:r>
        <w:rPr>
          <w:rFonts w:hint="eastAsia" w:ascii="宋体" w:hAnsi="宋体"/>
          <w:color w:val="auto"/>
          <w:szCs w:val="21"/>
          <w:highlight w:val="none"/>
        </w:rPr>
        <w:t>合同设备的所有权和风险自交付时起由卖方转移至买方，合同设备交付给买方之前包括运输在内的所有风险均由卖方承担。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 xml:space="preserve"> 7 </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日内补齐丢失和（或）损坏的部分，但买方应向卖方支付合理的复制、邮寄费用。</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14" w:name="_Toc2881585"/>
      <w:bookmarkStart w:id="615" w:name="_Toc18843"/>
      <w:r>
        <w:rPr>
          <w:rFonts w:hint="eastAsia" w:ascii="Times New Roman" w:hAnsi="Times New Roman" w:eastAsia="宋体" w:cs="Times New Roman"/>
          <w:b/>
          <w:bCs/>
          <w:color w:val="auto"/>
          <w:kern w:val="2"/>
          <w:sz w:val="32"/>
          <w:szCs w:val="32"/>
          <w:highlight w:val="none"/>
          <w:lang w:val="en-US" w:eastAsia="zh-CN" w:bidi="ar-SA"/>
        </w:rPr>
        <w:t>6.</w:t>
      </w:r>
      <w:bookmarkStart w:id="616" w:name="_Hlk2544388"/>
      <w:r>
        <w:rPr>
          <w:rFonts w:hint="eastAsia" w:ascii="Times New Roman" w:hAnsi="Times New Roman" w:eastAsia="宋体" w:cs="Times New Roman"/>
          <w:b/>
          <w:bCs/>
          <w:color w:val="auto"/>
          <w:kern w:val="2"/>
          <w:sz w:val="32"/>
          <w:szCs w:val="32"/>
          <w:highlight w:val="none"/>
          <w:lang w:val="en-US" w:eastAsia="zh-CN" w:bidi="ar-SA"/>
        </w:rPr>
        <w:t>开箱检验、安装、调试、考核、验收</w:t>
      </w:r>
      <w:bookmarkEnd w:id="614"/>
      <w:bookmarkEnd w:id="615"/>
      <w:bookmarkEnd w:id="616"/>
    </w:p>
    <w:p>
      <w:pPr>
        <w:tabs>
          <w:tab w:val="left" w:pos="1134"/>
        </w:tabs>
        <w:spacing w:line="360" w:lineRule="auto"/>
        <w:ind w:firstLine="420" w:firstLineChars="200"/>
        <w:rPr>
          <w:rFonts w:ascii="宋体" w:hAnsi="宋体"/>
          <w:color w:val="auto"/>
          <w:szCs w:val="21"/>
          <w:highlight w:val="none"/>
        </w:rPr>
      </w:pPr>
      <w:bookmarkStart w:id="617" w:name="_Hlk2544430"/>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合同设备交付后应进行开箱检验，即合同设备数量及外观检验。开箱检验在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约定的下列任一种时间进行：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bookmarkStart w:id="618" w:name="_Hlk2544566"/>
      <w:r>
        <w:rPr>
          <w:rFonts w:hint="eastAsia" w:ascii="宋体" w:hAnsi="宋体"/>
          <w:color w:val="auto"/>
          <w:szCs w:val="21"/>
          <w:highlight w:val="none"/>
        </w:rPr>
        <w:t>合同设备交付时</w:t>
      </w:r>
      <w:bookmarkEnd w:id="618"/>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bookmarkStart w:id="619" w:name="_Hlk2544586"/>
      <w:r>
        <w:rPr>
          <w:rFonts w:hint="eastAsia" w:ascii="宋体" w:hAnsi="宋体"/>
          <w:color w:val="auto"/>
          <w:szCs w:val="21"/>
          <w:highlight w:val="none"/>
        </w:rPr>
        <w:t>合同设备交付后的一定期限内</w:t>
      </w:r>
      <w:bookmarkEnd w:id="619"/>
      <w:r>
        <w:rPr>
          <w:rFonts w:hint="eastAsia" w:ascii="宋体" w:hAnsi="宋体"/>
          <w:color w:val="auto"/>
          <w:szCs w:val="21"/>
          <w:highlight w:val="none"/>
        </w:rPr>
        <w:t>。如开箱检验不在合同设备交付时进行，买方应在开箱检验</w:t>
      </w:r>
      <w:r>
        <w:rPr>
          <w:rFonts w:ascii="宋体" w:hAnsi="宋体"/>
          <w:color w:val="auto"/>
          <w:szCs w:val="21"/>
          <w:highlight w:val="none"/>
        </w:rPr>
        <w:t xml:space="preserve"> 3 </w:t>
      </w:r>
      <w:r>
        <w:rPr>
          <w:rFonts w:hint="eastAsia" w:ascii="宋体" w:hAnsi="宋体"/>
          <w:color w:val="auto"/>
          <w:szCs w:val="21"/>
          <w:highlight w:val="none"/>
        </w:rPr>
        <w:t>日前将开箱检验的时间和地点通知卖方。</w:t>
      </w:r>
    </w:p>
    <w:bookmarkEnd w:id="617"/>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另有约定外，合同设备的开箱检验应在施工场地进行。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6.1.3 </w:t>
      </w:r>
      <w:r>
        <w:rPr>
          <w:rFonts w:hint="eastAsia" w:ascii="宋体" w:hAnsi="宋体"/>
          <w:color w:val="auto"/>
          <w:szCs w:val="21"/>
          <w:highlight w:val="none"/>
        </w:rPr>
        <w:t>开箱检验由买卖双方共同进行，卖方应自负费用派遣代表到场参加开箱检验。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6.1.4 </w:t>
      </w:r>
      <w:r>
        <w:rPr>
          <w:rFonts w:hint="eastAsia" w:ascii="宋体" w:hAnsi="宋体"/>
          <w:color w:val="auto"/>
          <w:szCs w:val="21"/>
          <w:highlight w:val="none"/>
        </w:rPr>
        <w:t>在开箱检验中，买方和卖方应共同签署数量、外观检验报告，报告应列明检验结果，包括检验合格或发现的任何短缺、损坏或其它与合同约定不符的情形。</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6.1.5 </w:t>
      </w:r>
      <w:r>
        <w:rPr>
          <w:rFonts w:hint="eastAsia" w:ascii="宋体" w:hAnsi="宋体"/>
          <w:color w:val="auto"/>
          <w:szCs w:val="21"/>
          <w:highlight w:val="none"/>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6.1.6 </w:t>
      </w:r>
      <w:r>
        <w:rPr>
          <w:rFonts w:hint="eastAsia" w:ascii="宋体" w:hAnsi="宋体"/>
          <w:color w:val="auto"/>
          <w:szCs w:val="21"/>
          <w:highlight w:val="none"/>
        </w:rPr>
        <w:t>如开箱检验不在合同设备交付时进行，则合同设备交付以后到开箱检验之前，应由买方负责按交货时外包装原样对合同设备进行妥善保管。除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w:t>
      </w:r>
      <w:r>
        <w:rPr>
          <w:rFonts w:ascii="宋体" w:hAnsi="宋体"/>
          <w:color w:val="auto"/>
          <w:szCs w:val="21"/>
          <w:highlight w:val="none"/>
        </w:rPr>
        <w:t xml:space="preserve"> </w:t>
      </w:r>
      <w:r>
        <w:rPr>
          <w:rFonts w:hint="eastAsia" w:ascii="宋体" w:hAnsi="宋体"/>
          <w:color w:val="auto"/>
          <w:szCs w:val="21"/>
          <w:highlight w:val="none"/>
        </w:rPr>
        <w:t>导致的除外。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6.1.7 </w:t>
      </w:r>
      <w:r>
        <w:rPr>
          <w:rFonts w:hint="eastAsia" w:ascii="宋体" w:hAnsi="宋体"/>
          <w:color w:val="auto"/>
          <w:szCs w:val="21"/>
          <w:highlight w:val="none"/>
        </w:rPr>
        <w:t>如双方在</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和（或）供货要求等合同文件中约定由第三方检测机构对合同设备进行开箱检验或在开箱检验过程中另行约定由第三方检验的，则第三方检测机构的检验结果对双方均具有约束力。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6.1.8 </w:t>
      </w:r>
      <w:r>
        <w:rPr>
          <w:rFonts w:hint="eastAsia" w:ascii="宋体" w:hAnsi="宋体"/>
          <w:color w:val="auto"/>
          <w:szCs w:val="21"/>
          <w:highlight w:val="none"/>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 </w:t>
      </w:r>
      <w:bookmarkStart w:id="620" w:name="_Hlk2545099"/>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开箱检验完成后，双方应对合同设备进行安装、调试，以使其具备考核的状态。安装、调试应按照</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约定的下列任一种方式进行：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bookmarkEnd w:id="620"/>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w:t>
      </w:r>
      <w:bookmarkStart w:id="621" w:name="_Hlk2545657"/>
      <w:r>
        <w:rPr>
          <w:rFonts w:hint="eastAsia" w:ascii="宋体" w:hAnsi="宋体"/>
          <w:color w:val="auto"/>
          <w:szCs w:val="21"/>
          <w:highlight w:val="none"/>
        </w:rPr>
        <w:t>安装、调试中合同设备运行需要的用水、用电、其他动力和原材料（如需要）等均由买方承担</w:t>
      </w:r>
      <w:bookmarkEnd w:id="621"/>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6.2.3 </w:t>
      </w:r>
      <w:r>
        <w:rPr>
          <w:rFonts w:hint="eastAsia" w:ascii="宋体" w:hAnsi="宋体"/>
          <w:color w:val="auto"/>
          <w:szCs w:val="21"/>
          <w:highlight w:val="none"/>
        </w:rPr>
        <w:t>双方应对合同设备的安装、调试情况共同及时进行记录。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6.3.1 </w:t>
      </w:r>
      <w:r>
        <w:rPr>
          <w:rFonts w:hint="eastAsia" w:ascii="宋体" w:hAnsi="宋体"/>
          <w:color w:val="auto"/>
          <w:szCs w:val="21"/>
          <w:highlight w:val="none"/>
        </w:rPr>
        <w:t>安装、调试完成后，双方应对合同设备进行考核，以确定合同设备是否达到合同约定的技术性能考核指标。除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另有约定外，考核中合同设备运行需要的用水、用电、其他动力和原材料（如需要）等均由买方承担。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6.3.2 </w:t>
      </w:r>
      <w:r>
        <w:rPr>
          <w:rFonts w:hint="eastAsia" w:ascii="宋体" w:hAnsi="宋体"/>
          <w:color w:val="auto"/>
          <w:szCs w:val="21"/>
          <w:highlight w:val="none"/>
        </w:rPr>
        <w:t>如由于卖方原因合同设备在考核中未能达到合同约定的技术性能考核指标，则卖方应在双方同意的期限内采取措施消除合同设备中存在的缺陷，并在缺陷消除以后，尽快进行再次考核。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6.3.3 </w:t>
      </w:r>
      <w:r>
        <w:rPr>
          <w:rFonts w:hint="eastAsia" w:ascii="宋体" w:hAnsi="宋体"/>
          <w:color w:val="auto"/>
          <w:szCs w:val="21"/>
          <w:highlight w:val="none"/>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w:t>
      </w:r>
      <w:r>
        <w:rPr>
          <w:rFonts w:hint="eastAsia"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6.3.4 </w:t>
      </w:r>
      <w:r>
        <w:rPr>
          <w:rFonts w:hint="eastAsia" w:ascii="宋体" w:hAnsi="宋体"/>
          <w:color w:val="auto"/>
          <w:szCs w:val="21"/>
          <w:highlight w:val="none"/>
        </w:rPr>
        <w:t>如由于买方原因合同设备在考核中未能达到合同约定的技术性能考核指标，则卖方应协助买方安排再次考核。由于买方原因未能达到技术性能考核指标时，为买方进行考核的机会不超过三次。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6.3.5 </w:t>
      </w:r>
      <w:r>
        <w:rPr>
          <w:rFonts w:hint="eastAsia" w:ascii="宋体" w:hAnsi="宋体"/>
          <w:color w:val="auto"/>
          <w:szCs w:val="21"/>
          <w:highlight w:val="none"/>
        </w:rPr>
        <w:t>考核期间，双方应及时共同记录合同设备的用水、用电、其他动力和原材料（如有）的使用及设备考核情况。对于未达到技术性能考核指标的，应如实记录设备表现、可能原因及处理情况等。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 </w:t>
      </w:r>
      <w:r>
        <w:rPr>
          <w:rFonts w:hint="eastAsia" w:ascii="宋体" w:hAnsi="宋体"/>
          <w:color w:val="auto"/>
          <w:szCs w:val="21"/>
          <w:highlight w:val="none"/>
        </w:rPr>
        <w:t>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6.4.1 </w:t>
      </w:r>
      <w:r>
        <w:rPr>
          <w:rFonts w:hint="eastAsia" w:ascii="宋体" w:hAnsi="宋体"/>
          <w:color w:val="auto"/>
          <w:szCs w:val="21"/>
          <w:highlight w:val="none"/>
        </w:rPr>
        <w:t xml:space="preserve">如合同设备在考核中达到或视为达到技术性能考核指标，则买卖双方应在考核完成后 </w:t>
      </w:r>
      <w:r>
        <w:rPr>
          <w:rFonts w:ascii="宋体" w:hAnsi="宋体"/>
          <w:color w:val="auto"/>
          <w:szCs w:val="21"/>
          <w:highlight w:val="none"/>
        </w:rPr>
        <w:t xml:space="preserve">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另行约定的时间内签署合同设备验收证书一式二份，双方各持一份。验收日期应为合同设备达到或视为达到技术性能考核指标的日期。</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6.4.2 </w:t>
      </w:r>
      <w:r>
        <w:rPr>
          <w:rFonts w:hint="eastAsia" w:ascii="宋体" w:hAnsi="宋体"/>
          <w:color w:val="auto"/>
          <w:szCs w:val="21"/>
          <w:highlight w:val="none"/>
        </w:rPr>
        <w:t>如由于买方原因合同设备在三次考核中均未能达到技术性能考核指标，买卖双方应在考核结束后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个月内应买方要求提供相关技术服务，协助买方采取一切必要措施使合同设备达到技术性能考核指标。买方应承担卖方因此产生的全部费用。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12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另有约定外，如由于买方原因在最后一批合同设备交货后</w:t>
      </w:r>
      <w:r>
        <w:rPr>
          <w:rFonts w:ascii="宋体" w:hAnsi="宋体"/>
          <w:color w:val="auto"/>
          <w:szCs w:val="21"/>
          <w:highlight w:val="none"/>
        </w:rPr>
        <w:t xml:space="preserve"> 6 </w:t>
      </w:r>
      <w:r>
        <w:rPr>
          <w:rFonts w:hint="eastAsia" w:ascii="宋体" w:hAnsi="宋体"/>
          <w:color w:val="auto"/>
          <w:szCs w:val="21"/>
          <w:highlight w:val="none"/>
        </w:rPr>
        <w:t>个月内未能开始考核，则买卖双方应在上述期限届满后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个月内应买方要求提供不超出合同范围的技术服务，协助买方采取一切必要措施使合同设备达到技术性能考核指标，且买方无需因此向卖方支付费用。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6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6.4.4 </w:t>
      </w:r>
      <w:r>
        <w:rPr>
          <w:rFonts w:hint="eastAsia" w:ascii="宋体" w:hAnsi="宋体"/>
          <w:color w:val="auto"/>
          <w:szCs w:val="21"/>
          <w:highlight w:val="none"/>
        </w:rPr>
        <w:t>在第</w:t>
      </w:r>
      <w:r>
        <w:rPr>
          <w:rFonts w:ascii="宋体" w:hAnsi="宋体"/>
          <w:color w:val="auto"/>
          <w:szCs w:val="21"/>
          <w:highlight w:val="none"/>
        </w:rPr>
        <w:t xml:space="preserve"> 6.4.2 </w:t>
      </w:r>
      <w:r>
        <w:rPr>
          <w:rFonts w:hint="eastAsia" w:ascii="宋体" w:hAnsi="宋体"/>
          <w:color w:val="auto"/>
          <w:szCs w:val="21"/>
          <w:highlight w:val="none"/>
        </w:rPr>
        <w:t>项和第</w:t>
      </w:r>
      <w:r>
        <w:rPr>
          <w:rFonts w:ascii="宋体" w:hAnsi="宋体"/>
          <w:color w:val="auto"/>
          <w:szCs w:val="21"/>
          <w:highlight w:val="none"/>
        </w:rPr>
        <w:t xml:space="preserve"> 6.4.3 </w:t>
      </w:r>
      <w:r>
        <w:rPr>
          <w:rFonts w:hint="eastAsia" w:ascii="宋体" w:hAnsi="宋体"/>
          <w:color w:val="auto"/>
          <w:szCs w:val="21"/>
          <w:highlight w:val="none"/>
        </w:rPr>
        <w:t>项情形下，卖方也可单方签署验收款支付函提交买方，如果买方在收到卖方签署的验收款支付函后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日内未向卖方提出书面异议，则验收款支付函自签署之日起生效。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6.4.5 </w:t>
      </w:r>
      <w:r>
        <w:rPr>
          <w:rFonts w:hint="eastAsia" w:ascii="宋体" w:hAnsi="宋体"/>
          <w:color w:val="auto"/>
          <w:szCs w:val="21"/>
          <w:highlight w:val="none"/>
        </w:rPr>
        <w:t>合同设备验收证书的签署不能免除卖方在质量保证期内对合同设备应承担的保证责任。</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2" w:name="_Toc2881586"/>
      <w:bookmarkStart w:id="623" w:name="_Toc3333"/>
      <w:r>
        <w:rPr>
          <w:rFonts w:hint="eastAsia" w:ascii="Times New Roman" w:hAnsi="Times New Roman" w:eastAsia="宋体" w:cs="Times New Roman"/>
          <w:b/>
          <w:bCs/>
          <w:color w:val="auto"/>
          <w:kern w:val="2"/>
          <w:sz w:val="32"/>
          <w:szCs w:val="32"/>
          <w:highlight w:val="none"/>
          <w:lang w:val="en-US" w:eastAsia="zh-CN" w:bidi="ar-SA"/>
        </w:rPr>
        <w:t>7.技术服务</w:t>
      </w:r>
      <w:bookmarkEnd w:id="622"/>
      <w:bookmarkEnd w:id="62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卖方应派遣技术熟练、称职的技术人员到施工场地为买方提供技术服务。卖方的技术服务应符合合同的约定。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如果任何技术人员不合格，买方有权要求卖方撤换，因撤换而产生的费用应由卖方承担。在不影响技术服务并且征得买方同意的条件下，卖方也可自负费用更换其技术人员。</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4" w:name="_Toc2881587"/>
      <w:bookmarkStart w:id="625" w:name="_Toc3986"/>
      <w:r>
        <w:rPr>
          <w:rFonts w:hint="eastAsia" w:ascii="Times New Roman" w:hAnsi="Times New Roman" w:eastAsia="宋体" w:cs="Times New Roman"/>
          <w:b/>
          <w:bCs/>
          <w:color w:val="auto"/>
          <w:kern w:val="2"/>
          <w:sz w:val="32"/>
          <w:szCs w:val="32"/>
          <w:highlight w:val="none"/>
          <w:lang w:val="en-US" w:eastAsia="zh-CN" w:bidi="ar-SA"/>
        </w:rPr>
        <w:t>8.质量保证期</w:t>
      </w:r>
      <w:bookmarkEnd w:id="624"/>
      <w:bookmarkEnd w:id="625"/>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和（或）供货要求等合同文件另有约定外，合同设备整体质量保证期为验收之日起</w:t>
      </w:r>
      <w:r>
        <w:rPr>
          <w:rFonts w:ascii="宋体" w:hAnsi="宋体"/>
          <w:color w:val="auto"/>
          <w:szCs w:val="21"/>
          <w:highlight w:val="none"/>
        </w:rPr>
        <w:t xml:space="preserve"> 12 </w:t>
      </w:r>
      <w:r>
        <w:rPr>
          <w:rFonts w:hint="eastAsia" w:ascii="宋体" w:hAnsi="宋体"/>
          <w:color w:val="auto"/>
          <w:szCs w:val="21"/>
          <w:highlight w:val="none"/>
        </w:rPr>
        <w:t>个月。如对合同设备中关键部件的质量保证期有特殊要求的，买卖双方可在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中约定。在合同第</w:t>
      </w:r>
      <w:r>
        <w:rPr>
          <w:rFonts w:ascii="宋体" w:hAnsi="宋体"/>
          <w:color w:val="auto"/>
          <w:szCs w:val="21"/>
          <w:highlight w:val="none"/>
        </w:rPr>
        <w:t xml:space="preserve"> 6.4.2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12 </w:t>
      </w:r>
      <w:r>
        <w:rPr>
          <w:rFonts w:hint="eastAsia" w:ascii="宋体" w:hAnsi="宋体"/>
          <w:color w:val="auto"/>
          <w:szCs w:val="21"/>
          <w:highlight w:val="none"/>
        </w:rPr>
        <w:t>个月。在合同第</w:t>
      </w:r>
      <w:r>
        <w:rPr>
          <w:rFonts w:ascii="宋体" w:hAnsi="宋体"/>
          <w:color w:val="auto"/>
          <w:szCs w:val="21"/>
          <w:highlight w:val="none"/>
        </w:rPr>
        <w:t xml:space="preserve"> 6.4.3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6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8.2 </w:t>
      </w:r>
      <w:r>
        <w:rPr>
          <w:rFonts w:hint="eastAsia" w:ascii="宋体" w:hAnsi="宋体"/>
          <w:color w:val="auto"/>
          <w:szCs w:val="21"/>
          <w:highlight w:val="none"/>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8.3 </w:t>
      </w:r>
      <w:r>
        <w:rPr>
          <w:rFonts w:hint="eastAsia" w:ascii="宋体" w:hAnsi="宋体"/>
          <w:color w:val="auto"/>
          <w:szCs w:val="21"/>
          <w:highlight w:val="none"/>
        </w:rPr>
        <w:t>质量保证期届满后，买方应在</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另行约定的时间内向卖方出具合同设备的质量保证期届满证书。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8.4 </w:t>
      </w:r>
      <w:r>
        <w:rPr>
          <w:rFonts w:hint="eastAsia" w:ascii="宋体" w:hAnsi="宋体"/>
          <w:color w:val="auto"/>
          <w:szCs w:val="21"/>
          <w:highlight w:val="none"/>
        </w:rPr>
        <w:t>在合同第</w:t>
      </w:r>
      <w:r>
        <w:rPr>
          <w:rFonts w:ascii="宋体" w:hAnsi="宋体"/>
          <w:color w:val="auto"/>
          <w:szCs w:val="21"/>
          <w:highlight w:val="none"/>
        </w:rPr>
        <w:t xml:space="preserve"> 6.4.2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个月内由于买方原因合同设备仍未能达到技术性能考核指标，则买卖双方应在该</w:t>
      </w:r>
      <w:r>
        <w:rPr>
          <w:rFonts w:ascii="宋体" w:hAnsi="宋体"/>
          <w:color w:val="auto"/>
          <w:szCs w:val="21"/>
          <w:highlight w:val="none"/>
        </w:rPr>
        <w:t xml:space="preserve"> 12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8.5 </w:t>
      </w:r>
      <w:r>
        <w:rPr>
          <w:rFonts w:hint="eastAsia" w:ascii="宋体" w:hAnsi="宋体"/>
          <w:color w:val="auto"/>
          <w:szCs w:val="21"/>
          <w:highlight w:val="none"/>
        </w:rPr>
        <w:t>在合同第</w:t>
      </w:r>
      <w:r>
        <w:rPr>
          <w:rFonts w:ascii="宋体" w:hAnsi="宋体"/>
          <w:color w:val="auto"/>
          <w:szCs w:val="21"/>
          <w:highlight w:val="none"/>
        </w:rPr>
        <w:t xml:space="preserve"> 6.4.3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个月内由于买方原因合同设备仍未进行考核或仍未达到技术性能考核指标，则买卖双方应在该</w:t>
      </w:r>
      <w:r>
        <w:rPr>
          <w:rFonts w:ascii="宋体" w:hAnsi="宋体"/>
          <w:color w:val="auto"/>
          <w:szCs w:val="21"/>
          <w:highlight w:val="none"/>
        </w:rPr>
        <w:t xml:space="preserve"> 6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8.6 </w:t>
      </w:r>
      <w:r>
        <w:rPr>
          <w:rFonts w:hint="eastAsia" w:ascii="宋体" w:hAnsi="宋体"/>
          <w:color w:val="auto"/>
          <w:szCs w:val="21"/>
          <w:highlight w:val="none"/>
        </w:rPr>
        <w:t>在第</w:t>
      </w:r>
      <w:r>
        <w:rPr>
          <w:rFonts w:ascii="宋体" w:hAnsi="宋体"/>
          <w:color w:val="auto"/>
          <w:szCs w:val="21"/>
          <w:highlight w:val="none"/>
        </w:rPr>
        <w:t xml:space="preserve"> 8.4 </w:t>
      </w:r>
      <w:r>
        <w:rPr>
          <w:rFonts w:hint="eastAsia" w:ascii="宋体" w:hAnsi="宋体"/>
          <w:color w:val="auto"/>
          <w:szCs w:val="21"/>
          <w:highlight w:val="none"/>
        </w:rPr>
        <w:t>款和第</w:t>
      </w:r>
      <w:r>
        <w:rPr>
          <w:rFonts w:ascii="宋体" w:hAnsi="宋体"/>
          <w:color w:val="auto"/>
          <w:szCs w:val="21"/>
          <w:highlight w:val="none"/>
        </w:rPr>
        <w:t xml:space="preserve"> 8.5 </w:t>
      </w:r>
      <w:r>
        <w:rPr>
          <w:rFonts w:hint="eastAsia" w:ascii="宋体" w:hAnsi="宋体"/>
          <w:color w:val="auto"/>
          <w:szCs w:val="21"/>
          <w:highlight w:val="none"/>
        </w:rPr>
        <w:t>款情形下，卖方也可单方签署结清款支付函提交买方，如果买方在收到卖方签署的结清款支付函后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日内未向卖方提出书面异议，则结清款支付函自签署之日起生效。</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6" w:name="_Toc14141"/>
      <w:bookmarkStart w:id="627" w:name="_Toc2881588"/>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9.质保期服务</w:t>
      </w:r>
      <w:bookmarkEnd w:id="626"/>
      <w:bookmarkEnd w:id="62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9.1 </w:t>
      </w:r>
      <w:r>
        <w:rPr>
          <w:rFonts w:hint="eastAsia" w:ascii="宋体" w:hAnsi="宋体"/>
          <w:color w:val="auto"/>
          <w:szCs w:val="21"/>
          <w:highlight w:val="none"/>
        </w:rPr>
        <w:t>卖方应为质保期服务配备充足的技术人员、工具和备件并保证提供的联系方式畅通。除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和（或）供货要求等合同文件另有约定外，卖方应在收到买方通知后</w:t>
      </w:r>
      <w:r>
        <w:rPr>
          <w:rFonts w:ascii="宋体" w:hAnsi="宋体"/>
          <w:color w:val="auto"/>
          <w:szCs w:val="21"/>
          <w:highlight w:val="none"/>
        </w:rPr>
        <w:t xml:space="preserve"> 24 </w:t>
      </w:r>
      <w:r>
        <w:rPr>
          <w:rFonts w:hint="eastAsia" w:ascii="宋体" w:hAnsi="宋体"/>
          <w:color w:val="auto"/>
          <w:szCs w:val="21"/>
          <w:highlight w:val="none"/>
        </w:rPr>
        <w:t>小时内做出响应，如需卖方到合同设备现场，卖方应在收到买方通知后</w:t>
      </w:r>
      <w:r>
        <w:rPr>
          <w:rFonts w:ascii="宋体" w:hAnsi="宋体"/>
          <w:color w:val="auto"/>
          <w:szCs w:val="21"/>
          <w:highlight w:val="none"/>
        </w:rPr>
        <w:t xml:space="preserve"> 48 </w:t>
      </w:r>
      <w:r>
        <w:rPr>
          <w:rFonts w:hint="eastAsia" w:ascii="宋体" w:hAnsi="宋体"/>
          <w:color w:val="auto"/>
          <w:szCs w:val="21"/>
          <w:highlight w:val="none"/>
        </w:rPr>
        <w:t>小时内到达，并在到达后</w:t>
      </w:r>
      <w:r>
        <w:rPr>
          <w:rFonts w:ascii="宋体" w:hAnsi="宋体"/>
          <w:color w:val="auto"/>
          <w:szCs w:val="21"/>
          <w:highlight w:val="none"/>
        </w:rPr>
        <w:t xml:space="preserve"> 7 </w:t>
      </w:r>
      <w:r>
        <w:rPr>
          <w:rFonts w:hint="eastAsia" w:ascii="宋体" w:hAnsi="宋体"/>
          <w:color w:val="auto"/>
          <w:szCs w:val="21"/>
          <w:highlight w:val="none"/>
        </w:rPr>
        <w:t>日内解决合同设备的故障（重大故障除外）。如果卖方未在上述时间内作出响应，则买方有权自行或委托他人解决相关问题或查找和解决合同设备的故障，卖方应承担由此发生的全部费用。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9.2 </w:t>
      </w:r>
      <w:r>
        <w:rPr>
          <w:rFonts w:hint="eastAsia" w:ascii="宋体" w:hAnsi="宋体"/>
          <w:color w:val="auto"/>
          <w:szCs w:val="21"/>
          <w:highlight w:val="none"/>
        </w:rPr>
        <w:t>如卖方技术人员需到合同设备现场进行质保期服务，则买方应免费为卖方技术人员提供工作条件及便利，包括但不限于必要的办公场所、技术资料及出入许可等。除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9.3 </w:t>
      </w:r>
      <w:r>
        <w:rPr>
          <w:rFonts w:hint="eastAsia" w:ascii="宋体" w:hAnsi="宋体"/>
          <w:color w:val="auto"/>
          <w:szCs w:val="21"/>
          <w:highlight w:val="none"/>
        </w:rPr>
        <w:t>如果任何技术人员不合格，买方有权要求卖方撤换，因撤换而产生的费用应由卖方承担。在不影响质保期服务并且征得买方同意的条件下，卖方也可自负费用更换其技术人员。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9.4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另有约定外，卖方应就在施工现场进行质保期服务的情况进行记录，记载合同设备故障发生的时间、原因及解决情况等，由买方签字确认，并在质量保证期结束后提交给买方。</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28" w:name="_Toc2881589"/>
      <w:bookmarkStart w:id="629" w:name="_Toc12596"/>
      <w:r>
        <w:rPr>
          <w:rFonts w:hint="eastAsia" w:ascii="Times New Roman" w:hAnsi="Times New Roman" w:eastAsia="宋体" w:cs="Times New Roman"/>
          <w:b/>
          <w:bCs/>
          <w:color w:val="auto"/>
          <w:kern w:val="2"/>
          <w:sz w:val="32"/>
          <w:szCs w:val="32"/>
          <w:highlight w:val="none"/>
          <w:lang w:val="en-US" w:eastAsia="zh-CN" w:bidi="ar-SA"/>
        </w:rPr>
        <w:t>10.履约保证金</w:t>
      </w:r>
      <w:bookmarkEnd w:id="628"/>
      <w:bookmarkEnd w:id="62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另有约定外，履约保证金自合同生效之日起生效，在合同设备验收证书或验收款支付函签署之日起</w:t>
      </w:r>
      <w:r>
        <w:rPr>
          <w:rFonts w:ascii="宋体" w:hAnsi="宋体"/>
          <w:color w:val="auto"/>
          <w:szCs w:val="21"/>
          <w:highlight w:val="none"/>
        </w:rPr>
        <w:t xml:space="preserve"> 28 </w:t>
      </w:r>
      <w:r>
        <w:rPr>
          <w:rFonts w:hint="eastAsia" w:ascii="宋体" w:hAnsi="宋体"/>
          <w:color w:val="auto"/>
          <w:szCs w:val="21"/>
          <w:highlight w:val="none"/>
        </w:rPr>
        <w:t>日后失效。如果卖方不履行合同约定的义务或其履行不符合合同的约定，买方有权扣划相应金额的履约保证金。</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0" w:name="_Toc2881590"/>
      <w:bookmarkStart w:id="631" w:name="_Toc13211"/>
      <w:r>
        <w:rPr>
          <w:rFonts w:hint="eastAsia" w:ascii="Times New Roman" w:hAnsi="Times New Roman" w:eastAsia="宋体" w:cs="Times New Roman"/>
          <w:b/>
          <w:bCs/>
          <w:color w:val="auto"/>
          <w:kern w:val="2"/>
          <w:sz w:val="32"/>
          <w:szCs w:val="32"/>
          <w:highlight w:val="none"/>
          <w:lang w:val="en-US" w:eastAsia="zh-CN" w:bidi="ar-SA"/>
        </w:rPr>
        <w:t>11.保证</w:t>
      </w:r>
      <w:bookmarkEnd w:id="630"/>
      <w:bookmarkEnd w:id="63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卖方保证其具有完全的能力履行本合同项下的全部义务。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卖方保证其所提供的合同设备及对合同的履行符合所有应适用的法律、行政法规、地方性法规、自治条例和单行条例、规章及其他规范性文件的强制性规定。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卖方保证其对合同设备的销售不损害任何第三方的合法权益和社会公众利益。任何第三方不会因卖方原因而基于所有权、抵押权、留置权或其他任何权利或事由对合同设备主张权利。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卖方保证合同设备符合合同约定的规格、标准、技术性能考核指标等，能够安全和稳定地运行，且合同设备（包括全部部件）全新、完整、未使用过，除非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卖方保证，卖方所提供的技术资料完整、清晰、准确，符合合同约定并且能够满足合同设备的安装、调试、考核、操作以及维修和保养的需要。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卖方保证合同范围内提供的备品备件能够满足合同设备在质量保证期结束前正常运行及维修的需要，如在质量保证期结束前因卖方原因出现备品备件短缺影响合同设备正常运行的，卖方应免费提供。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）以不高于同期市场价格或其向任何第三方销售同类产品的价格提供合同设备正常运行所需的全部备品备件。或</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2" w:name="_Toc2881591"/>
      <w:bookmarkStart w:id="633" w:name="_Toc20980"/>
      <w:r>
        <w:rPr>
          <w:rFonts w:hint="eastAsia" w:ascii="Times New Roman" w:hAnsi="Times New Roman" w:eastAsia="宋体" w:cs="Times New Roman"/>
          <w:b/>
          <w:bCs/>
          <w:color w:val="auto"/>
          <w:kern w:val="2"/>
          <w:sz w:val="32"/>
          <w:szCs w:val="32"/>
          <w:highlight w:val="none"/>
          <w:lang w:val="en-US" w:eastAsia="zh-CN" w:bidi="ar-SA"/>
        </w:rPr>
        <w:t>12.知识产权</w:t>
      </w:r>
      <w:bookmarkEnd w:id="632"/>
      <w:bookmarkEnd w:id="63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买方在履行合同过程中提供给卖方的全部图纸、文件和其他含有数据和信息的资料，其知识产权属于买方。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另有约定外，买方不因签署和履行合同而享有卖方在履行合同过程中提供给买方的图纸、文件、配套软件、电子辅助程序和其他含有数据和信息的资料的知识产权。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如合同设备涉及知识产权，则卖方保证买方在使用合同设备过程中免于受到第三方提出的有关知识产权侵权的主张、索赔或诉讼的伤害。</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如果买方收到任何第三方有关知识产权的主张、索赔或诉讼，卖方在收到买方通知后，应以买方名义并在买方的协助下，自负费用处理与第三方的索赔或诉讼，并赔偿买方因此发生的费用和遭受的损失。除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另有约定外，如果卖方拒绝处理前述索赔或诉讼或在收到买方通知后</w:t>
      </w:r>
      <w:r>
        <w:rPr>
          <w:rFonts w:ascii="宋体" w:hAnsi="宋体"/>
          <w:color w:val="auto"/>
          <w:szCs w:val="21"/>
          <w:highlight w:val="none"/>
        </w:rPr>
        <w:t xml:space="preserve"> 28 </w:t>
      </w:r>
      <w:r>
        <w:rPr>
          <w:rFonts w:hint="eastAsia" w:ascii="宋体" w:hAnsi="宋体"/>
          <w:color w:val="auto"/>
          <w:szCs w:val="21"/>
          <w:highlight w:val="none"/>
        </w:rPr>
        <w:t>日内未作表示，买方可以自己的名义进行这些索赔或诉讼，因此发生的费用和遭受的损失均应由卖方承担。</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4" w:name="_Toc25322"/>
      <w:bookmarkStart w:id="635" w:name="_Toc2881592"/>
      <w:r>
        <w:rPr>
          <w:rFonts w:hint="eastAsia" w:ascii="Times New Roman" w:hAnsi="Times New Roman" w:eastAsia="宋体" w:cs="Times New Roman"/>
          <w:b/>
          <w:bCs/>
          <w:color w:val="auto"/>
          <w:kern w:val="2"/>
          <w:sz w:val="32"/>
          <w:szCs w:val="32"/>
          <w:highlight w:val="none"/>
          <w:lang w:val="en-US" w:eastAsia="zh-CN" w:bidi="ar-SA"/>
        </w:rPr>
        <w:t>13.保密</w:t>
      </w:r>
      <w:bookmarkEnd w:id="634"/>
      <w:bookmarkEnd w:id="635"/>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合同当事人的保密义务不适用于下列信息：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）非因接受信息一方的过失现在或以后进入公共领域的信息；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）接受信息一方当事人合法地从第三方获得并且据其善意了解第三方也不对此承担保密义务的信息；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）法律或法律的执行要求披露的信息。</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6" w:name="_Toc2881593"/>
      <w:bookmarkStart w:id="637" w:name="_Toc5619"/>
      <w:r>
        <w:rPr>
          <w:rFonts w:hint="eastAsia" w:ascii="Times New Roman" w:hAnsi="Times New Roman" w:eastAsia="宋体" w:cs="Times New Roman"/>
          <w:b/>
          <w:bCs/>
          <w:color w:val="auto"/>
          <w:kern w:val="2"/>
          <w:sz w:val="32"/>
          <w:szCs w:val="32"/>
          <w:highlight w:val="none"/>
          <w:lang w:val="en-US" w:eastAsia="zh-CN" w:bidi="ar-SA"/>
        </w:rPr>
        <w:t>14.违约责任</w:t>
      </w:r>
      <w:bookmarkEnd w:id="636"/>
      <w:bookmarkEnd w:id="63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合同一方不履行合同义务、履行合同义务不符合约定或者违反合同项下所作保证的，应向对方承担继续履行、采取修理、更换、退货等补救措施或者赔偿损失等违约责任。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卖方未能按时交付合同设备（包括仅迟延交付技术资料但足以导致合同设备安装、调</w:t>
      </w:r>
      <w:r>
        <w:rPr>
          <w:rFonts w:ascii="宋体" w:hAnsi="宋体"/>
          <w:color w:val="auto"/>
          <w:szCs w:val="21"/>
          <w:highlight w:val="none"/>
        </w:rPr>
        <w:t xml:space="preserve"> </w:t>
      </w:r>
      <w:r>
        <w:rPr>
          <w:rFonts w:hint="eastAsia" w:ascii="宋体" w:hAnsi="宋体"/>
          <w:color w:val="auto"/>
          <w:szCs w:val="21"/>
          <w:highlight w:val="none"/>
        </w:rPr>
        <w:t>试、考核、验收工作推迟的）的，应向买方支付迟延交付违约金。除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另有约定外，迟延交付违约金的计算方法如下：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）从迟交的第一周到第四周，每周迟延交付违约金为迟交合同设备价格的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）从迟交的第五周到第八周，每周迟延交付违约金为迟交合同设备价格的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）从迟交第九周起，每周迟延交付违约金为迟交合同设备价格的</w:t>
      </w:r>
      <w:r>
        <w:rPr>
          <w:rFonts w:ascii="宋体" w:hAnsi="宋体"/>
          <w:color w:val="auto"/>
          <w:szCs w:val="21"/>
          <w:highlight w:val="none"/>
        </w:rPr>
        <w:t xml:space="preserve"> 1.5%</w:t>
      </w:r>
      <w:r>
        <w:rPr>
          <w:rFonts w:hint="eastAsia" w:ascii="宋体" w:hAnsi="宋体"/>
          <w:color w:val="auto"/>
          <w:szCs w:val="21"/>
          <w:highlight w:val="none"/>
        </w:rPr>
        <w:t>。在计算迟延交付违约金时，迟交不足一周的按一周计算。迟延交付违约金的总额不得超过合同价格的</w:t>
      </w:r>
      <w:r>
        <w:rPr>
          <w:rFonts w:ascii="宋体" w:hAnsi="宋体"/>
          <w:color w:val="auto"/>
          <w:szCs w:val="21"/>
          <w:highlight w:val="none"/>
        </w:rPr>
        <w:t>10%</w:t>
      </w:r>
      <w:r>
        <w:rPr>
          <w:rFonts w:hint="eastAsia" w:ascii="宋体" w:hAnsi="宋体"/>
          <w:color w:val="auto"/>
          <w:szCs w:val="21"/>
          <w:highlight w:val="none"/>
        </w:rPr>
        <w:t>。迟延交付违约金的支付不能免除卖方继续交付相关合同设备的义务，但如迟延交付必然导致合同设备安装、调试、考核、验收工作推迟的，相关工作应相应顺延。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14.3 </w:t>
      </w:r>
      <w:r>
        <w:rPr>
          <w:rFonts w:hint="eastAsia" w:ascii="宋体" w:hAnsi="宋体"/>
          <w:color w:val="auto"/>
          <w:szCs w:val="21"/>
          <w:highlight w:val="none"/>
        </w:rPr>
        <w:t>买方未能按合同约定支付合同价款的，应向卖方支付延迟付款违约金。除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）从迟付的第一周到第四周，每周迟延付款违约金为迟延付款金额的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）从迟付的第五周到第八周，每周迟延付款违约金为迟延付款金额的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）从迟付第九周起，每周迟延付款违约金为迟延付款金额的</w:t>
      </w:r>
      <w:r>
        <w:rPr>
          <w:rFonts w:ascii="宋体" w:hAnsi="宋体"/>
          <w:color w:val="auto"/>
          <w:szCs w:val="21"/>
          <w:highlight w:val="none"/>
        </w:rPr>
        <w:t xml:space="preserve"> 1.5%</w:t>
      </w:r>
      <w:r>
        <w:rPr>
          <w:rFonts w:hint="eastAsia" w:ascii="宋体" w:hAnsi="宋体"/>
          <w:color w:val="auto"/>
          <w:szCs w:val="21"/>
          <w:highlight w:val="none"/>
        </w:rPr>
        <w:t>。在计算迟延付款违约金时，迟付不足一周的按一周计算。迟延付款违约金的总额不得超过合同价格的</w:t>
      </w:r>
      <w:r>
        <w:rPr>
          <w:rFonts w:ascii="宋体" w:hAnsi="宋体"/>
          <w:color w:val="auto"/>
          <w:szCs w:val="21"/>
          <w:highlight w:val="none"/>
        </w:rPr>
        <w:t xml:space="preserve"> 10%</w:t>
      </w:r>
      <w:r>
        <w:rPr>
          <w:rFonts w:hint="eastAsia" w:ascii="宋体" w:hAnsi="宋体"/>
          <w:color w:val="auto"/>
          <w:szCs w:val="21"/>
          <w:highlight w:val="none"/>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38" w:name="_Toc2881594"/>
      <w:bookmarkStart w:id="639" w:name="_Toc3400"/>
      <w:r>
        <w:rPr>
          <w:rFonts w:hint="eastAsia" w:ascii="Times New Roman" w:hAnsi="Times New Roman" w:eastAsia="宋体" w:cs="Times New Roman"/>
          <w:b/>
          <w:bCs/>
          <w:color w:val="auto"/>
          <w:kern w:val="2"/>
          <w:sz w:val="32"/>
          <w:szCs w:val="32"/>
          <w:highlight w:val="none"/>
          <w:lang w:val="en-US" w:eastAsia="zh-CN" w:bidi="ar-SA"/>
        </w:rPr>
        <w:t>15.合同的解除</w:t>
      </w:r>
      <w:bookmarkEnd w:id="638"/>
      <w:bookmarkEnd w:id="63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）卖方迟延交付合同设备超过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）买方迟延付款超过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hAnsi="宋体"/>
          <w:color w:val="auto"/>
          <w:szCs w:val="21"/>
          <w:highlight w:val="none"/>
        </w:rPr>
        <w:t xml:space="preserve"> 14 </w:t>
      </w:r>
      <w:r>
        <w:rPr>
          <w:rFonts w:hint="eastAsia" w:ascii="宋体" w:hAnsi="宋体"/>
          <w:color w:val="auto"/>
          <w:szCs w:val="21"/>
          <w:highlight w:val="none"/>
        </w:rPr>
        <w:t>日内或在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约定的其他期限内未能对其行为作出补救；</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0" w:name="_Toc2881595"/>
      <w:bookmarkStart w:id="641" w:name="_Toc28521"/>
      <w:r>
        <w:rPr>
          <w:rFonts w:hint="eastAsia" w:ascii="Times New Roman" w:hAnsi="Times New Roman" w:eastAsia="宋体" w:cs="Times New Roman"/>
          <w:b/>
          <w:bCs/>
          <w:color w:val="auto"/>
          <w:kern w:val="2"/>
          <w:sz w:val="32"/>
          <w:szCs w:val="32"/>
          <w:highlight w:val="none"/>
          <w:lang w:val="en-US" w:eastAsia="zh-CN" w:bidi="ar-SA"/>
        </w:rPr>
        <w:t>16.不可抗力</w:t>
      </w:r>
      <w:bookmarkEnd w:id="640"/>
      <w:bookmarkEnd w:id="64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如果任何一方当事人受到不能预见、不能避免且不能克服的不可抗力事件的影响，例如战争、严重的火灾、台风、地震、洪水和</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约定的其他情形，而无法履行合同项下的任何义务，则受影响的一方当事人应立即将此类事件的发生通知另一方当事人，并应在不可抗力事件发生后</w:t>
      </w:r>
      <w:r>
        <w:rPr>
          <w:rFonts w:ascii="宋体" w:hAnsi="宋体"/>
          <w:color w:val="auto"/>
          <w:szCs w:val="21"/>
          <w:highlight w:val="none"/>
        </w:rPr>
        <w:t xml:space="preserve"> 28 </w:t>
      </w:r>
      <w:r>
        <w:rPr>
          <w:rFonts w:hint="eastAsia" w:ascii="宋体" w:hAnsi="宋体"/>
          <w:color w:val="auto"/>
          <w:szCs w:val="21"/>
          <w:highlight w:val="none"/>
        </w:rPr>
        <w:t>日内将有关当局或机构出具的证明文件提交给另一方当事人。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双方当事人应在不可抗力事件结束或其影响消除后立即继续履行其合同义务，合同期限也应相应顺延。除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另有约定外，如果不可抗力事件的影响持续超过</w:t>
      </w:r>
      <w:r>
        <w:rPr>
          <w:rFonts w:ascii="宋体" w:hAnsi="宋体"/>
          <w:color w:val="auto"/>
          <w:szCs w:val="21"/>
          <w:highlight w:val="none"/>
        </w:rPr>
        <w:t xml:space="preserve"> 140 </w:t>
      </w:r>
      <w:r>
        <w:rPr>
          <w:rFonts w:hint="eastAsia" w:ascii="宋体" w:hAnsi="宋体"/>
          <w:color w:val="auto"/>
          <w:szCs w:val="21"/>
          <w:highlight w:val="none"/>
        </w:rPr>
        <w:t>日，则任何一方当事人均有权以书面通知解除合同。</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2" w:name="_Toc2881596"/>
      <w:bookmarkStart w:id="643" w:name="_Toc17491"/>
      <w:r>
        <w:rPr>
          <w:rFonts w:hint="eastAsia" w:ascii="Times New Roman" w:hAnsi="Times New Roman" w:eastAsia="宋体" w:cs="Times New Roman"/>
          <w:b/>
          <w:bCs/>
          <w:color w:val="auto"/>
          <w:kern w:val="2"/>
          <w:sz w:val="32"/>
          <w:szCs w:val="32"/>
          <w:highlight w:val="none"/>
          <w:lang w:val="en-US" w:eastAsia="zh-CN" w:bidi="ar-SA"/>
        </w:rPr>
        <w:t>17.争议的解决</w:t>
      </w:r>
      <w:bookmarkEnd w:id="642"/>
      <w:bookmarkEnd w:id="643"/>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644" w:name="_Toc532375607"/>
      <w:bookmarkStart w:id="645" w:name="_Toc532377320"/>
      <w:bookmarkStart w:id="646" w:name="_Toc529388290"/>
      <w:bookmarkStart w:id="647" w:name="_Toc22691"/>
      <w:bookmarkStart w:id="648" w:name="_Toc6305"/>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644"/>
      <w:bookmarkEnd w:id="645"/>
      <w:bookmarkEnd w:id="646"/>
      <w:bookmarkEnd w:id="647"/>
      <w:bookmarkEnd w:id="648"/>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49" w:name="baidusnap3"/>
      <w:bookmarkEnd w:id="649"/>
      <w:bookmarkStart w:id="650" w:name="baidusnap7"/>
      <w:bookmarkEnd w:id="650"/>
      <w:bookmarkStart w:id="651" w:name="_Toc2881827"/>
      <w:bookmarkStart w:id="652" w:name="_Toc375218810"/>
      <w:bookmarkStart w:id="653" w:name="_Toc381358675"/>
      <w:bookmarkStart w:id="654" w:name="_Toc531098981"/>
      <w:bookmarkStart w:id="655" w:name="_Toc256955766"/>
      <w:bookmarkStart w:id="656" w:name="_Toc218049013"/>
      <w:bookmarkStart w:id="657" w:name="_Toc217443411"/>
      <w:bookmarkStart w:id="658" w:name="_Toc255494563"/>
      <w:bookmarkStart w:id="659" w:name="_Toc5062"/>
      <w:bookmarkStart w:id="660" w:name="_Toc218048833"/>
      <w:bookmarkStart w:id="661" w:name="_Toc138323411"/>
      <w:bookmarkStart w:id="662" w:name="_Toc153270596"/>
      <w:bookmarkStart w:id="663" w:name="_Toc138638817"/>
      <w:bookmarkStart w:id="664" w:name="_Toc153629207"/>
      <w:bookmarkStart w:id="665" w:name="_Toc153629149"/>
      <w:bookmarkStart w:id="666" w:name="_Toc139194405"/>
      <w:bookmarkStart w:id="667" w:name="_Toc152696792"/>
      <w:bookmarkStart w:id="668" w:name="_Toc15767"/>
      <w:bookmarkStart w:id="669" w:name="_Toc31567"/>
      <w:r>
        <w:rPr>
          <w:rFonts w:hint="eastAsia" w:ascii="Times New Roman" w:hAnsi="Times New Roman" w:eastAsia="宋体" w:cs="Times New Roman"/>
          <w:b/>
          <w:bCs/>
          <w:color w:val="auto"/>
          <w:kern w:val="2"/>
          <w:sz w:val="32"/>
          <w:szCs w:val="32"/>
          <w:highlight w:val="none"/>
          <w:lang w:val="en-US" w:eastAsia="zh-CN" w:bidi="ar-SA"/>
        </w:rPr>
        <w:t>1. 一般规定</w:t>
      </w:r>
      <w:bookmarkEnd w:id="651"/>
      <w:bookmarkEnd w:id="652"/>
      <w:bookmarkEnd w:id="653"/>
      <w:bookmarkEnd w:id="654"/>
      <w:bookmarkEnd w:id="655"/>
      <w:bookmarkEnd w:id="656"/>
      <w:bookmarkEnd w:id="657"/>
      <w:bookmarkEnd w:id="658"/>
      <w:bookmarkEnd w:id="659"/>
      <w:bookmarkEnd w:id="660"/>
    </w:p>
    <w:p>
      <w:pPr>
        <w:spacing w:line="360" w:lineRule="auto"/>
        <w:ind w:firstLine="420" w:firstLineChars="200"/>
        <w:rPr>
          <w:rFonts w:ascii="宋体" w:hAnsi="宋体"/>
          <w:color w:val="auto"/>
          <w:szCs w:val="21"/>
          <w:highlight w:val="none"/>
        </w:rPr>
      </w:pPr>
      <w:bookmarkStart w:id="670" w:name="_Toc531098982"/>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bookmarkEnd w:id="670"/>
    </w:p>
    <w:p>
      <w:pPr>
        <w:spacing w:line="360" w:lineRule="auto"/>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1.1.7</w:t>
      </w:r>
      <w:r>
        <w:rPr>
          <w:rFonts w:hint="eastAsia" w:ascii="宋体" w:hAnsi="宋体" w:eastAsia="宋体" w:cs="Times New Roman"/>
          <w:color w:val="auto"/>
          <w:szCs w:val="21"/>
          <w:highlight w:val="none"/>
          <w:lang w:val="en-US" w:eastAsia="zh-CN"/>
        </w:rPr>
        <w:t xml:space="preserve"> </w:t>
      </w:r>
      <w:r>
        <w:rPr>
          <w:rFonts w:hint="eastAsia" w:ascii="宋体" w:hAnsi="宋体"/>
          <w:color w:val="auto"/>
          <w:highlight w:val="none"/>
        </w:rPr>
        <w:t>调试</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本项补充1.1.7.1、1.1.7.2目：</w:t>
      </w:r>
    </w:p>
    <w:p>
      <w:pPr>
        <w:spacing w:line="360" w:lineRule="auto"/>
        <w:ind w:firstLine="630" w:firstLineChars="3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1.1.7.1 </w:t>
      </w:r>
      <w:r>
        <w:rPr>
          <w:rFonts w:hint="eastAsia" w:ascii="宋体" w:hAnsi="宋体" w:eastAsia="宋体" w:cs="Times New Roman"/>
          <w:color w:val="auto"/>
          <w:kern w:val="0"/>
          <w:szCs w:val="21"/>
          <w:highlight w:val="none"/>
          <w:u w:val="single"/>
          <w:lang w:val="en-US" w:eastAsia="zh-CN"/>
        </w:rPr>
        <w:t>预试车：指安装后，为检验合同设备安装是否正确，合同设备的功能是否齐全而对单机或联机进行的加水、电、蒸汽等的不投料调试。</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u w:val="single"/>
          <w:lang w:val="en-US" w:eastAsia="zh-CN"/>
        </w:rPr>
        <w:t xml:space="preserve">1.1.7.2 </w:t>
      </w:r>
      <w:r>
        <w:rPr>
          <w:rFonts w:hint="eastAsia" w:ascii="宋体" w:hAnsi="宋体" w:eastAsia="宋体" w:cs="Times New Roman"/>
          <w:color w:val="auto"/>
          <w:kern w:val="0"/>
          <w:szCs w:val="21"/>
          <w:highlight w:val="none"/>
          <w:u w:val="single"/>
          <w:lang w:val="en-US" w:eastAsia="zh-CN"/>
        </w:rPr>
        <w:t>投料试车：指对合同设备投料、化学品和公用工程进行试车和调试。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13</w:t>
      </w:r>
      <w:r>
        <w:rPr>
          <w:rFonts w:ascii="宋体" w:hAnsi="宋体"/>
          <w:color w:val="auto"/>
          <w:szCs w:val="21"/>
          <w:highlight w:val="none"/>
        </w:rPr>
        <w:t xml:space="preserve"> </w:t>
      </w:r>
      <w:r>
        <w:rPr>
          <w:rFonts w:hint="eastAsia" w:ascii="宋体" w:hAnsi="宋体"/>
          <w:color w:val="auto"/>
          <w:szCs w:val="21"/>
          <w:highlight w:val="none"/>
        </w:rPr>
        <w:t>工程</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1.1.13.1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1.1.13.2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420" w:firstLineChars="200"/>
        <w:rPr>
          <w:rFonts w:hint="default" w:ascii="宋体" w:hAnsi="宋体" w:eastAsia="宋体"/>
          <w:color w:val="auto"/>
          <w:szCs w:val="21"/>
          <w:highlight w:val="none"/>
          <w:lang w:val="en-US" w:eastAsia="zh-CN"/>
        </w:rPr>
      </w:pPr>
      <w:bookmarkStart w:id="671" w:name="_Toc531098983"/>
      <w:r>
        <w:rPr>
          <w:rFonts w:hint="eastAsia" w:ascii="宋体" w:hAnsi="宋体"/>
          <w:color w:val="auto"/>
          <w:szCs w:val="21"/>
          <w:highlight w:val="none"/>
          <w:lang w:val="en-US" w:eastAsia="zh-CN"/>
        </w:rPr>
        <w:t>本款补充1.1.17项：</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1.1.17 技术协议：指买卖双方结合招标文件和投标文件对合同设备技术性能指标、技术服务、质保期服务等要求进行修改和确认，并达成协议的文件。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bookmarkEnd w:id="671"/>
    </w:p>
    <w:p>
      <w:pPr>
        <w:widowControl/>
        <w:tabs>
          <w:tab w:val="left" w:pos="1044"/>
          <w:tab w:val="left" w:pos="9072"/>
          <w:tab w:val="left" w:pos="9781"/>
        </w:tabs>
        <w:spacing w:line="360" w:lineRule="auto"/>
        <w:ind w:firstLine="420" w:firstLineChars="200"/>
        <w:jc w:val="left"/>
        <w:rPr>
          <w:rFonts w:hint="eastAsia" w:eastAsia="宋体"/>
          <w:color w:val="auto"/>
          <w:highlight w:val="none"/>
          <w:u w:val="single"/>
          <w:lang w:eastAsia="zh-CN"/>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其他合同文件包括：</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672" w:name="_Toc9880"/>
      <w:bookmarkStart w:id="673" w:name="_Toc531098984"/>
      <w:bookmarkStart w:id="674" w:name="_Toc2859382"/>
      <w:r>
        <w:rPr>
          <w:rFonts w:hint="eastAsia" w:ascii="Times New Roman" w:hAnsi="Times New Roman" w:eastAsia="宋体" w:cs="Times New Roman"/>
          <w:b/>
          <w:bCs/>
          <w:color w:val="auto"/>
          <w:kern w:val="2"/>
          <w:sz w:val="32"/>
          <w:szCs w:val="32"/>
          <w:highlight w:val="none"/>
          <w:lang w:val="en-US" w:eastAsia="zh-CN" w:bidi="ar-SA"/>
        </w:rPr>
        <w:t>2. 合同范围</w:t>
      </w:r>
      <w:bookmarkEnd w:id="672"/>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eastAsia="宋体"/>
          <w:color w:val="auto"/>
          <w:kern w:val="0"/>
          <w:szCs w:val="21"/>
          <w:highlight w:val="none"/>
          <w:lang w:eastAsia="zh-CN"/>
        </w:rPr>
        <w:t>、</w:t>
      </w:r>
      <w:r>
        <w:rPr>
          <w:rFonts w:hint="eastAsia" w:ascii="宋体" w:hAnsi="宋体"/>
          <w:color w:val="auto"/>
          <w:kern w:val="0"/>
          <w:szCs w:val="21"/>
          <w:highlight w:val="none"/>
          <w:lang w:val="en-US" w:eastAsia="zh-CN"/>
        </w:rPr>
        <w:t>2.2款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u w:val="single"/>
        </w:rPr>
      </w:pPr>
      <w:r>
        <w:rPr>
          <w:rFonts w:hint="eastAsia" w:ascii="宋体" w:hAnsi="宋体" w:eastAsia="宋体"/>
          <w:color w:val="auto"/>
          <w:szCs w:val="21"/>
          <w:highlight w:val="none"/>
          <w:u w:val="single"/>
          <w:lang w:val="en-US" w:eastAsia="zh-CN"/>
        </w:rPr>
        <w:t xml:space="preserve">2.1 </w:t>
      </w:r>
      <w:r>
        <w:rPr>
          <w:rFonts w:hint="eastAsia" w:ascii="宋体" w:hAnsi="宋体" w:eastAsia="宋体" w:cs="宋体"/>
          <w:color w:val="auto"/>
          <w:sz w:val="21"/>
          <w:szCs w:val="21"/>
          <w:highlight w:val="none"/>
          <w:u w:val="single"/>
        </w:rPr>
        <w:t>卖方向买方提供合同设备，应包括提供附带于合同设备供应或为完成合同设备供应所必需的</w:t>
      </w:r>
      <w:r>
        <w:rPr>
          <w:rFonts w:hint="eastAsia" w:ascii="宋体" w:hAnsi="宋体" w:eastAsia="宋体" w:cs="宋体"/>
          <w:color w:val="auto"/>
          <w:sz w:val="21"/>
          <w:szCs w:val="21"/>
          <w:highlight w:val="none"/>
          <w:u w:val="single"/>
          <w:lang w:val="en-US" w:eastAsia="zh-CN"/>
        </w:rPr>
        <w:t>设施设备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技术资料</w:t>
      </w:r>
      <w:r>
        <w:rPr>
          <w:rFonts w:hint="eastAsia" w:ascii="宋体" w:hAnsi="宋体" w:eastAsia="宋体" w:cs="宋体"/>
          <w:color w:val="auto"/>
          <w:sz w:val="21"/>
          <w:szCs w:val="21"/>
          <w:highlight w:val="none"/>
          <w:u w:val="single"/>
        </w:rPr>
        <w:t>和服务等。合同履行过程中，</w:t>
      </w:r>
      <w:r>
        <w:rPr>
          <w:rFonts w:hint="eastAsia" w:ascii="宋体" w:hAnsi="宋体" w:eastAsia="宋体" w:cs="宋体"/>
          <w:color w:val="auto"/>
          <w:sz w:val="21"/>
          <w:szCs w:val="21"/>
          <w:highlight w:val="none"/>
          <w:u w:val="single"/>
          <w:lang w:val="en-US" w:eastAsia="zh-CN"/>
        </w:rPr>
        <w:t>如</w:t>
      </w:r>
      <w:r>
        <w:rPr>
          <w:rFonts w:hint="eastAsia" w:ascii="宋体" w:hAnsi="宋体" w:eastAsia="宋体" w:cs="宋体"/>
          <w:color w:val="auto"/>
          <w:sz w:val="21"/>
          <w:szCs w:val="21"/>
          <w:highlight w:val="none"/>
          <w:u w:val="single"/>
        </w:rPr>
        <w:t>合同设备、技术资料及技术服务存在任何遗漏、短缺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或供货范围未列明但属于为实现合同规定的合同设备性能所必需的，卖方应负责补充提供所缺的合同设备、技术资料、技术服务等，并承担因此发生的全部费用。</w:t>
      </w:r>
    </w:p>
    <w:p>
      <w:pPr>
        <w:tabs>
          <w:tab w:val="left" w:pos="1134"/>
        </w:tabs>
        <w:spacing w:line="360" w:lineRule="auto"/>
        <w:ind w:firstLine="420"/>
        <w:rPr>
          <w:rFonts w:hint="default" w:eastAsia="宋体"/>
          <w:color w:val="auto"/>
          <w:highlight w:val="none"/>
          <w:lang w:val="en-US" w:eastAsia="zh-CN"/>
        </w:rPr>
      </w:pPr>
      <w:r>
        <w:rPr>
          <w:rFonts w:hint="eastAsia" w:ascii="宋体" w:hAnsi="宋体" w:eastAsia="宋体" w:cs="Times New Roman"/>
          <w:color w:val="auto"/>
          <w:szCs w:val="21"/>
          <w:highlight w:val="none"/>
          <w:u w:val="single"/>
          <w:lang w:val="en-US" w:eastAsia="zh-CN"/>
        </w:rPr>
        <w:t xml:space="preserve">2.2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采购合同设备或合同设备组件、备品备件的，卖方应根据合同规定的相应项目的价格（如有）向买方提供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双方应就追加采购的设备单独签订协议。</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5" w:name="_Toc23573"/>
      <w:r>
        <w:rPr>
          <w:rFonts w:hint="eastAsia" w:ascii="Times New Roman" w:hAnsi="Times New Roman" w:eastAsia="宋体" w:cs="Times New Roman"/>
          <w:b/>
          <w:bCs/>
          <w:color w:val="auto"/>
          <w:kern w:val="2"/>
          <w:sz w:val="32"/>
          <w:szCs w:val="32"/>
          <w:highlight w:val="none"/>
          <w:lang w:val="en-US" w:eastAsia="zh-CN" w:bidi="ar-SA"/>
        </w:rPr>
        <w:t>3. 合同价格与支付</w:t>
      </w:r>
      <w:bookmarkEnd w:id="673"/>
      <w:bookmarkEnd w:id="674"/>
      <w:bookmarkEnd w:id="675"/>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 xml:space="preserve">3.1.2 </w:t>
      </w:r>
      <w:r>
        <w:rPr>
          <w:rFonts w:hint="eastAsia" w:ascii="宋体" w:hAnsi="宋体"/>
          <w:color w:val="auto"/>
          <w:szCs w:val="21"/>
          <w:highlight w:val="none"/>
        </w:rPr>
        <w:t>签约合同价调整的约定：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本款补充3.1.3项：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pPr>
        <w:tabs>
          <w:tab w:val="left" w:pos="1134"/>
        </w:tabs>
        <w:spacing w:line="360" w:lineRule="auto"/>
        <w:ind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本合同价格形式采用</w:t>
      </w:r>
      <w:r>
        <w:rPr>
          <w:rFonts w:hint="eastAsia" w:ascii="宋体" w:hAnsi="宋体" w:eastAsia="宋体" w:cs="宋体"/>
          <w:color w:val="auto"/>
          <w:sz w:val="21"/>
          <w:szCs w:val="21"/>
          <w:highlight w:val="none"/>
        </w:rPr>
        <w:t>以下第</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u w:val="none"/>
          <w:lang w:val="en-US" w:eastAsia="zh-CN"/>
        </w:rPr>
        <w:t>种形式：</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固定总价形式：合同价格=签约合同价-</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固定单价形式：合同价格=</w:t>
      </w:r>
      <w:r>
        <w:rPr>
          <w:rFonts w:hint="eastAsia"/>
          <w:color w:val="auto"/>
          <w:highlight w:val="none"/>
          <w:lang w:val="en-US" w:eastAsia="zh-CN"/>
        </w:rPr>
        <w:t>∑各项供货量</w:t>
      </w:r>
      <w:r>
        <w:rPr>
          <w:rFonts w:hint="eastAsia"/>
          <w:color w:val="auto"/>
          <w:highlight w:val="none"/>
        </w:rPr>
        <w:t>×</w:t>
      </w:r>
      <w:r>
        <w:rPr>
          <w:rFonts w:hint="eastAsia"/>
          <w:color w:val="auto"/>
          <w:highlight w:val="none"/>
          <w:lang w:val="en-US" w:eastAsia="zh-CN"/>
        </w:rPr>
        <w:t>各项</w:t>
      </w:r>
      <w:r>
        <w:rPr>
          <w:rFonts w:hint="eastAsia"/>
          <w:color w:val="auto"/>
          <w:highlight w:val="none"/>
        </w:rPr>
        <w:t>固定单价</w:t>
      </w:r>
      <w:r>
        <w:rPr>
          <w:rFonts w:hint="eastAsia"/>
          <w:color w:val="auto"/>
          <w:highlight w:val="none"/>
          <w:lang w:val="en-US" w:eastAsia="zh-CN"/>
        </w:rPr>
        <w:t>报价</w:t>
      </w:r>
      <w:r>
        <w:rPr>
          <w:rFonts w:hint="eastAsia" w:ascii="宋体" w:hAnsi="宋体"/>
          <w:color w:val="auto"/>
          <w:szCs w:val="21"/>
          <w:highlight w:val="none"/>
          <w:lang w:val="en-US" w:eastAsia="zh-CN"/>
        </w:rPr>
        <w:t>-</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其他价格形式：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3.2.1 </w:t>
      </w:r>
      <w:r>
        <w:rPr>
          <w:rFonts w:hint="eastAsia" w:ascii="宋体" w:hAnsi="宋体"/>
          <w:color w:val="auto"/>
          <w:highlight w:val="none"/>
          <w:u w:val="none"/>
        </w:rPr>
        <w:t>预付款</w:t>
      </w:r>
    </w:p>
    <w:p>
      <w:pPr>
        <w:spacing w:line="360" w:lineRule="auto"/>
        <w:ind w:firstLine="420" w:firstLineChars="200"/>
        <w:rPr>
          <w:color w:val="auto"/>
          <w:highlight w:val="none"/>
          <w:u w:val="none"/>
        </w:rPr>
      </w:pPr>
      <w:r>
        <w:rPr>
          <w:rFonts w:hint="eastAsia" w:ascii="宋体" w:hAnsi="宋体"/>
          <w:color w:val="auto"/>
          <w:highlight w:val="none"/>
          <w:u w:val="none"/>
        </w:rPr>
        <w:t>合同生效后，买方在收到卖方开具的注明应付预付款金额的财务收据正本一份并经审核无误后</w:t>
      </w:r>
      <w:r>
        <w:rPr>
          <w:color w:val="auto"/>
          <w:highlight w:val="none"/>
          <w:u w:val="none"/>
        </w:rPr>
        <w:t>28</w:t>
      </w:r>
      <w:r>
        <w:rPr>
          <w:rFonts w:hint="eastAsia" w:ascii="宋体" w:hAnsi="宋体"/>
          <w:color w:val="auto"/>
          <w:highlight w:val="none"/>
          <w:u w:val="none"/>
        </w:rPr>
        <w:t>日内，向卖方支付签约合同价的</w:t>
      </w:r>
      <w:r>
        <w:rPr>
          <w:rFonts w:hint="eastAsia"/>
          <w:color w:val="auto"/>
          <w:highlight w:val="none"/>
          <w:u w:val="single"/>
          <w:lang w:val="en-US" w:eastAsia="zh-CN"/>
        </w:rPr>
        <w:t>10%</w:t>
      </w:r>
      <w:r>
        <w:rPr>
          <w:rFonts w:hint="eastAsia" w:ascii="宋体" w:hAnsi="宋体"/>
          <w:color w:val="auto"/>
          <w:highlight w:val="none"/>
          <w:u w:val="none"/>
        </w:rPr>
        <w:t>作为预付款。</w:t>
      </w:r>
    </w:p>
    <w:p>
      <w:pPr>
        <w:spacing w:line="360" w:lineRule="auto"/>
        <w:ind w:firstLine="420" w:firstLineChars="200"/>
        <w:rPr>
          <w:color w:val="auto"/>
          <w:highlight w:val="none"/>
          <w:u w:val="none"/>
        </w:rPr>
      </w:pPr>
      <w:r>
        <w:rPr>
          <w:rFonts w:hint="eastAsia" w:ascii="宋体" w:hAnsi="宋体"/>
          <w:color w:val="auto"/>
          <w:highlight w:val="none"/>
          <w:u w:val="none"/>
        </w:rPr>
        <w:t>买方支付预付款后，如卖方未履行合同义务，则买方有权收回预付款；如卖方依约履行了合同义务，则预付款抵作合同价款。</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3.2.2 </w:t>
      </w:r>
      <w:r>
        <w:rPr>
          <w:rFonts w:hint="eastAsia" w:ascii="宋体" w:hAnsi="宋体"/>
          <w:color w:val="auto"/>
          <w:highlight w:val="none"/>
          <w:u w:val="none"/>
        </w:rPr>
        <w:t>交货款</w:t>
      </w:r>
    </w:p>
    <w:p>
      <w:pPr>
        <w:spacing w:line="360" w:lineRule="auto"/>
        <w:ind w:firstLine="420" w:firstLineChars="200"/>
        <w:rPr>
          <w:color w:val="auto"/>
          <w:highlight w:val="none"/>
          <w:u w:val="none"/>
        </w:rPr>
      </w:pPr>
      <w:r>
        <w:rPr>
          <w:rFonts w:hint="eastAsia" w:ascii="宋体" w:hAnsi="宋体"/>
          <w:color w:val="auto"/>
          <w:highlight w:val="none"/>
          <w:u w:val="none"/>
        </w:rPr>
        <w:t>卖方按合同约定交付全部合同设备后，买方在收到卖方提交的下列全部单据并经审核无误后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日内，向卖方支付合同价格的</w:t>
      </w:r>
      <w:r>
        <w:rPr>
          <w:rFonts w:hint="eastAsia"/>
          <w:color w:val="auto"/>
          <w:highlight w:val="none"/>
          <w:u w:val="single"/>
          <w:lang w:val="en-US" w:eastAsia="zh-CN"/>
        </w:rPr>
        <w:t xml:space="preserve">80 </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1</w:t>
      </w:r>
      <w:r>
        <w:rPr>
          <w:rFonts w:hint="eastAsia" w:ascii="宋体" w:hAnsi="宋体"/>
          <w:color w:val="auto"/>
          <w:highlight w:val="none"/>
          <w:u w:val="single"/>
        </w:rPr>
        <w:t>）卖方出具的交货清单正本一份；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2</w:t>
      </w:r>
      <w:r>
        <w:rPr>
          <w:rFonts w:hint="eastAsia" w:ascii="宋体" w:hAnsi="宋体"/>
          <w:color w:val="auto"/>
          <w:highlight w:val="none"/>
          <w:u w:val="single"/>
        </w:rPr>
        <w:t>）买方签署的收货清单正本一份；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3</w:t>
      </w:r>
      <w:r>
        <w:rPr>
          <w:rFonts w:hint="eastAsia" w:ascii="宋体" w:hAnsi="宋体"/>
          <w:color w:val="auto"/>
          <w:highlight w:val="none"/>
          <w:u w:val="single"/>
        </w:rPr>
        <w:t>）制造商出具的出厂质量合格证正本一份；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4</w:t>
      </w:r>
      <w:r>
        <w:rPr>
          <w:rFonts w:hint="eastAsia" w:ascii="宋体" w:hAnsi="宋体"/>
          <w:color w:val="auto"/>
          <w:highlight w:val="none"/>
          <w:u w:val="single"/>
        </w:rPr>
        <w:t>）合同价格</w:t>
      </w:r>
      <w:r>
        <w:rPr>
          <w:color w:val="auto"/>
          <w:highlight w:val="none"/>
          <w:u w:val="single"/>
        </w:rPr>
        <w:t>100%</w:t>
      </w:r>
      <w:r>
        <w:rPr>
          <w:rFonts w:hint="eastAsia" w:ascii="宋体" w:hAnsi="宋体"/>
          <w:color w:val="auto"/>
          <w:highlight w:val="none"/>
          <w:u w:val="single"/>
        </w:rPr>
        <w:t>金额的增值税发票正本一份。</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3.2.3 </w:t>
      </w:r>
      <w:r>
        <w:rPr>
          <w:rFonts w:hint="eastAsia" w:ascii="宋体" w:hAnsi="宋体"/>
          <w:color w:val="auto"/>
          <w:highlight w:val="none"/>
          <w:u w:val="none"/>
        </w:rPr>
        <w:t>验收款</w:t>
      </w:r>
    </w:p>
    <w:p>
      <w:pPr>
        <w:spacing w:line="360" w:lineRule="auto"/>
        <w:ind w:firstLine="420" w:firstLineChars="200"/>
        <w:rPr>
          <w:color w:val="auto"/>
          <w:highlight w:val="none"/>
          <w:u w:val="none"/>
        </w:rPr>
      </w:pPr>
      <w:r>
        <w:rPr>
          <w:rFonts w:hint="eastAsia" w:ascii="宋体" w:hAnsi="宋体"/>
          <w:color w:val="auto"/>
          <w:highlight w:val="none"/>
          <w:u w:val="none"/>
          <w:lang w:val="en-US" w:eastAsia="zh-CN"/>
        </w:rPr>
        <w:t>安装调试完成且</w:t>
      </w:r>
      <w:r>
        <w:rPr>
          <w:rFonts w:hint="eastAsia" w:ascii="宋体" w:hAnsi="宋体"/>
          <w:color w:val="auto"/>
          <w:highlight w:val="none"/>
          <w:u w:val="none"/>
        </w:rPr>
        <w:t>买方在收到卖方提交的买卖双方签署的合同设备验收证书或已生效的验收款支付函正本一份并经审核无误后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至</w:t>
      </w:r>
      <w:r>
        <w:rPr>
          <w:rFonts w:hint="eastAsia" w:ascii="宋体" w:hAnsi="宋体"/>
          <w:color w:val="auto"/>
          <w:highlight w:val="none"/>
          <w:u w:val="none"/>
        </w:rPr>
        <w:t>合同价格的</w:t>
      </w:r>
      <w:r>
        <w:rPr>
          <w:rFonts w:hint="eastAsia"/>
          <w:color w:val="auto"/>
          <w:highlight w:val="none"/>
          <w:u w:val="single"/>
          <w:lang w:val="en-US" w:eastAsia="zh-CN"/>
        </w:rPr>
        <w:t>97</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3.2.4 </w:t>
      </w:r>
      <w:r>
        <w:rPr>
          <w:rFonts w:hint="eastAsia" w:ascii="宋体" w:hAnsi="宋体"/>
          <w:color w:val="auto"/>
          <w:highlight w:val="none"/>
          <w:u w:val="none"/>
        </w:rPr>
        <w:t>结清款</w:t>
      </w:r>
    </w:p>
    <w:p>
      <w:pPr>
        <w:spacing w:line="360" w:lineRule="auto"/>
        <w:ind w:firstLine="420" w:firstLineChars="200"/>
        <w:rPr>
          <w:rFonts w:hint="eastAsia"/>
          <w:color w:val="auto"/>
          <w:highlight w:val="none"/>
          <w:lang w:eastAsia="zh-CN"/>
        </w:rPr>
      </w:pPr>
      <w:r>
        <w:rPr>
          <w:rFonts w:hint="eastAsia" w:ascii="宋体" w:hAnsi="宋体"/>
          <w:color w:val="auto"/>
          <w:highlight w:val="none"/>
          <w:u w:val="none"/>
        </w:rPr>
        <w:t>买方在收到卖方提交的买方签署的质量保证期届满证书或已生效的结清款支付函正本一份并经审核无误后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剩余合同价款</w:t>
      </w:r>
      <w:r>
        <w:rPr>
          <w:rFonts w:hint="eastAsia" w:ascii="宋体" w:hAnsi="宋体"/>
          <w:color w:val="auto"/>
          <w:highlight w:val="none"/>
          <w:u w:val="none"/>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6" w:name="_Toc2881828"/>
      <w:bookmarkStart w:id="677" w:name="_Toc16820"/>
      <w:bookmarkStart w:id="678" w:name="_Toc531098985"/>
      <w:r>
        <w:rPr>
          <w:rFonts w:hint="eastAsia" w:ascii="Times New Roman" w:hAnsi="Times New Roman" w:eastAsia="宋体" w:cs="Times New Roman"/>
          <w:b/>
          <w:bCs/>
          <w:color w:val="auto"/>
          <w:kern w:val="2"/>
          <w:sz w:val="32"/>
          <w:szCs w:val="32"/>
          <w:highlight w:val="none"/>
          <w:lang w:val="en-US" w:eastAsia="zh-CN" w:bidi="ar-SA"/>
        </w:rPr>
        <w:t>4. 监造及交货前检验</w:t>
      </w:r>
      <w:bookmarkEnd w:id="676"/>
      <w:bookmarkEnd w:id="677"/>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4.1</w:t>
      </w:r>
      <w:r>
        <w:rPr>
          <w:rFonts w:ascii="宋体" w:hAnsi="宋体"/>
          <w:color w:val="auto"/>
          <w:highlight w:val="none"/>
        </w:rPr>
        <w:t xml:space="preserve"> </w:t>
      </w:r>
      <w:r>
        <w:rPr>
          <w:rFonts w:hint="eastAsia" w:ascii="宋体" w:hAnsi="宋体"/>
          <w:color w:val="auto"/>
          <w:highlight w:val="none"/>
        </w:rPr>
        <w:t>监造</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是否对合同设备进行监造：</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szCs w:val="21"/>
          <w:highlight w:val="none"/>
          <w:u w:val="single"/>
          <w:lang w:eastAsia="zh-CN"/>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highlight w:val="none"/>
        </w:rPr>
        <w:t>对合同设备监造的具体约定：</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4.1.1 </w:t>
      </w:r>
      <w:r>
        <w:rPr>
          <w:rFonts w:hint="eastAsia" w:ascii="宋体" w:hAnsi="宋体"/>
          <w:color w:val="auto"/>
          <w:highlight w:val="none"/>
        </w:rPr>
        <w:t>监造的范围、方式等</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4.1.2 </w:t>
      </w:r>
      <w:r>
        <w:rPr>
          <w:rFonts w:hint="eastAsia" w:ascii="宋体" w:hAnsi="宋体"/>
          <w:color w:val="auto"/>
          <w:highlight w:val="none"/>
        </w:rPr>
        <w:t>卖方</w:t>
      </w:r>
      <w:r>
        <w:rPr>
          <w:rFonts w:hint="eastAsia" w:ascii="宋体" w:hAnsi="宋体"/>
          <w:color w:val="auto"/>
          <w:highlight w:val="none"/>
          <w:lang w:val="en-US" w:eastAsia="zh-CN"/>
        </w:rPr>
        <w:t>配合</w:t>
      </w:r>
      <w:r>
        <w:rPr>
          <w:rFonts w:hint="eastAsia" w:ascii="宋体" w:hAnsi="宋体"/>
          <w:color w:val="auto"/>
          <w:highlight w:val="none"/>
        </w:rPr>
        <w:t>买方监造人员</w:t>
      </w:r>
      <w:r>
        <w:rPr>
          <w:rFonts w:hint="eastAsia" w:ascii="宋体" w:hAnsi="宋体"/>
          <w:color w:val="auto"/>
          <w:highlight w:val="none"/>
          <w:lang w:eastAsia="zh-CN"/>
        </w:rPr>
        <w:t>，</w:t>
      </w:r>
      <w:r>
        <w:rPr>
          <w:rFonts w:hint="eastAsia" w:ascii="宋体" w:hAnsi="宋体"/>
          <w:color w:val="auto"/>
          <w:highlight w:val="none"/>
        </w:rPr>
        <w:t>为买方监造人员提供工作条件及便利</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买方监造人员的交通、食宿费用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4.1.3 </w:t>
      </w:r>
      <w:r>
        <w:rPr>
          <w:rFonts w:hint="eastAsia" w:ascii="宋体" w:hAnsi="宋体"/>
          <w:color w:val="auto"/>
          <w:highlight w:val="none"/>
        </w:rPr>
        <w:t>卖方将需要买方监造人员现场监造事项通知买方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ascii="宋体" w:hAnsi="宋体"/>
          <w:color w:val="auto"/>
          <w:highlight w:val="none"/>
        </w:rPr>
        <w:t xml:space="preserve"> </w:t>
      </w:r>
      <w:r>
        <w:rPr>
          <w:rFonts w:hint="eastAsia" w:ascii="宋体" w:hAnsi="宋体"/>
          <w:color w:val="auto"/>
          <w:highlight w:val="none"/>
        </w:rPr>
        <w:t>交货前检验</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是否对合同设备进行交货前检验：</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highlight w:val="none"/>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对合同设备进行交货前检验的</w:t>
      </w:r>
      <w:r>
        <w:rPr>
          <w:rFonts w:hint="eastAsia" w:ascii="宋体" w:hAnsi="宋体"/>
          <w:color w:val="auto"/>
          <w:highlight w:val="none"/>
          <w:lang w:val="en-US" w:eastAsia="zh-CN"/>
        </w:rPr>
        <w:t>具体</w:t>
      </w:r>
      <w:r>
        <w:rPr>
          <w:rFonts w:hint="eastAsia" w:ascii="宋体" w:hAnsi="宋体"/>
          <w:color w:val="auto"/>
          <w:highlight w:val="none"/>
        </w:rPr>
        <w:t>约定：</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u w:val="none"/>
          <w:lang w:val="en-US" w:eastAsia="zh-CN"/>
        </w:rPr>
        <w:t xml:space="preserve">4.2.1 </w:t>
      </w:r>
      <w:r>
        <w:rPr>
          <w:rFonts w:hint="eastAsia" w:ascii="宋体" w:hAnsi="宋体"/>
          <w:color w:val="auto"/>
          <w:highlight w:val="none"/>
        </w:rPr>
        <w:t>参与交货前检验的买方代表的交通、食宿费用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highlight w:val="none"/>
          <w:lang w:eastAsia="zh-CN"/>
        </w:rPr>
      </w:pPr>
      <w:r>
        <w:rPr>
          <w:rFonts w:hint="eastAsia" w:ascii="宋体" w:hAnsi="宋体"/>
          <w:color w:val="auto"/>
          <w:szCs w:val="21"/>
          <w:highlight w:val="none"/>
          <w:u w:val="none"/>
          <w:lang w:val="en-US" w:eastAsia="zh-CN"/>
        </w:rPr>
        <w:t xml:space="preserve">4.2.2 </w:t>
      </w:r>
      <w:r>
        <w:rPr>
          <w:rFonts w:hint="eastAsia" w:ascii="宋体" w:hAnsi="宋体"/>
          <w:color w:val="auto"/>
          <w:highlight w:val="none"/>
        </w:rPr>
        <w:t>卖方将需要买方代表检验事项通知买方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79" w:name="_Toc20164"/>
      <w:bookmarkStart w:id="680" w:name="_Toc2881829"/>
      <w:r>
        <w:rPr>
          <w:rFonts w:hint="eastAsia" w:ascii="Times New Roman" w:hAnsi="Times New Roman" w:eastAsia="宋体" w:cs="Times New Roman"/>
          <w:b/>
          <w:bCs/>
          <w:color w:val="auto"/>
          <w:kern w:val="2"/>
          <w:sz w:val="32"/>
          <w:szCs w:val="32"/>
          <w:highlight w:val="none"/>
          <w:lang w:val="en-US" w:eastAsia="zh-CN" w:bidi="ar-SA"/>
        </w:rPr>
        <w:t>5. 包装、标记、运输和交付</w:t>
      </w:r>
      <w:bookmarkEnd w:id="678"/>
      <w:bookmarkEnd w:id="679"/>
      <w:bookmarkEnd w:id="680"/>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 </w:t>
      </w:r>
      <w:r>
        <w:rPr>
          <w:rFonts w:hint="eastAsia" w:ascii="宋体" w:hAnsi="宋体"/>
          <w:color w:val="auto"/>
          <w:szCs w:val="21"/>
          <w:highlight w:val="none"/>
        </w:rPr>
        <w:t>包装</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lang w:val="en-US" w:eastAsia="zh-CN"/>
        </w:rPr>
        <w:t>需标记的装运信息和标识如下</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（3）合同设备名称；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（5）毛重/净重（公斤）；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（6）体积（长×宽×高，以毫米表示）；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olor w:val="auto"/>
          <w:szCs w:val="21"/>
          <w:highlight w:val="none"/>
          <w:u w:val="single"/>
          <w:lang w:val="en-US" w:eastAsia="zh-CN"/>
        </w:rPr>
      </w:pPr>
      <w:r>
        <w:rPr>
          <w:rFonts w:hint="eastAsia" w:ascii="宋体" w:hAnsi="宋体" w:eastAsia="宋体" w:cs="宋体"/>
          <w:color w:val="auto"/>
          <w:sz w:val="21"/>
          <w:szCs w:val="21"/>
          <w:highlight w:val="none"/>
          <w:u w:val="single"/>
        </w:rPr>
        <w:t>（8）合同设备运输警示标示。</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运输</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装运方式的约定：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在合同设备预计启运</w:t>
      </w:r>
      <w:r>
        <w:rPr>
          <w:rFonts w:hint="eastAsia"/>
          <w:color w:val="auto"/>
          <w:highlight w:val="none"/>
          <w:u w:val="single"/>
          <w:lang w:val="en-US" w:eastAsia="zh-CN"/>
        </w:rPr>
        <w:t xml:space="preserve"> 7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，并在合同设备启运后</w:t>
      </w:r>
      <w:r>
        <w:rPr>
          <w:rFonts w:hint="eastAsia"/>
          <w:color w:val="auto"/>
          <w:highlight w:val="none"/>
          <w:u w:val="single"/>
          <w:lang w:val="en-US" w:eastAsia="zh-CN"/>
        </w:rPr>
        <w:t xml:space="preserve">  48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合同设备名称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olor w:val="auto"/>
          <w:highlight w:val="none"/>
          <w:u w:val="single"/>
        </w:rPr>
        <w:t>数量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rPr>
        <w:t>箱数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总毛重</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rPr>
        <w:t>总体积（用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每箱尺寸（长</w:t>
      </w:r>
      <w:r>
        <w:rPr>
          <w:color w:val="auto"/>
          <w:highlight w:val="none"/>
          <w:u w:val="single"/>
        </w:rPr>
        <w:t>×</w:t>
      </w:r>
      <w:r>
        <w:rPr>
          <w:rFonts w:hint="eastAsia" w:ascii="宋体" w:hAnsi="宋体"/>
          <w:color w:val="auto"/>
          <w:highlight w:val="none"/>
          <w:u w:val="single"/>
        </w:rPr>
        <w:t>宽</w:t>
      </w:r>
      <w:r>
        <w:rPr>
          <w:color w:val="auto"/>
          <w:highlight w:val="none"/>
          <w:u w:val="single"/>
        </w:rPr>
        <w:t>×</w:t>
      </w:r>
      <w:r>
        <w:rPr>
          <w:rFonts w:hint="eastAsia" w:ascii="宋体" w:hAnsi="宋体"/>
          <w:color w:val="auto"/>
          <w:highlight w:val="none"/>
          <w:u w:val="single"/>
        </w:rPr>
        <w:t>高）</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w:t>
      </w:r>
      <w:r>
        <w:rPr>
          <w:rFonts w:hint="eastAsia" w:ascii="宋体" w:hAnsi="宋体"/>
          <w:color w:val="auto"/>
          <w:highlight w:val="none"/>
          <w:u w:val="single"/>
        </w:rPr>
        <w:t>装运合同设备总金额</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）合同设备装箱单（应注明包装</w:t>
      </w:r>
      <w:r>
        <w:rPr>
          <w:rFonts w:hint="eastAsia" w:ascii="宋体" w:hAnsi="宋体" w:eastAsia="宋体" w:cs="宋体"/>
          <w:color w:val="auto"/>
          <w:sz w:val="21"/>
          <w:szCs w:val="21"/>
          <w:highlight w:val="none"/>
          <w:u w:val="single"/>
          <w:lang w:val="en-US" w:eastAsia="zh-CN"/>
        </w:rPr>
        <w:t>箱内设备</w:t>
      </w:r>
      <w:r>
        <w:rPr>
          <w:rFonts w:hint="eastAsia" w:ascii="宋体" w:hAnsi="宋体" w:eastAsia="宋体" w:cs="宋体"/>
          <w:color w:val="auto"/>
          <w:sz w:val="21"/>
          <w:szCs w:val="21"/>
          <w:highlight w:val="none"/>
          <w:u w:val="single"/>
        </w:rPr>
        <w:t>名称、数量、价格</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详细信息）；</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11</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12</w:t>
      </w:r>
      <w:r>
        <w:rPr>
          <w:rFonts w:hint="eastAsia" w:ascii="宋体" w:hAnsi="宋体"/>
          <w:color w:val="auto"/>
          <w:highlight w:val="none"/>
          <w:u w:val="single"/>
          <w:lang w:eastAsia="zh-CN"/>
        </w:rPr>
        <w:t>）</w:t>
      </w:r>
      <w:r>
        <w:rPr>
          <w:rFonts w:hint="eastAsia" w:ascii="宋体" w:hAnsi="宋体"/>
          <w:color w:val="auto"/>
          <w:highlight w:val="none"/>
          <w:u w:val="single"/>
        </w:rPr>
        <w:t>合同设备在运输、装卸、保管中的注意事项</w:t>
      </w:r>
      <w:r>
        <w:rPr>
          <w:rFonts w:hint="eastAsia" w:ascii="宋体" w:hAnsi="宋体"/>
          <w:color w:val="auto"/>
          <w:highlight w:val="none"/>
          <w:u w:val="singl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 </w:t>
      </w:r>
      <w:r>
        <w:rPr>
          <w:rFonts w:hint="eastAsia" w:ascii="宋体" w:hAnsi="宋体"/>
          <w:color w:val="auto"/>
          <w:szCs w:val="21"/>
          <w:highlight w:val="none"/>
        </w:rPr>
        <w:t>交付</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.4.1交付合同</w:t>
      </w:r>
      <w:r>
        <w:rPr>
          <w:rFonts w:hint="eastAsia" w:ascii="宋体" w:hAnsi="宋体"/>
          <w:color w:val="auto"/>
          <w:szCs w:val="21"/>
          <w:highlight w:val="none"/>
        </w:rPr>
        <w:t>设备的约定：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合同设备交付的同时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（1）合同设备原产地证明，一式2份；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（2）合同设备质量合格证明，一式2份；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）合同设备出厂检验纪录，一式2份；</w:t>
      </w:r>
    </w:p>
    <w:p>
      <w:pPr>
        <w:tabs>
          <w:tab w:val="left" w:pos="1134"/>
        </w:tabs>
        <w:spacing w:line="360" w:lineRule="auto"/>
        <w:ind w:firstLine="420"/>
        <w:rPr>
          <w:rFonts w:ascii="宋体" w:hAnsi="宋体"/>
          <w:color w:val="auto"/>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.4.3</w:t>
      </w:r>
      <w:r>
        <w:rPr>
          <w:rFonts w:hint="eastAsia" w:ascii="宋体" w:hAnsi="宋体"/>
          <w:color w:val="auto"/>
          <w:szCs w:val="21"/>
          <w:highlight w:val="none"/>
          <w:lang w:val="en-US" w:eastAsia="zh-CN"/>
        </w:rPr>
        <w:t xml:space="preserve"> </w:t>
      </w:r>
      <w:r>
        <w:rPr>
          <w:rFonts w:hint="eastAsia" w:ascii="宋体" w:hAnsi="宋体" w:eastAsia="宋体" w:cs="宋体"/>
          <w:color w:val="auto"/>
          <w:sz w:val="21"/>
          <w:szCs w:val="21"/>
          <w:highlight w:val="none"/>
        </w:rPr>
        <w:t>卖方应根据本合同的要求向买方提供与合同设备相关的技术资料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技术资料的范围和交付进度详见本合同附件一。如技术资料不满足合同的要求或交付不符合合同规定的交付进度，卖方应承担违约责任。</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5.4.3.1 </w:t>
      </w:r>
      <w:r>
        <w:rPr>
          <w:rFonts w:hint="eastAsia" w:ascii="宋体" w:hAnsi="宋体" w:eastAsia="宋体" w:cs="宋体"/>
          <w:color w:val="auto"/>
          <w:sz w:val="21"/>
          <w:szCs w:val="21"/>
          <w:highlight w:val="none"/>
        </w:rPr>
        <w:t>卖方应就每套合同设备向买方交付</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（原件</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份，电子版2份）</w:t>
      </w:r>
      <w:r>
        <w:rPr>
          <w:rFonts w:hint="eastAsia" w:ascii="宋体" w:hAnsi="宋体" w:eastAsia="宋体" w:cs="宋体"/>
          <w:color w:val="auto"/>
          <w:sz w:val="21"/>
          <w:szCs w:val="21"/>
          <w:highlight w:val="none"/>
        </w:rPr>
        <w:t>份技术资料。</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技术资料采用以下第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（1）以特快专递方式</w:t>
      </w:r>
      <w:r>
        <w:rPr>
          <w:rFonts w:hint="eastAsia" w:ascii="宋体" w:hAnsi="宋体" w:eastAsia="宋体" w:cs="宋体"/>
          <w:color w:val="auto"/>
          <w:sz w:val="21"/>
          <w:szCs w:val="21"/>
          <w:highlight w:val="none"/>
          <w:lang w:val="en-US" w:eastAsia="zh-CN"/>
        </w:rPr>
        <w:t>送达</w:t>
      </w:r>
      <w:r>
        <w:rPr>
          <w:rFonts w:hint="eastAsia" w:ascii="宋体" w:hAnsi="宋体" w:eastAsia="宋体" w:cs="宋体"/>
          <w:color w:val="auto"/>
          <w:sz w:val="21"/>
          <w:szCs w:val="21"/>
          <w:highlight w:val="none"/>
        </w:rPr>
        <w:t>；</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rPr>
        <w:t>（2）随合同设备</w:t>
      </w:r>
      <w:r>
        <w:rPr>
          <w:rFonts w:hint="eastAsia" w:ascii="宋体" w:hAnsi="宋体" w:eastAsia="宋体" w:cs="宋体"/>
          <w:color w:val="auto"/>
          <w:sz w:val="21"/>
          <w:szCs w:val="21"/>
          <w:highlight w:val="none"/>
          <w:lang w:val="en-US" w:eastAsia="zh-CN"/>
        </w:rPr>
        <w:t>一起送达</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5.4.3.2 如技术资料以5.4.3.1目第（1）种方式交付，每批技术资料交邮后，卖方应于</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lang w:val="en-US" w:eastAsia="zh-CN"/>
        </w:rPr>
        <w:t>小时内将技术资料的以下信息通过信函或传真方式通知买方：</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（1）交邮日期；</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（2）邮单号；</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（3）技术资料的清单；</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（4）技术资料的件数；</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（5）技术资料的交付日期以买方签收时间为准。</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5.4.3.3 技术资料的审查</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卖方应确保其提供的技术资料完整、正确、整洁、书写明确、符合本合同要求，卖方对技术资料的充分性、完整性和准确性负责。如果技术资料包含有非中文内容，买方有权要求卖方提供中文译本。如果卖方提供技术资料中文译本的，卖方应对翻译文本的准确性负责。</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（2）买方应收到技术资料后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日内完成对该批技术资料进行审查，并向卖方提供审核意见。</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（3）卖方收到买方的审核意见后，应于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日内完成对技术资料修改，并再次提交买方审查，直至获得买方认可。如果卖方未在</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日内对买方审查意见予以答复，视为卖方全部接受买方审查意见。</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1" w:name="_Toc531098986"/>
      <w:bookmarkStart w:id="682" w:name="_Toc15676"/>
      <w:bookmarkStart w:id="683" w:name="_Toc2881830"/>
      <w:r>
        <w:rPr>
          <w:rFonts w:hint="eastAsia" w:ascii="Times New Roman" w:hAnsi="Times New Roman" w:eastAsia="宋体" w:cs="Times New Roman"/>
          <w:b/>
          <w:bCs/>
          <w:color w:val="auto"/>
          <w:kern w:val="2"/>
          <w:sz w:val="32"/>
          <w:szCs w:val="32"/>
          <w:highlight w:val="none"/>
          <w:lang w:val="en-US" w:eastAsia="zh-CN" w:bidi="ar-SA"/>
        </w:rPr>
        <w:t>6.</w:t>
      </w:r>
      <w:bookmarkEnd w:id="681"/>
      <w:r>
        <w:rPr>
          <w:rFonts w:hint="eastAsia" w:ascii="Times New Roman" w:hAnsi="Times New Roman" w:eastAsia="宋体" w:cs="Times New Roman"/>
          <w:b/>
          <w:bCs/>
          <w:color w:val="auto"/>
          <w:kern w:val="2"/>
          <w:sz w:val="32"/>
          <w:szCs w:val="32"/>
          <w:highlight w:val="none"/>
          <w:lang w:val="en-US" w:eastAsia="zh-CN" w:bidi="ar-SA"/>
        </w:rPr>
        <w:t xml:space="preserve"> 开箱检验、安装、调试、考核、验收</w:t>
      </w:r>
      <w:bookmarkEnd w:id="682"/>
      <w:bookmarkEnd w:id="68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开箱检验时间：</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 合同设备交付后。具体时间要求：</w:t>
      </w:r>
      <w:r>
        <w:rPr>
          <w:rFonts w:hint="eastAsia" w:ascii="宋体" w:hAnsi="宋体" w:eastAsia="宋体" w:cs="宋体"/>
          <w:color w:val="auto"/>
          <w:sz w:val="21"/>
          <w:szCs w:val="21"/>
          <w:highlight w:val="none"/>
          <w:u w:val="single"/>
        </w:rPr>
        <w:t>合同设备交付后</w:t>
      </w:r>
      <w:r>
        <w:rPr>
          <w:rFonts w:hint="eastAsia" w:ascii="宋体" w:hAnsi="宋体" w:eastAsia="宋体" w:cs="宋体"/>
          <w:color w:val="auto"/>
          <w:sz w:val="21"/>
          <w:szCs w:val="21"/>
          <w:highlight w:val="none"/>
          <w:u w:val="single"/>
          <w:lang w:val="en-US" w:eastAsia="zh-CN"/>
        </w:rPr>
        <w:t>7日</w:t>
      </w:r>
      <w:r>
        <w:rPr>
          <w:rFonts w:hint="eastAsia" w:ascii="宋体" w:hAnsi="宋体" w:eastAsia="宋体" w:cs="宋体"/>
          <w:color w:val="auto"/>
          <w:sz w:val="21"/>
          <w:szCs w:val="21"/>
          <w:highlight w:val="none"/>
          <w:u w:val="single"/>
        </w:rPr>
        <w:t>内</w:t>
      </w:r>
      <w:r>
        <w:rPr>
          <w:rFonts w:hint="eastAsia" w:ascii="宋体" w:hAnsi="宋体" w:eastAsia="宋体" w:cs="宋体"/>
          <w:color w:val="auto"/>
          <w:sz w:val="21"/>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开箱检验地点的约定：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lang w:val="en-US" w:eastAsia="zh-CN"/>
        </w:rPr>
        <w:t>3</w:t>
      </w:r>
      <w:r>
        <w:rPr>
          <w:rFonts w:hint="eastAsia" w:ascii="宋体" w:hAnsi="宋体"/>
          <w:color w:val="auto"/>
          <w:szCs w:val="21"/>
          <w:highlight w:val="none"/>
        </w:rPr>
        <w:t>合同设备交付后进行的开箱检验中发现相关问题时的处理方式约定：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第三方检测机构对合同设备进行检验的约定：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合同设备的安装、调试按照第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r>
        <w:rPr>
          <w:rFonts w:hint="eastAsia" w:ascii="宋体" w:hAnsi="宋体"/>
          <w:color w:val="auto"/>
          <w:szCs w:val="21"/>
          <w:highlight w:val="none"/>
        </w:rPr>
        <w:t>种方式进行：</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6.2.2 </w:t>
      </w:r>
      <w:r>
        <w:rPr>
          <w:rFonts w:hint="eastAsia" w:ascii="宋体" w:hAnsi="宋体"/>
          <w:color w:val="auto"/>
          <w:highlight w:val="none"/>
        </w:rPr>
        <w:t>安装、调试中合同设备运行需要的用水、用电、其他动力和原材料（如需要）等</w:t>
      </w:r>
      <w:r>
        <w:rPr>
          <w:rFonts w:hint="eastAsia" w:ascii="宋体" w:hAnsi="宋体"/>
          <w:color w:val="auto"/>
          <w:szCs w:val="21"/>
          <w:highlight w:val="none"/>
        </w:rPr>
        <w:t>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w:t>
      </w:r>
      <w:r>
        <w:rPr>
          <w:rFonts w:ascii="宋体" w:hAnsi="宋体"/>
          <w:color w:val="auto"/>
          <w:szCs w:val="21"/>
          <w:highlight w:val="none"/>
        </w:rPr>
        <w:t xml:space="preserve"> </w:t>
      </w:r>
      <w:r>
        <w:rPr>
          <w:rFonts w:hint="eastAsia" w:ascii="宋体" w:hAnsi="宋体"/>
          <w:color w:val="auto"/>
          <w:szCs w:val="21"/>
          <w:highlight w:val="none"/>
        </w:rPr>
        <w:t>考核</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考核中合同设备运行需要的用水、用电、其他动力和原材料（如需要）等承担主体及方式的约定：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bookmarkStart w:id="684" w:name="_Toc531098988"/>
      <w:r>
        <w:rPr>
          <w:rFonts w:hint="eastAsia" w:ascii="宋体" w:hAnsi="宋体"/>
          <w:color w:val="auto"/>
          <w:szCs w:val="21"/>
          <w:highlight w:val="none"/>
        </w:rPr>
        <w:t>6.3.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lang w:val="en-US" w:eastAsia="zh-CN"/>
        </w:rPr>
        <w:t>若合同设备在考核中仅达到</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最低技术性能考核指标</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w:t>
      </w:r>
      <w:r>
        <w:rPr>
          <w:rFonts w:ascii="宋体" w:hAnsi="宋体"/>
          <w:color w:val="auto"/>
          <w:szCs w:val="21"/>
          <w:highlight w:val="none"/>
        </w:rPr>
        <w:t xml:space="preserve"> </w:t>
      </w:r>
      <w:r>
        <w:rPr>
          <w:rFonts w:hint="eastAsia" w:ascii="宋体" w:hAnsi="宋体"/>
          <w:color w:val="auto"/>
          <w:szCs w:val="21"/>
          <w:highlight w:val="none"/>
        </w:rPr>
        <w:t>验收</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签署合同设备验收证书时间的约定：</w:t>
      </w:r>
      <w:r>
        <w:rPr>
          <w:rFonts w:hint="eastAsia" w:ascii="宋体" w:hAnsi="宋体"/>
          <w:color w:val="auto"/>
          <w:highlight w:val="none"/>
          <w:u w:val="single"/>
        </w:rPr>
        <w:t>在考核完成后</w:t>
      </w:r>
      <w:r>
        <w:rPr>
          <w:color w:val="auto"/>
          <w:highlight w:val="none"/>
          <w:u w:val="single"/>
        </w:rPr>
        <w:t>7</w:t>
      </w:r>
      <w:r>
        <w:rPr>
          <w:rFonts w:hint="eastAsia" w:ascii="宋体" w:hAnsi="宋体"/>
          <w:color w:val="auto"/>
          <w:highlight w:val="none"/>
          <w:u w:val="single"/>
        </w:rPr>
        <w:t>日内</w:t>
      </w:r>
      <w:r>
        <w:rPr>
          <w:rFonts w:hint="eastAsia" w:ascii="宋体" w:hAnsi="宋体"/>
          <w:color w:val="auto"/>
          <w:szCs w:val="21"/>
          <w:highlight w:val="none"/>
          <w:u w:val="none"/>
          <w:lang w:eastAsia="zh-CN"/>
        </w:rPr>
        <w:t>。</w:t>
      </w:r>
    </w:p>
    <w:p>
      <w:pPr>
        <w:snapToGrid w:val="0"/>
        <w:spacing w:line="360" w:lineRule="auto"/>
        <w:ind w:firstLine="420" w:firstLineChars="200"/>
        <w:rPr>
          <w:rFonts w:hint="eastAsia" w:ascii="宋体" w:hAnsi="宋体" w:cs="宋体"/>
          <w:b/>
          <w:bCs/>
          <w:color w:val="auto"/>
          <w:highlight w:val="none"/>
        </w:rPr>
      </w:pPr>
      <w:r>
        <w:rPr>
          <w:rFonts w:hint="eastAsia" w:ascii="宋体" w:hAnsi="宋体"/>
          <w:color w:val="auto"/>
          <w:szCs w:val="21"/>
          <w:highlight w:val="none"/>
        </w:rPr>
        <w:t>6.4.2</w:t>
      </w:r>
      <w:r>
        <w:rPr>
          <w:rFonts w:ascii="宋体" w:hAnsi="宋体"/>
          <w:color w:val="auto"/>
          <w:szCs w:val="21"/>
          <w:highlight w:val="none"/>
        </w:rPr>
        <w:t xml:space="preserve"> </w:t>
      </w:r>
      <w:r>
        <w:rPr>
          <w:rFonts w:hint="eastAsia" w:ascii="宋体" w:hAnsi="宋体" w:cs="宋体"/>
          <w:color w:val="auto"/>
          <w:highlight w:val="none"/>
        </w:rPr>
        <w:t>双方须严格按合同明细及各种产品的具体配置、技术指标参数共同验收。验收按批次随机抽检。</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rPr>
        <w:t>如由于买方原因合同设备在三次考核中均未能达到技术性能考核指标，买卖双方应在</w:t>
      </w:r>
      <w:r>
        <w:rPr>
          <w:rFonts w:hint="eastAsia" w:ascii="宋体" w:hAnsi="宋体"/>
          <w:color w:val="auto"/>
          <w:highlight w:val="none"/>
          <w:u w:val="single"/>
        </w:rPr>
        <w:t>考核结束后</w:t>
      </w:r>
      <w:r>
        <w:rPr>
          <w:color w:val="auto"/>
          <w:highlight w:val="none"/>
          <w:u w:val="single"/>
        </w:rPr>
        <w:t>7</w:t>
      </w:r>
      <w:r>
        <w:rPr>
          <w:rFonts w:hint="eastAsia" w:ascii="宋体" w:hAnsi="宋体"/>
          <w:color w:val="auto"/>
          <w:highlight w:val="none"/>
          <w:u w:val="single"/>
        </w:rPr>
        <w:t>日内</w:t>
      </w:r>
      <w:r>
        <w:rPr>
          <w:rFonts w:hint="eastAsia" w:ascii="宋体" w:hAnsi="宋体"/>
          <w:color w:val="auto"/>
          <w:highlight w:val="none"/>
        </w:rPr>
        <w:t>签署验收款支付函。</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6.4.3</w:t>
      </w:r>
      <w:r>
        <w:rPr>
          <w:rFonts w:ascii="宋体" w:hAnsi="宋体"/>
          <w:color w:val="auto"/>
          <w:szCs w:val="21"/>
          <w:highlight w:val="none"/>
        </w:rPr>
        <w:t xml:space="preserve"> </w:t>
      </w:r>
      <w:r>
        <w:rPr>
          <w:rFonts w:hint="eastAsia" w:ascii="宋体" w:hAnsi="宋体"/>
          <w:color w:val="auto"/>
          <w:szCs w:val="21"/>
          <w:highlight w:val="none"/>
        </w:rPr>
        <w:t>因买方原因未能及时组织考核的约定：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因买方原因未能及时组织考核</w:t>
      </w:r>
      <w:r>
        <w:rPr>
          <w:rFonts w:hint="eastAsia" w:ascii="宋体" w:hAnsi="宋体"/>
          <w:color w:val="auto"/>
          <w:szCs w:val="21"/>
          <w:highlight w:val="none"/>
          <w:lang w:eastAsia="zh-CN"/>
        </w:rPr>
        <w:t>，</w:t>
      </w:r>
      <w:r>
        <w:rPr>
          <w:rFonts w:hint="eastAsia" w:ascii="宋体" w:hAnsi="宋体"/>
          <w:color w:val="auto"/>
          <w:szCs w:val="21"/>
          <w:highlight w:val="none"/>
        </w:rPr>
        <w:t>签署验收款支付函时间的约定：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5" w:name="_Toc531606351"/>
      <w:bookmarkStart w:id="686" w:name="_Toc649"/>
      <w:bookmarkStart w:id="687" w:name="_Toc531098987"/>
      <w:r>
        <w:rPr>
          <w:rFonts w:hint="eastAsia" w:ascii="Times New Roman" w:hAnsi="Times New Roman" w:eastAsia="宋体" w:cs="Times New Roman"/>
          <w:b/>
          <w:bCs/>
          <w:color w:val="auto"/>
          <w:kern w:val="2"/>
          <w:sz w:val="32"/>
          <w:szCs w:val="32"/>
          <w:highlight w:val="none"/>
          <w:lang w:val="en-US" w:eastAsia="zh-CN" w:bidi="ar-SA"/>
        </w:rPr>
        <w:t>7. 技术服务</w:t>
      </w:r>
      <w:bookmarkEnd w:id="685"/>
      <w:bookmarkEnd w:id="686"/>
      <w:bookmarkEnd w:id="687"/>
    </w:p>
    <w:p>
      <w:pPr>
        <w:tabs>
          <w:tab w:val="left" w:pos="1134"/>
        </w:tabs>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7.1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统筹管理技术服务事项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u w:val="none"/>
        </w:rPr>
        <w:t>卖方</w:t>
      </w:r>
      <w:r>
        <w:rPr>
          <w:rFonts w:hint="eastAsia" w:ascii="宋体" w:hAnsi="宋体" w:eastAsia="宋体" w:cs="Times New Roman"/>
          <w:color w:val="auto"/>
          <w:szCs w:val="21"/>
          <w:highlight w:val="none"/>
          <w:u w:val="none"/>
          <w:lang w:val="en-US" w:eastAsia="zh-CN"/>
        </w:rPr>
        <w:t>的技术服务包括但不限于：</w:t>
      </w:r>
      <w:r>
        <w:rPr>
          <w:rFonts w:hint="eastAsia" w:ascii="宋体" w:hAnsi="宋体" w:eastAsia="宋体" w:cs="Times New Roman"/>
          <w:color w:val="auto"/>
          <w:szCs w:val="21"/>
          <w:highlight w:val="none"/>
          <w:u w:val="single"/>
        </w:rPr>
        <w:t>就本合同</w:t>
      </w:r>
      <w:r>
        <w:rPr>
          <w:rFonts w:hint="eastAsia" w:ascii="宋体" w:hAnsi="宋体" w:eastAsia="宋体" w:cs="Times New Roman"/>
          <w:color w:val="auto"/>
          <w:szCs w:val="21"/>
          <w:highlight w:val="none"/>
          <w:u w:val="single"/>
          <w:lang w:val="en-US" w:eastAsia="zh-CN"/>
        </w:rPr>
        <w:t>设备</w:t>
      </w:r>
      <w:r>
        <w:rPr>
          <w:rFonts w:hint="eastAsia" w:ascii="宋体" w:hAnsi="宋体" w:eastAsia="宋体" w:cs="Times New Roman"/>
          <w:color w:val="auto"/>
          <w:szCs w:val="21"/>
          <w:highlight w:val="none"/>
          <w:u w:val="single"/>
        </w:rPr>
        <w:t>的安装和调试进行技术服务，对预试车、投料试车、考核等给予技术服务指导并对买方现场人员进行培训。</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7</w:t>
      </w:r>
      <w:r>
        <w:rPr>
          <w:rFonts w:ascii="宋体" w:hAnsi="宋体"/>
          <w:color w:val="auto"/>
          <w:szCs w:val="21"/>
          <w:highlight w:val="none"/>
        </w:rPr>
        <w:t xml:space="preserve">.2 </w:t>
      </w:r>
      <w:r>
        <w:rPr>
          <w:rFonts w:hint="eastAsia" w:ascii="宋体" w:hAnsi="宋体"/>
          <w:color w:val="auto"/>
          <w:szCs w:val="21"/>
          <w:highlight w:val="none"/>
        </w:rPr>
        <w:t>卖方技术人员的交通、食宿费用承担的约定：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7.5</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7.3由于卖方原因导致技术服务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p>
      <w:pPr>
        <w:pStyle w:val="18"/>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688" w:name="_Toc2881831"/>
      <w:bookmarkStart w:id="689" w:name="_Toc19313"/>
      <w:r>
        <w:rPr>
          <w:rFonts w:hint="eastAsia" w:ascii="Times New Roman" w:hAnsi="Times New Roman" w:eastAsia="宋体" w:cs="Times New Roman"/>
          <w:b/>
          <w:bCs/>
          <w:color w:val="auto"/>
          <w:kern w:val="2"/>
          <w:sz w:val="32"/>
          <w:szCs w:val="32"/>
          <w:highlight w:val="none"/>
          <w:lang w:val="en-US" w:eastAsia="zh-CN" w:bidi="ar-SA"/>
        </w:rPr>
        <w:t>8. 质量保证期</w:t>
      </w:r>
      <w:bookmarkEnd w:id="684"/>
      <w:bookmarkEnd w:id="688"/>
      <w:bookmarkEnd w:id="689"/>
    </w:p>
    <w:p>
      <w:pPr>
        <w:tabs>
          <w:tab w:val="left" w:pos="1134"/>
        </w:tabs>
        <w:spacing w:line="360" w:lineRule="auto"/>
        <w:ind w:firstLine="420" w:firstLineChars="200"/>
        <w:rPr>
          <w:rFonts w:hint="eastAsia" w:ascii="宋体" w:hAnsi="宋体" w:eastAsia="宋体" w:cs="宋体"/>
          <w:highlight w:val="none"/>
          <w:lang w:eastAsia="zh-CN"/>
        </w:rPr>
      </w:pP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rPr>
        <w:t>合同设备整体质量保证期</w:t>
      </w:r>
      <w:r>
        <w:rPr>
          <w:rFonts w:hint="eastAsia" w:ascii="宋体" w:hAnsi="宋体"/>
          <w:color w:val="auto"/>
          <w:highlight w:val="none"/>
        </w:rPr>
        <w:t>为</w:t>
      </w:r>
      <w:r>
        <w:rPr>
          <w:rFonts w:hint="eastAsia" w:ascii="宋体" w:hAnsi="宋体"/>
          <w:color w:val="auto"/>
          <w:highlight w:val="none"/>
          <w:u w:val="single"/>
          <w:lang w:val="en-US" w:eastAsia="zh-CN"/>
        </w:rPr>
        <w:t xml:space="preserve">           </w:t>
      </w:r>
      <w:r>
        <w:rPr>
          <w:rFonts w:hint="eastAsia" w:ascii="宋体" w:hAnsi="宋体" w:cs="宋体"/>
          <w:highlight w:val="none"/>
          <w:lang w:val="en-US" w:eastAsia="zh-CN"/>
        </w:rPr>
        <w:t>年（以中标承诺年限为准）</w:t>
      </w:r>
      <w:r>
        <w:rPr>
          <w:rFonts w:hint="eastAsia" w:ascii="宋体" w:hAnsi="宋体" w:cs="宋体"/>
          <w:highlight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8.</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lang w:val="en-US" w:eastAsia="zh-CN"/>
        </w:rPr>
        <w:t>买方向卖方</w:t>
      </w:r>
      <w:r>
        <w:rPr>
          <w:rFonts w:hint="eastAsia" w:ascii="宋体" w:hAnsi="宋体"/>
          <w:color w:val="auto"/>
          <w:szCs w:val="21"/>
          <w:highlight w:val="none"/>
        </w:rPr>
        <w:t>出具合同设备的质量保证期届满证书时间的约定：</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质量保证期届满后</w:t>
      </w:r>
      <w:r>
        <w:rPr>
          <w:rFonts w:hint="eastAsia" w:ascii="宋体" w:hAnsi="宋体"/>
          <w:color w:val="auto"/>
          <w:highlight w:val="none"/>
          <w:u w:val="single"/>
          <w:lang w:val="en-US" w:eastAsia="zh-CN"/>
        </w:rPr>
        <w:t xml:space="preserve"> 7 日内</w:t>
      </w:r>
      <w:r>
        <w:rPr>
          <w:rFonts w:hint="eastAsia" w:ascii="宋体" w:hAnsi="宋体"/>
          <w:color w:val="auto"/>
          <w:highlight w:val="none"/>
          <w:lang w:val="en-US" w:eastAsia="zh-CN"/>
        </w:rPr>
        <w:t>。</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lang w:val="en-US" w:eastAsia="zh-CN"/>
        </w:rPr>
        <w:t>3</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6.4.2</w:t>
      </w:r>
      <w:r>
        <w:rPr>
          <w:rFonts w:hint="eastAsia" w:ascii="宋体" w:hAnsi="宋体"/>
          <w:color w:val="auto"/>
          <w:highlight w:val="none"/>
        </w:rPr>
        <w:t>项情形下，如在验收款支付函签署后</w:t>
      </w:r>
      <w:r>
        <w:rPr>
          <w:color w:val="auto"/>
          <w:highlight w:val="none"/>
        </w:rPr>
        <w:t>12</w:t>
      </w:r>
      <w:r>
        <w:rPr>
          <w:rFonts w:hint="eastAsia" w:ascii="宋体" w:hAnsi="宋体"/>
          <w:color w:val="auto"/>
          <w:highlight w:val="none"/>
        </w:rPr>
        <w:t>个月内由于买方原因合同设备仍未能达到技术性能考核指标</w:t>
      </w:r>
      <w:r>
        <w:rPr>
          <w:rFonts w:hint="eastAsia" w:ascii="宋体" w:hAnsi="宋体"/>
          <w:color w:val="auto"/>
          <w:highlight w:val="none"/>
          <w:lang w:eastAsia="zh-CN"/>
        </w:rPr>
        <w:t>，</w:t>
      </w:r>
      <w:r>
        <w:rPr>
          <w:rFonts w:hint="eastAsia" w:ascii="宋体" w:hAnsi="宋体"/>
          <w:color w:val="auto"/>
          <w:highlight w:val="none"/>
        </w:rPr>
        <w:t>则买卖双方应在</w:t>
      </w:r>
      <w:r>
        <w:rPr>
          <w:rFonts w:hint="eastAsia" w:ascii="宋体" w:hAnsi="宋体"/>
          <w:color w:val="auto"/>
          <w:highlight w:val="none"/>
          <w:u w:val="single"/>
          <w:lang w:val="en-US" w:eastAsia="zh-CN"/>
        </w:rPr>
        <w:t xml:space="preserve">  10  </w:t>
      </w:r>
      <w:r>
        <w:rPr>
          <w:rFonts w:hint="eastAsia" w:ascii="宋体" w:hAnsi="宋体"/>
          <w:color w:val="auto"/>
          <w:highlight w:val="none"/>
        </w:rPr>
        <w:t>日内签署结清款支付函。</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6.4.3</w:t>
      </w:r>
      <w:r>
        <w:rPr>
          <w:rFonts w:hint="eastAsia" w:ascii="宋体" w:hAnsi="宋体"/>
          <w:color w:val="auto"/>
          <w:highlight w:val="none"/>
        </w:rPr>
        <w:t>项情形下，如在验收款支付函签署后</w:t>
      </w:r>
      <w:r>
        <w:rPr>
          <w:color w:val="auto"/>
          <w:highlight w:val="none"/>
        </w:rPr>
        <w:t>6</w:t>
      </w:r>
      <w:r>
        <w:rPr>
          <w:rFonts w:hint="eastAsia" w:ascii="宋体" w:hAnsi="宋体"/>
          <w:color w:val="auto"/>
          <w:highlight w:val="none"/>
        </w:rPr>
        <w:t>个月内由于买方原因合同设备仍未进行考核或仍未达到技术性能考核指标，则买卖双方应在</w:t>
      </w:r>
      <w:r>
        <w:rPr>
          <w:rFonts w:hint="eastAsia" w:ascii="宋体" w:hAnsi="宋体"/>
          <w:color w:val="auto"/>
          <w:highlight w:val="none"/>
          <w:u w:val="single"/>
          <w:lang w:val="en-US" w:eastAsia="zh-CN"/>
        </w:rPr>
        <w:t xml:space="preserve">  10  </w:t>
      </w:r>
      <w:r>
        <w:rPr>
          <w:rFonts w:hint="eastAsia" w:ascii="宋体" w:hAnsi="宋体"/>
          <w:color w:val="auto"/>
          <w:highlight w:val="none"/>
        </w:rPr>
        <w:t>日内签署结清款支付函。</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0" w:name="_Toc1408"/>
      <w:r>
        <w:rPr>
          <w:rFonts w:hint="eastAsia" w:ascii="Times New Roman" w:hAnsi="Times New Roman" w:eastAsia="宋体" w:cs="Times New Roman"/>
          <w:b/>
          <w:bCs/>
          <w:color w:val="auto"/>
          <w:kern w:val="2"/>
          <w:sz w:val="32"/>
          <w:szCs w:val="32"/>
          <w:highlight w:val="none"/>
          <w:lang w:val="en-US" w:eastAsia="zh-CN" w:bidi="ar-SA"/>
        </w:rPr>
        <w:t>9. 质保期服务</w:t>
      </w:r>
      <w:bookmarkEnd w:id="690"/>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质保期服务响应的约定：</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小时内做出响应</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小时内到达</w:t>
      </w:r>
      <w:r>
        <w:rPr>
          <w:rFonts w:hint="eastAsia" w:ascii="宋体" w:hAnsi="宋体" w:eastAsia="宋体" w:cs="Times New Roman"/>
          <w:color w:val="auto"/>
          <w:szCs w:val="21"/>
          <w:highlight w:val="none"/>
          <w:u w:val="none"/>
          <w:lang w:val="en-US" w:eastAsia="zh-CN"/>
        </w:rPr>
        <w:t>合同设备现场；</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3</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卖方应在</w:t>
      </w:r>
      <w:r>
        <w:rPr>
          <w:rFonts w:hint="eastAsia" w:ascii="宋体" w:hAnsi="宋体" w:eastAsia="宋体" w:cs="Times New Roman"/>
          <w:color w:val="auto"/>
          <w:szCs w:val="21"/>
          <w:highlight w:val="none"/>
          <w:u w:val="none"/>
        </w:rPr>
        <w:t>到达</w:t>
      </w:r>
      <w:r>
        <w:rPr>
          <w:rFonts w:hint="eastAsia" w:ascii="宋体" w:hAnsi="宋体" w:eastAsia="宋体" w:cs="Times New Roman"/>
          <w:color w:val="auto"/>
          <w:szCs w:val="21"/>
          <w:highlight w:val="none"/>
          <w:u w:val="none"/>
          <w:lang w:val="en-US" w:eastAsia="zh-CN"/>
        </w:rPr>
        <w:t>现场</w:t>
      </w:r>
      <w:r>
        <w:rPr>
          <w:rFonts w:hint="eastAsia" w:ascii="宋体" w:hAnsi="宋体" w:eastAsia="宋体" w:cs="Times New Roman"/>
          <w:color w:val="auto"/>
          <w:szCs w:val="21"/>
          <w:highlight w:val="none"/>
          <w:u w:val="none"/>
        </w:rPr>
        <w:t>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日内解决合同设备的故障（重大故障除外）</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rPr>
        <w:t>如果卖方未在上述时间内作出响应，则买方有权自行或委托</w:t>
      </w:r>
      <w:r>
        <w:rPr>
          <w:rFonts w:hint="eastAsia" w:ascii="宋体" w:hAnsi="宋体"/>
          <w:color w:val="auto"/>
          <w:highlight w:val="none"/>
          <w:u w:val="single"/>
          <w:lang w:val="en-US" w:eastAsia="zh-CN"/>
        </w:rPr>
        <w:t>第三方</w:t>
      </w:r>
      <w:r>
        <w:rPr>
          <w:rFonts w:hint="eastAsia" w:ascii="宋体" w:hAnsi="宋体"/>
          <w:color w:val="auto"/>
          <w:highlight w:val="none"/>
          <w:u w:val="single"/>
        </w:rPr>
        <w:t>解决相关问题或查找和解决合同设备的故障，卖方应承担由此发生的全部费用</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包括但不限于向</w:t>
      </w:r>
      <w:r>
        <w:rPr>
          <w:rFonts w:hint="eastAsia" w:ascii="宋体" w:hAnsi="宋体" w:eastAsia="宋体" w:cs="宋体"/>
          <w:color w:val="auto"/>
          <w:sz w:val="21"/>
          <w:szCs w:val="21"/>
          <w:highlight w:val="none"/>
          <w:u w:val="single"/>
          <w:lang w:val="en-US" w:eastAsia="zh-CN"/>
        </w:rPr>
        <w:t>委托的</w:t>
      </w:r>
      <w:r>
        <w:rPr>
          <w:rFonts w:hint="eastAsia" w:ascii="宋体" w:hAnsi="宋体" w:eastAsia="宋体" w:cs="宋体"/>
          <w:color w:val="auto"/>
          <w:sz w:val="21"/>
          <w:szCs w:val="21"/>
          <w:highlight w:val="none"/>
          <w:u w:val="single"/>
        </w:rPr>
        <w:t>第三方支付的费用、设备费用、材料费用、零部件费用等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买方可</w:t>
      </w:r>
      <w:r>
        <w:rPr>
          <w:rFonts w:hint="eastAsia" w:ascii="宋体" w:hAnsi="宋体" w:eastAsia="宋体" w:cs="宋体"/>
          <w:color w:val="auto"/>
          <w:sz w:val="21"/>
          <w:szCs w:val="21"/>
          <w:highlight w:val="none"/>
          <w:u w:val="single"/>
        </w:rPr>
        <w:t>直接</w:t>
      </w:r>
      <w:r>
        <w:rPr>
          <w:rFonts w:hint="eastAsia" w:ascii="宋体" w:hAnsi="宋体" w:eastAsia="宋体" w:cs="宋体"/>
          <w:color w:val="auto"/>
          <w:sz w:val="21"/>
          <w:szCs w:val="21"/>
          <w:highlight w:val="none"/>
          <w:u w:val="single"/>
          <w:lang w:val="en-US" w:eastAsia="zh-CN"/>
        </w:rPr>
        <w:t>扣减质保金或要求卖方退还部分合同价款</w:t>
      </w:r>
      <w:r>
        <w:rPr>
          <w:rFonts w:hint="eastAsia" w:ascii="宋体" w:hAnsi="宋体" w:eastAsia="宋体" w:cs="宋体"/>
          <w:color w:val="auto"/>
          <w:sz w:val="21"/>
          <w:szCs w:val="21"/>
          <w:highlight w:val="none"/>
          <w:u w:val="single"/>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卖方</w:t>
      </w:r>
      <w:r>
        <w:rPr>
          <w:rFonts w:hint="eastAsia" w:ascii="宋体" w:hAnsi="宋体"/>
          <w:color w:val="auto"/>
          <w:szCs w:val="21"/>
          <w:highlight w:val="none"/>
          <w:lang w:val="en-US" w:eastAsia="zh-CN"/>
        </w:rPr>
        <w:t>质保期服务</w:t>
      </w:r>
      <w:r>
        <w:rPr>
          <w:rFonts w:hint="eastAsia" w:ascii="宋体" w:hAnsi="宋体"/>
          <w:color w:val="auto"/>
          <w:szCs w:val="21"/>
          <w:highlight w:val="none"/>
        </w:rPr>
        <w:t>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卖方记录质保期服务情况的约定：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1" w:name="_Toc531606353"/>
      <w:bookmarkStart w:id="692" w:name="_Toc531098989"/>
      <w:bookmarkStart w:id="693" w:name="_Toc15216"/>
      <w:bookmarkStart w:id="694" w:name="_Toc2881832"/>
      <w:r>
        <w:rPr>
          <w:rFonts w:hint="eastAsia" w:ascii="Times New Roman" w:hAnsi="Times New Roman" w:eastAsia="宋体" w:cs="Times New Roman"/>
          <w:b/>
          <w:bCs/>
          <w:color w:val="auto"/>
          <w:kern w:val="2"/>
          <w:sz w:val="32"/>
          <w:szCs w:val="32"/>
          <w:highlight w:val="none"/>
          <w:lang w:val="en-US" w:eastAsia="zh-CN" w:bidi="ar-SA"/>
        </w:rPr>
        <w:t>10. 履约保证金</w:t>
      </w:r>
      <w:bookmarkEnd w:id="691"/>
      <w:bookmarkEnd w:id="692"/>
      <w:bookmarkEnd w:id="693"/>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kern w:val="0"/>
          <w:szCs w:val="21"/>
          <w:highlight w:val="none"/>
          <w:u w:val="single"/>
        </w:rPr>
        <w:t xml:space="preserve">中标合同金额的10%  </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hint="eastAsia" w:ascii="宋体" w:hAnsi="宋体" w:cs="宋体"/>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s="宋体"/>
          <w:highlight w:val="none"/>
        </w:rPr>
        <w:t>在中标后 30 天内和签订合同前向业主单位提交</w:t>
      </w:r>
    </w:p>
    <w:p>
      <w:pPr>
        <w:tabs>
          <w:tab w:val="left" w:pos="1134"/>
        </w:tabs>
        <w:spacing w:line="360" w:lineRule="auto"/>
        <w:ind w:firstLine="420" w:firstLineChars="200"/>
        <w:jc w:val="left"/>
        <w:rPr>
          <w:rFonts w:hint="eastAsia" w:ascii="宋体" w:hAnsi="宋体" w:cs="宋体"/>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s="宋体"/>
          <w:highlight w:val="none"/>
        </w:rPr>
        <w:t>合同签订之日起至交工验收结束。</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s="宋体"/>
          <w:highlight w:val="none"/>
        </w:rPr>
        <w:t>交工验收结束后 10 日内无息退还。</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5" w:name="_Toc17911"/>
      <w:bookmarkStart w:id="696" w:name="_Toc531098990"/>
      <w:bookmarkStart w:id="697" w:name="_Toc531606354"/>
      <w:r>
        <w:rPr>
          <w:rFonts w:hint="eastAsia" w:ascii="Times New Roman" w:hAnsi="Times New Roman" w:eastAsia="宋体" w:cs="Times New Roman"/>
          <w:b/>
          <w:bCs/>
          <w:color w:val="auto"/>
          <w:kern w:val="2"/>
          <w:sz w:val="32"/>
          <w:szCs w:val="32"/>
          <w:highlight w:val="none"/>
          <w:lang w:val="en-US" w:eastAsia="zh-CN" w:bidi="ar-SA"/>
        </w:rPr>
        <w:t>11. 保证</w:t>
      </w:r>
      <w:bookmarkEnd w:id="695"/>
      <w:bookmarkEnd w:id="696"/>
      <w:bookmarkEnd w:id="697"/>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ascii="宋体" w:hAnsi="宋体"/>
          <w:color w:val="auto"/>
          <w:szCs w:val="21"/>
          <w:highlight w:val="none"/>
        </w:rPr>
        <w:t xml:space="preserve">.4 </w:t>
      </w:r>
      <w:r>
        <w:rPr>
          <w:rFonts w:hint="eastAsia" w:ascii="宋体" w:hAnsi="宋体"/>
          <w:color w:val="auto"/>
          <w:szCs w:val="21"/>
          <w:highlight w:val="none"/>
        </w:rPr>
        <w:t>对合同设备品质的约定：</w:t>
      </w:r>
      <w:r>
        <w:rPr>
          <w:rFonts w:hint="eastAsia" w:ascii="宋体" w:hAnsi="宋体"/>
          <w:color w:val="auto"/>
          <w:szCs w:val="21"/>
          <w:highlight w:val="none"/>
          <w:u w:val="single"/>
          <w:lang w:val="en-US" w:eastAsia="zh-CN"/>
        </w:rPr>
        <w:t>卖方应在合同设备质保期内为买方提供免费维修服务，因设备质量问题导致的损坏，同一设备1年期间维修两次后，买方有权要求卖方免费更换整机设备</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11.9～</w:t>
      </w:r>
      <w:r>
        <w:rPr>
          <w:rFonts w:hint="eastAsia" w:ascii="宋体" w:hAnsi="宋体"/>
          <w:color w:val="auto"/>
          <w:kern w:val="0"/>
          <w:szCs w:val="21"/>
          <w:highlight w:val="none"/>
          <w:lang w:val="en-US" w:eastAsia="zh-CN"/>
        </w:rPr>
        <w:t>11.12款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11.9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合同设备</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保证合同设备制造现场符合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11.10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合同设备制造使用的材料和制作工艺符合国家标准，不包含任何禁用物质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用于合同设备的包装材料应是符合环保要求的包装材料。</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11.11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pPr>
        <w:tabs>
          <w:tab w:val="left" w:pos="1134"/>
        </w:tabs>
        <w:spacing w:line="360" w:lineRule="auto"/>
        <w:ind w:firstLine="420" w:firstLineChars="200"/>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11.12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8" w:name="_Toc22355"/>
      <w:r>
        <w:rPr>
          <w:rFonts w:hint="eastAsia" w:ascii="Times New Roman" w:hAnsi="Times New Roman" w:eastAsia="宋体" w:cs="Times New Roman"/>
          <w:b/>
          <w:bCs/>
          <w:color w:val="auto"/>
          <w:kern w:val="2"/>
          <w:sz w:val="32"/>
          <w:szCs w:val="32"/>
          <w:highlight w:val="none"/>
          <w:lang w:val="en-US" w:eastAsia="zh-CN" w:bidi="ar-SA"/>
        </w:rPr>
        <w:t>12.知识产权</w:t>
      </w:r>
      <w:bookmarkEnd w:id="698"/>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 xml:space="preserve"> </w:t>
      </w:r>
      <w:r>
        <w:rPr>
          <w:rFonts w:hint="eastAsia" w:ascii="宋体" w:hAnsi="宋体"/>
          <w:color w:val="auto"/>
          <w:szCs w:val="21"/>
          <w:highlight w:val="none"/>
        </w:rPr>
        <w:t>买方对卖方提供相关技术资料享有相关知识产权的约定：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买方应对第三方有关知识产权的主张、索赔或诉讼的约定：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9" w:name="_Toc531098991"/>
      <w:bookmarkStart w:id="700" w:name="_Toc11928"/>
      <w:bookmarkStart w:id="701" w:name="_Toc531606355"/>
      <w:r>
        <w:rPr>
          <w:rFonts w:hint="eastAsia" w:ascii="Times New Roman" w:hAnsi="Times New Roman" w:eastAsia="宋体" w:cs="Times New Roman"/>
          <w:b/>
          <w:bCs/>
          <w:color w:val="auto"/>
          <w:kern w:val="2"/>
          <w:sz w:val="32"/>
          <w:szCs w:val="32"/>
          <w:highlight w:val="none"/>
          <w:lang w:val="en-US" w:eastAsia="zh-CN" w:bidi="ar-SA"/>
        </w:rPr>
        <w:t>14. 违约责任</w:t>
      </w:r>
      <w:bookmarkEnd w:id="699"/>
      <w:bookmarkEnd w:id="700"/>
      <w:bookmarkEnd w:id="701"/>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14.1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auto"/>
          <w:highlight w:val="none"/>
          <w:u w:val="single"/>
          <w:lang w:val="en-US" w:eastAsia="zh-CN"/>
        </w:rPr>
        <w:t>20</w:t>
      </w:r>
      <w:r>
        <w:rPr>
          <w:color w:val="auto"/>
          <w:highlight w:val="none"/>
        </w:rPr>
        <w:t>%</w:t>
      </w:r>
      <w:r>
        <w:rPr>
          <w:rFonts w:hint="eastAsia" w:ascii="宋体" w:hAnsi="宋体"/>
          <w:color w:val="auto"/>
          <w:highlight w:val="none"/>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通用合同条款14.2、14.3款细化为：</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）在制造过程中，</w:t>
      </w:r>
      <w:r>
        <w:rPr>
          <w:rFonts w:hint="eastAsia" w:ascii="宋体" w:hAnsi="宋体" w:eastAsia="宋体" w:cs="宋体"/>
          <w:color w:val="auto"/>
          <w:sz w:val="21"/>
          <w:szCs w:val="21"/>
          <w:highlight w:val="none"/>
          <w:lang w:val="en-US" w:eastAsia="zh-CN"/>
        </w:rPr>
        <w:t>买方监造人员发现</w:t>
      </w:r>
      <w:r>
        <w:rPr>
          <w:rFonts w:hint="eastAsia" w:ascii="宋体" w:hAnsi="宋体" w:eastAsia="宋体" w:cs="宋体"/>
          <w:color w:val="auto"/>
          <w:sz w:val="21"/>
          <w:szCs w:val="21"/>
          <w:highlight w:val="none"/>
        </w:rPr>
        <w:t>合同设备</w:t>
      </w:r>
      <w:r>
        <w:rPr>
          <w:rFonts w:hint="eastAsia" w:ascii="宋体" w:hAnsi="宋体" w:eastAsia="宋体" w:cs="宋体"/>
          <w:color w:val="auto"/>
          <w:sz w:val="21"/>
          <w:szCs w:val="21"/>
          <w:highlight w:val="none"/>
          <w:lang w:val="en-US" w:eastAsia="zh-CN"/>
        </w:rPr>
        <w:t>零部件或制造工艺</w:t>
      </w:r>
      <w:r>
        <w:rPr>
          <w:rFonts w:hint="eastAsia" w:ascii="宋体" w:hAnsi="宋体" w:eastAsia="宋体" w:cs="宋体"/>
          <w:color w:val="auto"/>
          <w:sz w:val="21"/>
          <w:szCs w:val="21"/>
          <w:highlight w:val="none"/>
        </w:rPr>
        <w:t>不符合合同</w:t>
      </w:r>
      <w:r>
        <w:rPr>
          <w:rFonts w:hint="eastAsia" w:ascii="宋体" w:hAnsi="宋体" w:eastAsia="宋体" w:cs="宋体"/>
          <w:color w:val="auto"/>
          <w:sz w:val="21"/>
          <w:szCs w:val="21"/>
          <w:highlight w:val="none"/>
          <w:lang w:val="en-US" w:eastAsia="zh-CN"/>
        </w:rPr>
        <w:t>要求的，卖方应向买方支付不符合要求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highlight w:val="none"/>
        </w:rPr>
        <w:t>未能按时交付合同设备（包括仅迟延交付技术资料但足以导致合同设备安装、调试、考核、验收工作推迟的）的，卖方应向买方支付迟延交付违约金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卖方延迟交付违约金计算方法的约定：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）到货检验中发现存在合同设备不符合本合同要求，</w:t>
      </w:r>
      <w:r>
        <w:rPr>
          <w:rFonts w:hint="eastAsia" w:ascii="宋体" w:hAnsi="宋体" w:eastAsia="宋体" w:cs="宋体"/>
          <w:color w:val="auto"/>
          <w:sz w:val="21"/>
          <w:szCs w:val="21"/>
          <w:highlight w:val="none"/>
          <w:lang w:val="en-US" w:eastAsia="zh-CN"/>
        </w:rPr>
        <w:t>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合同设备</w:t>
      </w:r>
      <w:r>
        <w:rPr>
          <w:rFonts w:hint="eastAsia" w:ascii="宋体" w:hAnsi="宋体"/>
          <w:color w:val="auto"/>
          <w:highlight w:val="none"/>
        </w:rPr>
        <w:t>由于卖方原因三次考核均未能达到合同约定的技术性能考核指标</w:t>
      </w:r>
      <w:r>
        <w:rPr>
          <w:rFonts w:hint="eastAsia" w:ascii="宋体" w:hAnsi="宋体"/>
          <w:color w:val="auto"/>
          <w:highlight w:val="none"/>
          <w:lang w:eastAsia="zh-CN"/>
        </w:rPr>
        <w:t>，</w:t>
      </w:r>
      <w:r>
        <w:rPr>
          <w:rFonts w:hint="eastAsia" w:ascii="宋体" w:hAnsi="宋体"/>
          <w:color w:val="auto"/>
          <w:highlight w:val="none"/>
          <w:lang w:val="en-US" w:eastAsia="zh-CN"/>
        </w:rPr>
        <w:t>但</w:t>
      </w:r>
      <w:r>
        <w:rPr>
          <w:rFonts w:hint="eastAsia" w:ascii="宋体" w:hAnsi="宋体"/>
          <w:color w:val="auto"/>
          <w:highlight w:val="none"/>
        </w:rPr>
        <w:t>达到了合同中约定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合同设备最低技术性能考核指标</w:t>
      </w:r>
      <w:r>
        <w:rPr>
          <w:rFonts w:hint="eastAsia" w:ascii="宋体" w:hAnsi="宋体"/>
          <w:color w:val="auto"/>
          <w:highlight w:val="none"/>
          <w:lang w:val="en-US" w:eastAsia="zh-CN"/>
        </w:rPr>
        <w:t>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卖方应向买方支付未通过三次考核</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）质量保证期内，如合同设备被发现存在任何缺陷，且卖方拒绝根据合同进行修理、更换或经修理、更换仍无法消除该等缺陷</w:t>
      </w:r>
      <w:r>
        <w:rPr>
          <w:rFonts w:hint="eastAsia" w:ascii="宋体" w:hAnsi="宋体" w:eastAsia="宋体" w:cs="宋体"/>
          <w:color w:val="auto"/>
          <w:sz w:val="21"/>
          <w:szCs w:val="21"/>
          <w:highlight w:val="none"/>
          <w:lang w:val="en-US" w:eastAsia="zh-CN"/>
        </w:rPr>
        <w:t>的，卖方应向买方支付存在缺陷</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14.2.2卖方违反本合同第11条所作保证，在买方指定期限内纠正或采取的补救措施经买方认可的，卖方应向买方支付</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5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14.3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pPr>
        <w:tabs>
          <w:tab w:val="left" w:pos="1134"/>
        </w:tabs>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pPr>
        <w:tabs>
          <w:tab w:val="left" w:pos="1134"/>
        </w:tabs>
        <w:spacing w:line="360" w:lineRule="auto"/>
        <w:ind w:firstLine="420" w:firstLineChars="200"/>
        <w:rPr>
          <w:rFonts w:hint="default" w:eastAsia="宋体"/>
          <w:color w:val="auto"/>
          <w:highlight w:val="none"/>
          <w:u w:val="single"/>
          <w:lang w:val="en-US" w:eastAsia="zh-CN"/>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2" w:name="_Toc531606356"/>
      <w:bookmarkStart w:id="703" w:name="_Toc27689"/>
      <w:bookmarkStart w:id="704" w:name="_Toc531098992"/>
      <w:r>
        <w:rPr>
          <w:rFonts w:hint="eastAsia" w:ascii="Times New Roman" w:hAnsi="Times New Roman" w:eastAsia="宋体" w:cs="Times New Roman"/>
          <w:b/>
          <w:bCs/>
          <w:color w:val="auto"/>
          <w:kern w:val="2"/>
          <w:sz w:val="32"/>
          <w:szCs w:val="32"/>
          <w:highlight w:val="none"/>
          <w:lang w:val="en-US" w:eastAsia="zh-CN" w:bidi="ar-SA"/>
        </w:rPr>
        <w:t>15. 合同的解除</w:t>
      </w:r>
      <w:bookmarkEnd w:id="702"/>
      <w:bookmarkEnd w:id="703"/>
      <w:bookmarkEnd w:id="704"/>
    </w:p>
    <w:p>
      <w:pPr>
        <w:tabs>
          <w:tab w:val="left" w:pos="1134"/>
        </w:tabs>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在制造过程中，</w:t>
      </w:r>
      <w:r>
        <w:rPr>
          <w:rFonts w:hint="eastAsia" w:ascii="宋体" w:hAnsi="宋体" w:eastAsia="宋体" w:cs="宋体"/>
          <w:color w:val="auto"/>
          <w:sz w:val="21"/>
          <w:szCs w:val="21"/>
          <w:highlight w:val="none"/>
          <w:u w:val="single"/>
          <w:lang w:val="en-US" w:eastAsia="zh-CN"/>
        </w:rPr>
        <w:t>买方监造人员发现</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零部件或制造工艺</w:t>
      </w:r>
      <w:r>
        <w:rPr>
          <w:rFonts w:hint="eastAsia" w:ascii="宋体" w:hAnsi="宋体" w:eastAsia="宋体" w:cs="宋体"/>
          <w:color w:val="auto"/>
          <w:sz w:val="21"/>
          <w:szCs w:val="21"/>
          <w:highlight w:val="none"/>
          <w:u w:val="single"/>
        </w:rPr>
        <w:t>不符合合同</w:t>
      </w:r>
      <w:r>
        <w:rPr>
          <w:rFonts w:hint="eastAsia" w:ascii="宋体" w:hAnsi="宋体" w:eastAsia="宋体" w:cs="宋体"/>
          <w:color w:val="auto"/>
          <w:sz w:val="21"/>
          <w:szCs w:val="21"/>
          <w:highlight w:val="none"/>
          <w:u w:val="single"/>
          <w:lang w:val="en-US" w:eastAsia="zh-CN"/>
        </w:rPr>
        <w:t>要求，且未在买方指定期限内纠正的；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到货检验中发现存在合同设备不符合本合同要求，</w:t>
      </w:r>
      <w:r>
        <w:rPr>
          <w:rFonts w:hint="eastAsia" w:ascii="宋体" w:hAnsi="宋体" w:eastAsia="宋体" w:cs="宋体"/>
          <w:color w:val="auto"/>
          <w:sz w:val="21"/>
          <w:szCs w:val="21"/>
          <w:highlight w:val="none"/>
          <w:u w:val="single"/>
          <w:lang w:val="en-US" w:eastAsia="zh-CN"/>
        </w:rPr>
        <w:t>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3</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质量保证期内，如合同设备被发现存在任何缺陷，卖方拒绝根据合同进行修理、更换或经修理、更换仍无法消除该等缺陷</w:t>
      </w:r>
      <w:r>
        <w:rPr>
          <w:rFonts w:hint="eastAsia" w:ascii="宋体" w:hAnsi="宋体" w:eastAsia="宋体" w:cs="宋体"/>
          <w:color w:val="auto"/>
          <w:sz w:val="21"/>
          <w:szCs w:val="21"/>
          <w:highlight w:val="none"/>
          <w:u w:val="single"/>
          <w:lang w:val="en-US" w:eastAsia="zh-CN"/>
        </w:rPr>
        <w:t>的，且未在买方指定期限内纠正的；</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4</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卖方违反本合同第11条所作保证，且未在买方指定期限内纠正或无法纠正的；</w:t>
      </w:r>
    </w:p>
    <w:p>
      <w:pPr>
        <w:tabs>
          <w:tab w:val="left" w:pos="1134"/>
        </w:tabs>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15.2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前买方已经支付合同价款的合同设备，卖方应立即移交给买方，买方拥有相关合同设备的全部权益。</w:t>
      </w:r>
      <w:r>
        <w:rPr>
          <w:rFonts w:hint="eastAsia" w:ascii="宋体" w:hAnsi="宋体" w:eastAsia="宋体" w:cs="宋体"/>
          <w:color w:val="auto"/>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auto"/>
          <w:sz w:val="21"/>
          <w:szCs w:val="21"/>
          <w:highlight w:val="none"/>
          <w:u w:val="single"/>
        </w:rPr>
        <w:t>需向卖方支付补偿款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补偿款以卖方为履行合同已实际发生的直接、合理费用为限。任何时候卖方均无权要求买方赔偿因合同终止而引起的预期利润的损失或损害。</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5" w:name="_Toc30982"/>
      <w:r>
        <w:rPr>
          <w:rFonts w:hint="eastAsia" w:ascii="Times New Roman" w:hAnsi="Times New Roman" w:eastAsia="宋体" w:cs="Times New Roman"/>
          <w:b/>
          <w:bCs/>
          <w:color w:val="auto"/>
          <w:kern w:val="2"/>
          <w:sz w:val="32"/>
          <w:szCs w:val="32"/>
          <w:highlight w:val="none"/>
          <w:lang w:val="en-US" w:eastAsia="zh-CN" w:bidi="ar-SA"/>
        </w:rPr>
        <w:t>16. 不可抗力</w:t>
      </w:r>
      <w:bookmarkEnd w:id="694"/>
      <w:bookmarkEnd w:id="70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 xml:space="preserve"> </w:t>
      </w:r>
      <w:r>
        <w:rPr>
          <w:rFonts w:hint="eastAsia"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lang w:val="en-US" w:eastAsia="zh-CN"/>
        </w:rPr>
        <w:t>包括</w:t>
      </w:r>
      <w:r>
        <w:rPr>
          <w:rFonts w:hint="eastAsia" w:ascii="宋体" w:hAnsi="宋体"/>
          <w:color w:val="auto"/>
          <w:szCs w:val="21"/>
          <w:highlight w:val="none"/>
        </w:rPr>
        <w:t>：</w:t>
      </w:r>
      <w:bookmarkStart w:id="706"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瘟疫、严重流行病及防疫限制；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）骚乱、戒严、封锁、禁运、恐怖行为等社会行为，但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）不能合理预见的重大交通阻滞、停运、交通事故，非双方责任引起的爆炸、船舶撞击等情形；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bookmarkEnd w:id="706"/>
      <w:r>
        <w:rPr>
          <w:rFonts w:hint="eastAsia" w:ascii="宋体" w:hAnsi="宋体"/>
          <w:color w:val="auto"/>
          <w:szCs w:val="21"/>
          <w:highlight w:val="none"/>
          <w:lang w:eastAsia="zh-CN"/>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16.</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因不可抗力事件引发持续影响，双方解除合同的约定：</w:t>
      </w:r>
      <w:r>
        <w:rPr>
          <w:rFonts w:hint="eastAsia" w:ascii="宋体" w:hAnsi="宋体"/>
          <w:color w:val="auto"/>
          <w:highlight w:val="none"/>
          <w:u w:val="single"/>
        </w:rPr>
        <w:t>不可抗力事件的影响持续超过</w:t>
      </w:r>
      <w:r>
        <w:rPr>
          <w:rFonts w:hint="eastAsia"/>
          <w:color w:val="auto"/>
          <w:highlight w:val="none"/>
          <w:u w:val="single"/>
          <w:lang w:val="en-US" w:eastAsia="zh-CN"/>
        </w:rPr>
        <w:t xml:space="preserve">  </w:t>
      </w:r>
      <w:r>
        <w:rPr>
          <w:rFonts w:hint="eastAsia" w:ascii="宋体" w:hAnsi="宋体"/>
          <w:color w:val="auto"/>
          <w:highlight w:val="none"/>
          <w:u w:val="single"/>
        </w:rPr>
        <w:t>日</w:t>
      </w:r>
      <w:r>
        <w:rPr>
          <w:rFonts w:hint="eastAsia" w:ascii="宋体" w:hAnsi="宋体"/>
          <w:color w:val="auto"/>
          <w:highlight w:val="none"/>
          <w:u w:val="single"/>
          <w:lang w:eastAsia="zh-CN"/>
        </w:rPr>
        <w:t>，</w:t>
      </w:r>
      <w:r>
        <w:rPr>
          <w:rFonts w:hint="eastAsia" w:ascii="宋体" w:hAnsi="宋体"/>
          <w:color w:val="auto"/>
          <w:highlight w:val="none"/>
          <w:u w:val="single"/>
        </w:rPr>
        <w:t>则任何一方当事人均有权以书面通知解除合同</w:t>
      </w:r>
      <w:r>
        <w:rPr>
          <w:rFonts w:hint="eastAsia" w:ascii="宋体" w:hAnsi="宋体"/>
          <w:color w:val="auto"/>
          <w:szCs w:val="21"/>
          <w:highlight w:val="none"/>
          <w:u w:val="none"/>
          <w:lang w:eastAsia="zh-CN"/>
        </w:rPr>
        <w:t>。</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7" w:name="_Toc531098993"/>
      <w:bookmarkStart w:id="708" w:name="_Toc4784"/>
      <w:bookmarkStart w:id="709" w:name="_Toc2881833"/>
      <w:r>
        <w:rPr>
          <w:rFonts w:hint="eastAsia" w:ascii="Times New Roman" w:hAnsi="Times New Roman" w:eastAsia="宋体" w:cs="Times New Roman"/>
          <w:b/>
          <w:bCs/>
          <w:color w:val="auto"/>
          <w:kern w:val="2"/>
          <w:sz w:val="32"/>
          <w:szCs w:val="32"/>
          <w:highlight w:val="none"/>
          <w:lang w:val="en-US" w:eastAsia="zh-CN" w:bidi="ar-SA"/>
        </w:rPr>
        <w:t>17.争议的解决</w:t>
      </w:r>
      <w:bookmarkEnd w:id="707"/>
      <w:bookmarkEnd w:id="708"/>
      <w:bookmarkEnd w:id="709"/>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hint="eastAsia" w:ascii="宋体" w:hAnsi="宋体"/>
          <w:color w:val="auto"/>
          <w:szCs w:val="21"/>
          <w:highlight w:val="none"/>
          <w:lang w:eastAsia="zh-CN"/>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u w:val="single"/>
          <w:shd w:val="clear" w:color="auto" w:fill="FFFFFF"/>
          <w:lang w:val="en-US" w:eastAsia="zh-CN"/>
        </w:rPr>
        <w:t>2</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pPr>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tabs>
          <w:tab w:val="left" w:pos="1134"/>
        </w:tabs>
        <w:spacing w:line="360" w:lineRule="auto"/>
        <w:ind w:firstLine="42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买方所在地</w:t>
      </w:r>
      <w:r>
        <w:rPr>
          <w:rFonts w:ascii="宋体" w:hAnsi="宋体"/>
          <w:color w:val="auto"/>
          <w:szCs w:val="21"/>
          <w:highlight w:val="none"/>
          <w:u w:val="single"/>
        </w:rPr>
        <w:t xml:space="preserve"> </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pPr>
        <w:pStyle w:val="18"/>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0" w:name="_Toc375218864"/>
      <w:bookmarkStart w:id="711" w:name="_Toc381358697"/>
      <w:bookmarkStart w:id="712" w:name="_Toc531098994"/>
      <w:bookmarkStart w:id="713" w:name="_Toc2881834"/>
      <w:bookmarkStart w:id="714" w:name="_Toc218048858"/>
      <w:bookmarkStart w:id="715" w:name="_Toc255494584"/>
      <w:bookmarkStart w:id="716" w:name="_Toc4638"/>
      <w:bookmarkStart w:id="717" w:name="_Toc256955788"/>
      <w:r>
        <w:rPr>
          <w:rFonts w:hint="eastAsia" w:ascii="Times New Roman" w:hAnsi="Times New Roman" w:eastAsia="宋体" w:cs="Times New Roman"/>
          <w:b/>
          <w:bCs/>
          <w:color w:val="auto"/>
          <w:kern w:val="2"/>
          <w:sz w:val="32"/>
          <w:szCs w:val="32"/>
          <w:highlight w:val="none"/>
          <w:lang w:val="en-US" w:eastAsia="zh-CN" w:bidi="ar-SA"/>
        </w:rPr>
        <w:t>18.补充条款</w:t>
      </w:r>
      <w:bookmarkEnd w:id="710"/>
      <w:bookmarkEnd w:id="711"/>
      <w:bookmarkEnd w:id="712"/>
      <w:bookmarkEnd w:id="713"/>
      <w:bookmarkEnd w:id="714"/>
      <w:bookmarkEnd w:id="715"/>
      <w:bookmarkEnd w:id="716"/>
      <w:bookmarkEnd w:id="717"/>
    </w:p>
    <w:bookmarkEnd w:id="661"/>
    <w:bookmarkEnd w:id="662"/>
    <w:bookmarkEnd w:id="663"/>
    <w:bookmarkEnd w:id="664"/>
    <w:bookmarkEnd w:id="665"/>
    <w:bookmarkEnd w:id="666"/>
    <w:bookmarkEnd w:id="667"/>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18.1 低价风险担保</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auto"/>
          <w:szCs w:val="21"/>
          <w:highlight w:val="none"/>
          <w:u w:val="single"/>
        </w:rPr>
        <w:t>现金或银行保函或现金+银行保函的组合；采用保函形式的，保函必须为不可撤销、不可转让且见索即付的独立保函；</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从招标人中标通知书送达拟中标人之日起    工作日内</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pPr>
        <w:tabs>
          <w:tab w:val="left" w:pos="1134"/>
        </w:tabs>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rPr>
          <w:highlight w:val="none"/>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bookmarkEnd w:id="668"/>
      <w:bookmarkEnd w:id="669"/>
    </w:p>
    <w:p>
      <w:pPr>
        <w:widowControl/>
        <w:tabs>
          <w:tab w:val="left" w:pos="9072"/>
          <w:tab w:val="left" w:pos="9781"/>
        </w:tabs>
        <w:spacing w:line="360" w:lineRule="auto"/>
        <w:ind w:firstLine="420" w:firstLineChars="200"/>
        <w:jc w:val="left"/>
        <w:rPr>
          <w:rFonts w:ascii="宋体" w:hAnsi="宋体"/>
          <w:color w:val="auto"/>
          <w:kern w:val="0"/>
          <w:szCs w:val="21"/>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p>
    <w:p>
      <w:pPr>
        <w:pStyle w:val="4"/>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合同附件</w:t>
      </w:r>
    </w:p>
    <w:p>
      <w:pPr>
        <w:widowControl/>
        <w:tabs>
          <w:tab w:val="left" w:pos="9072"/>
          <w:tab w:val="left" w:pos="9781"/>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pPr>
        <w:pStyle w:val="6"/>
        <w:spacing w:before="0" w:beforeAutospacing="0" w:after="0" w:afterAutospacing="0" w:line="360" w:lineRule="auto"/>
        <w:ind w:firstLine="420" w:firstLineChars="200"/>
        <w:rPr>
          <w:rFonts w:cs="Times New Roman"/>
          <w:b w:val="0"/>
          <w:bCs w:val="0"/>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w:t>
      </w:r>
      <w:r>
        <w:rPr>
          <w:rFonts w:hint="eastAsia" w:cs="Times New Roman"/>
          <w:b w:val="0"/>
          <w:bCs w:val="0"/>
          <w:color w:val="auto"/>
          <w:sz w:val="21"/>
          <w:szCs w:val="21"/>
          <w:highlight w:val="none"/>
        </w:rPr>
        <w:t>低价风险担保保函格式</w:t>
      </w:r>
    </w:p>
    <w:p>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4</w:t>
      </w:r>
      <w:r>
        <w:rPr>
          <w:rFonts w:cs="Times New Roman"/>
          <w:b w:val="0"/>
          <w:bCs w:val="0"/>
          <w:color w:val="auto"/>
          <w:sz w:val="21"/>
          <w:szCs w:val="21"/>
          <w:highlight w:val="none"/>
        </w:rPr>
        <w:t>：廉洁从业合同</w:t>
      </w:r>
    </w:p>
    <w:p>
      <w:pPr>
        <w:spacing w:line="360" w:lineRule="auto"/>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附件1：</w:t>
      </w:r>
    </w:p>
    <w:p>
      <w:pPr>
        <w:pStyle w:val="2"/>
        <w:jc w:val="center"/>
        <w:rPr>
          <w:color w:val="auto"/>
          <w:highlight w:val="none"/>
        </w:rPr>
      </w:pPr>
      <w:r>
        <w:rPr>
          <w:rFonts w:hint="eastAsia" w:ascii="宋体" w:hAnsi="宋体"/>
          <w:color w:val="auto"/>
          <w:kern w:val="0"/>
          <w:szCs w:val="21"/>
          <w:highlight w:val="none"/>
          <w:lang w:val="en-US" w:eastAsia="zh-CN"/>
        </w:rPr>
        <w:t>技术要求（或技术协议书）、供货范围、备品备件及专用工具价格表</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718" w:name="_Toc296347225"/>
      <w:bookmarkStart w:id="719" w:name="_Toc296503226"/>
      <w:bookmarkStart w:id="720" w:name="_Toc296944565"/>
      <w:bookmarkStart w:id="721" w:name="_Toc296891266"/>
      <w:bookmarkStart w:id="722" w:name="_Toc267261693"/>
      <w:bookmarkStart w:id="723" w:name="_Toc296346727"/>
      <w:bookmarkStart w:id="724" w:name="_Toc296891054"/>
      <w:r>
        <w:rPr>
          <w:rFonts w:hint="eastAsia" w:ascii="宋体" w:hAnsi="宋体"/>
          <w:color w:val="auto"/>
          <w:szCs w:val="21"/>
          <w:highlight w:val="none"/>
        </w:rPr>
        <w:t>件</w:t>
      </w:r>
      <w:r>
        <w:rPr>
          <w:rFonts w:hint="eastAsia" w:ascii="宋体" w:hAnsi="宋体"/>
          <w:color w:val="auto"/>
          <w:szCs w:val="21"/>
          <w:highlight w:val="none"/>
          <w:lang w:val="en-US" w:eastAsia="zh-CN"/>
        </w:rPr>
        <w:t>2</w:t>
      </w:r>
      <w:r>
        <w:rPr>
          <w:rFonts w:hint="eastAsia" w:ascii="宋体" w:hAnsi="宋体"/>
          <w:color w:val="auto"/>
          <w:szCs w:val="21"/>
          <w:highlight w:val="none"/>
        </w:rPr>
        <w:t>：</w:t>
      </w:r>
      <w:bookmarkEnd w:id="718"/>
      <w:bookmarkEnd w:id="719"/>
      <w:bookmarkEnd w:id="720"/>
      <w:bookmarkEnd w:id="721"/>
      <w:bookmarkEnd w:id="722"/>
      <w:bookmarkEnd w:id="723"/>
      <w:bookmarkEnd w:id="724"/>
      <w:r>
        <w:rPr>
          <w:rFonts w:hint="eastAsia" w:ascii="宋体" w:hAnsi="宋体"/>
          <w:color w:val="auto"/>
          <w:szCs w:val="21"/>
          <w:highlight w:val="none"/>
          <w:lang w:eastAsia="zh-CN"/>
        </w:rPr>
        <w:t>履约保证金格式</w:t>
      </w:r>
    </w:p>
    <w:p>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spacing w:before="120" w:beforeLines="50" w:after="120" w:afterLines="50" w:line="48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履约保函</w:t>
      </w:r>
      <w:r>
        <w:rPr>
          <w:rFonts w:hint="eastAsia" w:ascii="宋体" w:hAnsi="宋体"/>
          <w:color w:val="auto"/>
          <w:szCs w:val="21"/>
          <w:highlight w:val="none"/>
          <w:lang w:eastAsia="zh-CN"/>
        </w:rPr>
        <w:t>格式</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eastAsia="宋体" w:cs="宋体"/>
          <w:b w:val="0"/>
          <w:bCs w:val="0"/>
          <w:i/>
          <w:iCs/>
          <w:color w:val="auto"/>
          <w:sz w:val="21"/>
          <w:szCs w:val="21"/>
          <w:highlight w:val="none"/>
        </w:rPr>
        <w:t>[提示：参照《关于进一步规范工程建设领域工程保函示范文本的通知》渝公管发〔2022〕26号文编制]</w:t>
      </w:r>
      <w:r>
        <w:rPr>
          <w:rFonts w:hint="eastAsia" w:ascii="宋体" w:hAnsi="宋体"/>
          <w:color w:val="auto"/>
          <w:szCs w:val="21"/>
          <w:highlight w:val="none"/>
        </w:rPr>
        <w:br w:type="page"/>
      </w:r>
    </w:p>
    <w:p>
      <w:pPr>
        <w:pStyle w:val="2"/>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2"/>
        </w:numPr>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pStyle w:val="2"/>
        <w:rPr>
          <w:rFonts w:hint="eastAsia" w:eastAsia="宋体"/>
          <w:color w:val="auto"/>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廉洁从业合同</w:t>
      </w:r>
    </w:p>
    <w:p>
      <w:pPr>
        <w:pStyle w:val="2"/>
        <w:rPr>
          <w:color w:val="auto"/>
          <w:highlight w:val="none"/>
        </w:rPr>
      </w:pPr>
    </w:p>
    <w:p>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廉洁从业合同</w:t>
      </w:r>
      <w:r>
        <w:rPr>
          <w:rFonts w:hint="eastAsia" w:ascii="宋体" w:hAnsi="宋体"/>
          <w:color w:val="auto"/>
          <w:szCs w:val="21"/>
          <w:highlight w:val="none"/>
        </w:rPr>
        <w:t>（参考格式）</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卖方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w:t>
      </w:r>
      <w:r>
        <w:rPr>
          <w:rFonts w:hint="eastAsia" w:ascii="宋体" w:hAnsi="宋体"/>
          <w:color w:val="auto"/>
          <w:kern w:val="0"/>
          <w:szCs w:val="21"/>
          <w:highlight w:val="none"/>
          <w:lang w:eastAsia="zh-CN"/>
        </w:rPr>
        <w:t>卖方</w:t>
      </w:r>
      <w:r>
        <w:rPr>
          <w:rFonts w:ascii="宋体" w:hAnsi="宋体"/>
          <w:color w:val="auto"/>
          <w:kern w:val="0"/>
          <w:szCs w:val="21"/>
          <w:highlight w:val="none"/>
        </w:rPr>
        <w:t>与</w:t>
      </w:r>
      <w:r>
        <w:rPr>
          <w:rFonts w:hint="eastAsia" w:ascii="宋体" w:hAnsi="宋体"/>
          <w:color w:val="auto"/>
          <w:kern w:val="0"/>
          <w:szCs w:val="21"/>
          <w:highlight w:val="none"/>
          <w:lang w:eastAsia="zh-CN"/>
        </w:rPr>
        <w:t>买方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2、严格执行建设工程合同文件，自觉按合同办事。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买方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的领导和从事该建设工程项目的工作人员在工程建设的事前、事中、事后应遵守以下规定：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卖方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买方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卖方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卖方</w:t>
      </w:r>
      <w:r>
        <w:rPr>
          <w:rFonts w:ascii="宋体" w:hAnsi="宋体"/>
          <w:color w:val="auto"/>
          <w:kern w:val="0"/>
          <w:szCs w:val="21"/>
          <w:highlight w:val="none"/>
        </w:rPr>
        <w:t>提供的通讯工具、交通工具和高档办公用品。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卖方</w:t>
      </w:r>
      <w:r>
        <w:rPr>
          <w:rFonts w:ascii="宋体" w:hAnsi="宋体"/>
          <w:color w:val="auto"/>
          <w:kern w:val="0"/>
          <w:szCs w:val="21"/>
          <w:highlight w:val="none"/>
        </w:rPr>
        <w:t>工程有关的材料设备供应、分包、劳务等经济活动。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卖方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买方</w:t>
      </w:r>
      <w:r>
        <w:rPr>
          <w:rFonts w:ascii="宋体" w:hAnsi="宋体"/>
          <w:color w:val="auto"/>
          <w:kern w:val="0"/>
          <w:szCs w:val="21"/>
          <w:highlight w:val="none"/>
        </w:rPr>
        <w:t>和相关单位保持正常的业务交往，按照有关法律法规和程序开展业务工作。严格执行工程建设的方针、政策，尤其是有关建筑施工安装的强制性标准和规范</w:t>
      </w:r>
      <w:r>
        <w:rPr>
          <w:rFonts w:hint="eastAsia" w:ascii="宋体" w:hAnsi="宋体"/>
          <w:color w:val="auto"/>
          <w:kern w:val="0"/>
          <w:szCs w:val="21"/>
          <w:highlight w:val="none"/>
          <w:lang w:eastAsia="zh-CN"/>
        </w:rPr>
        <w:t>，</w:t>
      </w:r>
      <w:r>
        <w:rPr>
          <w:rFonts w:ascii="宋体" w:hAnsi="宋体"/>
          <w:color w:val="auto"/>
          <w:kern w:val="0"/>
          <w:szCs w:val="21"/>
          <w:highlight w:val="none"/>
        </w:rPr>
        <w:t>并遵守以下规定：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买方</w:t>
      </w:r>
      <w:r>
        <w:rPr>
          <w:rFonts w:ascii="宋体" w:hAnsi="宋体"/>
          <w:color w:val="auto"/>
          <w:kern w:val="0"/>
          <w:szCs w:val="21"/>
          <w:highlight w:val="none"/>
        </w:rPr>
        <w:t>单位或个人支付的费用。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工作人员参加宴请、健身、娱乐等活动。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卖方</w:t>
      </w:r>
      <w:r>
        <w:rPr>
          <w:rFonts w:ascii="宋体" w:hAnsi="宋体"/>
          <w:color w:val="auto"/>
          <w:kern w:val="0"/>
          <w:szCs w:val="21"/>
          <w:highlight w:val="none"/>
        </w:rPr>
        <w:t>不得与</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工程承包人联合作假，如计量、验收，提供虚假资料，接收好处或提成。</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工程承包人的礼金、有价证券和贵重物品，不得在</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工程承包人报销任何应由</w:t>
      </w:r>
      <w:r>
        <w:rPr>
          <w:rFonts w:hint="eastAsia" w:ascii="宋体" w:hAnsi="宋体"/>
          <w:color w:val="auto"/>
          <w:kern w:val="0"/>
          <w:szCs w:val="21"/>
          <w:highlight w:val="none"/>
          <w:lang w:eastAsia="zh-CN"/>
        </w:rPr>
        <w:t>卖方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卖方</w:t>
      </w:r>
      <w:r>
        <w:rPr>
          <w:rFonts w:ascii="宋体" w:hAnsi="宋体"/>
          <w:color w:val="auto"/>
          <w:kern w:val="0"/>
          <w:szCs w:val="21"/>
          <w:highlight w:val="none"/>
        </w:rPr>
        <w:t>不准参加有可能影响公正执行公务的</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卖方</w:t>
      </w:r>
      <w:r>
        <w:rPr>
          <w:rFonts w:ascii="宋体" w:hAnsi="宋体"/>
          <w:color w:val="auto"/>
          <w:kern w:val="0"/>
          <w:szCs w:val="21"/>
          <w:highlight w:val="none"/>
        </w:rPr>
        <w:t>不准向</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及其工作人员应严格按设计规程办事，不得为谋取私利向</w:t>
      </w:r>
      <w:r>
        <w:rPr>
          <w:rFonts w:hint="eastAsia" w:ascii="宋体" w:hAnsi="宋体"/>
          <w:color w:val="auto"/>
          <w:kern w:val="0"/>
          <w:szCs w:val="21"/>
          <w:highlight w:val="none"/>
          <w:lang w:eastAsia="zh-CN"/>
        </w:rPr>
        <w:t>买方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买方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买方</w:t>
      </w:r>
      <w:r>
        <w:rPr>
          <w:rFonts w:ascii="宋体" w:hAnsi="宋体"/>
          <w:color w:val="auto"/>
          <w:kern w:val="0"/>
          <w:szCs w:val="21"/>
          <w:highlight w:val="none"/>
        </w:rPr>
        <w:t>承诺的上述其他的廉政义务。</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卖方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买方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买方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卖方</w:t>
      </w:r>
      <w:r>
        <w:rPr>
          <w:rFonts w:ascii="宋体" w:hAnsi="宋体"/>
          <w:color w:val="auto"/>
          <w:kern w:val="0"/>
          <w:szCs w:val="21"/>
          <w:highlight w:val="none"/>
        </w:rPr>
        <w:t>进行报复。</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卖方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买方</w:t>
      </w:r>
      <w:r>
        <w:rPr>
          <w:rFonts w:ascii="宋体" w:hAnsi="宋体"/>
          <w:color w:val="auto"/>
          <w:kern w:val="0"/>
          <w:szCs w:val="21"/>
          <w:highlight w:val="none"/>
        </w:rPr>
        <w:t>相应的处罚，具体内容如下：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卖方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w:t>
      </w:r>
      <w:r>
        <w:rPr>
          <w:rFonts w:hint="eastAsia" w:ascii="宋体" w:hAnsi="宋体"/>
          <w:color w:val="auto"/>
          <w:kern w:val="0"/>
          <w:szCs w:val="21"/>
          <w:highlight w:val="none"/>
          <w:lang w:eastAsia="zh-CN"/>
        </w:rPr>
        <w:t>卖方</w:t>
      </w:r>
      <w:r>
        <w:rPr>
          <w:rFonts w:ascii="宋体" w:hAnsi="宋体"/>
          <w:color w:val="auto"/>
          <w:kern w:val="0"/>
          <w:szCs w:val="21"/>
          <w:highlight w:val="none"/>
        </w:rPr>
        <w:t>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卖方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工作人员接受工程</w:t>
      </w:r>
      <w:r>
        <w:rPr>
          <w:rFonts w:hint="eastAsia" w:ascii="宋体" w:hAnsi="宋体"/>
          <w:color w:val="auto"/>
          <w:kern w:val="0"/>
          <w:szCs w:val="21"/>
          <w:highlight w:val="none"/>
          <w:lang w:val="en-US" w:eastAsia="zh-CN"/>
        </w:rPr>
        <w:t>安装单位</w:t>
      </w:r>
      <w:r>
        <w:rPr>
          <w:rFonts w:ascii="宋体" w:hAnsi="宋体"/>
          <w:color w:val="auto"/>
          <w:kern w:val="0"/>
          <w:szCs w:val="21"/>
          <w:highlight w:val="none"/>
        </w:rPr>
        <w:t>为其住房装修、婚丧嫁娶活动、旅游等提供方便的行为，发现一次处罚一次。第一次发现，对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卖方进行</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w:t>
      </w:r>
      <w:r>
        <w:rPr>
          <w:rFonts w:ascii="宋体" w:hAnsi="宋体"/>
          <w:color w:val="auto"/>
          <w:kern w:val="0"/>
          <w:szCs w:val="21"/>
          <w:highlight w:val="none"/>
        </w:rPr>
        <w:t>员。</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不得索要或接受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工程承包人的礼金、有价证券和贵重物品。若情况属实，</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val="en-US" w:eastAsia="zh-CN"/>
        </w:rPr>
        <w:t>买方</w:t>
      </w:r>
      <w:r>
        <w:rPr>
          <w:rFonts w:ascii="宋体" w:hAnsi="宋体"/>
          <w:color w:val="auto"/>
          <w:kern w:val="0"/>
          <w:szCs w:val="21"/>
          <w:highlight w:val="none"/>
        </w:rPr>
        <w:t>的处罚，即：第一次发现，对</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人警告，相关人员写出书面检查；第二次发现，对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卖方相关</w:t>
      </w:r>
      <w:r>
        <w:rPr>
          <w:rFonts w:ascii="宋体" w:hAnsi="宋体"/>
          <w:color w:val="auto"/>
          <w:kern w:val="0"/>
          <w:szCs w:val="21"/>
          <w:highlight w:val="none"/>
        </w:rPr>
        <w:t xml:space="preserve">人员。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买方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xml:space="preserve">：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p>
      <w:pPr>
        <w:rPr>
          <w:color w:val="auto"/>
          <w:highlight w:val="none"/>
        </w:rPr>
      </w:pPr>
      <w:r>
        <w:rPr>
          <w:color w:val="auto"/>
          <w:highlight w:val="none"/>
        </w:rPr>
        <w:br w:type="page"/>
      </w:r>
    </w:p>
    <w:bookmarkEnd w:id="596"/>
    <w:bookmarkEnd w:id="597"/>
    <w:p>
      <w:pPr>
        <w:ind w:right="561"/>
        <w:rPr>
          <w:rFonts w:ascii="宋体" w:hAnsi="宋体"/>
          <w:color w:val="auto"/>
          <w:szCs w:val="21"/>
          <w:highlight w:val="none"/>
        </w:rPr>
      </w:pPr>
      <w:bookmarkStart w:id="725" w:name="招标文件05章工程量清单"/>
      <w:bookmarkEnd w:id="725"/>
    </w:p>
    <w:p>
      <w:pPr>
        <w:pStyle w:val="3"/>
        <w:spacing w:before="0" w:after="0" w:line="360" w:lineRule="auto"/>
        <w:jc w:val="center"/>
        <w:rPr>
          <w:rFonts w:ascii="宋体" w:hAnsi="宋体"/>
          <w:color w:val="auto"/>
          <w:sz w:val="52"/>
          <w:szCs w:val="52"/>
          <w:highlight w:val="none"/>
        </w:rPr>
      </w:pPr>
      <w:bookmarkStart w:id="726" w:name="_Toc509218844"/>
      <w:bookmarkStart w:id="727" w:name="_Toc534185823"/>
      <w:bookmarkStart w:id="728" w:name="_Toc20652"/>
      <w:r>
        <w:rPr>
          <w:rFonts w:ascii="宋体" w:hAnsi="宋体"/>
          <w:color w:val="auto"/>
          <w:sz w:val="52"/>
          <w:szCs w:val="52"/>
          <w:highlight w:val="none"/>
        </w:rPr>
        <w:t>第 二 卷</w:t>
      </w:r>
      <w:bookmarkEnd w:id="726"/>
      <w:bookmarkEnd w:id="727"/>
      <w:bookmarkEnd w:id="728"/>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729" w:name="招标文件06章图纸"/>
      <w:bookmarkEnd w:id="729"/>
      <w:bookmarkStart w:id="730" w:name="_Toc287620803"/>
      <w:bookmarkStart w:id="731" w:name="_Toc287607861"/>
      <w:bookmarkStart w:id="732" w:name="_Toc509218846"/>
      <w:bookmarkStart w:id="733" w:name="_Toc534185825"/>
      <w:bookmarkStart w:id="734" w:name="_Toc430530519"/>
      <w:bookmarkStart w:id="735" w:name="_Toc15599"/>
      <w:r>
        <w:rPr>
          <w:rFonts w:hint="eastAsia" w:ascii="宋体" w:hAnsi="宋体"/>
          <w:color w:val="auto"/>
          <w:highlight w:val="none"/>
        </w:rPr>
        <w:t xml:space="preserve">第五章  </w:t>
      </w:r>
      <w:bookmarkEnd w:id="730"/>
      <w:bookmarkEnd w:id="731"/>
      <w:bookmarkEnd w:id="732"/>
      <w:bookmarkEnd w:id="733"/>
      <w:bookmarkEnd w:id="734"/>
      <w:r>
        <w:rPr>
          <w:rFonts w:hint="eastAsia" w:ascii="宋体" w:hAnsi="宋体"/>
          <w:color w:val="auto"/>
          <w:highlight w:val="none"/>
          <w:lang w:val="en-US" w:eastAsia="zh-CN"/>
        </w:rPr>
        <w:t>供货</w:t>
      </w:r>
      <w:r>
        <w:rPr>
          <w:rFonts w:hint="eastAsia" w:ascii="宋体" w:hAnsi="宋体"/>
          <w:color w:val="auto"/>
          <w:highlight w:val="none"/>
        </w:rPr>
        <w:t>要求</w:t>
      </w:r>
      <w:bookmarkEnd w:id="735"/>
    </w:p>
    <w:p>
      <w:pPr>
        <w:spacing w:line="360" w:lineRule="auto"/>
        <w:rPr>
          <w:rFonts w:ascii="宋体" w:hAnsi="宋体"/>
          <w:color w:val="auto"/>
          <w:szCs w:val="20"/>
          <w:highlight w:val="none"/>
        </w:rPr>
      </w:pPr>
    </w:p>
    <w:p>
      <w:pPr>
        <w:autoSpaceDE w:val="0"/>
        <w:autoSpaceDN w:val="0"/>
        <w:adjustRightInd w:val="0"/>
        <w:spacing w:before="10" w:line="110" w:lineRule="exact"/>
        <w:jc w:val="left"/>
        <w:rPr>
          <w:rFonts w:ascii="微软雅黑" w:eastAsia="微软雅黑" w:cs="微软雅黑"/>
          <w:color w:val="auto"/>
          <w:kern w:val="0"/>
          <w:sz w:val="11"/>
          <w:szCs w:val="11"/>
          <w:highlight w:val="none"/>
        </w:rPr>
      </w:pPr>
      <w:bookmarkStart w:id="736" w:name="招标文件06章图纸01"/>
      <w:bookmarkEnd w:id="736"/>
      <w:bookmarkStart w:id="737" w:name="_Toc287620804"/>
      <w:bookmarkStart w:id="738" w:name="_Toc430530520"/>
      <w:r>
        <w:rPr>
          <w:rFonts w:ascii="宋体" w:hAnsi="宋体"/>
          <w:color w:val="auto"/>
          <w:szCs w:val="20"/>
          <w:highlight w:val="none"/>
        </w:rPr>
        <w:br w:type="page"/>
      </w:r>
    </w:p>
    <w:p>
      <w:pPr>
        <w:tabs>
          <w:tab w:val="left" w:pos="1040"/>
        </w:tabs>
        <w:spacing w:line="560" w:lineRule="exact"/>
        <w:ind w:firstLine="2891" w:firstLineChars="900"/>
        <w:jc w:val="both"/>
        <w:outlineLvl w:val="1"/>
        <w:rPr>
          <w:rFonts w:hint="eastAsia" w:ascii="宋体" w:hAnsi="宋体" w:cs="宋体"/>
          <w:kern w:val="0"/>
          <w:highlight w:val="none"/>
        </w:rPr>
      </w:pPr>
      <w:r>
        <w:rPr>
          <w:rFonts w:hint="eastAsia" w:ascii="宋体" w:hAnsi="宋体" w:cs="宋体"/>
          <w:b/>
          <w:bCs/>
          <w:kern w:val="0"/>
          <w:sz w:val="32"/>
          <w:szCs w:val="32"/>
          <w:highlight w:val="none"/>
        </w:rPr>
        <w:t>摄像机设备技术指标及参数</w:t>
      </w:r>
    </w:p>
    <w:p>
      <w:pPr>
        <w:tabs>
          <w:tab w:val="left" w:pos="1040"/>
        </w:tabs>
        <w:spacing w:line="560" w:lineRule="exact"/>
        <w:jc w:val="center"/>
        <w:outlineLvl w:val="1"/>
        <w:rPr>
          <w:rFonts w:hint="eastAsia" w:ascii="宋体" w:hAnsi="宋体" w:cs="宋体"/>
          <w:kern w:val="0"/>
          <w:highlight w:val="none"/>
        </w:rPr>
      </w:pPr>
    </w:p>
    <w:tbl>
      <w:tblPr>
        <w:tblStyle w:val="13"/>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90"/>
        <w:gridCol w:w="1815"/>
        <w:gridCol w:w="3863"/>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b/>
                <w:highlight w:val="none"/>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b/>
                <w:highlight w:val="none"/>
              </w:rPr>
              <w:t>功能要求</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b/>
                <w:highlight w:val="none"/>
              </w:rPr>
              <w:t>具体指标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b/>
                <w:highlight w:val="none"/>
              </w:rPr>
              <w:t>参数</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1</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物理功能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1.1</w:t>
            </w:r>
            <w:r>
              <w:rPr>
                <w:rFonts w:hint="eastAsia" w:ascii="宋体" w:hAnsi="宋体" w:cs="宋体"/>
                <w:highlight w:val="none"/>
              </w:rPr>
              <w:t>形态</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highlight w:val="none"/>
              </w:rPr>
            </w:pPr>
            <w:r>
              <w:rPr>
                <w:rFonts w:hint="eastAsia" w:ascii="宋体" w:hAnsi="宋体" w:cs="宋体"/>
                <w:highlight w:val="none"/>
              </w:rPr>
              <w:t>整机一体化设计，单IP、单电源供电。</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组成</w:t>
            </w:r>
          </w:p>
        </w:tc>
        <w:tc>
          <w:tcPr>
            <w:tcW w:w="3863"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1个主摄像机</w:t>
            </w:r>
            <w:r>
              <w:rPr>
                <w:rFonts w:hint="eastAsia" w:ascii="宋体" w:hAnsi="宋体" w:cs="宋体"/>
                <w:color w:val="auto"/>
                <w:highlight w:val="none"/>
                <w:lang w:eastAsia="zh-CN"/>
              </w:rPr>
              <w:t>、</w:t>
            </w:r>
            <w:r>
              <w:rPr>
                <w:rFonts w:hint="eastAsia" w:ascii="宋体" w:hAnsi="宋体" w:cs="宋体"/>
                <w:color w:val="auto"/>
                <w:highlight w:val="none"/>
              </w:rPr>
              <w:t>具备2个辅摄像机，主摄像机所在机构的尺寸≥8寸。</w:t>
            </w:r>
          </w:p>
        </w:tc>
        <w:tc>
          <w:tcPr>
            <w:tcW w:w="1529" w:type="dxa"/>
            <w:tcBorders>
              <w:top w:val="single" w:color="auto" w:sz="4" w:space="0"/>
              <w:left w:val="single" w:color="auto" w:sz="4" w:space="0"/>
              <w:right w:val="single" w:color="auto" w:sz="4" w:space="0"/>
            </w:tcBorders>
            <w:vAlign w:val="center"/>
          </w:tcPr>
          <w:p>
            <w:pPr>
              <w:spacing w:line="276"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2个辅摄像机主要监控高速路上、下行方向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2</w:t>
            </w:r>
          </w:p>
        </w:tc>
        <w:tc>
          <w:tcPr>
            <w:tcW w:w="1590" w:type="dxa"/>
            <w:vMerge w:val="restart"/>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光学功能</w:t>
            </w:r>
          </w:p>
          <w:p>
            <w:pPr>
              <w:spacing w:line="400" w:lineRule="exact"/>
              <w:rPr>
                <w:rFonts w:hint="eastAsia" w:ascii="宋体" w:hAnsi="宋体" w:cs="宋体"/>
                <w:kern w:val="0"/>
                <w:highlight w:val="none"/>
              </w:rPr>
            </w:pPr>
          </w:p>
        </w:tc>
        <w:tc>
          <w:tcPr>
            <w:tcW w:w="1815"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2.1</w:t>
            </w:r>
            <w:r>
              <w:rPr>
                <w:rFonts w:hint="eastAsia" w:ascii="宋体" w:hAnsi="宋体" w:cs="宋体"/>
                <w:color w:val="auto"/>
                <w:highlight w:val="none"/>
              </w:rPr>
              <w:t>传感器</w:t>
            </w:r>
          </w:p>
        </w:tc>
        <w:tc>
          <w:tcPr>
            <w:tcW w:w="3863"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采用3个CMOS传感器，靶面尺寸均不小于1/1.8英寸。</w:t>
            </w:r>
          </w:p>
        </w:tc>
        <w:tc>
          <w:tcPr>
            <w:tcW w:w="1529" w:type="dxa"/>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2.2</w:t>
            </w:r>
            <w:r>
              <w:rPr>
                <w:rFonts w:hint="eastAsia" w:ascii="宋体" w:hAnsi="宋体" w:cs="宋体"/>
                <w:color w:val="auto"/>
                <w:highlight w:val="none"/>
              </w:rPr>
              <w:t>像素</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三镜头像素均≥400万。</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2.3</w:t>
            </w:r>
            <w:r>
              <w:rPr>
                <w:rFonts w:hint="eastAsia" w:ascii="宋体" w:hAnsi="宋体" w:cs="宋体"/>
                <w:color w:val="auto"/>
                <w:highlight w:val="none"/>
              </w:rPr>
              <w:t>分辨率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三镜头视频图像分辨率均≥2560×1440。</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2.4</w:t>
            </w:r>
            <w:r>
              <w:rPr>
                <w:rFonts w:hint="eastAsia" w:ascii="宋体" w:hAnsi="宋体" w:cs="宋体"/>
                <w:color w:val="auto"/>
                <w:highlight w:val="none"/>
              </w:rPr>
              <w:t>焦距</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两个辅摄像机镜头最大焦距均≥120mm，光学变倍≥20倍；主摄像机镜头最大焦距≥220mm，光学变倍≥40倍。</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2.5</w:t>
            </w:r>
            <w:r>
              <w:rPr>
                <w:rFonts w:hint="eastAsia" w:ascii="宋体" w:hAnsi="宋体" w:cs="宋体"/>
                <w:color w:val="auto"/>
                <w:highlight w:val="none"/>
              </w:rPr>
              <w:t>光圈</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主摄像机最大光圈值</w:t>
            </w:r>
            <w:r>
              <w:rPr>
                <w:rFonts w:hint="eastAsia" w:ascii="宋体" w:hAnsi="宋体" w:eastAsia="宋体" w:cs="宋体"/>
                <w:color w:val="auto"/>
                <w:highlight w:val="none"/>
              </w:rPr>
              <w:t>≤</w:t>
            </w:r>
            <w:r>
              <w:rPr>
                <w:rFonts w:hint="eastAsia" w:ascii="宋体" w:hAnsi="宋体" w:cs="宋体"/>
                <w:color w:val="auto"/>
                <w:highlight w:val="none"/>
              </w:rPr>
              <w:t>F1.</w:t>
            </w:r>
            <w:r>
              <w:rPr>
                <w:rFonts w:hint="eastAsia" w:ascii="宋体" w:hAnsi="宋体" w:cs="宋体"/>
                <w:color w:val="auto"/>
                <w:highlight w:val="none"/>
                <w:lang w:val="en-US" w:eastAsia="zh-CN"/>
              </w:rPr>
              <w:t>4，</w:t>
            </w:r>
            <w:r>
              <w:rPr>
                <w:rFonts w:hint="eastAsia" w:ascii="宋体" w:hAnsi="宋体" w:cs="宋体"/>
                <w:color w:val="auto"/>
                <w:highlight w:val="none"/>
              </w:rPr>
              <w:t>辅摄像机最大光圈值</w:t>
            </w:r>
            <w:r>
              <w:rPr>
                <w:rFonts w:hint="eastAsia" w:ascii="宋体" w:hAnsi="宋体" w:eastAsia="宋体" w:cs="宋体"/>
                <w:color w:val="auto"/>
                <w:highlight w:val="none"/>
              </w:rPr>
              <w:t>≤</w:t>
            </w:r>
            <w:r>
              <w:rPr>
                <w:rFonts w:hint="eastAsia" w:ascii="宋体" w:hAnsi="宋体" w:cs="宋体"/>
                <w:color w:val="auto"/>
                <w:highlight w:val="none"/>
              </w:rPr>
              <w:t>F1.</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2.6</w:t>
            </w:r>
            <w:r>
              <w:rPr>
                <w:rFonts w:hint="eastAsia" w:ascii="宋体" w:hAnsi="宋体" w:cs="宋体"/>
                <w:color w:val="auto"/>
                <w:highlight w:val="none"/>
              </w:rPr>
              <w:t>最低照度</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彩色：≤0.00</w:t>
            </w:r>
            <w:r>
              <w:rPr>
                <w:rFonts w:hint="eastAsia" w:ascii="宋体" w:hAnsi="宋体" w:cs="宋体"/>
                <w:color w:val="auto"/>
                <w:highlight w:val="none"/>
                <w:lang w:val="en-US" w:eastAsia="zh-CN"/>
              </w:rPr>
              <w:t>04</w:t>
            </w:r>
            <w:r>
              <w:rPr>
                <w:rFonts w:hint="eastAsia" w:ascii="宋体" w:hAnsi="宋体" w:cs="宋体"/>
                <w:color w:val="auto"/>
                <w:highlight w:val="none"/>
              </w:rPr>
              <w:t>Lux，黑白：≤0.000</w:t>
            </w:r>
            <w:r>
              <w:rPr>
                <w:rFonts w:hint="eastAsia" w:ascii="宋体" w:hAnsi="宋体" w:cs="宋体"/>
                <w:color w:val="auto"/>
                <w:highlight w:val="none"/>
                <w:lang w:val="en-US" w:eastAsia="zh-CN"/>
              </w:rPr>
              <w:t>1</w:t>
            </w:r>
            <w:r>
              <w:rPr>
                <w:rFonts w:hint="eastAsia" w:ascii="宋体" w:hAnsi="宋体" w:cs="宋体"/>
                <w:color w:val="auto"/>
                <w:highlight w:val="none"/>
              </w:rPr>
              <w:t>Lux。</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2.7动态范围</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0dB。</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快门</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1s~1/30000s。</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图像处理</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color w:val="auto"/>
                <w:highlight w:val="none"/>
              </w:rPr>
              <w:t>支持防抖、透雾、白平衡、强光抑制（夜间车辆大灯抑制）、自动增益等。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2.10</w:t>
            </w:r>
            <w:r>
              <w:rPr>
                <w:rFonts w:hint="eastAsia" w:ascii="宋体" w:hAnsi="宋体" w:cs="宋体"/>
                <w:color w:val="auto"/>
                <w:highlight w:val="none"/>
              </w:rPr>
              <w:t>补光</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三镜头均支持红外补光，其中辅摄像机补光距离≥100m，主摄像机补光距离≥250m。</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3</w:t>
            </w:r>
          </w:p>
        </w:tc>
        <w:tc>
          <w:tcPr>
            <w:tcW w:w="159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云台功能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3.1</w:t>
            </w:r>
            <w:r>
              <w:rPr>
                <w:rFonts w:hint="eastAsia" w:ascii="宋体" w:hAnsi="宋体" w:cs="宋体"/>
                <w:color w:val="auto"/>
                <w:highlight w:val="none"/>
              </w:rPr>
              <w:t>整机机身</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支持整机机身转动，独立远程不低于0°~180°水平调节</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lang w:val="en-US" w:eastAsia="zh-CN"/>
              </w:rPr>
              <w:t>3.2</w:t>
            </w:r>
            <w:r>
              <w:rPr>
                <w:rFonts w:hint="eastAsia" w:ascii="宋体" w:hAnsi="宋体" w:cs="宋体"/>
                <w:color w:val="auto"/>
                <w:highlight w:val="none"/>
              </w:rPr>
              <w:t>主摄像机</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highlight w:val="none"/>
              </w:rPr>
            </w:pPr>
            <w:r>
              <w:rPr>
                <w:rFonts w:hint="eastAsia" w:ascii="宋体" w:hAnsi="宋体" w:cs="宋体"/>
                <w:color w:val="auto"/>
                <w:highlight w:val="none"/>
              </w:rPr>
              <w:t>主摄像机支持独立远程0°~360°水平调节、-</w:t>
            </w:r>
            <w:r>
              <w:rPr>
                <w:rFonts w:hint="eastAsia" w:ascii="宋体" w:hAnsi="宋体" w:cs="宋体"/>
                <w:color w:val="auto"/>
                <w:highlight w:val="none"/>
                <w:lang w:val="en-US" w:eastAsia="zh-CN"/>
              </w:rPr>
              <w:t>15</w:t>
            </w:r>
            <w:r>
              <w:rPr>
                <w:rFonts w:hint="eastAsia" w:ascii="宋体" w:hAnsi="宋体" w:cs="宋体"/>
                <w:color w:val="auto"/>
                <w:highlight w:val="none"/>
              </w:rPr>
              <w:t>°~90°垂直调节；调节转速支持水平0.1°~210°/s，垂直0.1°~100°/s。</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highlight w:val="none"/>
              </w:rPr>
            </w:pPr>
            <w:r>
              <w:rPr>
                <w:rFonts w:hint="eastAsia" w:ascii="宋体" w:hAnsi="宋体" w:cs="宋体"/>
                <w:color w:val="auto"/>
                <w:highlight w:val="none"/>
                <w:lang w:val="en-US" w:eastAsia="zh-CN"/>
              </w:rPr>
              <w:t>3.3</w:t>
            </w:r>
            <w:r>
              <w:rPr>
                <w:rFonts w:hint="eastAsia" w:ascii="宋体" w:hAnsi="宋体" w:cs="宋体"/>
                <w:color w:val="auto"/>
                <w:highlight w:val="none"/>
              </w:rPr>
              <w:t>辅摄像机</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highlight w:val="none"/>
              </w:rPr>
            </w:pPr>
            <w:r>
              <w:rPr>
                <w:rFonts w:hint="eastAsia" w:ascii="宋体" w:hAnsi="宋体" w:cs="宋体"/>
                <w:color w:val="auto"/>
                <w:highlight w:val="none"/>
              </w:rPr>
              <w:t>辅摄像机支持独立远程不低于0~240°水平调节、-</w:t>
            </w:r>
            <w:r>
              <w:rPr>
                <w:rFonts w:hint="eastAsia" w:ascii="宋体" w:hAnsi="宋体" w:cs="宋体"/>
                <w:color w:val="auto"/>
                <w:highlight w:val="none"/>
                <w:lang w:val="en-US" w:eastAsia="zh-CN"/>
              </w:rPr>
              <w:t>15</w:t>
            </w:r>
            <w:r>
              <w:rPr>
                <w:rFonts w:hint="eastAsia" w:ascii="宋体" w:hAnsi="宋体" w:cs="宋体"/>
                <w:color w:val="auto"/>
                <w:highlight w:val="none"/>
              </w:rPr>
              <w:t>~90°垂直调节。</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highlight w:val="none"/>
              </w:rPr>
            </w:pPr>
            <w:r>
              <w:rPr>
                <w:rFonts w:hint="eastAsia" w:ascii="宋体" w:hAnsi="宋体" w:cs="宋体"/>
                <w:color w:val="auto"/>
                <w:highlight w:val="none"/>
                <w:lang w:val="en-US" w:eastAsia="zh-CN"/>
              </w:rPr>
              <w:t>3.4</w:t>
            </w:r>
            <w:r>
              <w:rPr>
                <w:rFonts w:hint="eastAsia" w:ascii="宋体" w:hAnsi="宋体" w:cs="宋体"/>
                <w:color w:val="auto"/>
                <w:highlight w:val="none"/>
              </w:rPr>
              <w:t>智能控制</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color w:val="auto"/>
                <w:highlight w:val="none"/>
              </w:rPr>
            </w:pPr>
            <w:r>
              <w:rPr>
                <w:rFonts w:hint="eastAsia" w:ascii="宋体" w:hAnsi="宋体" w:cs="宋体"/>
                <w:color w:val="auto"/>
                <w:highlight w:val="none"/>
              </w:rPr>
              <w:t>支持多点预置位、延迟复位</w:t>
            </w:r>
            <w:r>
              <w:rPr>
                <w:rFonts w:hint="eastAsia" w:ascii="宋体" w:hAnsi="宋体" w:cs="宋体"/>
                <w:color w:val="auto"/>
                <w:highlight w:val="none"/>
                <w:lang w:val="en-US" w:eastAsia="zh-CN"/>
              </w:rPr>
              <w:t>及摄像机角度角度信息反馈</w:t>
            </w:r>
            <w:r>
              <w:rPr>
                <w:rFonts w:hint="eastAsia" w:ascii="宋体" w:hAnsi="宋体" w:cs="宋体"/>
                <w:color w:val="auto"/>
                <w:highlight w:val="none"/>
              </w:rPr>
              <w:t>功能。</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ind w:firstLine="50" w:firstLineChars="24"/>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4</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智能功能</w:t>
            </w:r>
          </w:p>
        </w:tc>
        <w:tc>
          <w:tcPr>
            <w:tcW w:w="1815"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4.1</w:t>
            </w:r>
            <w:r>
              <w:rPr>
                <w:rFonts w:hint="eastAsia" w:ascii="宋体" w:hAnsi="宋体" w:cs="宋体"/>
                <w:highlight w:val="none"/>
              </w:rPr>
              <w:t>态势感知</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辅摄像机</w:t>
            </w:r>
            <w:r>
              <w:rPr>
                <w:rFonts w:hint="eastAsia" w:ascii="宋体" w:hAnsi="宋体" w:cs="宋体"/>
                <w:highlight w:val="none"/>
                <w:lang w:val="en-US" w:eastAsia="zh-CN"/>
              </w:rPr>
              <w:t>支持</w:t>
            </w:r>
            <w:r>
              <w:rPr>
                <w:rFonts w:hint="eastAsia" w:ascii="宋体" w:hAnsi="宋体" w:cs="宋体"/>
                <w:highlight w:val="none"/>
              </w:rPr>
              <w:t>事件检测功能，对有效检测范围内的停车、逆行等重要交通事件的检测准确率不低于96%。</w:t>
            </w:r>
          </w:p>
        </w:tc>
        <w:tc>
          <w:tcPr>
            <w:tcW w:w="1529"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算力强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lang w:val="en-US" w:eastAsia="zh-CN"/>
              </w:rPr>
            </w:pP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主摄像机支持事件检测功能，支持算法升级，具备预警等上报接口。</w:t>
            </w:r>
          </w:p>
        </w:tc>
        <w:tc>
          <w:tcPr>
            <w:tcW w:w="1529"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cs="宋体"/>
                <w:highlight w:val="none"/>
                <w:lang w:val="en-US" w:eastAsia="zh-CN"/>
              </w:rPr>
            </w:pPr>
            <w:r>
              <w:rPr>
                <w:rFonts w:hint="eastAsia" w:ascii="宋体" w:hAnsi="宋体" w:cs="宋体"/>
                <w:highlight w:val="none"/>
              </w:rPr>
              <w:t>自带GPU芯片，两个辅摄像机支持车流量监测预警与结构化数据输出</w:t>
            </w:r>
            <w:r>
              <w:rPr>
                <w:rFonts w:hint="eastAsia" w:ascii="宋体" w:hAnsi="宋体" w:cs="宋体"/>
                <w:highlight w:val="none"/>
                <w:lang w:val="en-US" w:eastAsia="zh-CN"/>
              </w:rPr>
              <w:t>等上报接口。</w:t>
            </w:r>
          </w:p>
        </w:tc>
        <w:tc>
          <w:tcPr>
            <w:tcW w:w="1529"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5</w:t>
            </w:r>
          </w:p>
        </w:tc>
        <w:tc>
          <w:tcPr>
            <w:tcW w:w="159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适应性功能</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5.1</w:t>
            </w:r>
            <w:r>
              <w:rPr>
                <w:rFonts w:hint="eastAsia" w:ascii="宋体" w:hAnsi="宋体" w:cs="宋体"/>
                <w:highlight w:val="none"/>
              </w:rPr>
              <w:t>字符叠加</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满足《重庆高速公路视频图像文字信息标注技术要求（2024版）》。</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详见</w:t>
            </w:r>
            <w:r>
              <w:rPr>
                <w:rFonts w:hint="eastAsia" w:ascii="宋体" w:hAnsi="宋体" w:cs="宋体"/>
                <w:kern w:val="0"/>
                <w:highlight w:val="none"/>
              </w:rPr>
              <w:t>指标及参数附件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5.2</w:t>
            </w:r>
            <w:r>
              <w:rPr>
                <w:rFonts w:hint="eastAsia" w:ascii="宋体" w:hAnsi="宋体" w:cs="宋体"/>
                <w:highlight w:val="none"/>
              </w:rPr>
              <w:t>自清洁</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三个镜头都具备自清洁功能（</w:t>
            </w:r>
            <w:r>
              <w:rPr>
                <w:rFonts w:hint="eastAsia" w:ascii="宋体" w:hAnsi="宋体" w:cs="宋体"/>
                <w:highlight w:val="none"/>
                <w:lang w:val="en-US" w:eastAsia="zh-CN"/>
              </w:rPr>
              <w:t>如</w:t>
            </w:r>
            <w:r>
              <w:rPr>
                <w:rFonts w:hint="eastAsia" w:ascii="宋体" w:hAnsi="宋体" w:cs="宋体"/>
                <w:highlight w:val="none"/>
              </w:rPr>
              <w:t>雨刷、加热、防污涂层等）。</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自清洁能力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5.3</w:t>
            </w:r>
            <w:r>
              <w:rPr>
                <w:rFonts w:hint="eastAsia" w:ascii="宋体" w:hAnsi="宋体" w:cs="宋体"/>
                <w:highlight w:val="none"/>
              </w:rPr>
              <w:t>定位</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支持单北斗定位</w:t>
            </w:r>
            <w:r>
              <w:rPr>
                <w:rFonts w:hint="eastAsia" w:ascii="宋体" w:hAnsi="宋体" w:cs="宋体"/>
                <w:highlight w:val="none"/>
                <w:lang w:val="en-US" w:eastAsia="zh-CN"/>
              </w:rPr>
              <w:t>及信息叠加</w:t>
            </w:r>
            <w:r>
              <w:rPr>
                <w:rFonts w:hint="eastAsia" w:ascii="宋体" w:hAnsi="宋体" w:cs="宋体"/>
                <w:highlight w:val="none"/>
              </w:rPr>
              <w:t>。</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5.4</w:t>
            </w:r>
            <w:r>
              <w:rPr>
                <w:rFonts w:hint="eastAsia" w:ascii="宋体" w:hAnsi="宋体" w:cs="宋体"/>
                <w:highlight w:val="none"/>
              </w:rPr>
              <w:t>接口</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具备1个1000M自适应RJ45网口，具备音频输入/输出接口、报警输入/输出接口。</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5.5</w:t>
            </w:r>
            <w:r>
              <w:rPr>
                <w:rFonts w:hint="eastAsia" w:ascii="宋体" w:hAnsi="宋体" w:cs="宋体"/>
                <w:highlight w:val="none"/>
              </w:rPr>
              <w:t>协议</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lang w:val="en-US" w:eastAsia="zh-CN"/>
              </w:rPr>
            </w:pPr>
            <w:r>
              <w:rPr>
                <w:rFonts w:hint="eastAsia" w:ascii="宋体" w:hAnsi="宋体" w:cs="宋体"/>
                <w:highlight w:val="none"/>
                <w:lang w:val="en-US" w:eastAsia="zh-CN"/>
              </w:rPr>
              <w:t>支持编码格式H.264/H.265;</w:t>
            </w:r>
          </w:p>
          <w:p>
            <w:pPr>
              <w:spacing w:line="276" w:lineRule="auto"/>
              <w:jc w:val="center"/>
              <w:rPr>
                <w:rFonts w:hint="eastAsia" w:ascii="宋体" w:hAnsi="宋体" w:cs="宋体"/>
                <w:highlight w:val="none"/>
              </w:rPr>
            </w:pPr>
            <w:r>
              <w:rPr>
                <w:rFonts w:hint="eastAsia" w:ascii="宋体" w:hAnsi="宋体" w:cs="宋体"/>
                <w:highlight w:val="none"/>
              </w:rPr>
              <w:t>支持GB/T 28181协议、ONVIF视频协议、GA/T 1400协议。</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5.6</w:t>
            </w:r>
            <w:r>
              <w:rPr>
                <w:rFonts w:hint="eastAsia" w:ascii="宋体" w:hAnsi="宋体" w:cs="宋体"/>
                <w:highlight w:val="none"/>
              </w:rPr>
              <w:t>供电</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支持220V AC，自带电源适配器。</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hint="eastAsia" w:ascii="宋体" w:hAnsi="宋体" w:cs="宋体"/>
                <w:highlight w:val="none"/>
              </w:rPr>
            </w:pPr>
            <w:r>
              <w:rPr>
                <w:rFonts w:hint="eastAsia" w:ascii="宋体" w:hAnsi="宋体" w:cs="宋体"/>
                <w:highlight w:val="none"/>
                <w:lang w:val="en-US" w:eastAsia="zh-CN"/>
              </w:rPr>
              <w:t>5.7</w:t>
            </w:r>
            <w:r>
              <w:rPr>
                <w:rFonts w:hint="eastAsia" w:ascii="宋体" w:hAnsi="宋体" w:cs="宋体"/>
                <w:highlight w:val="none"/>
              </w:rPr>
              <w:t>安装</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具备法兰安装接口。</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5.8</w:t>
            </w:r>
            <w:r>
              <w:rPr>
                <w:rFonts w:hint="eastAsia" w:ascii="宋体" w:hAnsi="宋体" w:cs="宋体"/>
                <w:highlight w:val="none"/>
              </w:rPr>
              <w:t>功率</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≤125W。</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5.9</w:t>
            </w:r>
            <w:r>
              <w:rPr>
                <w:rFonts w:hint="eastAsia" w:ascii="宋体" w:hAnsi="宋体" w:cs="宋体"/>
                <w:highlight w:val="none"/>
              </w:rPr>
              <w:t>重量</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≤18KG。</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rPr>
                <w:rFonts w:hint="eastAsia" w:ascii="宋体" w:hAnsi="宋体" w:cs="宋体"/>
                <w:highlight w:val="none"/>
              </w:rPr>
            </w:pPr>
            <w:r>
              <w:rPr>
                <w:rFonts w:hint="eastAsia" w:ascii="宋体" w:hAnsi="宋体" w:cs="宋体"/>
                <w:highlight w:val="none"/>
                <w:lang w:val="en-US" w:eastAsia="zh-CN"/>
              </w:rPr>
              <w:t>5.10</w:t>
            </w:r>
            <w:r>
              <w:rPr>
                <w:rFonts w:hint="eastAsia" w:ascii="宋体" w:hAnsi="宋体" w:cs="宋体"/>
                <w:highlight w:val="none"/>
              </w:rPr>
              <w:t>工作环境</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温度-40℃~70℃；湿度≤95%。</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590" w:type="dxa"/>
            <w:vMerge w:val="continue"/>
            <w:tcBorders>
              <w:left w:val="single" w:color="auto" w:sz="4" w:space="0"/>
              <w:right w:val="single" w:color="auto" w:sz="4" w:space="0"/>
            </w:tcBorders>
            <w:vAlign w:val="center"/>
          </w:tcPr>
          <w:p>
            <w:pPr>
              <w:spacing w:line="276" w:lineRule="auto"/>
              <w:jc w:val="center"/>
              <w:rPr>
                <w:rFonts w:hint="eastAsia" w:ascii="宋体" w:hAnsi="宋体" w:cs="宋体"/>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lang w:val="en-US" w:eastAsia="zh-CN"/>
              </w:rPr>
              <w:t>5.11</w:t>
            </w:r>
            <w:r>
              <w:rPr>
                <w:rFonts w:hint="eastAsia" w:ascii="宋体" w:hAnsi="宋体" w:cs="宋体"/>
                <w:highlight w:val="none"/>
              </w:rPr>
              <w:t>防护等级</w:t>
            </w:r>
          </w:p>
        </w:tc>
        <w:tc>
          <w:tcPr>
            <w:tcW w:w="38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r>
              <w:rPr>
                <w:rFonts w:hint="eastAsia" w:ascii="宋体" w:hAnsi="宋体" w:cs="宋体"/>
                <w:highlight w:val="none"/>
              </w:rPr>
              <w:t>≥IP66防水防尘等级。</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highlight w:val="none"/>
              </w:rPr>
            </w:pPr>
          </w:p>
        </w:tc>
      </w:tr>
    </w:tbl>
    <w:p>
      <w:pPr>
        <w:rPr>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黑体" w:hAnsi="黑体" w:cs="黑体"/>
          <w:sz w:val="28"/>
          <w:szCs w:val="28"/>
          <w:highlight w:val="none"/>
        </w:rPr>
      </w:pPr>
    </w:p>
    <w:p>
      <w:pPr>
        <w:pStyle w:val="19"/>
        <w:ind w:left="0" w:firstLine="0"/>
        <w:jc w:val="both"/>
        <w:rPr>
          <w:rFonts w:hint="eastAsia" w:ascii="方正小标宋_GBK" w:hAnsi="方正小标宋_GBK" w:eastAsia="方正小标宋_GBK" w:cs="方正小标宋_GBK"/>
          <w:sz w:val="28"/>
          <w:szCs w:val="28"/>
          <w:highlight w:val="none"/>
        </w:rPr>
      </w:pPr>
      <w:r>
        <w:rPr>
          <w:rFonts w:hint="eastAsia" w:ascii="黑体" w:hAnsi="黑体" w:cs="黑体"/>
          <w:sz w:val="28"/>
          <w:szCs w:val="28"/>
          <w:highlight w:val="none"/>
        </w:rPr>
        <w:t>附件：</w:t>
      </w:r>
    </w:p>
    <w:p>
      <w:pPr>
        <w:spacing w:before="66" w:line="242" w:lineRule="auto"/>
        <w:ind w:left="1139"/>
        <w:outlineLvl w:val="0"/>
        <w:rPr>
          <w:rFonts w:hint="eastAsia" w:ascii="方正小标宋_GBK" w:hAnsi="方正小标宋_GBK" w:eastAsia="方正小标宋_GBK" w:cs="方正小标宋_GBK"/>
          <w:sz w:val="28"/>
          <w:szCs w:val="28"/>
          <w:highlight w:val="none"/>
        </w:rPr>
      </w:pPr>
      <w:r>
        <w:rPr>
          <w:rFonts w:ascii="方正小标宋_GBK" w:hAnsi="方正小标宋_GBK" w:eastAsia="方正小标宋_GBK" w:cs="方正小标宋_GBK"/>
          <w:sz w:val="28"/>
          <w:szCs w:val="28"/>
          <w:highlight w:val="none"/>
        </w:rPr>
        <w:t>重庆高速公路视频图像文字信息标注技术要求（2024 版）</w:t>
      </w:r>
    </w:p>
    <w:p>
      <w:pPr>
        <w:spacing w:line="299" w:lineRule="auto"/>
        <w:rPr>
          <w:rFonts w:ascii="Arial"/>
          <w:highlight w:val="none"/>
        </w:rPr>
      </w:pPr>
    </w:p>
    <w:p>
      <w:pPr>
        <w:spacing w:line="300" w:lineRule="auto"/>
        <w:rPr>
          <w:rFonts w:ascii="Arial"/>
          <w:highlight w:val="none"/>
        </w:rPr>
      </w:pPr>
    </w:p>
    <w:p>
      <w:pPr>
        <w:spacing w:before="68" w:line="220" w:lineRule="auto"/>
        <w:ind w:left="12"/>
        <w:rPr>
          <w:rFonts w:hint="eastAsia" w:ascii="黑体" w:hAnsi="黑体" w:eastAsia="黑体" w:cs="黑体"/>
          <w:highlight w:val="none"/>
        </w:rPr>
      </w:pPr>
      <w:r>
        <w:rPr>
          <w:rFonts w:ascii="黑体" w:hAnsi="黑体" w:eastAsia="黑体" w:cs="黑体"/>
          <w:spacing w:val="-9"/>
          <w:highlight w:val="none"/>
        </w:rPr>
        <w:t>1</w:t>
      </w:r>
      <w:r>
        <w:rPr>
          <w:rFonts w:ascii="黑体" w:hAnsi="黑体" w:eastAsia="黑体" w:cs="黑体"/>
          <w:spacing w:val="5"/>
          <w:highlight w:val="none"/>
        </w:rPr>
        <w:t xml:space="preserve">   </w:t>
      </w:r>
      <w:r>
        <w:rPr>
          <w:rFonts w:ascii="黑体" w:hAnsi="黑体" w:eastAsia="黑体" w:cs="黑体"/>
          <w:spacing w:val="-9"/>
          <w:highlight w:val="none"/>
        </w:rPr>
        <w:t>总则</w:t>
      </w:r>
    </w:p>
    <w:p>
      <w:pPr>
        <w:spacing w:before="261" w:line="221" w:lineRule="auto"/>
        <w:ind w:left="12"/>
        <w:rPr>
          <w:rFonts w:hint="eastAsia" w:ascii="黑体" w:hAnsi="黑体" w:eastAsia="黑体" w:cs="黑体"/>
          <w:highlight w:val="none"/>
        </w:rPr>
      </w:pPr>
      <w:r>
        <w:rPr>
          <w:rFonts w:ascii="黑体" w:hAnsi="黑体" w:eastAsia="黑体" w:cs="黑体"/>
          <w:spacing w:val="-7"/>
          <w:highlight w:val="none"/>
        </w:rPr>
        <w:t>1.1</w:t>
      </w:r>
      <w:r>
        <w:rPr>
          <w:rFonts w:ascii="黑体" w:hAnsi="黑体" w:eastAsia="黑体" w:cs="黑体"/>
          <w:spacing w:val="35"/>
          <w:highlight w:val="none"/>
        </w:rPr>
        <w:t xml:space="preserve"> </w:t>
      </w:r>
      <w:r>
        <w:rPr>
          <w:rFonts w:ascii="黑体" w:hAnsi="黑体" w:eastAsia="黑体" w:cs="黑体"/>
          <w:spacing w:val="-7"/>
          <w:highlight w:val="none"/>
        </w:rPr>
        <w:t>目的</w:t>
      </w:r>
    </w:p>
    <w:p>
      <w:pPr>
        <w:pStyle w:val="2"/>
        <w:spacing w:before="263" w:line="297" w:lineRule="auto"/>
        <w:ind w:left="2" w:right="121" w:firstLine="421"/>
        <w:rPr>
          <w:highlight w:val="none"/>
        </w:rPr>
      </w:pPr>
      <w:r>
        <w:rPr>
          <w:spacing w:val="1"/>
          <w:highlight w:val="none"/>
        </w:rPr>
        <w:t>为了规范重庆高速公路监控视频图像文字信息标注，依据《</w:t>
      </w:r>
      <w:r>
        <w:rPr>
          <w:rFonts w:eastAsia="Times New Roman"/>
          <w:highlight w:val="none"/>
        </w:rPr>
        <w:t>JTT</w:t>
      </w:r>
      <w:r>
        <w:rPr>
          <w:rFonts w:eastAsia="Times New Roman"/>
          <w:spacing w:val="1"/>
          <w:highlight w:val="none"/>
        </w:rPr>
        <w:t>1389.1-2021</w:t>
      </w:r>
      <w:r>
        <w:rPr>
          <w:spacing w:val="1"/>
          <w:highlight w:val="none"/>
        </w:rPr>
        <w:t>交通运输视频图像文</w:t>
      </w:r>
      <w:r>
        <w:rPr>
          <w:spacing w:val="3"/>
          <w:highlight w:val="none"/>
        </w:rPr>
        <w:t xml:space="preserve"> </w:t>
      </w:r>
      <w:r>
        <w:rPr>
          <w:spacing w:val="-4"/>
          <w:highlight w:val="none"/>
        </w:rPr>
        <w:t>字信息标注规范 第</w:t>
      </w:r>
      <w:r>
        <w:rPr>
          <w:spacing w:val="-30"/>
          <w:highlight w:val="none"/>
        </w:rPr>
        <w:t xml:space="preserve"> </w:t>
      </w:r>
      <w:r>
        <w:rPr>
          <w:rFonts w:eastAsia="Times New Roman"/>
          <w:spacing w:val="-4"/>
          <w:highlight w:val="none"/>
        </w:rPr>
        <w:t xml:space="preserve">1 </w:t>
      </w:r>
      <w:r>
        <w:rPr>
          <w:spacing w:val="-4"/>
          <w:highlight w:val="none"/>
        </w:rPr>
        <w:t>部分：总则》、《</w:t>
      </w:r>
      <w:r>
        <w:rPr>
          <w:rFonts w:eastAsia="Times New Roman"/>
          <w:spacing w:val="-4"/>
          <w:highlight w:val="none"/>
        </w:rPr>
        <w:t>JTT13</w:t>
      </w:r>
      <w:r>
        <w:rPr>
          <w:rFonts w:eastAsia="Times New Roman"/>
          <w:spacing w:val="-5"/>
          <w:highlight w:val="none"/>
        </w:rPr>
        <w:t>89.2-2021</w:t>
      </w:r>
      <w:r>
        <w:rPr>
          <w:rFonts w:eastAsia="Times New Roman"/>
          <w:spacing w:val="13"/>
          <w:highlight w:val="none"/>
        </w:rPr>
        <w:t xml:space="preserve"> </w:t>
      </w:r>
      <w:r>
        <w:rPr>
          <w:spacing w:val="-5"/>
          <w:highlight w:val="none"/>
        </w:rPr>
        <w:t>交通运输视频图像文字信息标注规范 第</w:t>
      </w:r>
      <w:r>
        <w:rPr>
          <w:spacing w:val="-48"/>
          <w:highlight w:val="none"/>
        </w:rPr>
        <w:t xml:space="preserve"> </w:t>
      </w:r>
      <w:r>
        <w:rPr>
          <w:rFonts w:eastAsia="Times New Roman"/>
          <w:spacing w:val="-5"/>
          <w:highlight w:val="none"/>
        </w:rPr>
        <w:t xml:space="preserve">2 </w:t>
      </w:r>
      <w:r>
        <w:rPr>
          <w:spacing w:val="-5"/>
          <w:highlight w:val="none"/>
        </w:rPr>
        <w:t>部</w:t>
      </w:r>
    </w:p>
    <w:p>
      <w:pPr>
        <w:pStyle w:val="2"/>
        <w:spacing w:before="32" w:line="220" w:lineRule="auto"/>
        <w:ind w:left="4"/>
        <w:rPr>
          <w:highlight w:val="none"/>
        </w:rPr>
      </w:pPr>
      <w:r>
        <w:rPr>
          <w:spacing w:val="-8"/>
          <w:highlight w:val="none"/>
        </w:rPr>
        <w:t>分：高速公路》，制定本技术要求。</w:t>
      </w:r>
    </w:p>
    <w:p>
      <w:pPr>
        <w:spacing w:line="273" w:lineRule="auto"/>
        <w:rPr>
          <w:rFonts w:ascii="Arial"/>
          <w:highlight w:val="none"/>
        </w:rPr>
      </w:pPr>
    </w:p>
    <w:p>
      <w:pPr>
        <w:spacing w:before="69" w:line="221" w:lineRule="auto"/>
        <w:ind w:left="12"/>
        <w:rPr>
          <w:rFonts w:hint="eastAsia" w:ascii="黑体" w:hAnsi="黑体" w:eastAsia="黑体" w:cs="黑体"/>
          <w:highlight w:val="none"/>
        </w:rPr>
      </w:pPr>
      <w:r>
        <w:rPr>
          <w:rFonts w:ascii="黑体" w:hAnsi="黑体" w:eastAsia="黑体" w:cs="黑体"/>
          <w:spacing w:val="-5"/>
          <w:highlight w:val="none"/>
        </w:rPr>
        <w:t>1.2</w:t>
      </w:r>
      <w:r>
        <w:rPr>
          <w:rFonts w:ascii="黑体" w:hAnsi="黑体" w:eastAsia="黑体" w:cs="黑体"/>
          <w:spacing w:val="13"/>
          <w:highlight w:val="none"/>
        </w:rPr>
        <w:t xml:space="preserve"> </w:t>
      </w:r>
      <w:r>
        <w:rPr>
          <w:rFonts w:ascii="黑体" w:hAnsi="黑体" w:eastAsia="黑体" w:cs="黑体"/>
          <w:spacing w:val="-5"/>
          <w:highlight w:val="none"/>
        </w:rPr>
        <w:t>范围</w:t>
      </w:r>
    </w:p>
    <w:p>
      <w:pPr>
        <w:pStyle w:val="2"/>
        <w:spacing w:before="262" w:line="234" w:lineRule="auto"/>
        <w:ind w:left="421"/>
        <w:rPr>
          <w:highlight w:val="none"/>
        </w:rPr>
      </w:pPr>
      <w:r>
        <w:rPr>
          <w:rFonts w:eastAsia="Times New Roman"/>
          <w:highlight w:val="none"/>
        </w:rPr>
        <w:t>a</w:t>
      </w:r>
      <w:r>
        <w:rPr>
          <w:highlight w:val="none"/>
        </w:rPr>
        <w:t>）本技术要求适用于重庆高速公路监控视频、移动视频的文字信</w:t>
      </w:r>
      <w:r>
        <w:rPr>
          <w:spacing w:val="-1"/>
          <w:highlight w:val="none"/>
        </w:rPr>
        <w:t>息标注。</w:t>
      </w:r>
    </w:p>
    <w:p>
      <w:pPr>
        <w:pStyle w:val="2"/>
        <w:spacing w:before="86" w:line="234" w:lineRule="auto"/>
        <w:ind w:left="413"/>
        <w:rPr>
          <w:highlight w:val="none"/>
        </w:rPr>
      </w:pPr>
      <w:r>
        <w:rPr>
          <w:rFonts w:eastAsia="Times New Roman"/>
          <w:highlight w:val="none"/>
        </w:rPr>
        <w:t>b</w:t>
      </w:r>
      <w:r>
        <w:rPr>
          <w:highlight w:val="none"/>
        </w:rPr>
        <w:t>）重庆高速公路新建、改建的视频图像应符合本技术要求。</w:t>
      </w:r>
    </w:p>
    <w:p>
      <w:pPr>
        <w:pStyle w:val="2"/>
        <w:spacing w:before="89" w:line="234" w:lineRule="auto"/>
        <w:ind w:left="420"/>
        <w:rPr>
          <w:highlight w:val="none"/>
        </w:rPr>
      </w:pPr>
      <w:r>
        <w:rPr>
          <w:rFonts w:eastAsia="Times New Roman"/>
          <w:spacing w:val="-1"/>
          <w:highlight w:val="none"/>
        </w:rPr>
        <w:t>c</w:t>
      </w:r>
      <w:r>
        <w:rPr>
          <w:spacing w:val="-1"/>
          <w:highlight w:val="none"/>
        </w:rPr>
        <w:t>）已建视频图像应参照本技术要求进行规范。</w:t>
      </w:r>
    </w:p>
    <w:p>
      <w:pPr>
        <w:spacing w:line="256" w:lineRule="auto"/>
        <w:rPr>
          <w:rFonts w:ascii="Arial"/>
          <w:highlight w:val="none"/>
        </w:rPr>
      </w:pPr>
    </w:p>
    <w:p>
      <w:pPr>
        <w:spacing w:before="70" w:line="220" w:lineRule="auto"/>
        <w:rPr>
          <w:rFonts w:hint="eastAsia" w:ascii="黑体" w:hAnsi="黑体" w:eastAsia="黑体" w:cs="黑体"/>
          <w:highlight w:val="none"/>
        </w:rPr>
      </w:pPr>
      <w:r>
        <w:rPr>
          <w:rFonts w:ascii="黑体" w:hAnsi="黑体" w:eastAsia="黑体" w:cs="黑体"/>
          <w:spacing w:val="-1"/>
          <w:highlight w:val="none"/>
        </w:rPr>
        <w:t>2   文字信息标注要求</w:t>
      </w:r>
    </w:p>
    <w:p>
      <w:pPr>
        <w:spacing w:before="261" w:line="219" w:lineRule="auto"/>
        <w:rPr>
          <w:rFonts w:hint="eastAsia" w:ascii="黑体" w:hAnsi="黑体" w:eastAsia="黑体" w:cs="黑体"/>
          <w:highlight w:val="none"/>
        </w:rPr>
      </w:pPr>
      <w:r>
        <w:rPr>
          <w:rFonts w:ascii="黑体" w:hAnsi="黑体" w:eastAsia="黑体" w:cs="黑体"/>
          <w:spacing w:val="-3"/>
          <w:highlight w:val="none"/>
        </w:rPr>
        <w:t>2.1</w:t>
      </w:r>
      <w:r>
        <w:rPr>
          <w:rFonts w:ascii="黑体" w:hAnsi="黑体" w:eastAsia="黑体" w:cs="黑体"/>
          <w:spacing w:val="17"/>
          <w:highlight w:val="none"/>
        </w:rPr>
        <w:t xml:space="preserve"> </w:t>
      </w:r>
      <w:r>
        <w:rPr>
          <w:rFonts w:ascii="黑体" w:hAnsi="黑体" w:eastAsia="黑体" w:cs="黑体"/>
          <w:spacing w:val="-3"/>
          <w:highlight w:val="none"/>
        </w:rPr>
        <w:t>一般要求</w:t>
      </w:r>
    </w:p>
    <w:p>
      <w:pPr>
        <w:pStyle w:val="2"/>
        <w:spacing w:before="265" w:line="289" w:lineRule="auto"/>
        <w:ind w:left="5" w:right="153" w:firstLine="415"/>
        <w:rPr>
          <w:highlight w:val="none"/>
        </w:rPr>
      </w:pPr>
      <w:r>
        <w:rPr>
          <w:rFonts w:eastAsia="Times New Roman"/>
          <w:spacing w:val="-1"/>
          <w:highlight w:val="none"/>
        </w:rPr>
        <w:t>a</w:t>
      </w:r>
      <w:r>
        <w:rPr>
          <w:spacing w:val="-1"/>
          <w:highlight w:val="none"/>
        </w:rPr>
        <w:t>）本技术要求应规范引用《</w:t>
      </w:r>
      <w:r>
        <w:rPr>
          <w:rFonts w:eastAsia="Times New Roman"/>
          <w:spacing w:val="-1"/>
          <w:highlight w:val="none"/>
        </w:rPr>
        <w:t>JTT1389.1-2021</w:t>
      </w:r>
      <w:r>
        <w:rPr>
          <w:rFonts w:eastAsia="Times New Roman"/>
          <w:spacing w:val="13"/>
          <w:highlight w:val="none"/>
        </w:rPr>
        <w:t xml:space="preserve"> </w:t>
      </w:r>
      <w:r>
        <w:rPr>
          <w:spacing w:val="-1"/>
          <w:highlight w:val="none"/>
        </w:rPr>
        <w:t>交通运输视频图像文字信息标注规范</w:t>
      </w:r>
      <w:r>
        <w:rPr>
          <w:spacing w:val="-2"/>
          <w:highlight w:val="none"/>
        </w:rPr>
        <w:t xml:space="preserve"> 第</w:t>
      </w:r>
      <w:r>
        <w:rPr>
          <w:spacing w:val="-28"/>
          <w:highlight w:val="none"/>
        </w:rPr>
        <w:t xml:space="preserve"> </w:t>
      </w:r>
      <w:r>
        <w:rPr>
          <w:rFonts w:eastAsia="Times New Roman"/>
          <w:spacing w:val="-2"/>
          <w:highlight w:val="none"/>
        </w:rPr>
        <w:t xml:space="preserve">1 </w:t>
      </w:r>
      <w:r>
        <w:rPr>
          <w:spacing w:val="-2"/>
          <w:highlight w:val="none"/>
        </w:rPr>
        <w:t>部分：总</w:t>
      </w:r>
      <w:r>
        <w:rPr>
          <w:highlight w:val="none"/>
        </w:rPr>
        <w:t xml:space="preserve"> </w:t>
      </w:r>
      <w:r>
        <w:rPr>
          <w:spacing w:val="-7"/>
          <w:highlight w:val="none"/>
        </w:rPr>
        <w:t>则》、《</w:t>
      </w:r>
      <w:r>
        <w:rPr>
          <w:rFonts w:eastAsia="Times New Roman"/>
          <w:spacing w:val="-7"/>
          <w:highlight w:val="none"/>
        </w:rPr>
        <w:t>JTT1389.2-2021</w:t>
      </w:r>
      <w:r>
        <w:rPr>
          <w:rFonts w:eastAsia="Times New Roman"/>
          <w:spacing w:val="28"/>
          <w:highlight w:val="none"/>
        </w:rPr>
        <w:t xml:space="preserve"> </w:t>
      </w:r>
      <w:r>
        <w:rPr>
          <w:spacing w:val="-7"/>
          <w:highlight w:val="none"/>
        </w:rPr>
        <w:t>交通运输视频图像文字信息标注规范 第</w:t>
      </w:r>
      <w:r>
        <w:rPr>
          <w:spacing w:val="-48"/>
          <w:highlight w:val="none"/>
        </w:rPr>
        <w:t xml:space="preserve"> </w:t>
      </w:r>
      <w:r>
        <w:rPr>
          <w:rFonts w:eastAsia="Times New Roman"/>
          <w:spacing w:val="-7"/>
          <w:highlight w:val="none"/>
        </w:rPr>
        <w:t xml:space="preserve">2 </w:t>
      </w:r>
      <w:r>
        <w:rPr>
          <w:spacing w:val="-7"/>
          <w:highlight w:val="none"/>
        </w:rPr>
        <w:t>部分：高速公路》。</w:t>
      </w:r>
    </w:p>
    <w:p>
      <w:pPr>
        <w:pStyle w:val="2"/>
        <w:spacing w:before="51" w:line="287" w:lineRule="auto"/>
        <w:ind w:left="2" w:right="99" w:firstLine="410"/>
        <w:rPr>
          <w:highlight w:val="none"/>
        </w:rPr>
      </w:pPr>
      <w:r>
        <w:rPr>
          <w:rFonts w:eastAsia="Times New Roman"/>
          <w:spacing w:val="-1"/>
          <w:highlight w:val="none"/>
        </w:rPr>
        <w:t>b</w:t>
      </w:r>
      <w:r>
        <w:rPr>
          <w:spacing w:val="-1"/>
          <w:highlight w:val="none"/>
        </w:rPr>
        <w:t>）本技术要求规定了</w:t>
      </w:r>
      <w:r>
        <w:rPr>
          <w:spacing w:val="-20"/>
          <w:highlight w:val="none"/>
        </w:rPr>
        <w:t xml:space="preserve"> </w:t>
      </w:r>
      <w:r>
        <w:rPr>
          <w:rFonts w:eastAsia="Times New Roman"/>
          <w:spacing w:val="-1"/>
          <w:highlight w:val="none"/>
        </w:rPr>
        <w:t>1920</w:t>
      </w:r>
      <w:r>
        <w:rPr>
          <w:spacing w:val="-1"/>
          <w:highlight w:val="none"/>
        </w:rPr>
        <w:t>×</w:t>
      </w:r>
      <w:r>
        <w:rPr>
          <w:rFonts w:eastAsia="Times New Roman"/>
          <w:spacing w:val="-1"/>
          <w:highlight w:val="none"/>
        </w:rPr>
        <w:t xml:space="preserve">1080 </w:t>
      </w:r>
      <w:r>
        <w:rPr>
          <w:spacing w:val="-1"/>
          <w:highlight w:val="none"/>
        </w:rPr>
        <w:t>像素的</w:t>
      </w:r>
      <w:r>
        <w:rPr>
          <w:spacing w:val="-30"/>
          <w:highlight w:val="none"/>
        </w:rPr>
        <w:t xml:space="preserve"> </w:t>
      </w:r>
      <w:r>
        <w:rPr>
          <w:rFonts w:eastAsia="Times New Roman"/>
          <w:spacing w:val="-1"/>
          <w:highlight w:val="none"/>
        </w:rPr>
        <w:t xml:space="preserve">1080P </w:t>
      </w:r>
      <w:r>
        <w:rPr>
          <w:spacing w:val="-1"/>
          <w:highlight w:val="none"/>
        </w:rPr>
        <w:t>视频图像的文字样式、大小、颜色、位置等标注</w:t>
      </w:r>
      <w:r>
        <w:rPr>
          <w:highlight w:val="none"/>
        </w:rPr>
        <w:t xml:space="preserve"> 要求；其他规格的视频图像应参考本技术要求等比例进</w:t>
      </w:r>
      <w:r>
        <w:rPr>
          <w:spacing w:val="-1"/>
          <w:highlight w:val="none"/>
        </w:rPr>
        <w:t>行标注。</w:t>
      </w:r>
    </w:p>
    <w:p>
      <w:pPr>
        <w:spacing w:before="294" w:line="220" w:lineRule="auto"/>
        <w:rPr>
          <w:rFonts w:hint="eastAsia" w:ascii="黑体" w:hAnsi="黑体" w:eastAsia="黑体" w:cs="黑体"/>
          <w:highlight w:val="none"/>
        </w:rPr>
      </w:pPr>
      <w:r>
        <w:rPr>
          <w:rFonts w:ascii="黑体" w:hAnsi="黑体" w:eastAsia="黑体" w:cs="黑体"/>
          <w:spacing w:val="-1"/>
          <w:highlight w:val="none"/>
        </w:rPr>
        <w:t>2.2 标注文字</w:t>
      </w:r>
    </w:p>
    <w:p>
      <w:pPr>
        <w:pStyle w:val="2"/>
        <w:spacing w:before="264" w:line="289" w:lineRule="auto"/>
        <w:ind w:left="3" w:right="53" w:firstLine="417"/>
        <w:rPr>
          <w:highlight w:val="none"/>
        </w:rPr>
      </w:pPr>
      <w:r>
        <w:rPr>
          <w:rFonts w:eastAsia="Times New Roman"/>
          <w:spacing w:val="-1"/>
          <w:highlight w:val="none"/>
        </w:rPr>
        <w:t>a</w:t>
      </w:r>
      <w:r>
        <w:rPr>
          <w:spacing w:val="-1"/>
          <w:highlight w:val="none"/>
        </w:rPr>
        <w:t>）文字样式：汉字字体为标准宋体；数字、字母及符号字体为</w:t>
      </w:r>
      <w:r>
        <w:rPr>
          <w:spacing w:val="-46"/>
          <w:highlight w:val="none"/>
        </w:rPr>
        <w:t xml:space="preserve"> </w:t>
      </w:r>
      <w:r>
        <w:rPr>
          <w:rFonts w:eastAsia="Times New Roman"/>
          <w:spacing w:val="-1"/>
          <w:highlight w:val="none"/>
        </w:rPr>
        <w:t>Times New Roman</w:t>
      </w:r>
      <w:r>
        <w:rPr>
          <w:spacing w:val="-1"/>
          <w:highlight w:val="none"/>
        </w:rPr>
        <w:t>；字体应等高、</w:t>
      </w:r>
      <w:r>
        <w:rPr>
          <w:highlight w:val="none"/>
        </w:rPr>
        <w:t xml:space="preserve"> </w:t>
      </w:r>
      <w:r>
        <w:rPr>
          <w:spacing w:val="-1"/>
          <w:highlight w:val="none"/>
        </w:rPr>
        <w:t>无空心、无下划线、无粗体装饰。</w:t>
      </w:r>
    </w:p>
    <w:p>
      <w:pPr>
        <w:pStyle w:val="2"/>
        <w:spacing w:before="51" w:line="234" w:lineRule="auto"/>
        <w:ind w:left="413"/>
        <w:rPr>
          <w:highlight w:val="none"/>
        </w:rPr>
      </w:pPr>
      <w:r>
        <w:rPr>
          <w:rFonts w:eastAsia="Times New Roman"/>
          <w:spacing w:val="-2"/>
          <w:highlight w:val="none"/>
        </w:rPr>
        <w:t>b</w:t>
      </w:r>
      <w:r>
        <w:rPr>
          <w:spacing w:val="-2"/>
          <w:highlight w:val="none"/>
        </w:rPr>
        <w:t>）</w:t>
      </w:r>
      <w:r>
        <w:rPr>
          <w:rFonts w:eastAsia="Times New Roman"/>
          <w:spacing w:val="-2"/>
          <w:highlight w:val="none"/>
        </w:rPr>
        <w:t xml:space="preserve">1080P </w:t>
      </w:r>
      <w:r>
        <w:rPr>
          <w:spacing w:val="-2"/>
          <w:highlight w:val="none"/>
        </w:rPr>
        <w:t>视频图像标注大小及颜色：</w:t>
      </w:r>
    </w:p>
    <w:p>
      <w:pPr>
        <w:pStyle w:val="2"/>
        <w:spacing w:before="88" w:line="221" w:lineRule="auto"/>
        <w:ind w:left="858"/>
        <w:rPr>
          <w:highlight w:val="none"/>
        </w:rPr>
      </w:pPr>
      <w:r>
        <w:rPr>
          <w:rFonts w:eastAsia="Times New Roman"/>
          <w:spacing w:val="-4"/>
          <w:highlight w:val="none"/>
        </w:rPr>
        <w:t>1</w:t>
      </w:r>
      <w:r>
        <w:rPr>
          <w:spacing w:val="-4"/>
          <w:highlight w:val="none"/>
        </w:rPr>
        <w:t>）文字衬底高度宜为</w:t>
      </w:r>
      <w:r>
        <w:rPr>
          <w:spacing w:val="-29"/>
          <w:highlight w:val="none"/>
        </w:rPr>
        <w:t xml:space="preserve"> </w:t>
      </w:r>
      <w:r>
        <w:rPr>
          <w:rFonts w:eastAsia="Times New Roman"/>
          <w:spacing w:val="-4"/>
          <w:highlight w:val="none"/>
        </w:rPr>
        <w:t xml:space="preserve">64 </w:t>
      </w:r>
      <w:r>
        <w:rPr>
          <w:spacing w:val="-4"/>
          <w:highlight w:val="none"/>
        </w:rPr>
        <w:t>像素。</w:t>
      </w:r>
    </w:p>
    <w:p>
      <w:pPr>
        <w:pStyle w:val="2"/>
        <w:spacing w:before="102" w:line="221" w:lineRule="auto"/>
        <w:ind w:left="837"/>
        <w:rPr>
          <w:highlight w:val="none"/>
        </w:rPr>
      </w:pPr>
      <w:r>
        <w:rPr>
          <w:rFonts w:eastAsia="Times New Roman"/>
          <w:spacing w:val="-2"/>
          <w:highlight w:val="none"/>
        </w:rPr>
        <w:t>2</w:t>
      </w:r>
      <w:r>
        <w:rPr>
          <w:spacing w:val="-2"/>
          <w:highlight w:val="none"/>
        </w:rPr>
        <w:t>）汉字显示宜为</w:t>
      </w:r>
      <w:r>
        <w:rPr>
          <w:spacing w:val="-36"/>
          <w:highlight w:val="none"/>
        </w:rPr>
        <w:t xml:space="preserve"> </w:t>
      </w:r>
      <w:r>
        <w:rPr>
          <w:rFonts w:eastAsia="Times New Roman"/>
          <w:spacing w:val="-2"/>
          <w:highlight w:val="none"/>
        </w:rPr>
        <w:t>48</w:t>
      </w:r>
      <w:r>
        <w:rPr>
          <w:spacing w:val="-2"/>
          <w:highlight w:val="none"/>
        </w:rPr>
        <w:t>×</w:t>
      </w:r>
      <w:r>
        <w:rPr>
          <w:rFonts w:eastAsia="Times New Roman"/>
          <w:spacing w:val="-2"/>
          <w:highlight w:val="none"/>
        </w:rPr>
        <w:t>48</w:t>
      </w:r>
      <w:r>
        <w:rPr>
          <w:rFonts w:eastAsia="Times New Roman"/>
          <w:spacing w:val="17"/>
          <w:highlight w:val="none"/>
        </w:rPr>
        <w:t xml:space="preserve"> </w:t>
      </w:r>
      <w:r>
        <w:rPr>
          <w:spacing w:val="-2"/>
          <w:highlight w:val="none"/>
        </w:rPr>
        <w:t>点阵，数字、字母及符号显示宜为</w:t>
      </w:r>
      <w:r>
        <w:rPr>
          <w:spacing w:val="-48"/>
          <w:highlight w:val="none"/>
        </w:rPr>
        <w:t xml:space="preserve"> </w:t>
      </w:r>
      <w:r>
        <w:rPr>
          <w:rFonts w:eastAsia="Times New Roman"/>
          <w:spacing w:val="-2"/>
          <w:highlight w:val="none"/>
        </w:rPr>
        <w:t>24</w:t>
      </w:r>
      <w:r>
        <w:rPr>
          <w:spacing w:val="-2"/>
          <w:highlight w:val="none"/>
        </w:rPr>
        <w:t>×</w:t>
      </w:r>
      <w:r>
        <w:rPr>
          <w:rFonts w:eastAsia="Times New Roman"/>
          <w:spacing w:val="-2"/>
          <w:highlight w:val="none"/>
        </w:rPr>
        <w:t>48</w:t>
      </w:r>
      <w:r>
        <w:rPr>
          <w:rFonts w:eastAsia="Times New Roman"/>
          <w:spacing w:val="19"/>
          <w:w w:val="101"/>
          <w:highlight w:val="none"/>
        </w:rPr>
        <w:t xml:space="preserve"> </w:t>
      </w:r>
      <w:r>
        <w:rPr>
          <w:spacing w:val="-2"/>
          <w:highlight w:val="none"/>
        </w:rPr>
        <w:t>点阵。</w:t>
      </w:r>
    </w:p>
    <w:p>
      <w:pPr>
        <w:pStyle w:val="2"/>
        <w:spacing w:before="105" w:line="265" w:lineRule="auto"/>
        <w:ind w:left="662" w:right="216" w:firstLine="189"/>
        <w:rPr>
          <w:highlight w:val="none"/>
        </w:rPr>
      </w:pPr>
      <w:r>
        <w:rPr>
          <w:rFonts w:eastAsia="Times New Roman"/>
          <w:highlight w:val="none"/>
        </w:rPr>
        <w:t>3</w:t>
      </w:r>
      <w:r>
        <w:rPr>
          <w:highlight w:val="none"/>
        </w:rPr>
        <w:t>）文字标注形式宜采用文字加衬底形式，文字颜色为白色，</w:t>
      </w:r>
      <w:r>
        <w:rPr>
          <w:spacing w:val="-1"/>
          <w:highlight w:val="none"/>
        </w:rPr>
        <w:t>文字衬底颜色为黑色，衬底透</w:t>
      </w:r>
      <w:r>
        <w:rPr>
          <w:highlight w:val="none"/>
        </w:rPr>
        <w:t xml:space="preserve"> </w:t>
      </w:r>
      <w:r>
        <w:rPr>
          <w:spacing w:val="-1"/>
          <w:highlight w:val="none"/>
        </w:rPr>
        <w:t>明度宜根据视频图像明暗和场景复杂性显示为</w:t>
      </w:r>
      <w:r>
        <w:rPr>
          <w:spacing w:val="-47"/>
          <w:highlight w:val="none"/>
        </w:rPr>
        <w:t xml:space="preserve"> </w:t>
      </w:r>
      <w:r>
        <w:rPr>
          <w:rFonts w:eastAsia="Times New Roman"/>
          <w:spacing w:val="-1"/>
          <w:highlight w:val="none"/>
        </w:rPr>
        <w:t>20%-40</w:t>
      </w:r>
      <w:r>
        <w:rPr>
          <w:rFonts w:eastAsia="Times New Roman"/>
          <w:spacing w:val="-2"/>
          <w:highlight w:val="none"/>
        </w:rPr>
        <w:t>%</w:t>
      </w:r>
      <w:r>
        <w:rPr>
          <w:spacing w:val="-2"/>
          <w:highlight w:val="none"/>
        </w:rPr>
        <w:t>。</w:t>
      </w:r>
    </w:p>
    <w:p>
      <w:pPr>
        <w:spacing w:line="272" w:lineRule="auto"/>
        <w:rPr>
          <w:rFonts w:ascii="Arial"/>
          <w:highlight w:val="none"/>
        </w:rPr>
      </w:pPr>
    </w:p>
    <w:p>
      <w:pPr>
        <w:spacing w:before="68" w:line="219" w:lineRule="auto"/>
        <w:rPr>
          <w:rFonts w:hint="eastAsia" w:ascii="黑体" w:hAnsi="黑体" w:eastAsia="黑体" w:cs="黑体"/>
          <w:highlight w:val="none"/>
        </w:rPr>
      </w:pPr>
      <w:r>
        <w:rPr>
          <w:rFonts w:ascii="黑体" w:hAnsi="黑体" w:eastAsia="黑体" w:cs="黑体"/>
          <w:spacing w:val="-1"/>
          <w:highlight w:val="none"/>
        </w:rPr>
        <w:t>2.3 标注方法</w:t>
      </w:r>
    </w:p>
    <w:p>
      <w:pPr>
        <w:pStyle w:val="2"/>
        <w:spacing w:before="264" w:line="289" w:lineRule="auto"/>
        <w:ind w:left="2" w:right="325" w:firstLine="418"/>
        <w:rPr>
          <w:highlight w:val="none"/>
        </w:rPr>
      </w:pPr>
      <w:r>
        <w:rPr>
          <w:rFonts w:eastAsia="Times New Roman"/>
          <w:spacing w:val="-1"/>
          <w:highlight w:val="none"/>
        </w:rPr>
        <w:t>a</w:t>
      </w:r>
      <w:r>
        <w:rPr>
          <w:spacing w:val="-1"/>
          <w:highlight w:val="none"/>
        </w:rPr>
        <w:t>）标注区域：在</w:t>
      </w:r>
      <w:r>
        <w:rPr>
          <w:spacing w:val="-20"/>
          <w:highlight w:val="none"/>
        </w:rPr>
        <w:t xml:space="preserve"> </w:t>
      </w:r>
      <w:r>
        <w:rPr>
          <w:rFonts w:eastAsia="Times New Roman"/>
          <w:spacing w:val="-1"/>
          <w:highlight w:val="none"/>
        </w:rPr>
        <w:t xml:space="preserve">1080P </w:t>
      </w:r>
      <w:r>
        <w:rPr>
          <w:spacing w:val="-1"/>
          <w:highlight w:val="none"/>
        </w:rPr>
        <w:t>视频图像内，距离四周边缘</w:t>
      </w:r>
      <w:r>
        <w:rPr>
          <w:spacing w:val="-45"/>
          <w:highlight w:val="none"/>
        </w:rPr>
        <w:t xml:space="preserve"> </w:t>
      </w:r>
      <w:r>
        <w:rPr>
          <w:rFonts w:eastAsia="Times New Roman"/>
          <w:spacing w:val="-1"/>
          <w:highlight w:val="none"/>
        </w:rPr>
        <w:t xml:space="preserve">64 </w:t>
      </w:r>
      <w:r>
        <w:rPr>
          <w:spacing w:val="-1"/>
          <w:highlight w:val="none"/>
        </w:rPr>
        <w:t>像素距离的区域，作为文字信息标注区</w:t>
      </w:r>
      <w:r>
        <w:rPr>
          <w:highlight w:val="none"/>
        </w:rPr>
        <w:t xml:space="preserve"> </w:t>
      </w:r>
      <w:r>
        <w:rPr>
          <w:spacing w:val="-2"/>
          <w:highlight w:val="none"/>
        </w:rPr>
        <w:t>域。标注区域内分四个信息标注区域，如下：</w:t>
      </w:r>
    </w:p>
    <w:p>
      <w:pPr>
        <w:pStyle w:val="2"/>
        <w:spacing w:before="51" w:line="220" w:lineRule="auto"/>
        <w:ind w:left="858"/>
        <w:rPr>
          <w:highlight w:val="none"/>
        </w:rPr>
      </w:pPr>
      <w:r>
        <w:rPr>
          <w:rFonts w:eastAsia="Times New Roman"/>
          <w:spacing w:val="-2"/>
          <w:highlight w:val="none"/>
        </w:rPr>
        <w:t>1</w:t>
      </w:r>
      <w:r>
        <w:rPr>
          <w:spacing w:val="-2"/>
          <w:highlight w:val="none"/>
        </w:rPr>
        <w:t>）左上角区域：信息字符串头与标注区域上边左边对齐。</w:t>
      </w:r>
    </w:p>
    <w:p>
      <w:pPr>
        <w:pStyle w:val="2"/>
        <w:spacing w:before="105" w:line="220" w:lineRule="auto"/>
        <w:ind w:left="837"/>
        <w:rPr>
          <w:highlight w:val="none"/>
        </w:rPr>
      </w:pPr>
      <w:r>
        <w:rPr>
          <w:rFonts w:eastAsia="Times New Roman"/>
          <w:highlight w:val="none"/>
        </w:rPr>
        <w:t>2</w:t>
      </w:r>
      <w:r>
        <w:rPr>
          <w:highlight w:val="none"/>
        </w:rPr>
        <w:t>）左下角区域：信息字符串头与标注区域下边左边对</w:t>
      </w:r>
      <w:r>
        <w:rPr>
          <w:spacing w:val="-1"/>
          <w:highlight w:val="none"/>
        </w:rPr>
        <w:t>齐。</w:t>
      </w:r>
    </w:p>
    <w:p>
      <w:pPr>
        <w:pStyle w:val="2"/>
        <w:spacing w:before="103" w:line="220" w:lineRule="auto"/>
        <w:ind w:left="842"/>
        <w:rPr>
          <w:highlight w:val="none"/>
        </w:rPr>
      </w:pPr>
      <w:r>
        <w:rPr>
          <w:rFonts w:eastAsia="Times New Roman"/>
          <w:highlight w:val="none"/>
        </w:rPr>
        <w:t>3</w:t>
      </w:r>
      <w:r>
        <w:rPr>
          <w:highlight w:val="none"/>
        </w:rPr>
        <w:t>）右上角区域：信息字符串尾与标注区域上</w:t>
      </w:r>
      <w:r>
        <w:rPr>
          <w:spacing w:val="-1"/>
          <w:highlight w:val="none"/>
        </w:rPr>
        <w:t>边右边对齐。</w:t>
      </w:r>
    </w:p>
    <w:p>
      <w:pPr>
        <w:pStyle w:val="2"/>
        <w:spacing w:before="106" w:line="272" w:lineRule="auto"/>
        <w:ind w:left="413" w:right="3189" w:firstLine="423"/>
        <w:rPr>
          <w:spacing w:val="-4"/>
          <w:highlight w:val="none"/>
        </w:rPr>
      </w:pPr>
      <w:r>
        <w:rPr>
          <w:rFonts w:eastAsia="Times New Roman"/>
          <w:spacing w:val="-1"/>
          <w:highlight w:val="none"/>
        </w:rPr>
        <w:t>4</w:t>
      </w:r>
      <w:r>
        <w:rPr>
          <w:spacing w:val="-1"/>
          <w:highlight w:val="none"/>
        </w:rPr>
        <w:t>）右下角区域：信息字符串尾与标注区域下边</w:t>
      </w:r>
      <w:r>
        <w:rPr>
          <w:spacing w:val="-2"/>
          <w:highlight w:val="none"/>
        </w:rPr>
        <w:t>右边对齐。</w:t>
      </w:r>
      <w:r>
        <w:rPr>
          <w:highlight w:val="none"/>
        </w:rPr>
        <w:t xml:space="preserve"> </w:t>
      </w:r>
      <w:r>
        <w:rPr>
          <w:rFonts w:eastAsia="Times New Roman"/>
          <w:spacing w:val="-4"/>
          <w:highlight w:val="none"/>
        </w:rPr>
        <w:t>b</w:t>
      </w:r>
      <w:r>
        <w:rPr>
          <w:spacing w:val="-4"/>
          <w:highlight w:val="none"/>
        </w:rPr>
        <w:t>）标注内容：</w:t>
      </w:r>
    </w:p>
    <w:p>
      <w:pPr>
        <w:pStyle w:val="2"/>
        <w:spacing w:before="42" w:line="266" w:lineRule="auto"/>
        <w:ind w:left="644" w:right="62" w:firstLine="221"/>
        <w:rPr>
          <w:rFonts w:eastAsia="Times New Roman"/>
          <w:highlight w:val="none"/>
        </w:rPr>
      </w:pPr>
      <w:r>
        <w:rPr>
          <w:rFonts w:eastAsia="Times New Roman"/>
          <w:spacing w:val="-1"/>
          <w:highlight w:val="none"/>
        </w:rPr>
        <w:t>1</w:t>
      </w:r>
      <w:r>
        <w:rPr>
          <w:spacing w:val="-1"/>
          <w:highlight w:val="none"/>
        </w:rPr>
        <w:t>）左上角区域标注地点、设备等主要信息，每行不超过</w:t>
      </w:r>
      <w:r>
        <w:rPr>
          <w:spacing w:val="-33"/>
          <w:highlight w:val="none"/>
        </w:rPr>
        <w:t xml:space="preserve"> </w:t>
      </w:r>
      <w:r>
        <w:rPr>
          <w:rFonts w:eastAsia="Times New Roman"/>
          <w:spacing w:val="-1"/>
          <w:highlight w:val="none"/>
        </w:rPr>
        <w:t xml:space="preserve">26 </w:t>
      </w:r>
      <w:r>
        <w:rPr>
          <w:spacing w:val="-1"/>
          <w:highlight w:val="none"/>
        </w:rPr>
        <w:t>个汉字，最多两行信息。只有一</w:t>
      </w:r>
      <w:r>
        <w:rPr>
          <w:highlight w:val="none"/>
        </w:rPr>
        <w:t xml:space="preserve"> </w:t>
      </w:r>
      <w:r>
        <w:rPr>
          <w:spacing w:val="-3"/>
          <w:highlight w:val="none"/>
        </w:rPr>
        <w:t>行信息则优先标注靠上边缘的行。标注内容符合本技术要求中</w:t>
      </w:r>
      <w:r>
        <w:rPr>
          <w:spacing w:val="-4"/>
          <w:highlight w:val="none"/>
        </w:rPr>
        <w:t>的“</w:t>
      </w:r>
      <w:r>
        <w:rPr>
          <w:rFonts w:eastAsia="Times New Roman"/>
          <w:spacing w:val="-4"/>
          <w:highlight w:val="none"/>
        </w:rPr>
        <w:t>3</w:t>
      </w:r>
      <w:r>
        <w:rPr>
          <w:rFonts w:eastAsia="Times New Roman"/>
          <w:spacing w:val="14"/>
          <w:highlight w:val="none"/>
        </w:rPr>
        <w:t xml:space="preserve">  </w:t>
      </w:r>
      <w:r>
        <w:rPr>
          <w:spacing w:val="-4"/>
          <w:highlight w:val="none"/>
        </w:rPr>
        <w:t>固定视频标注内容”“</w:t>
      </w:r>
      <w:r>
        <w:rPr>
          <w:rFonts w:eastAsia="Times New Roman"/>
          <w:spacing w:val="-4"/>
          <w:highlight w:val="none"/>
        </w:rPr>
        <w:t>4</w:t>
      </w:r>
    </w:p>
    <w:p>
      <w:pPr>
        <w:pStyle w:val="2"/>
        <w:spacing w:before="104" w:line="221" w:lineRule="auto"/>
        <w:ind w:left="642"/>
        <w:rPr>
          <w:highlight w:val="none"/>
        </w:rPr>
      </w:pPr>
      <w:r>
        <w:rPr>
          <w:spacing w:val="-1"/>
          <w:highlight w:val="none"/>
        </w:rPr>
        <w:t>移动视频标注内容”。</w:t>
      </w:r>
    </w:p>
    <w:p>
      <w:pPr>
        <w:pStyle w:val="2"/>
        <w:spacing w:before="101" w:line="281" w:lineRule="auto"/>
        <w:ind w:left="642" w:right="62" w:firstLine="204"/>
        <w:rPr>
          <w:highlight w:val="none"/>
        </w:rPr>
      </w:pPr>
      <w:r>
        <w:rPr>
          <w:rFonts w:eastAsia="Times New Roman"/>
          <w:highlight w:val="none"/>
        </w:rPr>
        <w:t>2</w:t>
      </w:r>
      <w:r>
        <w:rPr>
          <w:highlight w:val="none"/>
        </w:rPr>
        <w:t>）左下角区域标注预留信息，每行不超过</w:t>
      </w:r>
      <w:r>
        <w:rPr>
          <w:spacing w:val="-47"/>
          <w:highlight w:val="none"/>
        </w:rPr>
        <w:t xml:space="preserve"> </w:t>
      </w:r>
      <w:r>
        <w:rPr>
          <w:rFonts w:eastAsia="Times New Roman"/>
          <w:highlight w:val="none"/>
        </w:rPr>
        <w:t xml:space="preserve">26 </w:t>
      </w:r>
      <w:r>
        <w:rPr>
          <w:highlight w:val="none"/>
        </w:rPr>
        <w:t>个汉字，最多两行信息。只有</w:t>
      </w:r>
      <w:r>
        <w:rPr>
          <w:spacing w:val="-1"/>
          <w:highlight w:val="none"/>
        </w:rPr>
        <w:t>一行信息则优先</w:t>
      </w:r>
      <w:r>
        <w:rPr>
          <w:highlight w:val="none"/>
        </w:rPr>
        <w:t xml:space="preserve"> </w:t>
      </w:r>
      <w:r>
        <w:rPr>
          <w:spacing w:val="-3"/>
          <w:highlight w:val="none"/>
        </w:rPr>
        <w:t>标注靠下边缘的行。标注内容符合本技术要求中的“</w:t>
      </w:r>
      <w:r>
        <w:rPr>
          <w:rFonts w:eastAsia="Times New Roman"/>
          <w:spacing w:val="-3"/>
          <w:highlight w:val="none"/>
        </w:rPr>
        <w:t>3</w:t>
      </w:r>
      <w:r>
        <w:rPr>
          <w:rFonts w:eastAsia="Times New Roman"/>
          <w:spacing w:val="13"/>
          <w:w w:val="101"/>
          <w:highlight w:val="none"/>
        </w:rPr>
        <w:t xml:space="preserve">  </w:t>
      </w:r>
      <w:r>
        <w:rPr>
          <w:spacing w:val="-3"/>
          <w:highlight w:val="none"/>
        </w:rPr>
        <w:t>固定视频标注内容”“</w:t>
      </w:r>
      <w:r>
        <w:rPr>
          <w:rFonts w:eastAsia="Times New Roman"/>
          <w:spacing w:val="-3"/>
          <w:highlight w:val="none"/>
        </w:rPr>
        <w:t xml:space="preserve">4 </w:t>
      </w:r>
      <w:r>
        <w:rPr>
          <w:rFonts w:eastAsia="Times New Roman"/>
          <w:spacing w:val="-4"/>
          <w:highlight w:val="none"/>
        </w:rPr>
        <w:t xml:space="preserve"> </w:t>
      </w:r>
      <w:r>
        <w:rPr>
          <w:spacing w:val="-4"/>
          <w:highlight w:val="none"/>
        </w:rPr>
        <w:t>移动视频标注</w:t>
      </w:r>
      <w:r>
        <w:rPr>
          <w:highlight w:val="none"/>
        </w:rPr>
        <w:t xml:space="preserve">  </w:t>
      </w:r>
      <w:r>
        <w:rPr>
          <w:spacing w:val="-2"/>
          <w:highlight w:val="none"/>
        </w:rPr>
        <w:t>内容”。</w:t>
      </w:r>
    </w:p>
    <w:p>
      <w:pPr>
        <w:pStyle w:val="2"/>
        <w:spacing w:before="105" w:line="265" w:lineRule="auto"/>
        <w:ind w:left="641" w:right="177" w:firstLine="209"/>
        <w:rPr>
          <w:highlight w:val="none"/>
        </w:rPr>
      </w:pPr>
      <w:r>
        <w:rPr>
          <w:rFonts w:eastAsia="Times New Roman"/>
          <w:highlight w:val="none"/>
        </w:rPr>
        <w:t>3</w:t>
      </w:r>
      <w:r>
        <w:rPr>
          <w:highlight w:val="none"/>
        </w:rPr>
        <w:t>）右上角区域标注时间信息，符合《</w:t>
      </w:r>
      <w:r>
        <w:rPr>
          <w:rFonts w:eastAsia="Times New Roman"/>
          <w:highlight w:val="none"/>
        </w:rPr>
        <w:t xml:space="preserve">JTT1389.1-2021 </w:t>
      </w:r>
      <w:r>
        <w:rPr>
          <w:highlight w:val="none"/>
        </w:rPr>
        <w:t>交通运输视频图像文字信</w:t>
      </w:r>
      <w:r>
        <w:rPr>
          <w:spacing w:val="-1"/>
          <w:highlight w:val="none"/>
        </w:rPr>
        <w:t>息标注规范</w:t>
      </w:r>
      <w:r>
        <w:rPr>
          <w:highlight w:val="none"/>
        </w:rPr>
        <w:t xml:space="preserve"> </w:t>
      </w:r>
      <w:r>
        <w:rPr>
          <w:spacing w:val="-18"/>
          <w:highlight w:val="none"/>
        </w:rPr>
        <w:t>第</w:t>
      </w:r>
      <w:r>
        <w:rPr>
          <w:spacing w:val="-23"/>
          <w:highlight w:val="none"/>
        </w:rPr>
        <w:t xml:space="preserve"> </w:t>
      </w:r>
      <w:r>
        <w:rPr>
          <w:rFonts w:eastAsia="Times New Roman"/>
          <w:spacing w:val="-18"/>
          <w:highlight w:val="none"/>
        </w:rPr>
        <w:t>1</w:t>
      </w:r>
      <w:r>
        <w:rPr>
          <w:rFonts w:eastAsia="Times New Roman"/>
          <w:spacing w:val="11"/>
          <w:highlight w:val="none"/>
        </w:rPr>
        <w:t xml:space="preserve"> </w:t>
      </w:r>
      <w:r>
        <w:rPr>
          <w:spacing w:val="-18"/>
          <w:highlight w:val="none"/>
        </w:rPr>
        <w:t>部分：总则》。</w:t>
      </w:r>
    </w:p>
    <w:p>
      <w:pPr>
        <w:pStyle w:val="2"/>
        <w:spacing w:before="104" w:line="265" w:lineRule="auto"/>
        <w:ind w:left="866" w:right="616" w:hanging="21"/>
        <w:rPr>
          <w:rFonts w:hint="eastAsia" w:ascii="方正楷体_GBK" w:hAnsi="方正楷体_GBK" w:eastAsia="方正楷体_GBK" w:cs="方正楷体_GBK"/>
          <w:highlight w:val="none"/>
        </w:rPr>
      </w:pPr>
      <w:r>
        <w:rPr>
          <w:rFonts w:eastAsia="Times New Roman"/>
          <w:spacing w:val="-1"/>
          <w:highlight w:val="none"/>
        </w:rPr>
        <w:t>4</w:t>
      </w:r>
      <w:r>
        <w:rPr>
          <w:spacing w:val="-1"/>
          <w:highlight w:val="none"/>
        </w:rPr>
        <w:t>）右下角区域标注当前摄像机所处的经纬度信息，经纬度按度计，精确到</w:t>
      </w:r>
      <w:r>
        <w:rPr>
          <w:spacing w:val="-43"/>
          <w:highlight w:val="none"/>
        </w:rPr>
        <w:t xml:space="preserve"> </w:t>
      </w:r>
      <w:r>
        <w:rPr>
          <w:rFonts w:eastAsia="Times New Roman"/>
          <w:spacing w:val="-1"/>
          <w:highlight w:val="none"/>
        </w:rPr>
        <w:t xml:space="preserve">6 </w:t>
      </w:r>
      <w:r>
        <w:rPr>
          <w:spacing w:val="-1"/>
          <w:highlight w:val="none"/>
        </w:rPr>
        <w:t>位小数。</w:t>
      </w:r>
      <w:r>
        <w:rPr>
          <w:highlight w:val="none"/>
        </w:rPr>
        <w:t xml:space="preserve"> </w:t>
      </w:r>
      <w:r>
        <w:rPr>
          <w:rFonts w:ascii="方正楷体_GBK" w:hAnsi="方正楷体_GBK" w:eastAsia="方正楷体_GBK" w:cs="方正楷体_GBK"/>
          <w:spacing w:val="-2"/>
          <w:highlight w:val="none"/>
        </w:rPr>
        <w:t>东经</w:t>
      </w:r>
      <w:r>
        <w:rPr>
          <w:rFonts w:ascii="方正楷体_GBK" w:hAnsi="方正楷体_GBK" w:eastAsia="方正楷体_GBK" w:cs="方正楷体_GBK"/>
          <w:spacing w:val="27"/>
          <w:highlight w:val="none"/>
        </w:rPr>
        <w:t xml:space="preserve"> </w:t>
      </w:r>
      <w:r>
        <w:rPr>
          <w:rFonts w:ascii="方正楷体_GBK" w:hAnsi="方正楷体_GBK" w:eastAsia="方正楷体_GBK" w:cs="方正楷体_GBK"/>
          <w:spacing w:val="-2"/>
          <w:highlight w:val="none"/>
        </w:rPr>
        <w:t>106.583541°北纬 29.563475°的示例：106.583541E,29.563475N</w:t>
      </w:r>
    </w:p>
    <w:p>
      <w:pPr>
        <w:pStyle w:val="2"/>
        <w:spacing w:before="93" w:line="234" w:lineRule="auto"/>
        <w:ind w:left="419"/>
        <w:rPr>
          <w:highlight w:val="none"/>
        </w:rPr>
      </w:pPr>
      <w:r>
        <w:rPr>
          <w:rFonts w:eastAsia="Times New Roman"/>
          <w:highlight w:val="none"/>
        </w:rPr>
        <w:t>c</w:t>
      </w:r>
      <w:r>
        <w:rPr>
          <w:highlight w:val="none"/>
        </w:rPr>
        <w:t>）间隔符号：标注内容的字段间用符号“</w:t>
      </w:r>
      <w:r>
        <w:rPr>
          <w:rFonts w:eastAsia="Times New Roman"/>
          <w:highlight w:val="none"/>
        </w:rPr>
        <w:t>-</w:t>
      </w:r>
      <w:r>
        <w:rPr>
          <w:highlight w:val="none"/>
        </w:rPr>
        <w:t>”分</w:t>
      </w:r>
      <w:r>
        <w:rPr>
          <w:spacing w:val="-1"/>
          <w:highlight w:val="none"/>
        </w:rPr>
        <w:t>隔，字段内标注内容分层可用“</w:t>
      </w:r>
      <w:r>
        <w:rPr>
          <w:rFonts w:eastAsia="Times New Roman"/>
          <w:spacing w:val="-1"/>
          <w:highlight w:val="none"/>
        </w:rPr>
        <w:t>/</w:t>
      </w:r>
      <w:r>
        <w:rPr>
          <w:spacing w:val="-1"/>
          <w:highlight w:val="none"/>
        </w:rPr>
        <w:t>”分隔。</w:t>
      </w:r>
    </w:p>
    <w:p>
      <w:pPr>
        <w:spacing w:line="256"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spacing w:val="-3"/>
          <w:highlight w:val="none"/>
        </w:rPr>
        <w:t>3</w:t>
      </w:r>
      <w:r>
        <w:rPr>
          <w:rFonts w:ascii="黑体" w:hAnsi="黑体" w:eastAsia="黑体" w:cs="黑体"/>
          <w:spacing w:val="7"/>
          <w:highlight w:val="none"/>
        </w:rPr>
        <w:t xml:space="preserve">   </w:t>
      </w:r>
      <w:r>
        <w:rPr>
          <w:rFonts w:ascii="黑体" w:hAnsi="黑体" w:eastAsia="黑体" w:cs="黑体"/>
          <w:spacing w:val="-3"/>
          <w:highlight w:val="none"/>
        </w:rPr>
        <w:t>固定视频标注内容</w:t>
      </w:r>
    </w:p>
    <w:p>
      <w:pPr>
        <w:spacing w:before="262" w:line="221" w:lineRule="auto"/>
        <w:rPr>
          <w:rFonts w:hint="eastAsia" w:ascii="黑体" w:hAnsi="黑体" w:eastAsia="黑体" w:cs="黑体"/>
          <w:highlight w:val="none"/>
        </w:rPr>
      </w:pPr>
      <w:r>
        <w:rPr>
          <w:rFonts w:ascii="黑体" w:hAnsi="黑体" w:eastAsia="黑体" w:cs="黑体"/>
          <w:spacing w:val="-3"/>
          <w:highlight w:val="none"/>
        </w:rPr>
        <w:t>3.1</w:t>
      </w:r>
      <w:r>
        <w:rPr>
          <w:rFonts w:ascii="黑体" w:hAnsi="黑体" w:eastAsia="黑体" w:cs="黑体"/>
          <w:spacing w:val="15"/>
          <w:highlight w:val="none"/>
        </w:rPr>
        <w:t xml:space="preserve"> </w:t>
      </w:r>
      <w:r>
        <w:rPr>
          <w:rFonts w:ascii="黑体" w:hAnsi="黑体" w:eastAsia="黑体" w:cs="黑体"/>
          <w:spacing w:val="-3"/>
          <w:highlight w:val="none"/>
        </w:rPr>
        <w:t>基本格式</w:t>
      </w:r>
    </w:p>
    <w:p>
      <w:pPr>
        <w:pStyle w:val="2"/>
        <w:spacing w:before="264" w:line="234" w:lineRule="auto"/>
        <w:ind w:left="419"/>
        <w:rPr>
          <w:highlight w:val="none"/>
        </w:rPr>
      </w:pPr>
      <w:r>
        <w:rPr>
          <w:rFonts w:eastAsia="Times New Roman"/>
          <w:spacing w:val="-1"/>
          <w:highlight w:val="none"/>
        </w:rPr>
        <w:t>a</w:t>
      </w:r>
      <w:r>
        <w:rPr>
          <w:spacing w:val="-1"/>
          <w:highlight w:val="none"/>
        </w:rPr>
        <w:t>）固定视频左上角区域</w:t>
      </w:r>
    </w:p>
    <w:p>
      <w:pPr>
        <w:pStyle w:val="2"/>
        <w:spacing w:before="86" w:line="220" w:lineRule="auto"/>
        <w:ind w:left="420"/>
        <w:rPr>
          <w:highlight w:val="none"/>
        </w:rPr>
      </w:pPr>
      <w:r>
        <w:rPr>
          <w:spacing w:val="-2"/>
          <w:highlight w:val="none"/>
        </w:rPr>
        <w:t>第一行格式：重庆</w:t>
      </w:r>
      <w:r>
        <w:rPr>
          <w:rFonts w:eastAsia="Times New Roman"/>
          <w:spacing w:val="-2"/>
          <w:highlight w:val="none"/>
        </w:rPr>
        <w:t>-</w:t>
      </w:r>
      <w:r>
        <w:rPr>
          <w:spacing w:val="-2"/>
          <w:highlight w:val="none"/>
        </w:rPr>
        <w:t>高速公路编号及名称简称</w:t>
      </w:r>
      <w:r>
        <w:rPr>
          <w:rFonts w:eastAsia="Times New Roman"/>
          <w:spacing w:val="-2"/>
          <w:highlight w:val="none"/>
        </w:rPr>
        <w:t>-</w:t>
      </w:r>
      <w:r>
        <w:rPr>
          <w:spacing w:val="-2"/>
          <w:highlight w:val="none"/>
        </w:rPr>
        <w:t>地点场景名称</w:t>
      </w:r>
      <w:r>
        <w:rPr>
          <w:rFonts w:eastAsia="Times New Roman"/>
          <w:spacing w:val="-2"/>
          <w:highlight w:val="none"/>
        </w:rPr>
        <w:t>-</w:t>
      </w:r>
      <w:r>
        <w:rPr>
          <w:spacing w:val="-2"/>
          <w:highlight w:val="none"/>
        </w:rPr>
        <w:t>监控场景名称（若有</w:t>
      </w:r>
      <w:r>
        <w:rPr>
          <w:spacing w:val="-25"/>
          <w:highlight w:val="none"/>
        </w:rPr>
        <w:t>）；</w:t>
      </w:r>
    </w:p>
    <w:p>
      <w:pPr>
        <w:pStyle w:val="2"/>
        <w:spacing w:before="106" w:line="296" w:lineRule="auto"/>
        <w:ind w:firstLine="420"/>
        <w:rPr>
          <w:highlight w:val="none"/>
        </w:rPr>
      </w:pPr>
      <w:r>
        <w:rPr>
          <w:highlight w:val="none"/>
        </w:rPr>
        <w:t>第二行格式：摄像机位置</w:t>
      </w:r>
      <w:r>
        <w:rPr>
          <w:rFonts w:eastAsia="Times New Roman"/>
          <w:highlight w:val="none"/>
        </w:rPr>
        <w:t>-</w:t>
      </w:r>
      <w:r>
        <w:rPr>
          <w:highlight w:val="none"/>
        </w:rPr>
        <w:t>摄像机编号（若有）</w:t>
      </w:r>
      <w:r>
        <w:rPr>
          <w:rFonts w:eastAsia="Times New Roman"/>
          <w:highlight w:val="none"/>
        </w:rPr>
        <w:t>-</w:t>
      </w:r>
      <w:r>
        <w:rPr>
          <w:highlight w:val="none"/>
        </w:rPr>
        <w:t>公路路线方向（若有）</w:t>
      </w:r>
      <w:r>
        <w:rPr>
          <w:rFonts w:eastAsia="Times New Roman"/>
          <w:highlight w:val="none"/>
        </w:rPr>
        <w:t>-</w:t>
      </w:r>
      <w:r>
        <w:rPr>
          <w:highlight w:val="none"/>
        </w:rPr>
        <w:t>公路路线走向（若</w:t>
      </w:r>
      <w:r>
        <w:rPr>
          <w:spacing w:val="-1"/>
          <w:highlight w:val="none"/>
        </w:rPr>
        <w:t>有）</w:t>
      </w:r>
      <w:r>
        <w:rPr>
          <w:rFonts w:eastAsia="Times New Roman"/>
          <w:spacing w:val="-1"/>
          <w:highlight w:val="none"/>
        </w:rPr>
        <w:t>-</w:t>
      </w:r>
      <w:r>
        <w:rPr>
          <w:spacing w:val="-1"/>
          <w:highlight w:val="none"/>
        </w:rPr>
        <w:t>摄</w:t>
      </w:r>
      <w:r>
        <w:rPr>
          <w:highlight w:val="none"/>
        </w:rPr>
        <w:t xml:space="preserve"> </w:t>
      </w:r>
      <w:r>
        <w:rPr>
          <w:spacing w:val="-14"/>
          <w:highlight w:val="none"/>
        </w:rPr>
        <w:t>像机属性（若有）。</w:t>
      </w:r>
    </w:p>
    <w:p>
      <w:pPr>
        <w:pStyle w:val="2"/>
        <w:spacing w:before="34" w:line="297" w:lineRule="auto"/>
        <w:ind w:right="81" w:firstLine="420"/>
        <w:rPr>
          <w:highlight w:val="none"/>
        </w:rPr>
      </w:pPr>
      <w:r>
        <w:rPr>
          <w:highlight w:val="none"/>
        </w:rPr>
        <w:t>摄像机位置、摄像机编号、公路路线方向、公路路线走向符合《</w:t>
      </w:r>
      <w:r>
        <w:rPr>
          <w:rFonts w:eastAsia="Times New Roman"/>
          <w:highlight w:val="none"/>
        </w:rPr>
        <w:t xml:space="preserve">JTT1389.2-2021 </w:t>
      </w:r>
      <w:r>
        <w:rPr>
          <w:highlight w:val="none"/>
        </w:rPr>
        <w:t>交通运输</w:t>
      </w:r>
      <w:r>
        <w:rPr>
          <w:spacing w:val="-1"/>
          <w:highlight w:val="none"/>
        </w:rPr>
        <w:t>视频图</w:t>
      </w:r>
      <w:r>
        <w:rPr>
          <w:highlight w:val="none"/>
        </w:rPr>
        <w:t xml:space="preserve"> </w:t>
      </w:r>
      <w:r>
        <w:rPr>
          <w:spacing w:val="-1"/>
          <w:highlight w:val="none"/>
        </w:rPr>
        <w:t>像文字信息标注规范 第</w:t>
      </w:r>
      <w:r>
        <w:rPr>
          <w:spacing w:val="-51"/>
          <w:highlight w:val="none"/>
        </w:rPr>
        <w:t xml:space="preserve"> </w:t>
      </w:r>
      <w:r>
        <w:rPr>
          <w:rFonts w:eastAsia="Times New Roman"/>
          <w:spacing w:val="-1"/>
          <w:highlight w:val="none"/>
        </w:rPr>
        <w:t xml:space="preserve">2 </w:t>
      </w:r>
      <w:r>
        <w:rPr>
          <w:spacing w:val="-1"/>
          <w:highlight w:val="none"/>
        </w:rPr>
        <w:t>部分：高速公路》的相关规定。</w:t>
      </w:r>
    </w:p>
    <w:p>
      <w:pPr>
        <w:pStyle w:val="2"/>
        <w:spacing w:before="33" w:line="297" w:lineRule="auto"/>
        <w:ind w:left="6" w:right="275" w:firstLine="420"/>
        <w:rPr>
          <w:highlight w:val="none"/>
        </w:rPr>
      </w:pPr>
      <w:r>
        <w:rPr>
          <w:highlight w:val="none"/>
        </w:rPr>
        <w:t>公路路线方向：依据视频点位位置确定，</w:t>
      </w:r>
      <w:r>
        <w:rPr>
          <w:b/>
          <w:bCs/>
          <w:highlight w:val="none"/>
        </w:rPr>
        <w:t>上行</w:t>
      </w:r>
      <w:r>
        <w:rPr>
          <w:highlight w:val="none"/>
        </w:rPr>
        <w:t>为桩号递增（</w:t>
      </w:r>
      <w:r>
        <w:rPr>
          <w:spacing w:val="-1"/>
          <w:highlight w:val="none"/>
        </w:rPr>
        <w:t>由小到大）方向，</w:t>
      </w:r>
      <w:r>
        <w:rPr>
          <w:b/>
          <w:bCs/>
          <w:spacing w:val="-1"/>
          <w:highlight w:val="none"/>
        </w:rPr>
        <w:t>下行</w:t>
      </w:r>
      <w:r>
        <w:rPr>
          <w:spacing w:val="-1"/>
          <w:highlight w:val="none"/>
        </w:rPr>
        <w:t>为桩号递减</w:t>
      </w:r>
      <w:r>
        <w:rPr>
          <w:highlight w:val="none"/>
        </w:rPr>
        <w:t xml:space="preserve"> </w:t>
      </w:r>
      <w:r>
        <w:rPr>
          <w:spacing w:val="-1"/>
          <w:highlight w:val="none"/>
        </w:rPr>
        <w:t>（由大到小）方向；</w:t>
      </w:r>
      <w:r>
        <w:rPr>
          <w:b/>
          <w:bCs/>
          <w:spacing w:val="-1"/>
          <w:highlight w:val="none"/>
        </w:rPr>
        <w:t>双向</w:t>
      </w:r>
      <w:r>
        <w:rPr>
          <w:spacing w:val="-1"/>
          <w:highlight w:val="none"/>
        </w:rPr>
        <w:t>为上下行的中间。</w:t>
      </w:r>
    </w:p>
    <w:p>
      <w:pPr>
        <w:pStyle w:val="2"/>
        <w:spacing w:before="31" w:line="297" w:lineRule="auto"/>
        <w:ind w:left="3" w:right="278" w:firstLine="423"/>
        <w:rPr>
          <w:highlight w:val="none"/>
        </w:rPr>
      </w:pPr>
      <w:r>
        <w:rPr>
          <w:highlight w:val="none"/>
        </w:rPr>
        <w:t>公路路线走向：由该视频所在道路的上行方向确定，包括：东、南、西、</w:t>
      </w:r>
      <w:r>
        <w:rPr>
          <w:spacing w:val="-1"/>
          <w:highlight w:val="none"/>
        </w:rPr>
        <w:t>北、东南、西南、西</w:t>
      </w:r>
      <w:r>
        <w:rPr>
          <w:highlight w:val="none"/>
        </w:rPr>
        <w:t xml:space="preserve"> </w:t>
      </w:r>
      <w:r>
        <w:rPr>
          <w:spacing w:val="-5"/>
          <w:highlight w:val="none"/>
        </w:rPr>
        <w:t>北、东北。</w:t>
      </w:r>
    </w:p>
    <w:p>
      <w:pPr>
        <w:pStyle w:val="2"/>
        <w:spacing w:before="33" w:line="234" w:lineRule="auto"/>
        <w:ind w:left="412"/>
        <w:rPr>
          <w:highlight w:val="none"/>
        </w:rPr>
      </w:pPr>
      <w:r>
        <w:rPr>
          <w:rFonts w:eastAsia="Times New Roman"/>
          <w:spacing w:val="-1"/>
          <w:highlight w:val="none"/>
        </w:rPr>
        <w:t>b</w:t>
      </w:r>
      <w:r>
        <w:rPr>
          <w:spacing w:val="-1"/>
          <w:highlight w:val="none"/>
        </w:rPr>
        <w:t>）固定视频左下角区域</w:t>
      </w:r>
    </w:p>
    <w:p>
      <w:pPr>
        <w:pStyle w:val="2"/>
        <w:spacing w:before="87" w:line="221" w:lineRule="auto"/>
        <w:ind w:left="420"/>
        <w:rPr>
          <w:highlight w:val="none"/>
        </w:rPr>
      </w:pPr>
      <w:r>
        <w:rPr>
          <w:spacing w:val="-2"/>
          <w:highlight w:val="none"/>
        </w:rPr>
        <w:t>格式：用途标签</w:t>
      </w:r>
      <w:r>
        <w:rPr>
          <w:rFonts w:eastAsia="Times New Roman"/>
          <w:spacing w:val="-2"/>
          <w:highlight w:val="none"/>
        </w:rPr>
        <w:t>-</w:t>
      </w:r>
      <w:r>
        <w:rPr>
          <w:spacing w:val="-2"/>
          <w:highlight w:val="none"/>
        </w:rPr>
        <w:t>管理单位信息。</w:t>
      </w:r>
    </w:p>
    <w:p>
      <w:pPr>
        <w:spacing w:line="272" w:lineRule="auto"/>
        <w:rPr>
          <w:rFonts w:ascii="Arial"/>
          <w:highlight w:val="none"/>
        </w:rPr>
      </w:pPr>
    </w:p>
    <w:p>
      <w:pPr>
        <w:spacing w:before="68" w:line="219" w:lineRule="auto"/>
        <w:rPr>
          <w:rFonts w:hint="eastAsia" w:ascii="黑体" w:hAnsi="黑体" w:eastAsia="黑体" w:cs="黑体"/>
          <w:highlight w:val="none"/>
        </w:rPr>
      </w:pPr>
      <w:r>
        <w:rPr>
          <w:rFonts w:ascii="黑体" w:hAnsi="黑体" w:eastAsia="黑体" w:cs="黑体"/>
          <w:spacing w:val="-1"/>
          <w:highlight w:val="none"/>
        </w:rPr>
        <w:t>3.2 高速公路编号及名称简称</w:t>
      </w:r>
    </w:p>
    <w:p>
      <w:pPr>
        <w:pStyle w:val="2"/>
        <w:spacing w:before="266" w:line="298" w:lineRule="auto"/>
        <w:ind w:right="417" w:firstLine="425"/>
        <w:rPr>
          <w:highlight w:val="none"/>
        </w:rPr>
      </w:pPr>
      <w:r>
        <w:rPr>
          <w:highlight w:val="none"/>
        </w:rPr>
        <w:t>高速公路编号及名称简称：参照《重庆市高速公路网命名、编号和里程编排方案（</w:t>
      </w:r>
      <w:r>
        <w:rPr>
          <w:rFonts w:eastAsia="Times New Roman"/>
          <w:highlight w:val="none"/>
        </w:rPr>
        <w:t>20</w:t>
      </w:r>
      <w:r>
        <w:rPr>
          <w:rFonts w:eastAsia="Times New Roman"/>
          <w:spacing w:val="-1"/>
          <w:highlight w:val="none"/>
        </w:rPr>
        <w:t>21-2035</w:t>
      </w:r>
      <w:r>
        <w:rPr>
          <w:rFonts w:eastAsia="Times New Roman"/>
          <w:highlight w:val="none"/>
        </w:rPr>
        <w:t xml:space="preserve"> </w:t>
      </w:r>
      <w:r>
        <w:rPr>
          <w:spacing w:val="-16"/>
          <w:highlight w:val="none"/>
        </w:rPr>
        <w:t>年</w:t>
      </w:r>
      <w:r>
        <w:rPr>
          <w:spacing w:val="-40"/>
          <w:highlight w:val="none"/>
        </w:rPr>
        <w:t>）（</w:t>
      </w:r>
      <w:r>
        <w:rPr>
          <w:spacing w:val="-16"/>
          <w:highlight w:val="none"/>
        </w:rPr>
        <w:t>暂行）》，简称宜不超过</w:t>
      </w:r>
      <w:r>
        <w:rPr>
          <w:spacing w:val="-47"/>
          <w:highlight w:val="none"/>
        </w:rPr>
        <w:t xml:space="preserve"> </w:t>
      </w:r>
      <w:r>
        <w:rPr>
          <w:rFonts w:eastAsia="Times New Roman"/>
          <w:spacing w:val="-16"/>
          <w:highlight w:val="none"/>
        </w:rPr>
        <w:t>4</w:t>
      </w:r>
      <w:r>
        <w:rPr>
          <w:rFonts w:eastAsia="Times New Roman"/>
          <w:spacing w:val="8"/>
          <w:highlight w:val="none"/>
        </w:rPr>
        <w:t xml:space="preserve"> </w:t>
      </w:r>
      <w:r>
        <w:rPr>
          <w:spacing w:val="-16"/>
          <w:highlight w:val="none"/>
        </w:rPr>
        <w:t>个汉字。</w:t>
      </w:r>
    </w:p>
    <w:p>
      <w:pPr>
        <w:spacing w:before="30" w:line="231" w:lineRule="auto"/>
        <w:ind w:left="42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示例：G5001</w:t>
      </w:r>
      <w:r>
        <w:rPr>
          <w:rFonts w:ascii="方正楷体_GBK" w:hAnsi="方正楷体_GBK" w:eastAsia="方正楷体_GBK" w:cs="方正楷体_GBK"/>
          <w:spacing w:val="27"/>
          <w:w w:val="101"/>
          <w:highlight w:val="none"/>
        </w:rPr>
        <w:t xml:space="preserve"> </w:t>
      </w:r>
      <w:r>
        <w:rPr>
          <w:rFonts w:ascii="方正楷体_GBK" w:hAnsi="方正楷体_GBK" w:eastAsia="方正楷体_GBK" w:cs="方正楷体_GBK"/>
          <w:spacing w:val="-2"/>
          <w:highlight w:val="none"/>
        </w:rPr>
        <w:t>重庆绕城、G85 银昆高速、S21</w:t>
      </w:r>
      <w:r>
        <w:rPr>
          <w:rFonts w:ascii="方正楷体_GBK" w:hAnsi="方正楷体_GBK" w:eastAsia="方正楷体_GBK" w:cs="方正楷体_GBK"/>
          <w:spacing w:val="27"/>
          <w:w w:val="101"/>
          <w:highlight w:val="none"/>
        </w:rPr>
        <w:t xml:space="preserve"> </w:t>
      </w:r>
      <w:r>
        <w:rPr>
          <w:rFonts w:ascii="方正楷体_GBK" w:hAnsi="方正楷体_GBK" w:eastAsia="方正楷体_GBK" w:cs="方正楷体_GBK"/>
          <w:spacing w:val="-2"/>
          <w:highlight w:val="none"/>
        </w:rPr>
        <w:t>秀松高速</w:t>
      </w:r>
    </w:p>
    <w:p>
      <w:pPr>
        <w:spacing w:line="251" w:lineRule="auto"/>
        <w:rPr>
          <w:rFonts w:ascii="Arial"/>
          <w:highlight w:val="none"/>
        </w:rPr>
      </w:pPr>
    </w:p>
    <w:p>
      <w:pPr>
        <w:spacing w:before="69" w:line="219" w:lineRule="auto"/>
        <w:rPr>
          <w:rFonts w:hint="eastAsia" w:ascii="黑体" w:hAnsi="黑体" w:eastAsia="黑体" w:cs="黑体"/>
          <w:highlight w:val="none"/>
        </w:rPr>
      </w:pPr>
      <w:r>
        <w:rPr>
          <w:rFonts w:ascii="黑体" w:hAnsi="黑体" w:eastAsia="黑体" w:cs="黑体"/>
          <w:spacing w:val="-1"/>
          <w:highlight w:val="none"/>
        </w:rPr>
        <w:t>3.3 地点场景名称</w:t>
      </w:r>
    </w:p>
    <w:p>
      <w:pPr>
        <w:pStyle w:val="2"/>
        <w:spacing w:before="266" w:line="234" w:lineRule="auto"/>
        <w:ind w:left="420"/>
        <w:rPr>
          <w:highlight w:val="none"/>
        </w:rPr>
      </w:pPr>
      <w:r>
        <w:rPr>
          <w:spacing w:val="-1"/>
          <w:highlight w:val="none"/>
        </w:rPr>
        <w:t>地点场景名称格式：路段名称简称</w:t>
      </w:r>
      <w:r>
        <w:rPr>
          <w:rFonts w:eastAsia="Times New Roman"/>
          <w:spacing w:val="-1"/>
          <w:highlight w:val="none"/>
        </w:rPr>
        <w:t>/</w:t>
      </w:r>
      <w:r>
        <w:rPr>
          <w:spacing w:val="-1"/>
          <w:highlight w:val="none"/>
        </w:rPr>
        <w:t>线路场景名称。</w:t>
      </w:r>
    </w:p>
    <w:p>
      <w:pPr>
        <w:pStyle w:val="2"/>
        <w:spacing w:before="87" w:line="234" w:lineRule="auto"/>
        <w:ind w:left="419"/>
        <w:rPr>
          <w:highlight w:val="none"/>
        </w:rPr>
      </w:pPr>
      <w:r>
        <w:rPr>
          <w:rFonts w:eastAsia="Times New Roman"/>
          <w:spacing w:val="-4"/>
          <w:highlight w:val="none"/>
        </w:rPr>
        <w:t>a</w:t>
      </w:r>
      <w:r>
        <w:rPr>
          <w:spacing w:val="-4"/>
          <w:highlight w:val="none"/>
        </w:rPr>
        <w:t>）路段名称简称：</w:t>
      </w:r>
    </w:p>
    <w:p>
      <w:pPr>
        <w:pStyle w:val="2"/>
        <w:spacing w:before="88" w:line="297" w:lineRule="auto"/>
        <w:ind w:left="846" w:right="2508" w:firstLine="20"/>
        <w:rPr>
          <w:highlight w:val="none"/>
        </w:rPr>
      </w:pPr>
      <w:r>
        <w:rPr>
          <w:rFonts w:eastAsia="Times New Roman"/>
          <w:spacing w:val="-2"/>
          <w:highlight w:val="none"/>
        </w:rPr>
        <w:t>1</w:t>
      </w:r>
      <w:r>
        <w:rPr>
          <w:spacing w:val="-2"/>
          <w:highlight w:val="none"/>
        </w:rPr>
        <w:t>）按建设营运管理实际路段名称命名，简称宜不超过</w:t>
      </w:r>
      <w:r>
        <w:rPr>
          <w:spacing w:val="-46"/>
          <w:highlight w:val="none"/>
        </w:rPr>
        <w:t xml:space="preserve"> </w:t>
      </w:r>
      <w:r>
        <w:rPr>
          <w:rFonts w:eastAsia="Times New Roman"/>
          <w:spacing w:val="-2"/>
          <w:highlight w:val="none"/>
        </w:rPr>
        <w:t xml:space="preserve">4 </w:t>
      </w:r>
      <w:r>
        <w:rPr>
          <w:spacing w:val="-2"/>
          <w:highlight w:val="none"/>
        </w:rPr>
        <w:t>个汉字。</w:t>
      </w:r>
      <w:r>
        <w:rPr>
          <w:highlight w:val="none"/>
        </w:rPr>
        <w:t xml:space="preserve"> </w:t>
      </w:r>
      <w:r>
        <w:rPr>
          <w:rFonts w:eastAsia="Times New Roman"/>
          <w:spacing w:val="-1"/>
          <w:highlight w:val="none"/>
        </w:rPr>
        <w:t>2</w:t>
      </w:r>
      <w:r>
        <w:rPr>
          <w:spacing w:val="-1"/>
          <w:highlight w:val="none"/>
        </w:rPr>
        <w:t>）若路段名称简称与高速公路名称简称一致，可不重复标注。</w:t>
      </w:r>
    </w:p>
    <w:p>
      <w:pPr>
        <w:spacing w:before="36" w:line="223" w:lineRule="auto"/>
        <w:ind w:left="857"/>
        <w:rPr>
          <w:rFonts w:hint="eastAsia" w:ascii="方正楷体_GBK" w:hAnsi="方正楷体_GBK" w:eastAsia="方正楷体_GBK" w:cs="方正楷体_GBK"/>
          <w:highlight w:val="none"/>
        </w:rPr>
      </w:pPr>
      <w:r>
        <w:rPr>
          <w:rFonts w:ascii="方正楷体_GBK" w:hAnsi="方正楷体_GBK" w:eastAsia="方正楷体_GBK" w:cs="方正楷体_GBK"/>
          <w:spacing w:val="-1"/>
          <w:highlight w:val="none"/>
        </w:rPr>
        <w:t>示例：渝合、界水、渝长复线、涪丰石</w:t>
      </w:r>
    </w:p>
    <w:p>
      <w:pPr>
        <w:pStyle w:val="2"/>
        <w:spacing w:before="41" w:line="221" w:lineRule="auto"/>
        <w:ind w:left="864"/>
        <w:rPr>
          <w:spacing w:val="-3"/>
          <w:highlight w:val="none"/>
        </w:rPr>
      </w:pPr>
      <w:r>
        <w:rPr>
          <w:rFonts w:eastAsia="Times New Roman"/>
          <w:spacing w:val="-3"/>
          <w:highlight w:val="none"/>
        </w:rPr>
        <w:t>b</w:t>
      </w:r>
      <w:r>
        <w:rPr>
          <w:spacing w:val="-3"/>
          <w:highlight w:val="none"/>
        </w:rPr>
        <w:t>）线路场景名称：</w:t>
      </w:r>
    </w:p>
    <w:p>
      <w:pPr>
        <w:pStyle w:val="2"/>
        <w:spacing w:before="41" w:line="221" w:lineRule="auto"/>
        <w:ind w:left="864"/>
        <w:rPr>
          <w:highlight w:val="none"/>
        </w:rPr>
      </w:pPr>
      <w:r>
        <w:rPr>
          <w:rFonts w:eastAsia="Times New Roman"/>
          <w:spacing w:val="-2"/>
          <w:highlight w:val="none"/>
        </w:rPr>
        <w:t>1</w:t>
      </w:r>
      <w:r>
        <w:rPr>
          <w:spacing w:val="-2"/>
          <w:highlight w:val="none"/>
        </w:rPr>
        <w:t>）外场沿线格式：外场沿线</w:t>
      </w:r>
    </w:p>
    <w:p>
      <w:pPr>
        <w:pStyle w:val="2"/>
        <w:spacing w:before="104" w:line="220" w:lineRule="auto"/>
        <w:ind w:left="844"/>
        <w:rPr>
          <w:highlight w:val="none"/>
        </w:rPr>
      </w:pPr>
      <w:r>
        <w:rPr>
          <w:rFonts w:eastAsia="Times New Roman"/>
          <w:highlight w:val="none"/>
        </w:rPr>
        <w:t>2</w:t>
      </w:r>
      <w:r>
        <w:rPr>
          <w:highlight w:val="none"/>
        </w:rPr>
        <w:t>）沿线设施格式：互通立交、服务区、隧道、桥梁、避险车道、收费站等名称简称。</w:t>
      </w:r>
    </w:p>
    <w:p>
      <w:pPr>
        <w:spacing w:line="272" w:lineRule="auto"/>
        <w:rPr>
          <w:rFonts w:ascii="Arial"/>
          <w:highlight w:val="none"/>
        </w:rPr>
      </w:pPr>
    </w:p>
    <w:p>
      <w:pPr>
        <w:spacing w:before="69" w:line="219" w:lineRule="auto"/>
        <w:ind w:left="8"/>
        <w:rPr>
          <w:rFonts w:hint="eastAsia" w:ascii="黑体" w:hAnsi="黑体" w:eastAsia="黑体" w:cs="黑体"/>
          <w:highlight w:val="none"/>
        </w:rPr>
      </w:pPr>
      <w:r>
        <w:rPr>
          <w:rFonts w:ascii="黑体" w:hAnsi="黑体" w:eastAsia="黑体" w:cs="黑体"/>
          <w:spacing w:val="-1"/>
          <w:highlight w:val="none"/>
        </w:rPr>
        <w:t>3.4 监控场景名称</w:t>
      </w:r>
    </w:p>
    <w:p>
      <w:pPr>
        <w:pStyle w:val="2"/>
        <w:spacing w:before="264" w:line="220" w:lineRule="auto"/>
        <w:ind w:left="429"/>
        <w:rPr>
          <w:highlight w:val="none"/>
        </w:rPr>
      </w:pPr>
      <w:r>
        <w:rPr>
          <w:spacing w:val="-2"/>
          <w:highlight w:val="none"/>
        </w:rPr>
        <w:t>监控场景名称：依据地点场景分类要求：</w:t>
      </w:r>
    </w:p>
    <w:p>
      <w:pPr>
        <w:spacing w:line="72" w:lineRule="exact"/>
        <w:rPr>
          <w:highlight w:val="none"/>
        </w:rPr>
      </w:pPr>
    </w:p>
    <w:tbl>
      <w:tblPr>
        <w:tblStyle w:val="20"/>
        <w:tblW w:w="9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643"/>
        <w:gridCol w:w="6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49" w:type="dxa"/>
            <w:gridSpan w:val="3"/>
          </w:tcPr>
          <w:p>
            <w:pPr>
              <w:spacing w:before="36" w:line="219" w:lineRule="auto"/>
              <w:ind w:left="3523"/>
              <w:rPr>
                <w:rFonts w:hint="eastAsia" w:ascii="黑体" w:hAnsi="黑体" w:eastAsia="黑体" w:cs="黑体"/>
                <w:highlight w:val="none"/>
              </w:rPr>
            </w:pPr>
            <w:r>
              <w:rPr>
                <w:rFonts w:ascii="黑体" w:hAnsi="黑体" w:eastAsia="黑体" w:cs="黑体"/>
                <w:spacing w:val="-1"/>
                <w:highlight w:val="none"/>
              </w:rPr>
              <w:t>监控场景名称标注要求表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18" w:type="dxa"/>
          </w:tcPr>
          <w:p>
            <w:pPr>
              <w:pStyle w:val="21"/>
              <w:spacing w:before="32" w:line="222" w:lineRule="auto"/>
              <w:ind w:left="203"/>
              <w:rPr>
                <w:rFonts w:hint="eastAsia"/>
                <w:highlight w:val="none"/>
              </w:rPr>
            </w:pPr>
            <w:r>
              <w:rPr>
                <w:spacing w:val="-2"/>
                <w:highlight w:val="none"/>
              </w:rPr>
              <w:t>序号</w:t>
            </w:r>
          </w:p>
        </w:tc>
        <w:tc>
          <w:tcPr>
            <w:tcW w:w="1643" w:type="dxa"/>
          </w:tcPr>
          <w:p>
            <w:pPr>
              <w:pStyle w:val="21"/>
              <w:spacing w:before="31" w:line="221" w:lineRule="auto"/>
              <w:ind w:left="195"/>
              <w:rPr>
                <w:rFonts w:hint="eastAsia"/>
                <w:highlight w:val="none"/>
              </w:rPr>
            </w:pPr>
            <w:r>
              <w:rPr>
                <w:spacing w:val="-1"/>
                <w:highlight w:val="none"/>
              </w:rPr>
              <w:t>地点场景分类</w:t>
            </w:r>
          </w:p>
        </w:tc>
        <w:tc>
          <w:tcPr>
            <w:tcW w:w="6888" w:type="dxa"/>
          </w:tcPr>
          <w:p>
            <w:pPr>
              <w:pStyle w:val="21"/>
              <w:spacing w:before="31" w:line="221" w:lineRule="auto"/>
              <w:ind w:left="2608"/>
              <w:rPr>
                <w:rFonts w:hint="eastAsia"/>
                <w:highlight w:val="none"/>
              </w:rPr>
            </w:pPr>
            <w:r>
              <w:rPr>
                <w:spacing w:val="-1"/>
                <w:highlight w:val="none"/>
              </w:rPr>
              <w:t>监控场景名称要求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18" w:type="dxa"/>
          </w:tcPr>
          <w:p>
            <w:pPr>
              <w:spacing w:line="380" w:lineRule="auto"/>
              <w:rPr>
                <w:rFonts w:ascii="Arial"/>
                <w:highlight w:val="none"/>
              </w:rPr>
            </w:pPr>
          </w:p>
          <w:p>
            <w:pPr>
              <w:spacing w:before="60" w:line="189" w:lineRule="auto"/>
              <w:ind w:left="377"/>
              <w:rPr>
                <w:rFonts w:eastAsia="Times New Roman"/>
                <w:highlight w:val="none"/>
              </w:rPr>
            </w:pPr>
            <w:r>
              <w:rPr>
                <w:rFonts w:eastAsia="Times New Roman"/>
                <w:highlight w:val="none"/>
              </w:rPr>
              <w:t>1</w:t>
            </w:r>
          </w:p>
        </w:tc>
        <w:tc>
          <w:tcPr>
            <w:tcW w:w="1643" w:type="dxa"/>
          </w:tcPr>
          <w:p>
            <w:pPr>
              <w:spacing w:line="331" w:lineRule="auto"/>
              <w:rPr>
                <w:rFonts w:ascii="Arial"/>
                <w:highlight w:val="none"/>
              </w:rPr>
            </w:pPr>
          </w:p>
          <w:p>
            <w:pPr>
              <w:pStyle w:val="21"/>
              <w:spacing w:before="68" w:line="221" w:lineRule="auto"/>
              <w:ind w:left="408"/>
              <w:rPr>
                <w:rFonts w:hint="eastAsia"/>
                <w:highlight w:val="none"/>
              </w:rPr>
            </w:pPr>
            <w:r>
              <w:rPr>
                <w:spacing w:val="-3"/>
                <w:highlight w:val="none"/>
              </w:rPr>
              <w:t>外场沿线</w:t>
            </w:r>
          </w:p>
        </w:tc>
        <w:tc>
          <w:tcPr>
            <w:tcW w:w="6888" w:type="dxa"/>
          </w:tcPr>
          <w:p>
            <w:pPr>
              <w:pStyle w:val="21"/>
              <w:spacing w:before="31" w:line="220" w:lineRule="auto"/>
              <w:ind w:left="129"/>
              <w:rPr>
                <w:rFonts w:hint="eastAsia"/>
                <w:highlight w:val="none"/>
                <w:lang w:eastAsia="zh-CN"/>
              </w:rPr>
            </w:pPr>
            <w:r>
              <w:rPr>
                <w:rFonts w:ascii="Times New Roman" w:hAnsi="Times New Roman" w:eastAsia="Times New Roman" w:cs="Times New Roman"/>
                <w:spacing w:val="-4"/>
                <w:highlight w:val="none"/>
                <w:lang w:eastAsia="zh-CN"/>
              </w:rPr>
              <w:t>1</w:t>
            </w:r>
            <w:r>
              <w:rPr>
                <w:spacing w:val="-4"/>
                <w:highlight w:val="none"/>
                <w:lang w:eastAsia="zh-CN"/>
              </w:rPr>
              <w:t>）可采用摄像机监控场景名称；</w:t>
            </w:r>
          </w:p>
          <w:p>
            <w:pPr>
              <w:pStyle w:val="21"/>
              <w:spacing w:before="106" w:line="266" w:lineRule="auto"/>
              <w:ind w:left="115" w:right="157" w:hanging="6"/>
              <w:rPr>
                <w:rFonts w:hint="eastAsia"/>
                <w:highlight w:val="none"/>
                <w:lang w:eastAsia="zh-CN"/>
              </w:rPr>
            </w:pPr>
            <w:r>
              <w:rPr>
                <w:rFonts w:ascii="Times New Roman" w:hAnsi="Times New Roman" w:eastAsia="Times New Roman" w:cs="Times New Roman"/>
                <w:highlight w:val="none"/>
                <w:lang w:eastAsia="zh-CN"/>
              </w:rPr>
              <w:t>2</w:t>
            </w:r>
            <w:r>
              <w:rPr>
                <w:highlight w:val="none"/>
                <w:lang w:eastAsia="zh-CN"/>
              </w:rPr>
              <w:t xml:space="preserve">）或者依据公路路线上行方向，也可采用邻近两个互通（收费站）名称 </w:t>
            </w:r>
            <w:r>
              <w:rPr>
                <w:spacing w:val="-6"/>
                <w:highlight w:val="none"/>
                <w:lang w:eastAsia="zh-CN"/>
              </w:rPr>
              <w:t>构成简称（</w:t>
            </w:r>
            <w:r>
              <w:rPr>
                <w:rFonts w:ascii="方正楷体_GBK" w:hAnsi="方正楷体_GBK" w:eastAsia="方正楷体_GBK" w:cs="方正楷体_GBK"/>
                <w:spacing w:val="-6"/>
                <w:highlight w:val="none"/>
                <w:lang w:eastAsia="zh-CN"/>
              </w:rPr>
              <w:t>示例：邮亭至荣昌东</w:t>
            </w:r>
            <w:r>
              <w:rPr>
                <w:spacing w:val="-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18" w:type="dxa"/>
          </w:tcPr>
          <w:p>
            <w:pPr>
              <w:spacing w:before="71" w:line="189" w:lineRule="auto"/>
              <w:ind w:left="357"/>
              <w:rPr>
                <w:rFonts w:eastAsia="Times New Roman"/>
                <w:highlight w:val="none"/>
              </w:rPr>
            </w:pPr>
            <w:r>
              <w:rPr>
                <w:rFonts w:eastAsia="Times New Roman"/>
                <w:highlight w:val="none"/>
              </w:rPr>
              <w:t>2</w:t>
            </w:r>
          </w:p>
        </w:tc>
        <w:tc>
          <w:tcPr>
            <w:tcW w:w="1643" w:type="dxa"/>
          </w:tcPr>
          <w:p>
            <w:pPr>
              <w:pStyle w:val="21"/>
              <w:spacing w:before="32" w:line="222" w:lineRule="auto"/>
              <w:ind w:left="407"/>
              <w:rPr>
                <w:rFonts w:hint="eastAsia"/>
                <w:highlight w:val="none"/>
              </w:rPr>
            </w:pPr>
            <w:r>
              <w:rPr>
                <w:spacing w:val="-3"/>
                <w:highlight w:val="none"/>
              </w:rPr>
              <w:t>互通立交</w:t>
            </w:r>
          </w:p>
        </w:tc>
        <w:tc>
          <w:tcPr>
            <w:tcW w:w="6888" w:type="dxa"/>
          </w:tcPr>
          <w:p>
            <w:pPr>
              <w:pStyle w:val="21"/>
              <w:spacing w:before="32" w:line="220" w:lineRule="auto"/>
              <w:ind w:left="114"/>
              <w:rPr>
                <w:rFonts w:hint="eastAsia"/>
                <w:highlight w:val="none"/>
                <w:lang w:eastAsia="zh-CN"/>
              </w:rPr>
            </w:pPr>
            <w:r>
              <w:rPr>
                <w:spacing w:val="-2"/>
                <w:highlight w:val="none"/>
                <w:lang w:eastAsia="zh-CN"/>
              </w:rPr>
              <w:t>可采用摄像机监控场景名称。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8" w:type="dxa"/>
          </w:tcPr>
          <w:p>
            <w:pPr>
              <w:spacing w:before="248" w:line="189" w:lineRule="auto"/>
              <w:ind w:left="361"/>
              <w:rPr>
                <w:rFonts w:eastAsia="Times New Roman"/>
                <w:highlight w:val="none"/>
              </w:rPr>
            </w:pPr>
            <w:r>
              <w:rPr>
                <w:rFonts w:eastAsia="Times New Roman"/>
                <w:highlight w:val="none"/>
              </w:rPr>
              <w:t>3</w:t>
            </w:r>
          </w:p>
        </w:tc>
        <w:tc>
          <w:tcPr>
            <w:tcW w:w="1643" w:type="dxa"/>
          </w:tcPr>
          <w:p>
            <w:pPr>
              <w:pStyle w:val="21"/>
              <w:spacing w:before="209" w:line="221" w:lineRule="auto"/>
              <w:ind w:left="509"/>
              <w:rPr>
                <w:rFonts w:hint="eastAsia"/>
                <w:highlight w:val="none"/>
              </w:rPr>
            </w:pPr>
            <w:r>
              <w:rPr>
                <w:spacing w:val="-2"/>
                <w:highlight w:val="none"/>
              </w:rPr>
              <w:t>服务区</w:t>
            </w:r>
          </w:p>
        </w:tc>
        <w:tc>
          <w:tcPr>
            <w:tcW w:w="6888" w:type="dxa"/>
          </w:tcPr>
          <w:p>
            <w:pPr>
              <w:pStyle w:val="21"/>
              <w:spacing w:before="33" w:line="294" w:lineRule="auto"/>
              <w:ind w:left="127" w:right="261" w:hanging="13"/>
              <w:rPr>
                <w:rFonts w:hint="eastAsia"/>
                <w:highlight w:val="none"/>
                <w:lang w:eastAsia="zh-CN"/>
              </w:rPr>
            </w:pPr>
            <w:r>
              <w:rPr>
                <w:highlight w:val="none"/>
                <w:lang w:eastAsia="zh-CN"/>
              </w:rPr>
              <w:t>可采用摄像机监控场景名称，包括入口车道、出口车道、加油</w:t>
            </w:r>
            <w:r>
              <w:rPr>
                <w:spacing w:val="-1"/>
                <w:highlight w:val="none"/>
                <w:lang w:eastAsia="zh-CN"/>
              </w:rPr>
              <w:t>站、停车</w:t>
            </w:r>
            <w:r>
              <w:rPr>
                <w:highlight w:val="none"/>
                <w:lang w:eastAsia="zh-CN"/>
              </w:rPr>
              <w:t xml:space="preserve"> </w:t>
            </w:r>
            <w:r>
              <w:rPr>
                <w:spacing w:val="-12"/>
                <w:highlight w:val="none"/>
                <w:lang w:eastAsia="zh-CN"/>
              </w:rPr>
              <w:t>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818" w:type="dxa"/>
          </w:tcPr>
          <w:p>
            <w:pPr>
              <w:spacing w:line="308" w:lineRule="auto"/>
              <w:rPr>
                <w:rFonts w:ascii="Arial"/>
                <w:highlight w:val="none"/>
              </w:rPr>
            </w:pPr>
          </w:p>
          <w:p>
            <w:pPr>
              <w:spacing w:line="308" w:lineRule="auto"/>
              <w:rPr>
                <w:rFonts w:ascii="Arial"/>
                <w:highlight w:val="none"/>
              </w:rPr>
            </w:pPr>
          </w:p>
          <w:p>
            <w:pPr>
              <w:spacing w:line="309" w:lineRule="auto"/>
              <w:rPr>
                <w:rFonts w:ascii="Arial"/>
                <w:highlight w:val="none"/>
              </w:rPr>
            </w:pPr>
          </w:p>
          <w:p>
            <w:pPr>
              <w:spacing w:before="60" w:line="189" w:lineRule="auto"/>
              <w:ind w:left="355"/>
              <w:rPr>
                <w:rFonts w:eastAsia="Times New Roman"/>
                <w:highlight w:val="none"/>
              </w:rPr>
            </w:pPr>
            <w:r>
              <w:rPr>
                <w:rFonts w:eastAsia="Times New Roman"/>
                <w:highlight w:val="none"/>
              </w:rPr>
              <w:t>4</w:t>
            </w:r>
          </w:p>
        </w:tc>
        <w:tc>
          <w:tcPr>
            <w:tcW w:w="1643" w:type="dxa"/>
          </w:tcPr>
          <w:p>
            <w:pPr>
              <w:spacing w:line="291" w:lineRule="auto"/>
              <w:rPr>
                <w:rFonts w:ascii="Arial"/>
                <w:highlight w:val="none"/>
              </w:rPr>
            </w:pPr>
          </w:p>
          <w:p>
            <w:pPr>
              <w:spacing w:line="292" w:lineRule="auto"/>
              <w:rPr>
                <w:rFonts w:ascii="Arial"/>
                <w:highlight w:val="none"/>
              </w:rPr>
            </w:pPr>
          </w:p>
          <w:p>
            <w:pPr>
              <w:spacing w:line="292" w:lineRule="auto"/>
              <w:rPr>
                <w:rFonts w:ascii="Arial"/>
                <w:highlight w:val="none"/>
              </w:rPr>
            </w:pPr>
          </w:p>
          <w:p>
            <w:pPr>
              <w:pStyle w:val="21"/>
              <w:spacing w:before="69" w:line="223" w:lineRule="auto"/>
              <w:ind w:left="626"/>
              <w:rPr>
                <w:rFonts w:hint="eastAsia"/>
                <w:highlight w:val="none"/>
              </w:rPr>
            </w:pPr>
            <w:r>
              <w:rPr>
                <w:spacing w:val="-5"/>
                <w:highlight w:val="none"/>
              </w:rPr>
              <w:t>隧道</w:t>
            </w:r>
          </w:p>
        </w:tc>
        <w:tc>
          <w:tcPr>
            <w:tcW w:w="6888" w:type="dxa"/>
          </w:tcPr>
          <w:p>
            <w:pPr>
              <w:pStyle w:val="21"/>
              <w:spacing w:before="34" w:line="260" w:lineRule="auto"/>
              <w:ind w:left="115" w:right="311" w:firstLine="13"/>
              <w:rPr>
                <w:rFonts w:hint="eastAsia"/>
                <w:highlight w:val="none"/>
                <w:lang w:eastAsia="zh-CN"/>
              </w:rPr>
            </w:pPr>
            <w:r>
              <w:rPr>
                <w:rFonts w:ascii="Times New Roman" w:hAnsi="Times New Roman" w:eastAsia="Times New Roman" w:cs="Times New Roman"/>
                <w:spacing w:val="-1"/>
                <w:highlight w:val="none"/>
                <w:lang w:eastAsia="zh-CN"/>
              </w:rPr>
              <w:t>1</w:t>
            </w:r>
            <w:r>
              <w:rPr>
                <w:spacing w:val="-1"/>
                <w:highlight w:val="none"/>
                <w:lang w:eastAsia="zh-CN"/>
              </w:rPr>
              <w:t>）隧道洞口：就近收费站（或互通立交）简称（</w:t>
            </w:r>
            <w:r>
              <w:rPr>
                <w:rFonts w:ascii="方正楷体_GBK" w:hAnsi="方正楷体_GBK" w:eastAsia="方正楷体_GBK" w:cs="方正楷体_GBK"/>
                <w:spacing w:val="-1"/>
                <w:highlight w:val="none"/>
                <w:lang w:eastAsia="zh-CN"/>
              </w:rPr>
              <w:t>示例：大庙端入口</w:t>
            </w:r>
            <w:r>
              <w:rPr>
                <w:spacing w:val="-48"/>
                <w:w w:val="88"/>
                <w:highlight w:val="none"/>
                <w:lang w:eastAsia="zh-CN"/>
              </w:rPr>
              <w:t>），</w:t>
            </w:r>
            <w:r>
              <w:rPr>
                <w:spacing w:val="2"/>
                <w:highlight w:val="none"/>
                <w:lang w:eastAsia="zh-CN"/>
              </w:rPr>
              <w:t xml:space="preserve"> </w:t>
            </w:r>
            <w:r>
              <w:rPr>
                <w:spacing w:val="-1"/>
                <w:highlight w:val="none"/>
                <w:lang w:eastAsia="zh-CN"/>
              </w:rPr>
              <w:t>或公路线路走向。</w:t>
            </w:r>
          </w:p>
          <w:p>
            <w:pPr>
              <w:pStyle w:val="21"/>
              <w:spacing w:before="102" w:line="272" w:lineRule="auto"/>
              <w:ind w:left="120" w:right="911" w:hanging="11"/>
              <w:rPr>
                <w:rFonts w:hint="eastAsia" w:ascii="方正楷体_GBK" w:hAnsi="方正楷体_GBK" w:eastAsia="方正楷体_GBK" w:cs="方正楷体_GBK"/>
                <w:highlight w:val="none"/>
                <w:lang w:eastAsia="zh-CN"/>
              </w:rPr>
            </w:pPr>
            <w:r>
              <w:rPr>
                <w:rFonts w:ascii="Times New Roman" w:hAnsi="Times New Roman" w:eastAsia="Times New Roman" w:cs="Times New Roman"/>
                <w:spacing w:val="-1"/>
                <w:highlight w:val="none"/>
                <w:lang w:eastAsia="zh-CN"/>
              </w:rPr>
              <w:t>2</w:t>
            </w:r>
            <w:r>
              <w:rPr>
                <w:spacing w:val="-1"/>
                <w:highlight w:val="none"/>
                <w:lang w:eastAsia="zh-CN"/>
              </w:rPr>
              <w:t xml:space="preserve">）隧道洞内：公路路线方向 </w:t>
            </w:r>
            <w:r>
              <w:rPr>
                <w:rFonts w:ascii="Times New Roman" w:hAnsi="Times New Roman" w:eastAsia="Times New Roman" w:cs="Times New Roman"/>
                <w:spacing w:val="-1"/>
                <w:highlight w:val="none"/>
                <w:lang w:eastAsia="zh-CN"/>
              </w:rPr>
              <w:t xml:space="preserve">+  </w:t>
            </w:r>
            <w:r>
              <w:rPr>
                <w:spacing w:val="-1"/>
                <w:highlight w:val="none"/>
                <w:lang w:eastAsia="zh-CN"/>
              </w:rPr>
              <w:t>按车行方向由小到大顺序编</w:t>
            </w:r>
            <w:r>
              <w:rPr>
                <w:spacing w:val="-2"/>
                <w:highlight w:val="none"/>
                <w:lang w:eastAsia="zh-CN"/>
              </w:rPr>
              <w:t>号。</w:t>
            </w:r>
            <w:r>
              <w:rPr>
                <w:highlight w:val="none"/>
                <w:lang w:eastAsia="zh-CN"/>
              </w:rPr>
              <w:t xml:space="preserve"> </w:t>
            </w:r>
            <w:r>
              <w:rPr>
                <w:rFonts w:ascii="方正楷体_GBK" w:hAnsi="方正楷体_GBK" w:eastAsia="方正楷体_GBK" w:cs="方正楷体_GBK"/>
                <w:spacing w:val="-4"/>
                <w:highlight w:val="none"/>
                <w:lang w:eastAsia="zh-CN"/>
              </w:rPr>
              <w:t>示例：下行</w:t>
            </w:r>
            <w:r>
              <w:rPr>
                <w:rFonts w:ascii="方正楷体_GBK" w:hAnsi="方正楷体_GBK" w:eastAsia="方正楷体_GBK" w:cs="方正楷体_GBK"/>
                <w:spacing w:val="20"/>
                <w:highlight w:val="none"/>
                <w:lang w:eastAsia="zh-CN"/>
              </w:rPr>
              <w:t xml:space="preserve"> </w:t>
            </w:r>
            <w:r>
              <w:rPr>
                <w:rFonts w:ascii="方正楷体_GBK" w:hAnsi="方正楷体_GBK" w:eastAsia="方正楷体_GBK" w:cs="方正楷体_GBK"/>
                <w:spacing w:val="-4"/>
                <w:highlight w:val="none"/>
                <w:lang w:eastAsia="zh-CN"/>
              </w:rPr>
              <w:t>15</w:t>
            </w:r>
          </w:p>
          <w:p>
            <w:pPr>
              <w:pStyle w:val="21"/>
              <w:spacing w:before="76" w:line="221" w:lineRule="auto"/>
              <w:ind w:left="113"/>
              <w:rPr>
                <w:rFonts w:hint="eastAsia"/>
                <w:highlight w:val="none"/>
                <w:lang w:eastAsia="zh-CN"/>
              </w:rPr>
            </w:pPr>
            <w:r>
              <w:rPr>
                <w:rFonts w:ascii="Times New Roman" w:hAnsi="Times New Roman" w:eastAsia="Times New Roman" w:cs="Times New Roman"/>
                <w:spacing w:val="-3"/>
                <w:highlight w:val="none"/>
                <w:lang w:eastAsia="zh-CN"/>
              </w:rPr>
              <w:t>3</w:t>
            </w:r>
            <w:r>
              <w:rPr>
                <w:spacing w:val="-3"/>
                <w:highlight w:val="none"/>
                <w:lang w:eastAsia="zh-CN"/>
              </w:rPr>
              <w:t>）人行横洞和车行横洞的名称及编号，编号按</w:t>
            </w:r>
            <w:r>
              <w:rPr>
                <w:spacing w:val="-39"/>
                <w:highlight w:val="none"/>
                <w:lang w:eastAsia="zh-CN"/>
              </w:rPr>
              <w:t xml:space="preserve"> </w:t>
            </w:r>
            <w:r>
              <w:rPr>
                <w:rFonts w:ascii="Times New Roman" w:hAnsi="Times New Roman" w:eastAsia="Times New Roman" w:cs="Times New Roman"/>
                <w:spacing w:val="-3"/>
                <w:highlight w:val="none"/>
                <w:lang w:eastAsia="zh-CN"/>
              </w:rPr>
              <w:t>A</w:t>
            </w:r>
            <w:r>
              <w:rPr>
                <w:rFonts w:ascii="Times New Roman" w:hAnsi="Times New Roman" w:eastAsia="Times New Roman" w:cs="Times New Roman"/>
                <w:spacing w:val="-31"/>
                <w:highlight w:val="none"/>
                <w:lang w:eastAsia="zh-CN"/>
              </w:rPr>
              <w:t xml:space="preserve"> </w:t>
            </w:r>
            <w:r>
              <w:rPr>
                <w:spacing w:val="-3"/>
                <w:highlight w:val="none"/>
                <w:lang w:eastAsia="zh-CN"/>
              </w:rPr>
              <w:t>、</w:t>
            </w:r>
            <w:r>
              <w:rPr>
                <w:rFonts w:ascii="Times New Roman" w:hAnsi="Times New Roman" w:eastAsia="Times New Roman" w:cs="Times New Roman"/>
                <w:spacing w:val="-3"/>
                <w:highlight w:val="none"/>
                <w:lang w:eastAsia="zh-CN"/>
              </w:rPr>
              <w:t>B</w:t>
            </w:r>
            <w:r>
              <w:rPr>
                <w:rFonts w:ascii="Times New Roman" w:hAnsi="Times New Roman" w:eastAsia="Times New Roman" w:cs="Times New Roman"/>
                <w:spacing w:val="-31"/>
                <w:highlight w:val="none"/>
                <w:lang w:eastAsia="zh-CN"/>
              </w:rPr>
              <w:t xml:space="preserve"> </w:t>
            </w:r>
            <w:r>
              <w:rPr>
                <w:rFonts w:ascii="Times New Roman" w:hAnsi="Times New Roman" w:eastAsia="Times New Roman" w:cs="Times New Roman"/>
                <w:spacing w:val="-3"/>
                <w:highlight w:val="none"/>
                <w:lang w:eastAsia="zh-CN"/>
              </w:rPr>
              <w:t>…</w:t>
            </w:r>
            <w:r>
              <w:rPr>
                <w:rFonts w:ascii="Times New Roman" w:hAnsi="Times New Roman" w:eastAsia="Times New Roman" w:cs="Times New Roman"/>
                <w:spacing w:val="-37"/>
                <w:highlight w:val="none"/>
                <w:lang w:eastAsia="zh-CN"/>
              </w:rPr>
              <w:t xml:space="preserve"> </w:t>
            </w:r>
            <w:r>
              <w:rPr>
                <w:rFonts w:ascii="Times New Roman" w:hAnsi="Times New Roman" w:eastAsia="Times New Roman" w:cs="Times New Roman"/>
                <w:spacing w:val="-3"/>
                <w:highlight w:val="none"/>
                <w:lang w:eastAsia="zh-CN"/>
              </w:rPr>
              <w:t>.</w:t>
            </w:r>
            <w:r>
              <w:rPr>
                <w:spacing w:val="-3"/>
                <w:highlight w:val="none"/>
                <w:lang w:eastAsia="zh-CN"/>
              </w:rPr>
              <w:t>顺序编号。</w:t>
            </w:r>
          </w:p>
          <w:p>
            <w:pPr>
              <w:pStyle w:val="21"/>
              <w:spacing w:before="101" w:line="221" w:lineRule="auto"/>
              <w:ind w:left="108"/>
              <w:rPr>
                <w:rFonts w:hint="eastAsia"/>
                <w:highlight w:val="none"/>
                <w:lang w:eastAsia="zh-CN"/>
              </w:rPr>
            </w:pPr>
            <w:r>
              <w:rPr>
                <w:rFonts w:ascii="Times New Roman" w:hAnsi="Times New Roman" w:eastAsia="Times New Roman" w:cs="Times New Roman"/>
                <w:spacing w:val="-2"/>
                <w:highlight w:val="none"/>
                <w:lang w:eastAsia="zh-CN"/>
              </w:rPr>
              <w:t>4</w:t>
            </w:r>
            <w:r>
              <w:rPr>
                <w:spacing w:val="-2"/>
                <w:highlight w:val="none"/>
                <w:lang w:eastAsia="zh-CN"/>
              </w:rPr>
              <w:t>）配电设备房等监控场景名称。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8" w:type="dxa"/>
          </w:tcPr>
          <w:p>
            <w:pPr>
              <w:spacing w:before="254" w:line="186" w:lineRule="auto"/>
              <w:ind w:left="362"/>
              <w:rPr>
                <w:rFonts w:eastAsia="Times New Roman"/>
                <w:highlight w:val="none"/>
              </w:rPr>
            </w:pPr>
            <w:r>
              <w:rPr>
                <w:rFonts w:eastAsia="Times New Roman"/>
                <w:highlight w:val="none"/>
              </w:rPr>
              <w:t>5</w:t>
            </w:r>
          </w:p>
        </w:tc>
        <w:tc>
          <w:tcPr>
            <w:tcW w:w="1643" w:type="dxa"/>
          </w:tcPr>
          <w:p>
            <w:pPr>
              <w:pStyle w:val="21"/>
              <w:spacing w:before="211" w:line="221" w:lineRule="auto"/>
              <w:ind w:left="615"/>
              <w:rPr>
                <w:rFonts w:hint="eastAsia"/>
                <w:highlight w:val="none"/>
              </w:rPr>
            </w:pPr>
            <w:r>
              <w:rPr>
                <w:spacing w:val="-2"/>
                <w:highlight w:val="none"/>
              </w:rPr>
              <w:t>桥梁</w:t>
            </w:r>
          </w:p>
        </w:tc>
        <w:tc>
          <w:tcPr>
            <w:tcW w:w="6888" w:type="dxa"/>
          </w:tcPr>
          <w:p>
            <w:pPr>
              <w:pStyle w:val="21"/>
              <w:spacing w:before="35" w:line="293" w:lineRule="auto"/>
              <w:ind w:left="114" w:right="261"/>
              <w:rPr>
                <w:rFonts w:hint="eastAsia"/>
                <w:highlight w:val="none"/>
                <w:lang w:eastAsia="zh-CN"/>
              </w:rPr>
            </w:pPr>
            <w:r>
              <w:rPr>
                <w:highlight w:val="none"/>
                <w:lang w:eastAsia="zh-CN"/>
              </w:rPr>
              <w:t>可采用摄像机监控场景名称，包括两侧引桥、引道、连接线、</w:t>
            </w:r>
            <w:r>
              <w:rPr>
                <w:spacing w:val="-1"/>
                <w:highlight w:val="none"/>
                <w:lang w:eastAsia="zh-CN"/>
              </w:rPr>
              <w:t>两侧索塔</w:t>
            </w:r>
            <w:r>
              <w:rPr>
                <w:highlight w:val="none"/>
                <w:lang w:eastAsia="zh-CN"/>
              </w:rPr>
              <w:t xml:space="preserve"> </w:t>
            </w:r>
            <w:r>
              <w:rPr>
                <w:spacing w:val="-5"/>
                <w:highlight w:val="none"/>
                <w:lang w:eastAsia="zh-CN"/>
              </w:rPr>
              <w:t>和桥墩等。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18" w:type="dxa"/>
          </w:tcPr>
          <w:p>
            <w:pPr>
              <w:spacing w:before="76" w:line="189" w:lineRule="auto"/>
              <w:ind w:left="361"/>
              <w:rPr>
                <w:rFonts w:eastAsia="Times New Roman"/>
                <w:highlight w:val="none"/>
              </w:rPr>
            </w:pPr>
            <w:r>
              <w:rPr>
                <w:rFonts w:eastAsia="Times New Roman"/>
                <w:highlight w:val="none"/>
              </w:rPr>
              <w:t>6</w:t>
            </w:r>
          </w:p>
        </w:tc>
        <w:tc>
          <w:tcPr>
            <w:tcW w:w="1643" w:type="dxa"/>
          </w:tcPr>
          <w:p>
            <w:pPr>
              <w:pStyle w:val="21"/>
              <w:spacing w:before="34" w:line="221" w:lineRule="auto"/>
              <w:ind w:left="402"/>
              <w:rPr>
                <w:rFonts w:hint="eastAsia"/>
                <w:highlight w:val="none"/>
              </w:rPr>
            </w:pPr>
            <w:r>
              <w:rPr>
                <w:spacing w:val="-1"/>
                <w:highlight w:val="none"/>
              </w:rPr>
              <w:t>避险车道</w:t>
            </w:r>
          </w:p>
        </w:tc>
        <w:tc>
          <w:tcPr>
            <w:tcW w:w="6888" w:type="dxa"/>
          </w:tcPr>
          <w:p>
            <w:pPr>
              <w:pStyle w:val="21"/>
              <w:spacing w:before="35" w:line="220" w:lineRule="auto"/>
              <w:ind w:left="114"/>
              <w:rPr>
                <w:rFonts w:hint="eastAsia"/>
                <w:highlight w:val="none"/>
                <w:lang w:eastAsia="zh-CN"/>
              </w:rPr>
            </w:pPr>
            <w:r>
              <w:rPr>
                <w:spacing w:val="-2"/>
                <w:highlight w:val="none"/>
                <w:lang w:eastAsia="zh-CN"/>
              </w:rPr>
              <w:t>可采用摄像机监控场景名称。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818" w:type="dxa"/>
          </w:tcPr>
          <w:p>
            <w:pPr>
              <w:spacing w:line="309" w:lineRule="auto"/>
              <w:rPr>
                <w:rFonts w:ascii="Arial"/>
                <w:highlight w:val="none"/>
              </w:rPr>
            </w:pPr>
          </w:p>
          <w:p>
            <w:pPr>
              <w:spacing w:line="309" w:lineRule="auto"/>
              <w:rPr>
                <w:rFonts w:ascii="Arial"/>
                <w:highlight w:val="none"/>
              </w:rPr>
            </w:pPr>
          </w:p>
          <w:p>
            <w:pPr>
              <w:spacing w:line="310" w:lineRule="auto"/>
              <w:rPr>
                <w:rFonts w:ascii="Arial"/>
                <w:highlight w:val="none"/>
              </w:rPr>
            </w:pPr>
          </w:p>
          <w:p>
            <w:pPr>
              <w:spacing w:before="61" w:line="186" w:lineRule="auto"/>
              <w:ind w:left="360"/>
              <w:rPr>
                <w:rFonts w:eastAsia="Times New Roman"/>
                <w:highlight w:val="none"/>
              </w:rPr>
            </w:pPr>
            <w:r>
              <w:rPr>
                <w:rFonts w:eastAsia="Times New Roman"/>
                <w:highlight w:val="none"/>
              </w:rPr>
              <w:t>7</w:t>
            </w:r>
          </w:p>
        </w:tc>
        <w:tc>
          <w:tcPr>
            <w:tcW w:w="1643" w:type="dxa"/>
          </w:tcPr>
          <w:p>
            <w:pPr>
              <w:spacing w:line="292" w:lineRule="auto"/>
              <w:rPr>
                <w:rFonts w:ascii="Arial"/>
                <w:highlight w:val="none"/>
              </w:rPr>
            </w:pPr>
          </w:p>
          <w:p>
            <w:pPr>
              <w:spacing w:line="293" w:lineRule="auto"/>
              <w:rPr>
                <w:rFonts w:ascii="Arial"/>
                <w:highlight w:val="none"/>
              </w:rPr>
            </w:pPr>
          </w:p>
          <w:p>
            <w:pPr>
              <w:spacing w:line="293" w:lineRule="auto"/>
              <w:rPr>
                <w:rFonts w:ascii="Arial"/>
                <w:highlight w:val="none"/>
              </w:rPr>
            </w:pPr>
          </w:p>
          <w:p>
            <w:pPr>
              <w:pStyle w:val="21"/>
              <w:spacing w:before="69" w:line="221" w:lineRule="auto"/>
              <w:ind w:left="517"/>
              <w:rPr>
                <w:rFonts w:hint="eastAsia"/>
                <w:highlight w:val="none"/>
              </w:rPr>
            </w:pPr>
            <w:r>
              <w:rPr>
                <w:spacing w:val="-3"/>
                <w:highlight w:val="none"/>
              </w:rPr>
              <w:t>收费站</w:t>
            </w:r>
          </w:p>
        </w:tc>
        <w:tc>
          <w:tcPr>
            <w:tcW w:w="6888" w:type="dxa"/>
          </w:tcPr>
          <w:p>
            <w:pPr>
              <w:pStyle w:val="21"/>
              <w:spacing w:before="35" w:line="221" w:lineRule="auto"/>
              <w:ind w:left="129"/>
              <w:rPr>
                <w:rFonts w:hint="eastAsia"/>
                <w:highlight w:val="none"/>
                <w:lang w:eastAsia="zh-CN"/>
              </w:rPr>
            </w:pPr>
            <w:r>
              <w:rPr>
                <w:rFonts w:ascii="Times New Roman" w:hAnsi="Times New Roman" w:eastAsia="Times New Roman" w:cs="Times New Roman"/>
                <w:spacing w:val="-3"/>
                <w:highlight w:val="none"/>
                <w:lang w:eastAsia="zh-CN"/>
              </w:rPr>
              <w:t>1</w:t>
            </w:r>
            <w:r>
              <w:rPr>
                <w:spacing w:val="-3"/>
                <w:highlight w:val="none"/>
                <w:lang w:eastAsia="zh-CN"/>
              </w:rPr>
              <w:t>）收费广场格式：内广场、外广场。</w:t>
            </w:r>
          </w:p>
          <w:p>
            <w:pPr>
              <w:pStyle w:val="21"/>
              <w:spacing w:before="102" w:line="271" w:lineRule="auto"/>
              <w:ind w:left="120" w:right="1240" w:hanging="11"/>
              <w:rPr>
                <w:rFonts w:hint="eastAsia" w:ascii="方正楷体_GBK" w:hAnsi="方正楷体_GBK" w:eastAsia="方正楷体_GBK" w:cs="方正楷体_GBK"/>
                <w:highlight w:val="none"/>
              </w:rPr>
            </w:pPr>
            <w:r>
              <w:rPr>
                <w:rFonts w:ascii="Times New Roman" w:hAnsi="Times New Roman" w:eastAsia="Times New Roman" w:cs="Times New Roman"/>
                <w:spacing w:val="-1"/>
                <w:highlight w:val="none"/>
                <w:lang w:eastAsia="zh-CN"/>
              </w:rPr>
              <w:t>2</w:t>
            </w:r>
            <w:r>
              <w:rPr>
                <w:spacing w:val="-1"/>
                <w:highlight w:val="none"/>
                <w:lang w:eastAsia="zh-CN"/>
              </w:rPr>
              <w:t>）收费车道格式：车道出入口及顺序编号、车</w:t>
            </w:r>
            <w:r>
              <w:rPr>
                <w:spacing w:val="-2"/>
                <w:highlight w:val="none"/>
                <w:lang w:eastAsia="zh-CN"/>
              </w:rPr>
              <w:t>道类型简称。</w:t>
            </w:r>
            <w:r>
              <w:rPr>
                <w:highlight w:val="none"/>
                <w:lang w:eastAsia="zh-CN"/>
              </w:rPr>
              <w:t xml:space="preserve"> </w:t>
            </w:r>
            <w:r>
              <w:rPr>
                <w:rFonts w:ascii="方正楷体_GBK" w:hAnsi="方正楷体_GBK" w:eastAsia="方正楷体_GBK" w:cs="方正楷体_GBK"/>
                <w:spacing w:val="-1"/>
                <w:highlight w:val="none"/>
              </w:rPr>
              <w:t>示例：入口 3ETC、出口 2</w:t>
            </w:r>
            <w:r>
              <w:rPr>
                <w:rFonts w:ascii="方正楷体_GBK" w:hAnsi="方正楷体_GBK" w:eastAsia="方正楷体_GBK" w:cs="方正楷体_GBK"/>
                <w:spacing w:val="18"/>
                <w:highlight w:val="none"/>
              </w:rPr>
              <w:t xml:space="preserve"> </w:t>
            </w:r>
            <w:r>
              <w:rPr>
                <w:rFonts w:ascii="方正楷体_GBK" w:hAnsi="方正楷体_GBK" w:eastAsia="方正楷体_GBK" w:cs="方正楷体_GBK"/>
                <w:spacing w:val="-1"/>
                <w:highlight w:val="none"/>
              </w:rPr>
              <w:t>混合、入</w:t>
            </w:r>
            <w:r>
              <w:rPr>
                <w:rFonts w:ascii="方正楷体_GBK" w:hAnsi="方正楷体_GBK" w:eastAsia="方正楷体_GBK" w:cs="方正楷体_GBK"/>
                <w:spacing w:val="-2"/>
                <w:highlight w:val="none"/>
              </w:rPr>
              <w:t>口</w:t>
            </w:r>
            <w:r>
              <w:rPr>
                <w:rFonts w:ascii="方正楷体_GBK" w:hAnsi="方正楷体_GBK" w:eastAsia="方正楷体_GBK" w:cs="方正楷体_GBK"/>
                <w:spacing w:val="16"/>
                <w:w w:val="101"/>
                <w:highlight w:val="none"/>
              </w:rPr>
              <w:t xml:space="preserve"> </w:t>
            </w:r>
            <w:r>
              <w:rPr>
                <w:rFonts w:ascii="方正楷体_GBK" w:hAnsi="方正楷体_GBK" w:eastAsia="方正楷体_GBK" w:cs="方正楷体_GBK"/>
                <w:spacing w:val="-2"/>
                <w:highlight w:val="none"/>
              </w:rPr>
              <w:t>1  自助</w:t>
            </w:r>
          </w:p>
          <w:p>
            <w:pPr>
              <w:pStyle w:val="21"/>
              <w:spacing w:before="80" w:line="268" w:lineRule="auto"/>
              <w:ind w:left="119" w:right="2231" w:hanging="6"/>
              <w:rPr>
                <w:rFonts w:hint="eastAsia" w:ascii="方正楷体_GBK" w:hAnsi="方正楷体_GBK" w:eastAsia="方正楷体_GBK" w:cs="方正楷体_GBK"/>
                <w:highlight w:val="none"/>
                <w:lang w:eastAsia="zh-CN"/>
              </w:rPr>
            </w:pPr>
            <w:r>
              <w:rPr>
                <w:rFonts w:ascii="Times New Roman" w:hAnsi="Times New Roman" w:eastAsia="Times New Roman" w:cs="Times New Roman"/>
                <w:spacing w:val="-2"/>
                <w:highlight w:val="none"/>
                <w:lang w:eastAsia="zh-CN"/>
              </w:rPr>
              <w:t>3</w:t>
            </w:r>
            <w:r>
              <w:rPr>
                <w:spacing w:val="-2"/>
                <w:highlight w:val="none"/>
                <w:lang w:eastAsia="zh-CN"/>
              </w:rPr>
              <w:t>）收费亭</w:t>
            </w:r>
            <w:r>
              <w:rPr>
                <w:rFonts w:ascii="Times New Roman" w:hAnsi="Times New Roman" w:eastAsia="Times New Roman" w:cs="Times New Roman"/>
                <w:spacing w:val="-2"/>
                <w:highlight w:val="none"/>
                <w:lang w:eastAsia="zh-CN"/>
              </w:rPr>
              <w:t>/</w:t>
            </w:r>
            <w:r>
              <w:rPr>
                <w:spacing w:val="-2"/>
                <w:highlight w:val="none"/>
                <w:lang w:eastAsia="zh-CN"/>
              </w:rPr>
              <w:t>服务岗：车道出入口及顺序编号简称。</w:t>
            </w:r>
            <w:r>
              <w:rPr>
                <w:spacing w:val="9"/>
                <w:highlight w:val="none"/>
                <w:lang w:eastAsia="zh-CN"/>
              </w:rPr>
              <w:t xml:space="preserve"> </w:t>
            </w:r>
            <w:r>
              <w:rPr>
                <w:rFonts w:ascii="方正楷体_GBK" w:hAnsi="方正楷体_GBK" w:eastAsia="方正楷体_GBK" w:cs="方正楷体_GBK"/>
                <w:spacing w:val="-4"/>
                <w:highlight w:val="none"/>
                <w:lang w:eastAsia="zh-CN"/>
              </w:rPr>
              <w:t>示例：入口 3</w:t>
            </w:r>
            <w:r>
              <w:rPr>
                <w:rFonts w:ascii="方正楷体_GBK" w:hAnsi="方正楷体_GBK" w:eastAsia="方正楷体_GBK" w:cs="方正楷体_GBK"/>
                <w:spacing w:val="36"/>
                <w:w w:val="101"/>
                <w:highlight w:val="none"/>
                <w:lang w:eastAsia="zh-CN"/>
              </w:rPr>
              <w:t xml:space="preserve"> </w:t>
            </w:r>
            <w:r>
              <w:rPr>
                <w:rFonts w:ascii="方正楷体_GBK" w:hAnsi="方正楷体_GBK" w:eastAsia="方正楷体_GBK" w:cs="方正楷体_GBK"/>
                <w:spacing w:val="-4"/>
                <w:highlight w:val="none"/>
                <w:lang w:eastAsia="zh-CN"/>
              </w:rPr>
              <w:t>亭、服务岗</w:t>
            </w:r>
            <w:r>
              <w:rPr>
                <w:rFonts w:ascii="方正楷体_GBK" w:hAnsi="方正楷体_GBK" w:eastAsia="方正楷体_GBK" w:cs="方正楷体_GBK"/>
                <w:spacing w:val="17"/>
                <w:highlight w:val="none"/>
                <w:lang w:eastAsia="zh-CN"/>
              </w:rPr>
              <w:t xml:space="preserve"> </w:t>
            </w:r>
            <w:r>
              <w:rPr>
                <w:rFonts w:ascii="方正楷体_GBK" w:hAnsi="方正楷体_GBK" w:eastAsia="方正楷体_GBK" w:cs="方正楷体_GBK"/>
                <w:spacing w:val="-4"/>
                <w:highlight w:val="none"/>
                <w:lang w:eastAsia="zh-CN"/>
              </w:rPr>
              <w:t>1</w:t>
            </w:r>
          </w:p>
          <w:p>
            <w:pPr>
              <w:pStyle w:val="21"/>
              <w:spacing w:before="83" w:line="221" w:lineRule="auto"/>
              <w:ind w:left="108"/>
              <w:rPr>
                <w:rFonts w:hint="eastAsia"/>
                <w:highlight w:val="none"/>
                <w:lang w:eastAsia="zh-CN"/>
              </w:rPr>
            </w:pPr>
            <w:r>
              <w:rPr>
                <w:rFonts w:ascii="Times New Roman" w:hAnsi="Times New Roman" w:eastAsia="Times New Roman" w:cs="Times New Roman"/>
                <w:spacing w:val="-1"/>
                <w:highlight w:val="none"/>
                <w:lang w:eastAsia="zh-CN"/>
              </w:rPr>
              <w:t>4</w:t>
            </w:r>
            <w:r>
              <w:rPr>
                <w:spacing w:val="-1"/>
                <w:highlight w:val="none"/>
                <w:lang w:eastAsia="zh-CN"/>
              </w:rPr>
              <w:t>）站房等监控场景名称。</w:t>
            </w:r>
          </w:p>
        </w:tc>
      </w:tr>
    </w:tbl>
    <w:p>
      <w:pPr>
        <w:spacing w:before="270" w:line="219" w:lineRule="auto"/>
        <w:ind w:left="8"/>
        <w:rPr>
          <w:rFonts w:hint="eastAsia" w:ascii="黑体" w:hAnsi="黑体" w:eastAsia="黑体" w:cs="黑体"/>
          <w:highlight w:val="none"/>
        </w:rPr>
      </w:pPr>
      <w:r>
        <w:rPr>
          <w:rFonts w:ascii="黑体" w:hAnsi="黑体" w:eastAsia="黑体" w:cs="黑体"/>
          <w:spacing w:val="-1"/>
          <w:highlight w:val="none"/>
        </w:rPr>
        <w:t>3.5 摄像机属性</w:t>
      </w:r>
    </w:p>
    <w:p>
      <w:pPr>
        <w:pStyle w:val="2"/>
        <w:spacing w:before="264" w:line="234" w:lineRule="auto"/>
        <w:ind w:left="427"/>
        <w:rPr>
          <w:highlight w:val="none"/>
        </w:rPr>
      </w:pPr>
      <w:r>
        <w:rPr>
          <w:rFonts w:eastAsia="Times New Roman"/>
          <w:spacing w:val="-2"/>
          <w:highlight w:val="none"/>
        </w:rPr>
        <w:t>a</w:t>
      </w:r>
      <w:r>
        <w:rPr>
          <w:spacing w:val="-2"/>
          <w:highlight w:val="none"/>
        </w:rPr>
        <w:t>）摄像机具备最大视频图像分辨率属性标注如下：</w:t>
      </w:r>
    </w:p>
    <w:p>
      <w:pPr>
        <w:pStyle w:val="2"/>
        <w:spacing w:before="89" w:line="221" w:lineRule="auto"/>
        <w:ind w:left="864"/>
        <w:rPr>
          <w:highlight w:val="none"/>
        </w:rPr>
      </w:pPr>
      <w:r>
        <w:rPr>
          <w:rFonts w:eastAsia="Times New Roman"/>
          <w:spacing w:val="-3"/>
          <w:highlight w:val="none"/>
        </w:rPr>
        <w:t>1</w:t>
      </w:r>
      <w:r>
        <w:rPr>
          <w:spacing w:val="-3"/>
          <w:highlight w:val="none"/>
        </w:rPr>
        <w:t>）</w:t>
      </w:r>
      <w:r>
        <w:rPr>
          <w:rFonts w:eastAsia="Times New Roman"/>
          <w:spacing w:val="-3"/>
          <w:highlight w:val="none"/>
        </w:rPr>
        <w:t xml:space="preserve">1080P </w:t>
      </w:r>
      <w:r>
        <w:rPr>
          <w:spacing w:val="-3"/>
          <w:highlight w:val="none"/>
        </w:rPr>
        <w:t>视频图像标注：高清。</w:t>
      </w:r>
    </w:p>
    <w:p>
      <w:pPr>
        <w:pStyle w:val="2"/>
        <w:spacing w:before="101" w:line="221" w:lineRule="auto"/>
        <w:ind w:left="844"/>
        <w:rPr>
          <w:highlight w:val="none"/>
        </w:rPr>
      </w:pPr>
      <w:r>
        <w:rPr>
          <w:rFonts w:eastAsia="Times New Roman"/>
          <w:spacing w:val="-3"/>
          <w:highlight w:val="none"/>
        </w:rPr>
        <w:t>2</w:t>
      </w:r>
      <w:r>
        <w:rPr>
          <w:spacing w:val="-3"/>
          <w:highlight w:val="none"/>
        </w:rPr>
        <w:t>）高于</w:t>
      </w:r>
      <w:r>
        <w:rPr>
          <w:spacing w:val="-10"/>
          <w:highlight w:val="none"/>
        </w:rPr>
        <w:t xml:space="preserve"> </w:t>
      </w:r>
      <w:r>
        <w:rPr>
          <w:rFonts w:eastAsia="Times New Roman"/>
          <w:spacing w:val="-3"/>
          <w:highlight w:val="none"/>
        </w:rPr>
        <w:t xml:space="preserve">1080P </w:t>
      </w:r>
      <w:r>
        <w:rPr>
          <w:spacing w:val="-3"/>
          <w:highlight w:val="none"/>
        </w:rPr>
        <w:t>视频图像标注：超清。</w:t>
      </w:r>
    </w:p>
    <w:p>
      <w:pPr>
        <w:pStyle w:val="2"/>
        <w:spacing w:before="105" w:line="272" w:lineRule="auto"/>
        <w:ind w:left="419" w:right="5278" w:firstLine="428"/>
        <w:rPr>
          <w:highlight w:val="none"/>
        </w:rPr>
      </w:pPr>
      <w:r>
        <w:rPr>
          <w:rFonts w:eastAsia="Times New Roman"/>
          <w:spacing w:val="-4"/>
          <w:highlight w:val="none"/>
        </w:rPr>
        <w:t>3</w:t>
      </w:r>
      <w:r>
        <w:rPr>
          <w:spacing w:val="-4"/>
          <w:highlight w:val="none"/>
        </w:rPr>
        <w:t>）低于</w:t>
      </w:r>
      <w:r>
        <w:rPr>
          <w:spacing w:val="-15"/>
          <w:highlight w:val="none"/>
        </w:rPr>
        <w:t xml:space="preserve"> </w:t>
      </w:r>
      <w:r>
        <w:rPr>
          <w:rFonts w:eastAsia="Times New Roman"/>
          <w:spacing w:val="-4"/>
          <w:highlight w:val="none"/>
        </w:rPr>
        <w:t xml:space="preserve">1080P </w:t>
      </w:r>
      <w:r>
        <w:rPr>
          <w:spacing w:val="-4"/>
          <w:highlight w:val="none"/>
        </w:rPr>
        <w:t>视频图像可不标注。</w:t>
      </w:r>
      <w:r>
        <w:rPr>
          <w:highlight w:val="none"/>
        </w:rPr>
        <w:t xml:space="preserve"> </w:t>
      </w:r>
      <w:r>
        <w:rPr>
          <w:rFonts w:eastAsia="Times New Roman"/>
          <w:highlight w:val="none"/>
        </w:rPr>
        <w:t>b</w:t>
      </w:r>
      <w:r>
        <w:rPr>
          <w:highlight w:val="none"/>
        </w:rPr>
        <w:t>）摄像机具备功能属性标注如下：</w:t>
      </w:r>
    </w:p>
    <w:p>
      <w:pPr>
        <w:pStyle w:val="2"/>
        <w:spacing w:before="89" w:line="220" w:lineRule="auto"/>
        <w:ind w:left="864"/>
        <w:rPr>
          <w:highlight w:val="none"/>
        </w:rPr>
      </w:pPr>
      <w:r>
        <w:rPr>
          <w:rFonts w:eastAsia="Times New Roman"/>
          <w:spacing w:val="-1"/>
          <w:highlight w:val="none"/>
        </w:rPr>
        <w:t>1</w:t>
      </w:r>
      <w:r>
        <w:rPr>
          <w:spacing w:val="-1"/>
          <w:highlight w:val="none"/>
        </w:rPr>
        <w:t>）具有网络控制运动参数功能的摄像机属性标注：控。</w:t>
      </w:r>
    </w:p>
    <w:p>
      <w:pPr>
        <w:pStyle w:val="2"/>
        <w:spacing w:before="103" w:line="220" w:lineRule="auto"/>
        <w:ind w:left="844"/>
        <w:rPr>
          <w:highlight w:val="none"/>
        </w:rPr>
      </w:pPr>
      <w:r>
        <w:rPr>
          <w:rFonts w:eastAsia="Times New Roman"/>
          <w:spacing w:val="-1"/>
          <w:highlight w:val="none"/>
        </w:rPr>
        <w:t>2</w:t>
      </w:r>
      <w:r>
        <w:rPr>
          <w:spacing w:val="-1"/>
          <w:highlight w:val="none"/>
        </w:rPr>
        <w:t>）具有前端视频检测功能的摄像机属性标注：检。</w:t>
      </w:r>
    </w:p>
    <w:p>
      <w:pPr>
        <w:pStyle w:val="2"/>
        <w:spacing w:before="105" w:line="220" w:lineRule="auto"/>
        <w:ind w:left="848"/>
        <w:rPr>
          <w:highlight w:val="none"/>
        </w:rPr>
      </w:pPr>
      <w:r>
        <w:rPr>
          <w:rFonts w:eastAsia="Times New Roman"/>
          <w:spacing w:val="-1"/>
          <w:highlight w:val="none"/>
        </w:rPr>
        <w:t>3</w:t>
      </w:r>
      <w:r>
        <w:rPr>
          <w:spacing w:val="-1"/>
          <w:highlight w:val="none"/>
        </w:rPr>
        <w:t>）具备车牌识别功能的摄像机标注：牌识。</w:t>
      </w:r>
    </w:p>
    <w:p>
      <w:pPr>
        <w:pStyle w:val="2"/>
        <w:spacing w:before="102" w:line="220" w:lineRule="auto"/>
        <w:ind w:left="843"/>
        <w:rPr>
          <w:highlight w:val="none"/>
        </w:rPr>
      </w:pPr>
      <w:r>
        <w:rPr>
          <w:rFonts w:eastAsia="Times New Roman"/>
          <w:highlight w:val="none"/>
        </w:rPr>
        <w:t>4</w:t>
      </w:r>
      <w:r>
        <w:rPr>
          <w:highlight w:val="none"/>
        </w:rPr>
        <w:t>）同一摄像机具备多个功能的可同时标注。</w:t>
      </w:r>
    </w:p>
    <w:p>
      <w:pPr>
        <w:pStyle w:val="2"/>
        <w:spacing w:before="42" w:line="220" w:lineRule="auto"/>
        <w:ind w:left="848"/>
        <w:rPr>
          <w:rFonts w:ascii="Arial"/>
          <w:highlight w:val="none"/>
        </w:rPr>
      </w:pPr>
      <w:r>
        <w:rPr>
          <w:rFonts w:eastAsia="Times New Roman"/>
          <w:spacing w:val="-2"/>
          <w:highlight w:val="none"/>
        </w:rPr>
        <w:t>5</w:t>
      </w:r>
      <w:r>
        <w:rPr>
          <w:spacing w:val="-2"/>
          <w:highlight w:val="none"/>
        </w:rPr>
        <w:t>）其他类型摄像机可不标注。</w:t>
      </w:r>
    </w:p>
    <w:p>
      <w:pPr>
        <w:spacing w:before="69" w:line="223" w:lineRule="auto"/>
        <w:ind w:left="5"/>
        <w:rPr>
          <w:rFonts w:hint="eastAsia" w:ascii="黑体" w:hAnsi="黑体" w:eastAsia="黑体" w:cs="黑体"/>
          <w:highlight w:val="none"/>
        </w:rPr>
      </w:pPr>
      <w:r>
        <w:rPr>
          <w:rFonts w:ascii="黑体" w:hAnsi="黑体" w:eastAsia="黑体" w:cs="黑体"/>
          <w:spacing w:val="-3"/>
          <w:highlight w:val="none"/>
        </w:rPr>
        <w:t>3.6</w:t>
      </w:r>
      <w:r>
        <w:rPr>
          <w:rFonts w:ascii="黑体" w:hAnsi="黑体" w:eastAsia="黑体" w:cs="黑体"/>
          <w:spacing w:val="15"/>
          <w:highlight w:val="none"/>
        </w:rPr>
        <w:t xml:space="preserve"> </w:t>
      </w:r>
      <w:r>
        <w:rPr>
          <w:rFonts w:ascii="黑体" w:hAnsi="黑体" w:eastAsia="黑体" w:cs="黑体"/>
          <w:spacing w:val="-3"/>
          <w:highlight w:val="none"/>
        </w:rPr>
        <w:t>用途标签</w:t>
      </w:r>
    </w:p>
    <w:p>
      <w:pPr>
        <w:pStyle w:val="2"/>
        <w:spacing w:before="259" w:line="221" w:lineRule="auto"/>
        <w:ind w:left="427"/>
        <w:rPr>
          <w:highlight w:val="none"/>
        </w:rPr>
      </w:pPr>
      <w:r>
        <w:rPr>
          <w:spacing w:val="-3"/>
          <w:highlight w:val="none"/>
        </w:rPr>
        <w:t>用途标签分类要求如下：</w:t>
      </w:r>
    </w:p>
    <w:p>
      <w:pPr>
        <w:pStyle w:val="2"/>
        <w:spacing w:before="104" w:line="234" w:lineRule="auto"/>
        <w:ind w:left="425"/>
        <w:rPr>
          <w:highlight w:val="none"/>
        </w:rPr>
      </w:pPr>
      <w:r>
        <w:rPr>
          <w:rFonts w:eastAsia="Times New Roman"/>
          <w:spacing w:val="-1"/>
          <w:highlight w:val="none"/>
        </w:rPr>
        <w:t>a</w:t>
      </w:r>
      <w:r>
        <w:rPr>
          <w:spacing w:val="-1"/>
          <w:highlight w:val="none"/>
        </w:rPr>
        <w:t>）上云类：指上传至交通部的视频图像。可标注为上云。</w:t>
      </w:r>
    </w:p>
    <w:p>
      <w:pPr>
        <w:pStyle w:val="2"/>
        <w:spacing w:before="89" w:line="299" w:lineRule="auto"/>
        <w:ind w:left="7" w:firstLine="410"/>
        <w:rPr>
          <w:highlight w:val="none"/>
        </w:rPr>
      </w:pPr>
      <w:r>
        <w:rPr>
          <w:rFonts w:eastAsia="Times New Roman"/>
          <w:highlight w:val="none"/>
        </w:rPr>
        <w:t>b</w:t>
      </w:r>
      <w:r>
        <w:rPr>
          <w:highlight w:val="none"/>
        </w:rPr>
        <w:t>）监控类：指除了上云图像以外、用于路网监测、交通管理的视频图像，主要覆盖社会车</w:t>
      </w:r>
      <w:r>
        <w:rPr>
          <w:spacing w:val="-1"/>
          <w:highlight w:val="none"/>
        </w:rPr>
        <w:t>辆通行</w:t>
      </w:r>
      <w:r>
        <w:rPr>
          <w:highlight w:val="none"/>
        </w:rPr>
        <w:t xml:space="preserve"> </w:t>
      </w:r>
      <w:r>
        <w:rPr>
          <w:spacing w:val="-3"/>
          <w:highlight w:val="none"/>
        </w:rPr>
        <w:t>区域。包括外场沿线（含门架监控）、互通立交、隧道洞口和洞内、隧道横通门、桥梁、收费广场、服</w:t>
      </w:r>
      <w:r>
        <w:rPr>
          <w:spacing w:val="18"/>
          <w:highlight w:val="none"/>
        </w:rPr>
        <w:t xml:space="preserve"> </w:t>
      </w:r>
      <w:r>
        <w:rPr>
          <w:spacing w:val="-2"/>
          <w:highlight w:val="none"/>
        </w:rPr>
        <w:t>务区广场、避险车道等。可标注为监控。</w:t>
      </w:r>
    </w:p>
    <w:p>
      <w:pPr>
        <w:pStyle w:val="2"/>
        <w:spacing w:before="39" w:line="303" w:lineRule="auto"/>
        <w:ind w:left="6" w:right="3" w:firstLine="418"/>
        <w:rPr>
          <w:highlight w:val="none"/>
        </w:rPr>
      </w:pPr>
      <w:r>
        <w:rPr>
          <w:rFonts w:eastAsia="Times New Roman"/>
          <w:highlight w:val="none"/>
        </w:rPr>
        <w:t>c</w:t>
      </w:r>
      <w:r>
        <w:rPr>
          <w:highlight w:val="none"/>
        </w:rPr>
        <w:t>）管理类：指用于收费、运行、养护、服务区、机电等营运业务的视频图像，主要覆盖营运</w:t>
      </w:r>
      <w:r>
        <w:rPr>
          <w:spacing w:val="-1"/>
          <w:highlight w:val="none"/>
        </w:rPr>
        <w:t>业务</w:t>
      </w:r>
      <w:r>
        <w:rPr>
          <w:highlight w:val="none"/>
        </w:rPr>
        <w:t xml:space="preserve"> </w:t>
      </w:r>
      <w:r>
        <w:rPr>
          <w:spacing w:val="-1"/>
          <w:highlight w:val="none"/>
        </w:rPr>
        <w:t>作业及管理区域。包括收费站车道、亭、机房等，</w:t>
      </w:r>
      <w:r>
        <w:rPr>
          <w:rFonts w:eastAsia="Times New Roman"/>
          <w:spacing w:val="-1"/>
          <w:highlight w:val="none"/>
        </w:rPr>
        <w:t>ETC</w:t>
      </w:r>
      <w:r>
        <w:rPr>
          <w:rFonts w:eastAsia="Times New Roman"/>
          <w:spacing w:val="41"/>
          <w:w w:val="101"/>
          <w:highlight w:val="none"/>
        </w:rPr>
        <w:t xml:space="preserve"> </w:t>
      </w:r>
      <w:r>
        <w:rPr>
          <w:spacing w:val="-1"/>
          <w:highlight w:val="none"/>
        </w:rPr>
        <w:t>门架、配电房、桥梁监测等视频。可标注为管</w:t>
      </w:r>
      <w:r>
        <w:rPr>
          <w:highlight w:val="none"/>
        </w:rPr>
        <w:t xml:space="preserve"> </w:t>
      </w:r>
      <w:r>
        <w:rPr>
          <w:spacing w:val="-10"/>
          <w:highlight w:val="none"/>
        </w:rPr>
        <w:t>理。</w:t>
      </w:r>
    </w:p>
    <w:p>
      <w:pPr>
        <w:pStyle w:val="2"/>
        <w:spacing w:before="31" w:line="234" w:lineRule="auto"/>
        <w:ind w:left="424"/>
        <w:rPr>
          <w:highlight w:val="none"/>
        </w:rPr>
      </w:pPr>
      <w:r>
        <w:rPr>
          <w:rFonts w:eastAsia="Times New Roman"/>
          <w:spacing w:val="-1"/>
          <w:highlight w:val="none"/>
        </w:rPr>
        <w:t>d</w:t>
      </w:r>
      <w:r>
        <w:rPr>
          <w:spacing w:val="-1"/>
          <w:highlight w:val="none"/>
        </w:rPr>
        <w:t>）其他类。</w:t>
      </w:r>
    </w:p>
    <w:p>
      <w:pPr>
        <w:spacing w:line="253" w:lineRule="auto"/>
        <w:rPr>
          <w:rFonts w:ascii="Arial"/>
          <w:highlight w:val="none"/>
        </w:rPr>
      </w:pPr>
    </w:p>
    <w:p>
      <w:pPr>
        <w:spacing w:before="68" w:line="221" w:lineRule="auto"/>
        <w:ind w:left="5"/>
        <w:rPr>
          <w:rFonts w:hint="eastAsia" w:ascii="黑体" w:hAnsi="黑体" w:eastAsia="黑体" w:cs="黑体"/>
          <w:highlight w:val="none"/>
        </w:rPr>
      </w:pPr>
      <w:r>
        <w:rPr>
          <w:rFonts w:ascii="黑体" w:hAnsi="黑体" w:eastAsia="黑体" w:cs="黑体"/>
          <w:spacing w:val="-1"/>
          <w:highlight w:val="none"/>
        </w:rPr>
        <w:t>3.7 管理单位信息</w:t>
      </w:r>
    </w:p>
    <w:p>
      <w:pPr>
        <w:pStyle w:val="2"/>
        <w:spacing w:before="266" w:line="289" w:lineRule="auto"/>
        <w:ind w:left="5" w:right="248" w:firstLine="425"/>
        <w:rPr>
          <w:highlight w:val="none"/>
        </w:rPr>
      </w:pPr>
      <w:r>
        <w:rPr>
          <w:highlight w:val="none"/>
        </w:rPr>
        <w:t>管理单位信息标注为管理单位简称。具备多级管理组织的单位，可在组织层级</w:t>
      </w:r>
      <w:r>
        <w:rPr>
          <w:spacing w:val="-1"/>
          <w:highlight w:val="none"/>
        </w:rPr>
        <w:t>间用“</w:t>
      </w:r>
      <w:r>
        <w:rPr>
          <w:rFonts w:eastAsia="Times New Roman"/>
          <w:spacing w:val="-1"/>
          <w:highlight w:val="none"/>
        </w:rPr>
        <w:t>/</w:t>
      </w:r>
      <w:r>
        <w:rPr>
          <w:spacing w:val="-1"/>
          <w:highlight w:val="none"/>
        </w:rPr>
        <w:t>”连接标</w:t>
      </w:r>
      <w:r>
        <w:rPr>
          <w:highlight w:val="none"/>
        </w:rPr>
        <w:t xml:space="preserve"> </w:t>
      </w:r>
      <w:r>
        <w:rPr>
          <w:spacing w:val="-10"/>
          <w:highlight w:val="none"/>
        </w:rPr>
        <w:t>注。</w:t>
      </w:r>
    </w:p>
    <w:p>
      <w:pPr>
        <w:spacing w:before="52" w:line="225" w:lineRule="auto"/>
        <w:ind w:left="433"/>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示例：渝蓉监控、万利万达/酉阳监控、南方/界水监控</w:t>
      </w:r>
    </w:p>
    <w:p>
      <w:pPr>
        <w:spacing w:line="258"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highlight w:val="none"/>
        </w:rPr>
        <w:t>4   移动视频标注内容</w:t>
      </w:r>
    </w:p>
    <w:p>
      <w:pPr>
        <w:spacing w:before="262" w:line="221" w:lineRule="auto"/>
        <w:rPr>
          <w:rFonts w:hint="eastAsia" w:ascii="黑体" w:hAnsi="黑体" w:eastAsia="黑体" w:cs="黑体"/>
          <w:highlight w:val="none"/>
        </w:rPr>
      </w:pPr>
      <w:r>
        <w:rPr>
          <w:rFonts w:ascii="黑体" w:hAnsi="黑体" w:eastAsia="黑体" w:cs="黑体"/>
          <w:highlight w:val="none"/>
        </w:rPr>
        <w:t>4.1 基本格式</w:t>
      </w:r>
    </w:p>
    <w:p>
      <w:pPr>
        <w:pStyle w:val="2"/>
        <w:spacing w:before="262" w:line="299" w:lineRule="auto"/>
        <w:ind w:left="8" w:right="27" w:firstLine="418"/>
        <w:rPr>
          <w:highlight w:val="none"/>
        </w:rPr>
      </w:pPr>
      <w:r>
        <w:rPr>
          <w:highlight w:val="none"/>
        </w:rPr>
        <w:t>移动视频图像左上角区域标注格式：重庆</w:t>
      </w:r>
      <w:r>
        <w:rPr>
          <w:rFonts w:eastAsia="Times New Roman"/>
          <w:highlight w:val="none"/>
        </w:rPr>
        <w:t>-</w:t>
      </w:r>
      <w:r>
        <w:rPr>
          <w:highlight w:val="none"/>
        </w:rPr>
        <w:t>管理单位简称</w:t>
      </w:r>
      <w:r>
        <w:rPr>
          <w:rFonts w:eastAsia="Times New Roman"/>
          <w:highlight w:val="none"/>
        </w:rPr>
        <w:t>-</w:t>
      </w:r>
      <w:r>
        <w:rPr>
          <w:highlight w:val="none"/>
        </w:rPr>
        <w:t>移动设备</w:t>
      </w:r>
      <w:r>
        <w:rPr>
          <w:rFonts w:eastAsia="Times New Roman"/>
          <w:highlight w:val="none"/>
        </w:rPr>
        <w:t>-</w:t>
      </w:r>
      <w:r>
        <w:rPr>
          <w:highlight w:val="none"/>
        </w:rPr>
        <w:t>摄像机编号（若有）</w:t>
      </w:r>
      <w:r>
        <w:rPr>
          <w:rFonts w:eastAsia="Times New Roman"/>
          <w:highlight w:val="none"/>
        </w:rPr>
        <w:t>-</w:t>
      </w:r>
      <w:r>
        <w:rPr>
          <w:spacing w:val="-1"/>
          <w:highlight w:val="none"/>
        </w:rPr>
        <w:t>摄像机属</w:t>
      </w:r>
      <w:r>
        <w:rPr>
          <w:highlight w:val="none"/>
        </w:rPr>
        <w:t xml:space="preserve"> </w:t>
      </w:r>
      <w:r>
        <w:rPr>
          <w:spacing w:val="-15"/>
          <w:highlight w:val="none"/>
        </w:rPr>
        <w:t>性（若有）。</w:t>
      </w:r>
    </w:p>
    <w:p>
      <w:pPr>
        <w:pStyle w:val="2"/>
        <w:spacing w:before="30" w:line="220" w:lineRule="auto"/>
        <w:ind w:left="431"/>
        <w:rPr>
          <w:highlight w:val="none"/>
        </w:rPr>
      </w:pPr>
      <w:r>
        <w:rPr>
          <w:highlight w:val="none"/>
        </w:rPr>
        <w:t>管理单位简称、摄像机编号、摄像机属性符合“</w:t>
      </w:r>
      <w:r>
        <w:rPr>
          <w:rFonts w:eastAsia="Times New Roman"/>
          <w:highlight w:val="none"/>
        </w:rPr>
        <w:t xml:space="preserve">3  </w:t>
      </w:r>
      <w:r>
        <w:rPr>
          <w:highlight w:val="none"/>
        </w:rPr>
        <w:t>固定</w:t>
      </w:r>
      <w:r>
        <w:rPr>
          <w:spacing w:val="-1"/>
          <w:highlight w:val="none"/>
        </w:rPr>
        <w:t>视频标注内容”。</w:t>
      </w:r>
    </w:p>
    <w:p>
      <w:pPr>
        <w:spacing w:line="270" w:lineRule="auto"/>
        <w:rPr>
          <w:rFonts w:ascii="Arial"/>
          <w:highlight w:val="none"/>
        </w:rPr>
      </w:pPr>
    </w:p>
    <w:p>
      <w:pPr>
        <w:spacing w:before="68" w:line="220" w:lineRule="auto"/>
        <w:rPr>
          <w:rFonts w:hint="eastAsia" w:ascii="黑体" w:hAnsi="黑体" w:eastAsia="黑体" w:cs="黑体"/>
          <w:highlight w:val="none"/>
        </w:rPr>
      </w:pPr>
      <w:r>
        <w:rPr>
          <w:rFonts w:ascii="黑体" w:hAnsi="黑体" w:eastAsia="黑体" w:cs="黑体"/>
          <w:highlight w:val="none"/>
        </w:rPr>
        <w:t>4.2 移动设备</w:t>
      </w:r>
    </w:p>
    <w:p>
      <w:pPr>
        <w:pStyle w:val="2"/>
        <w:spacing w:before="266" w:line="221" w:lineRule="auto"/>
        <w:ind w:left="427"/>
        <w:rPr>
          <w:highlight w:val="none"/>
        </w:rPr>
      </w:pPr>
      <w:r>
        <w:rPr>
          <w:spacing w:val="-1"/>
          <w:highlight w:val="none"/>
        </w:rPr>
        <w:t>移动设备标注由移动设备的名称和编号组成，分类：</w:t>
      </w:r>
    </w:p>
    <w:p>
      <w:pPr>
        <w:pStyle w:val="2"/>
        <w:spacing w:before="103" w:line="289" w:lineRule="auto"/>
        <w:ind w:left="12" w:right="145" w:firstLine="413"/>
        <w:rPr>
          <w:highlight w:val="none"/>
        </w:rPr>
      </w:pPr>
      <w:r>
        <w:rPr>
          <w:rFonts w:eastAsia="Times New Roman"/>
          <w:spacing w:val="-8"/>
          <w:highlight w:val="none"/>
        </w:rPr>
        <w:t>a</w:t>
      </w:r>
      <w:r>
        <w:rPr>
          <w:spacing w:val="-8"/>
          <w:highlight w:val="none"/>
        </w:rPr>
        <w:t>）车辆类：移动设备名称包括巡查车（巡查）、指挥车（指挥）、拖车、吊车、工程车（工程</w:t>
      </w:r>
      <w:r>
        <w:rPr>
          <w:spacing w:val="-9"/>
          <w:highlight w:val="none"/>
        </w:rPr>
        <w:t>）、</w:t>
      </w:r>
      <w:r>
        <w:rPr>
          <w:highlight w:val="none"/>
        </w:rPr>
        <w:t xml:space="preserve"> </w:t>
      </w:r>
      <w:r>
        <w:rPr>
          <w:spacing w:val="-2"/>
          <w:highlight w:val="none"/>
        </w:rPr>
        <w:t>公务车（公务）等；编号为车牌号。</w:t>
      </w:r>
    </w:p>
    <w:p>
      <w:pPr>
        <w:pStyle w:val="2"/>
        <w:spacing w:before="50" w:line="289" w:lineRule="auto"/>
        <w:ind w:left="40" w:right="99" w:firstLine="377"/>
        <w:rPr>
          <w:highlight w:val="none"/>
        </w:rPr>
      </w:pPr>
      <w:r>
        <w:rPr>
          <w:rFonts w:eastAsia="Times New Roman"/>
          <w:spacing w:val="-3"/>
          <w:highlight w:val="none"/>
        </w:rPr>
        <w:t>b</w:t>
      </w:r>
      <w:r>
        <w:rPr>
          <w:spacing w:val="-3"/>
          <w:highlight w:val="none"/>
        </w:rPr>
        <w:t>）其他类：移动设备名称包括单兵设备（单兵）、无人机、布控球等；编号可采用不超过</w:t>
      </w:r>
      <w:r>
        <w:rPr>
          <w:spacing w:val="-23"/>
          <w:highlight w:val="none"/>
        </w:rPr>
        <w:t xml:space="preserve"> </w:t>
      </w:r>
      <w:r>
        <w:rPr>
          <w:rFonts w:eastAsia="Times New Roman"/>
          <w:spacing w:val="-3"/>
          <w:highlight w:val="none"/>
        </w:rPr>
        <w:t xml:space="preserve">8 </w:t>
      </w:r>
      <w:r>
        <w:rPr>
          <w:spacing w:val="-3"/>
          <w:highlight w:val="none"/>
        </w:rPr>
        <w:t>位的</w:t>
      </w:r>
      <w:r>
        <w:rPr>
          <w:highlight w:val="none"/>
        </w:rPr>
        <w:t xml:space="preserve"> </w:t>
      </w:r>
      <w:r>
        <w:rPr>
          <w:spacing w:val="-10"/>
          <w:highlight w:val="none"/>
        </w:rPr>
        <w:t>自编号。</w:t>
      </w:r>
    </w:p>
    <w:p>
      <w:pPr>
        <w:spacing w:line="289" w:lineRule="auto"/>
        <w:rPr>
          <w:highlight w:val="none"/>
        </w:rPr>
        <w:sectPr>
          <w:footerReference r:id="rId8" w:type="default"/>
          <w:pgSz w:w="11907" w:h="16839"/>
          <w:pgMar w:top="1122" w:right="1429" w:bottom="1168" w:left="1135" w:header="0" w:footer="991" w:gutter="0"/>
          <w:cols w:space="720" w:num="1"/>
        </w:sectPr>
      </w:pPr>
    </w:p>
    <w:p>
      <w:pPr>
        <w:spacing w:before="43" w:line="219" w:lineRule="auto"/>
        <w:ind w:left="6"/>
        <w:rPr>
          <w:rFonts w:hint="eastAsia" w:ascii="黑体" w:hAnsi="黑体" w:eastAsia="黑体" w:cs="黑体"/>
          <w:highlight w:val="none"/>
        </w:rPr>
      </w:pPr>
      <w:r>
        <w:rPr>
          <w:rFonts w:ascii="黑体" w:hAnsi="黑体" w:eastAsia="黑体" w:cs="黑体"/>
          <w:spacing w:val="-5"/>
          <w:highlight w:val="none"/>
        </w:rPr>
        <w:t>编制说明：</w:t>
      </w:r>
    </w:p>
    <w:p>
      <w:pPr>
        <w:spacing w:line="266" w:lineRule="auto"/>
        <w:rPr>
          <w:rFonts w:ascii="Arial"/>
          <w:highlight w:val="none"/>
        </w:rPr>
      </w:pPr>
    </w:p>
    <w:p>
      <w:pPr>
        <w:pStyle w:val="2"/>
        <w:spacing w:before="68" w:line="220" w:lineRule="auto"/>
        <w:ind w:left="431"/>
        <w:rPr>
          <w:highlight w:val="none"/>
        </w:rPr>
      </w:pPr>
      <w:r>
        <w:rPr>
          <w:spacing w:val="-1"/>
          <w:highlight w:val="none"/>
        </w:rPr>
        <w:t>为了更好便于说明标注要求，列举下列示例，供参考。</w:t>
      </w:r>
    </w:p>
    <w:p>
      <w:pPr>
        <w:spacing w:before="61"/>
        <w:rPr>
          <w:highlight w:val="none"/>
        </w:rPr>
      </w:pPr>
    </w:p>
    <w:tbl>
      <w:tblPr>
        <w:tblStyle w:val="20"/>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2"/>
        <w:gridCol w:w="5526"/>
        <w:gridCol w:w="2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42" w:type="dxa"/>
          </w:tcPr>
          <w:p>
            <w:pPr>
              <w:pStyle w:val="21"/>
              <w:spacing w:before="144" w:line="221" w:lineRule="auto"/>
              <w:ind w:left="508"/>
              <w:rPr>
                <w:rFonts w:hint="eastAsia"/>
                <w:highlight w:val="none"/>
              </w:rPr>
            </w:pPr>
            <w:r>
              <w:rPr>
                <w:b/>
                <w:bCs/>
                <w:spacing w:val="-4"/>
                <w:highlight w:val="none"/>
              </w:rPr>
              <w:t>示例场景</w:t>
            </w:r>
          </w:p>
        </w:tc>
        <w:tc>
          <w:tcPr>
            <w:tcW w:w="5526" w:type="dxa"/>
          </w:tcPr>
          <w:p>
            <w:pPr>
              <w:pStyle w:val="21"/>
              <w:spacing w:before="144" w:line="220" w:lineRule="auto"/>
              <w:ind w:left="1399"/>
              <w:rPr>
                <w:rFonts w:hint="eastAsia"/>
                <w:highlight w:val="none"/>
                <w:lang w:eastAsia="zh-CN"/>
              </w:rPr>
            </w:pPr>
            <w:r>
              <w:rPr>
                <w:b/>
                <w:bCs/>
                <w:spacing w:val="-4"/>
                <w:highlight w:val="none"/>
                <w:lang w:eastAsia="zh-CN"/>
              </w:rPr>
              <w:t>左上角区域标注内容（示例）</w:t>
            </w:r>
          </w:p>
        </w:tc>
        <w:tc>
          <w:tcPr>
            <w:tcW w:w="2267" w:type="dxa"/>
          </w:tcPr>
          <w:p>
            <w:pPr>
              <w:pStyle w:val="21"/>
              <w:spacing w:before="144" w:line="220" w:lineRule="auto"/>
              <w:ind w:left="194"/>
              <w:rPr>
                <w:rFonts w:hint="eastAsia"/>
                <w:highlight w:val="none"/>
              </w:rPr>
            </w:pPr>
            <w:r>
              <w:rPr>
                <w:b/>
                <w:bCs/>
                <w:spacing w:val="-3"/>
                <w:highlight w:val="none"/>
              </w:rPr>
              <w:t>左下角区域标注内容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2" w:line="221" w:lineRule="auto"/>
              <w:ind w:left="720"/>
              <w:rPr>
                <w:rFonts w:hint="eastAsia"/>
                <w:highlight w:val="none"/>
              </w:rPr>
            </w:pPr>
            <w:r>
              <w:rPr>
                <w:spacing w:val="-2"/>
                <w:highlight w:val="none"/>
              </w:rPr>
              <w:t>路段</w:t>
            </w:r>
          </w:p>
        </w:tc>
        <w:tc>
          <w:tcPr>
            <w:tcW w:w="5526" w:type="dxa"/>
          </w:tcPr>
          <w:p>
            <w:pPr>
              <w:spacing w:before="32" w:line="281" w:lineRule="auto"/>
              <w:ind w:left="108" w:right="10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重庆-G5001 重庆绕城-外场沿线-</w:t>
            </w:r>
            <w:r>
              <w:rPr>
                <w:rFonts w:ascii="方正楷体_GBK" w:hAnsi="方正楷体_GBK" w:eastAsia="方正楷体_GBK" w:cs="方正楷体_GBK"/>
                <w:spacing w:val="2"/>
                <w:highlight w:val="none"/>
              </w:rPr>
              <w:t>西彭至双福北</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K102+300-双向-西南-高清控</w:t>
            </w:r>
          </w:p>
        </w:tc>
        <w:tc>
          <w:tcPr>
            <w:tcW w:w="2267" w:type="dxa"/>
          </w:tcPr>
          <w:p>
            <w:pPr>
              <w:spacing w:before="228" w:line="23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上云-绕城监控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842" w:type="dxa"/>
          </w:tcPr>
          <w:p>
            <w:pPr>
              <w:pStyle w:val="21"/>
              <w:spacing w:before="241" w:line="222" w:lineRule="auto"/>
              <w:ind w:left="513"/>
              <w:rPr>
                <w:rFonts w:hint="eastAsia"/>
                <w:highlight w:val="none"/>
              </w:rPr>
            </w:pPr>
            <w:r>
              <w:rPr>
                <w:spacing w:val="-3"/>
                <w:highlight w:val="none"/>
              </w:rPr>
              <w:t>互通立交</w:t>
            </w:r>
          </w:p>
        </w:tc>
        <w:tc>
          <w:tcPr>
            <w:tcW w:w="5526" w:type="dxa"/>
          </w:tcPr>
          <w:p>
            <w:pPr>
              <w:spacing w:before="33" w:line="281" w:lineRule="auto"/>
              <w:ind w:left="108" w:right="24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重庆-G5013 渝蓉高速-璧山互通</w:t>
            </w:r>
            <w:r>
              <w:rPr>
                <w:rFonts w:ascii="方正楷体_GBK" w:hAnsi="方正楷体_GBK" w:eastAsia="方正楷体_GBK" w:cs="方正楷体_GBK"/>
                <w:spacing w:val="8"/>
                <w:highlight w:val="none"/>
              </w:rPr>
              <w:t xml:space="preserve"> </w:t>
            </w:r>
            <w:r>
              <w:rPr>
                <w:rFonts w:ascii="方正楷体_GBK" w:hAnsi="方正楷体_GBK" w:eastAsia="方正楷体_GBK" w:cs="方正楷体_GBK"/>
                <w:spacing w:val="4"/>
                <w:highlight w:val="none"/>
              </w:rPr>
              <w:t>K1010+300-下行-西-超清检</w:t>
            </w:r>
          </w:p>
        </w:tc>
        <w:tc>
          <w:tcPr>
            <w:tcW w:w="2267" w:type="dxa"/>
          </w:tcPr>
          <w:p>
            <w:pPr>
              <w:spacing w:before="228" w:line="225"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监控-渝蓉监控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0" w:line="221" w:lineRule="auto"/>
              <w:ind w:left="613"/>
              <w:rPr>
                <w:rFonts w:hint="eastAsia"/>
                <w:highlight w:val="none"/>
              </w:rPr>
            </w:pPr>
            <w:r>
              <w:rPr>
                <w:spacing w:val="-2"/>
                <w:highlight w:val="none"/>
              </w:rPr>
              <w:t>服务区</w:t>
            </w:r>
          </w:p>
        </w:tc>
        <w:tc>
          <w:tcPr>
            <w:tcW w:w="5526" w:type="dxa"/>
          </w:tcPr>
          <w:p>
            <w:pPr>
              <w:spacing w:before="32" w:line="281" w:lineRule="auto"/>
              <w:ind w:left="108" w:right="112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重庆-G65</w:t>
            </w:r>
            <w:r>
              <w:rPr>
                <w:rFonts w:ascii="方正楷体_GBK" w:hAnsi="方正楷体_GBK" w:eastAsia="方正楷体_GBK" w:cs="方正楷体_GBK"/>
                <w:spacing w:val="43"/>
                <w:w w:val="101"/>
                <w:highlight w:val="none"/>
              </w:rPr>
              <w:t xml:space="preserve"> </w:t>
            </w:r>
            <w:r>
              <w:rPr>
                <w:rFonts w:ascii="方正楷体_GBK" w:hAnsi="方正楷体_GBK" w:eastAsia="方正楷体_GBK" w:cs="方正楷体_GBK"/>
                <w:spacing w:val="3"/>
                <w:highlight w:val="none"/>
              </w:rPr>
              <w:t>包茂高速-界水/界石服务区-停车区</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5"/>
                <w:highlight w:val="none"/>
              </w:rPr>
              <w:t>K1725+300-2-下行-西-高清控</w:t>
            </w:r>
          </w:p>
        </w:tc>
        <w:tc>
          <w:tcPr>
            <w:tcW w:w="2267" w:type="dxa"/>
          </w:tcPr>
          <w:p>
            <w:pPr>
              <w:spacing w:before="228" w:line="229"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监控-南方/界水监控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1" w:line="222" w:lineRule="auto"/>
              <w:ind w:left="309"/>
              <w:rPr>
                <w:rFonts w:hint="eastAsia"/>
                <w:highlight w:val="none"/>
              </w:rPr>
            </w:pPr>
            <w:r>
              <w:rPr>
                <w:spacing w:val="-3"/>
                <w:highlight w:val="none"/>
              </w:rPr>
              <w:t>隧道（洞口）</w:t>
            </w:r>
          </w:p>
        </w:tc>
        <w:tc>
          <w:tcPr>
            <w:tcW w:w="5526" w:type="dxa"/>
          </w:tcPr>
          <w:p>
            <w:pPr>
              <w:spacing w:before="35" w:line="280" w:lineRule="auto"/>
              <w:ind w:left="108" w:right="134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重庆-G85 银昆高速-成渝/中梁山隧</w:t>
            </w:r>
            <w:r>
              <w:rPr>
                <w:rFonts w:ascii="方正楷体_GBK" w:hAnsi="方正楷体_GBK" w:eastAsia="方正楷体_GBK" w:cs="方正楷体_GBK"/>
                <w:spacing w:val="4"/>
                <w:highlight w:val="none"/>
              </w:rPr>
              <w:t>道-西口</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K112+200-下行-西-高清控检</w:t>
            </w:r>
          </w:p>
        </w:tc>
        <w:tc>
          <w:tcPr>
            <w:tcW w:w="2267" w:type="dxa"/>
          </w:tcPr>
          <w:p>
            <w:pPr>
              <w:spacing w:before="226"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上云-成渝监控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1" w:line="221" w:lineRule="auto"/>
              <w:ind w:left="309"/>
              <w:rPr>
                <w:rFonts w:hint="eastAsia"/>
                <w:highlight w:val="none"/>
              </w:rPr>
            </w:pPr>
            <w:r>
              <w:rPr>
                <w:spacing w:val="-3"/>
                <w:highlight w:val="none"/>
              </w:rPr>
              <w:t>隧道（洞内）</w:t>
            </w:r>
          </w:p>
        </w:tc>
        <w:tc>
          <w:tcPr>
            <w:tcW w:w="5526" w:type="dxa"/>
          </w:tcPr>
          <w:p>
            <w:pPr>
              <w:spacing w:before="35" w:line="280" w:lineRule="auto"/>
              <w:ind w:left="108" w:right="1185"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重庆-G85 银昆高速-成渝/中梁山隧道-下行 5</w:t>
            </w:r>
            <w:r>
              <w:rPr>
                <w:rFonts w:ascii="方正楷体_GBK" w:hAnsi="方正楷体_GBK" w:eastAsia="方正楷体_GBK" w:cs="方正楷体_GBK"/>
                <w:spacing w:val="10"/>
                <w:highlight w:val="none"/>
              </w:rPr>
              <w:t xml:space="preserve"> </w:t>
            </w:r>
            <w:r>
              <w:rPr>
                <w:rFonts w:ascii="方正楷体_GBK" w:hAnsi="方正楷体_GBK" w:eastAsia="方正楷体_GBK" w:cs="方正楷体_GBK"/>
                <w:spacing w:val="5"/>
                <w:highlight w:val="none"/>
              </w:rPr>
              <w:t>K113+100-下行-西-高清检</w:t>
            </w:r>
          </w:p>
        </w:tc>
        <w:tc>
          <w:tcPr>
            <w:tcW w:w="2267" w:type="dxa"/>
          </w:tcPr>
          <w:p>
            <w:pPr>
              <w:spacing w:before="227" w:line="225"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监控-成渝监控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842" w:type="dxa"/>
          </w:tcPr>
          <w:p>
            <w:pPr>
              <w:pStyle w:val="21"/>
              <w:spacing w:before="242" w:line="221" w:lineRule="auto"/>
              <w:ind w:left="298"/>
              <w:rPr>
                <w:rFonts w:hint="eastAsia"/>
                <w:highlight w:val="none"/>
              </w:rPr>
            </w:pPr>
            <w:r>
              <w:rPr>
                <w:spacing w:val="-1"/>
                <w:highlight w:val="none"/>
              </w:rPr>
              <w:t>桥梁（路面）</w:t>
            </w:r>
          </w:p>
        </w:tc>
        <w:tc>
          <w:tcPr>
            <w:tcW w:w="5526" w:type="dxa"/>
          </w:tcPr>
          <w:p>
            <w:pPr>
              <w:spacing w:before="36" w:line="279" w:lineRule="auto"/>
              <w:ind w:left="108" w:right="2466" w:firstLine="8"/>
              <w:rPr>
                <w:rFonts w:hint="eastAsia" w:ascii="方正楷体_GBK" w:hAnsi="方正楷体_GBK" w:eastAsia="方正楷体_GBK" w:cs="方正楷体_GBK"/>
                <w:highlight w:val="none"/>
              </w:rPr>
            </w:pPr>
            <w:r>
              <w:rPr>
                <w:rFonts w:ascii="方正楷体_GBK" w:hAnsi="方正楷体_GBK" w:eastAsia="方正楷体_GBK" w:cs="方正楷体_GBK"/>
                <w:highlight w:val="none"/>
              </w:rPr>
              <w:t>重庆-S21</w:t>
            </w:r>
            <w:r>
              <w:rPr>
                <w:rFonts w:ascii="方正楷体_GBK" w:hAnsi="方正楷体_GBK" w:eastAsia="方正楷体_GBK" w:cs="方正楷体_GBK"/>
                <w:spacing w:val="32"/>
                <w:w w:val="101"/>
                <w:highlight w:val="none"/>
              </w:rPr>
              <w:t xml:space="preserve"> </w:t>
            </w:r>
            <w:r>
              <w:rPr>
                <w:rFonts w:ascii="方正楷体_GBK" w:hAnsi="方正楷体_GBK" w:eastAsia="方正楷体_GBK" w:cs="方正楷体_GBK"/>
                <w:highlight w:val="none"/>
              </w:rPr>
              <w:t xml:space="preserve">江习高速-笋溪河大桥 </w:t>
            </w:r>
            <w:r>
              <w:rPr>
                <w:rFonts w:ascii="方正楷体_GBK" w:hAnsi="方正楷体_GBK" w:eastAsia="方正楷体_GBK" w:cs="方正楷体_GBK"/>
                <w:spacing w:val="5"/>
                <w:highlight w:val="none"/>
              </w:rPr>
              <w:t>K103+200-上行-南-超清控</w:t>
            </w:r>
          </w:p>
        </w:tc>
        <w:tc>
          <w:tcPr>
            <w:tcW w:w="2267" w:type="dxa"/>
          </w:tcPr>
          <w:p>
            <w:pPr>
              <w:spacing w:before="239" w:line="204"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上云-江习监控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4" w:line="221" w:lineRule="auto"/>
              <w:ind w:left="508"/>
              <w:rPr>
                <w:rFonts w:hint="eastAsia"/>
                <w:highlight w:val="none"/>
              </w:rPr>
            </w:pPr>
            <w:r>
              <w:rPr>
                <w:spacing w:val="-1"/>
                <w:highlight w:val="none"/>
              </w:rPr>
              <w:t>避险车道</w:t>
            </w:r>
          </w:p>
        </w:tc>
        <w:tc>
          <w:tcPr>
            <w:tcW w:w="5526" w:type="dxa"/>
          </w:tcPr>
          <w:p>
            <w:pPr>
              <w:spacing w:before="38" w:line="279" w:lineRule="auto"/>
              <w:ind w:left="108" w:right="920"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重庆-G42</w:t>
            </w:r>
            <w:r>
              <w:rPr>
                <w:rFonts w:ascii="方正楷体_GBK" w:hAnsi="方正楷体_GBK" w:eastAsia="方正楷体_GBK" w:cs="方正楷体_GBK"/>
                <w:spacing w:val="39"/>
                <w:highlight w:val="none"/>
              </w:rPr>
              <w:t xml:space="preserve"> </w:t>
            </w:r>
            <w:r>
              <w:rPr>
                <w:rFonts w:ascii="方正楷体_GBK" w:hAnsi="方正楷体_GBK" w:eastAsia="方正楷体_GBK" w:cs="方正楷体_GBK"/>
                <w:spacing w:val="3"/>
                <w:highlight w:val="none"/>
              </w:rPr>
              <w:t>沪蓉高速-奉巫/避险车道-草堂至巫山</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4"/>
                <w:highlight w:val="none"/>
              </w:rPr>
              <w:t>K1316+200-上行-南-超清检</w:t>
            </w:r>
          </w:p>
        </w:tc>
        <w:tc>
          <w:tcPr>
            <w:tcW w:w="2267" w:type="dxa"/>
          </w:tcPr>
          <w:p>
            <w:pPr>
              <w:spacing w:before="230" w:line="233" w:lineRule="auto"/>
              <w:ind w:left="114"/>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监控-东北/巫山监控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5" w:line="221" w:lineRule="auto"/>
              <w:ind w:left="200"/>
              <w:rPr>
                <w:rFonts w:hint="eastAsia"/>
                <w:highlight w:val="none"/>
              </w:rPr>
            </w:pPr>
            <w:r>
              <w:rPr>
                <w:spacing w:val="-4"/>
                <w:highlight w:val="none"/>
              </w:rPr>
              <w:t>收费站（车道）</w:t>
            </w:r>
          </w:p>
        </w:tc>
        <w:tc>
          <w:tcPr>
            <w:tcW w:w="5526" w:type="dxa"/>
          </w:tcPr>
          <w:p>
            <w:pPr>
              <w:spacing w:before="38" w:line="279" w:lineRule="auto"/>
              <w:ind w:left="108" w:right="510" w:firstLine="6"/>
              <w:rPr>
                <w:rFonts w:hint="eastAsia" w:ascii="方正楷体_GBK" w:hAnsi="方正楷体_GBK" w:eastAsia="方正楷体_GBK" w:cs="方正楷体_GBK"/>
                <w:highlight w:val="none"/>
              </w:rPr>
            </w:pPr>
            <w:r>
              <w:rPr>
                <w:rFonts w:ascii="方正楷体_GBK" w:hAnsi="方正楷体_GBK" w:eastAsia="方正楷体_GBK" w:cs="方正楷体_GBK"/>
                <w:spacing w:val="-12"/>
                <w:highlight w:val="none"/>
              </w:rPr>
              <w:t>重庆-G5021 石渝高速-沿江/G5021</w:t>
            </w:r>
            <w:r>
              <w:rPr>
                <w:rFonts w:ascii="方正楷体_GBK" w:hAnsi="方正楷体_GBK" w:eastAsia="方正楷体_GBK" w:cs="方正楷体_GBK"/>
                <w:spacing w:val="22"/>
                <w:w w:val="101"/>
                <w:highlight w:val="none"/>
              </w:rPr>
              <w:t xml:space="preserve"> </w:t>
            </w:r>
            <w:r>
              <w:rPr>
                <w:rFonts w:ascii="方正楷体_GBK" w:hAnsi="方正楷体_GBK" w:eastAsia="方正楷体_GBK" w:cs="方正楷体_GBK"/>
                <w:spacing w:val="-12"/>
                <w:highlight w:val="none"/>
              </w:rPr>
              <w:t>南岸收费站-入口</w:t>
            </w:r>
            <w:r>
              <w:rPr>
                <w:rFonts w:ascii="方正楷体_GBK" w:hAnsi="方正楷体_GBK" w:eastAsia="方正楷体_GBK" w:cs="方正楷体_GBK"/>
                <w:spacing w:val="-13"/>
                <w:highlight w:val="none"/>
              </w:rPr>
              <w:t xml:space="preserve"> 2ETC</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3"/>
                <w:highlight w:val="none"/>
              </w:rPr>
              <w:t>K1571+300-2-高清牌识</w:t>
            </w:r>
          </w:p>
        </w:tc>
        <w:tc>
          <w:tcPr>
            <w:tcW w:w="2267" w:type="dxa"/>
          </w:tcPr>
          <w:p>
            <w:pPr>
              <w:spacing w:before="230" w:line="225"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1"/>
                <w:highlight w:val="none"/>
              </w:rPr>
              <w:t>管理-石渝监控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3" w:line="221" w:lineRule="auto"/>
              <w:ind w:left="200"/>
              <w:rPr>
                <w:rFonts w:hint="eastAsia"/>
                <w:highlight w:val="none"/>
              </w:rPr>
            </w:pPr>
            <w:r>
              <w:rPr>
                <w:spacing w:val="-4"/>
                <w:highlight w:val="none"/>
              </w:rPr>
              <w:t>收费站（广场）</w:t>
            </w:r>
          </w:p>
        </w:tc>
        <w:tc>
          <w:tcPr>
            <w:tcW w:w="5526" w:type="dxa"/>
          </w:tcPr>
          <w:p>
            <w:pPr>
              <w:spacing w:before="35" w:line="280" w:lineRule="auto"/>
              <w:ind w:left="108" w:right="113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2"/>
                <w:highlight w:val="none"/>
              </w:rPr>
              <w:t>重庆-G65</w:t>
            </w:r>
            <w:r>
              <w:rPr>
                <w:rFonts w:ascii="方正楷体_GBK" w:hAnsi="方正楷体_GBK" w:eastAsia="方正楷体_GBK" w:cs="方正楷体_GBK"/>
                <w:spacing w:val="43"/>
                <w:highlight w:val="none"/>
              </w:rPr>
              <w:t xml:space="preserve"> </w:t>
            </w:r>
            <w:r>
              <w:rPr>
                <w:rFonts w:ascii="方正楷体_GBK" w:hAnsi="方正楷体_GBK" w:eastAsia="方正楷体_GBK" w:cs="方正楷体_GBK"/>
                <w:spacing w:val="2"/>
                <w:highlight w:val="none"/>
              </w:rPr>
              <w:t>包茂高速-界水/G65</w:t>
            </w:r>
            <w:r>
              <w:rPr>
                <w:rFonts w:ascii="方正楷体_GBK" w:hAnsi="方正楷体_GBK" w:eastAsia="方正楷体_GBK" w:cs="方正楷体_GBK"/>
                <w:spacing w:val="32"/>
                <w:highlight w:val="none"/>
              </w:rPr>
              <w:t xml:space="preserve"> </w:t>
            </w:r>
            <w:r>
              <w:rPr>
                <w:rFonts w:ascii="方正楷体_GBK" w:hAnsi="方正楷体_GBK" w:eastAsia="方正楷体_GBK" w:cs="方正楷体_GBK"/>
                <w:spacing w:val="2"/>
                <w:highlight w:val="none"/>
              </w:rPr>
              <w:t>巴南站-内广场</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3"/>
                <w:highlight w:val="none"/>
              </w:rPr>
              <w:t>K1590-2-超清控</w:t>
            </w:r>
          </w:p>
        </w:tc>
        <w:tc>
          <w:tcPr>
            <w:tcW w:w="2267" w:type="dxa"/>
          </w:tcPr>
          <w:p>
            <w:pPr>
              <w:spacing w:before="230" w:line="229"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管理-南方/界水监控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842" w:type="dxa"/>
          </w:tcPr>
          <w:p>
            <w:pPr>
              <w:pStyle w:val="21"/>
              <w:spacing w:before="244" w:line="221" w:lineRule="auto"/>
              <w:ind w:left="719"/>
              <w:rPr>
                <w:rFonts w:hint="eastAsia"/>
                <w:highlight w:val="none"/>
              </w:rPr>
            </w:pPr>
            <w:r>
              <w:rPr>
                <w:spacing w:val="-2"/>
                <w:highlight w:val="none"/>
              </w:rPr>
              <w:t>其他</w:t>
            </w:r>
          </w:p>
        </w:tc>
        <w:tc>
          <w:tcPr>
            <w:tcW w:w="5526" w:type="dxa"/>
          </w:tcPr>
          <w:p>
            <w:pPr>
              <w:spacing w:before="38" w:line="279" w:lineRule="auto"/>
              <w:ind w:left="108" w:right="1128" w:firstLine="8"/>
              <w:rPr>
                <w:rFonts w:hint="eastAsia" w:ascii="方正楷体_GBK" w:hAnsi="方正楷体_GBK" w:eastAsia="方正楷体_GBK" w:cs="方正楷体_GBK"/>
                <w:highlight w:val="none"/>
              </w:rPr>
            </w:pPr>
            <w:r>
              <w:rPr>
                <w:rFonts w:ascii="方正楷体_GBK" w:hAnsi="方正楷体_GBK" w:eastAsia="方正楷体_GBK" w:cs="方正楷体_GBK"/>
                <w:spacing w:val="3"/>
                <w:highlight w:val="none"/>
              </w:rPr>
              <w:t>重庆-G65</w:t>
            </w:r>
            <w:r>
              <w:rPr>
                <w:rFonts w:ascii="方正楷体_GBK" w:hAnsi="方正楷体_GBK" w:eastAsia="方正楷体_GBK" w:cs="方正楷体_GBK"/>
                <w:spacing w:val="43"/>
                <w:w w:val="101"/>
                <w:highlight w:val="none"/>
              </w:rPr>
              <w:t xml:space="preserve"> </w:t>
            </w:r>
            <w:r>
              <w:rPr>
                <w:rFonts w:ascii="方正楷体_GBK" w:hAnsi="方正楷体_GBK" w:eastAsia="方正楷体_GBK" w:cs="方正楷体_GBK"/>
                <w:spacing w:val="3"/>
                <w:highlight w:val="none"/>
              </w:rPr>
              <w:t>包茂高速-界水/其他-界水监控大厅</w:t>
            </w:r>
            <w:r>
              <w:rPr>
                <w:rFonts w:ascii="方正楷体_GBK" w:hAnsi="方正楷体_GBK" w:eastAsia="方正楷体_GBK" w:cs="方正楷体_GBK"/>
                <w:highlight w:val="none"/>
              </w:rPr>
              <w:t xml:space="preserve"> </w:t>
            </w:r>
            <w:r>
              <w:rPr>
                <w:rFonts w:ascii="方正楷体_GBK" w:hAnsi="方正楷体_GBK" w:eastAsia="方正楷体_GBK" w:cs="方正楷体_GBK"/>
                <w:spacing w:val="2"/>
                <w:highlight w:val="none"/>
              </w:rPr>
              <w:t>K1590-2</w:t>
            </w:r>
          </w:p>
        </w:tc>
        <w:tc>
          <w:tcPr>
            <w:tcW w:w="2267" w:type="dxa"/>
          </w:tcPr>
          <w:p>
            <w:pPr>
              <w:spacing w:before="231" w:line="229" w:lineRule="auto"/>
              <w:ind w:left="129"/>
              <w:rPr>
                <w:rFonts w:hint="eastAsia" w:ascii="方正楷体_GBK" w:hAnsi="方正楷体_GBK" w:eastAsia="方正楷体_GBK" w:cs="方正楷体_GBK"/>
                <w:highlight w:val="none"/>
              </w:rPr>
            </w:pPr>
            <w:r>
              <w:rPr>
                <w:rFonts w:ascii="方正楷体_GBK" w:hAnsi="方正楷体_GBK" w:eastAsia="方正楷体_GBK" w:cs="方正楷体_GBK"/>
                <w:spacing w:val="4"/>
                <w:highlight w:val="none"/>
              </w:rPr>
              <w:t>管理-南方/界水监控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42" w:type="dxa"/>
          </w:tcPr>
          <w:p>
            <w:pPr>
              <w:pStyle w:val="21"/>
              <w:spacing w:before="52" w:line="221" w:lineRule="auto"/>
              <w:ind w:left="614"/>
              <w:rPr>
                <w:rFonts w:hint="eastAsia"/>
                <w:highlight w:val="none"/>
              </w:rPr>
            </w:pPr>
            <w:r>
              <w:rPr>
                <w:spacing w:val="-2"/>
                <w:highlight w:val="none"/>
              </w:rPr>
              <w:t>巡查车</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重庆-南方/武隆-巡查/渝 A35887</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42" w:type="dxa"/>
          </w:tcPr>
          <w:p>
            <w:pPr>
              <w:pStyle w:val="21"/>
              <w:spacing w:before="52" w:line="221" w:lineRule="auto"/>
              <w:ind w:left="615"/>
              <w:rPr>
                <w:rFonts w:hint="eastAsia"/>
                <w:highlight w:val="none"/>
              </w:rPr>
            </w:pPr>
            <w:r>
              <w:rPr>
                <w:spacing w:val="-2"/>
                <w:highlight w:val="none"/>
              </w:rPr>
              <w:t>指挥车</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5"/>
                <w:highlight w:val="none"/>
              </w:rPr>
              <w:t>重庆-东南/黔江-指挥/渝 A08225</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42" w:type="dxa"/>
          </w:tcPr>
          <w:p>
            <w:pPr>
              <w:pStyle w:val="21"/>
              <w:spacing w:before="53" w:line="220" w:lineRule="auto"/>
              <w:ind w:left="613"/>
              <w:rPr>
                <w:rFonts w:hint="eastAsia"/>
                <w:highlight w:val="none"/>
              </w:rPr>
            </w:pPr>
            <w:r>
              <w:rPr>
                <w:spacing w:val="-2"/>
                <w:highlight w:val="none"/>
              </w:rPr>
              <w:t>布控球</w:t>
            </w:r>
          </w:p>
        </w:tc>
        <w:tc>
          <w:tcPr>
            <w:tcW w:w="5526" w:type="dxa"/>
          </w:tcPr>
          <w:p>
            <w:pPr>
              <w:spacing w:before="41"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6"/>
                <w:highlight w:val="none"/>
              </w:rPr>
              <w:t>重庆-成渝-布控/01-高清控</w:t>
            </w:r>
          </w:p>
        </w:tc>
        <w:tc>
          <w:tcPr>
            <w:tcW w:w="2267" w:type="dxa"/>
          </w:tcPr>
          <w:p>
            <w:pPr>
              <w:rPr>
                <w:rFonts w:ascii="Arial"/>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42" w:type="dxa"/>
          </w:tcPr>
          <w:p>
            <w:pPr>
              <w:pStyle w:val="21"/>
              <w:spacing w:before="53" w:line="220" w:lineRule="auto"/>
              <w:ind w:left="615"/>
              <w:rPr>
                <w:rFonts w:hint="eastAsia"/>
                <w:highlight w:val="none"/>
              </w:rPr>
            </w:pPr>
            <w:r>
              <w:rPr>
                <w:spacing w:val="-2"/>
                <w:highlight w:val="none"/>
              </w:rPr>
              <w:t>无人机</w:t>
            </w:r>
          </w:p>
        </w:tc>
        <w:tc>
          <w:tcPr>
            <w:tcW w:w="5526" w:type="dxa"/>
          </w:tcPr>
          <w:p>
            <w:pPr>
              <w:spacing w:before="38" w:line="225" w:lineRule="auto"/>
              <w:ind w:left="117"/>
              <w:rPr>
                <w:rFonts w:hint="eastAsia" w:ascii="方正楷体_GBK" w:hAnsi="方正楷体_GBK" w:eastAsia="方正楷体_GBK" w:cs="方正楷体_GBK"/>
                <w:highlight w:val="none"/>
              </w:rPr>
            </w:pPr>
            <w:r>
              <w:rPr>
                <w:rFonts w:ascii="方正楷体_GBK" w:hAnsi="方正楷体_GBK" w:eastAsia="方正楷体_GBK" w:cs="方正楷体_GBK"/>
                <w:spacing w:val="7"/>
                <w:highlight w:val="none"/>
              </w:rPr>
              <w:t>重庆-中渝/广阳-无人机/01-高清控</w:t>
            </w:r>
          </w:p>
        </w:tc>
        <w:tc>
          <w:tcPr>
            <w:tcW w:w="2267" w:type="dxa"/>
          </w:tcPr>
          <w:p>
            <w:pPr>
              <w:rPr>
                <w:rFonts w:ascii="Arial"/>
                <w:highlight w:val="none"/>
              </w:rPr>
            </w:pPr>
          </w:p>
        </w:tc>
      </w:tr>
    </w:tbl>
    <w:p>
      <w:pPr>
        <w:spacing w:line="221" w:lineRule="auto"/>
        <w:rPr>
          <w:rFonts w:hint="eastAsia" w:ascii="宋体" w:hAnsi="宋体" w:cs="宋体"/>
          <w:highlight w:val="none"/>
        </w:rPr>
        <w:sectPr>
          <w:footerReference r:id="rId9" w:type="default"/>
          <w:pgSz w:w="11907" w:h="16839"/>
          <w:pgMar w:top="1115" w:right="1131" w:bottom="1196" w:left="1137" w:header="0" w:footer="980" w:gutter="0"/>
          <w:cols w:space="720" w:num="1"/>
        </w:sectPr>
      </w:pPr>
    </w:p>
    <w:bookmarkEnd w:id="737"/>
    <w:bookmarkEnd w:id="738"/>
    <w:p>
      <w:pPr>
        <w:pStyle w:val="3"/>
        <w:spacing w:before="0" w:after="0" w:line="360" w:lineRule="auto"/>
        <w:jc w:val="center"/>
        <w:rPr>
          <w:rFonts w:ascii="宋体" w:hAnsi="宋体"/>
          <w:color w:val="auto"/>
          <w:sz w:val="52"/>
          <w:szCs w:val="52"/>
          <w:highlight w:val="none"/>
        </w:rPr>
      </w:pPr>
      <w:bookmarkStart w:id="739" w:name="_Toc27847"/>
      <w:r>
        <w:rPr>
          <w:rFonts w:hint="eastAsia" w:ascii="宋体" w:hAnsi="宋体"/>
          <w:color w:val="auto"/>
          <w:sz w:val="52"/>
          <w:szCs w:val="52"/>
          <w:highlight w:val="none"/>
        </w:rPr>
        <w:t>第 三 卷</w:t>
      </w:r>
      <w:bookmarkEnd w:id="739"/>
      <w:bookmarkStart w:id="740" w:name="_Toc509218847"/>
      <w:bookmarkStart w:id="741" w:name="_Toc536619968"/>
      <w:bookmarkStart w:id="742" w:name="_Toc13210772"/>
      <w:bookmarkStart w:id="743" w:name="_Toc536797255"/>
      <w:bookmarkStart w:id="744" w:name="_Toc536796986"/>
      <w:bookmarkStart w:id="745" w:name="_Toc536797390"/>
      <w:bookmarkStart w:id="746" w:name="_Toc536797121"/>
      <w:bookmarkStart w:id="747" w:name="_Toc536796850"/>
      <w:bookmarkStart w:id="748" w:name="_Toc13211764"/>
      <w:bookmarkStart w:id="749" w:name="_Toc536620100"/>
      <w:bookmarkStart w:id="750" w:name="_Toc536628344"/>
      <w:bookmarkStart w:id="751" w:name="_Toc536621880"/>
      <w:bookmarkStart w:id="752" w:name="_Toc534185826"/>
      <w:bookmarkStart w:id="753" w:name="_Toc13211206"/>
    </w:p>
    <w:bookmarkEnd w:id="740"/>
    <w:p>
      <w:pPr>
        <w:rPr>
          <w:color w:val="auto"/>
          <w:highlight w:val="none"/>
        </w:rPr>
      </w:pPr>
      <w:r>
        <w:rPr>
          <w:color w:val="auto"/>
          <w:highlight w:val="none"/>
        </w:rPr>
        <w:br w:type="page"/>
      </w:r>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3"/>
        <w:spacing w:line="360" w:lineRule="auto"/>
        <w:jc w:val="center"/>
        <w:rPr>
          <w:rFonts w:ascii="宋体" w:hAnsi="宋体"/>
          <w:color w:val="auto"/>
          <w:highlight w:val="none"/>
        </w:rPr>
      </w:pPr>
      <w:bookmarkStart w:id="754" w:name="招标文件07章技术标准和要求"/>
      <w:bookmarkEnd w:id="754"/>
      <w:bookmarkStart w:id="755" w:name="_Toc509218852"/>
      <w:bookmarkStart w:id="756" w:name="_Toc287620812"/>
      <w:bookmarkStart w:id="757" w:name="_Toc534185829"/>
      <w:bookmarkStart w:id="758" w:name="_Toc27723"/>
      <w:bookmarkStart w:id="759" w:name="_Toc430530528"/>
      <w:bookmarkStart w:id="760" w:name="_Toc287607865"/>
      <w:r>
        <w:rPr>
          <w:rFonts w:hint="eastAsia" w:ascii="宋体" w:hAnsi="宋体"/>
          <w:color w:val="auto"/>
          <w:highlight w:val="none"/>
        </w:rPr>
        <w:t>第六章  投标文件格式</w:t>
      </w:r>
      <w:bookmarkEnd w:id="755"/>
      <w:bookmarkEnd w:id="756"/>
      <w:bookmarkEnd w:id="757"/>
      <w:bookmarkEnd w:id="758"/>
      <w:bookmarkEnd w:id="759"/>
      <w:bookmarkEnd w:id="760"/>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61" w:name="_Toc224103493"/>
      <w:r>
        <w:rPr>
          <w:rFonts w:hint="eastAsia" w:ascii="宋体" w:hAnsi="宋体"/>
          <w:color w:val="auto"/>
          <w:sz w:val="36"/>
          <w:szCs w:val="36"/>
          <w:highlight w:val="none"/>
        </w:rPr>
        <w:t>目  录</w:t>
      </w:r>
      <w:bookmarkEnd w:id="761"/>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val="en-US" w:eastAsia="zh-CN"/>
        </w:rPr>
        <w:t>分项报价表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商务</w:t>
      </w:r>
      <w:r>
        <w:rPr>
          <w:rFonts w:ascii="宋体" w:hAnsi="宋体"/>
          <w:b/>
          <w:color w:val="auto"/>
          <w:highlight w:val="none"/>
        </w:rPr>
        <w:t>部分</w:t>
      </w:r>
    </w:p>
    <w:p>
      <w:pPr>
        <w:numPr>
          <w:ilvl w:val="0"/>
          <w:numId w:val="0"/>
        </w:numPr>
        <w:autoSpaceDE w:val="0"/>
        <w:autoSpaceDN w:val="0"/>
        <w:adjustRightInd w:val="0"/>
        <w:snapToGrid w:val="0"/>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（一）厂家提供质量保证期承诺函</w:t>
      </w:r>
    </w:p>
    <w:p>
      <w:pPr>
        <w:numPr>
          <w:ilvl w:val="0"/>
          <w:numId w:val="0"/>
        </w:numPr>
        <w:autoSpaceDE w:val="0"/>
        <w:autoSpaceDN w:val="0"/>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（二）类似业绩</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）近年财务状况表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w:t>
      </w:r>
      <w:r>
        <w:rPr>
          <w:rFonts w:hint="eastAsia" w:ascii="宋体" w:hAnsi="宋体"/>
          <w:snapToGrid w:val="0"/>
          <w:color w:val="auto"/>
          <w:highlight w:val="none"/>
          <w:lang w:val="en-US" w:eastAsia="zh-CN"/>
        </w:rPr>
        <w:t>汇总</w:t>
      </w:r>
      <w:r>
        <w:rPr>
          <w:rFonts w:hint="eastAsia" w:ascii="宋体" w:hAnsi="宋体"/>
          <w:snapToGrid w:val="0"/>
          <w:color w:val="auto"/>
          <w:highlight w:val="none"/>
        </w:rPr>
        <w:t>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762" w:name="_Toc277082642"/>
      <w:bookmarkStart w:id="763" w:name="_Toc430530529"/>
      <w:bookmarkStart w:id="764" w:name="_Toc224103494"/>
      <w:bookmarkStart w:id="765" w:name="_Toc287607866"/>
      <w:bookmarkStart w:id="766" w:name="_Toc287620813"/>
    </w:p>
    <w:p>
      <w:pPr>
        <w:pStyle w:val="4"/>
        <w:spacing w:line="360" w:lineRule="auto"/>
        <w:jc w:val="center"/>
        <w:rPr>
          <w:rFonts w:ascii="宋体" w:hAnsi="宋体"/>
          <w:b w:val="0"/>
          <w:bCs w:val="0"/>
          <w:color w:val="auto"/>
          <w:sz w:val="44"/>
          <w:szCs w:val="44"/>
          <w:highlight w:val="none"/>
        </w:rPr>
      </w:pPr>
      <w:bookmarkStart w:id="767" w:name="_Toc4165"/>
      <w:r>
        <w:rPr>
          <w:rFonts w:hint="eastAsia" w:ascii="宋体" w:hAnsi="宋体"/>
          <w:b w:val="0"/>
          <w:bCs w:val="0"/>
          <w:color w:val="auto"/>
          <w:sz w:val="44"/>
          <w:szCs w:val="44"/>
          <w:highlight w:val="none"/>
        </w:rPr>
        <w:t>一、投标函部分</w:t>
      </w:r>
      <w:bookmarkEnd w:id="762"/>
      <w:bookmarkEnd w:id="763"/>
      <w:bookmarkEnd w:id="764"/>
      <w:bookmarkEnd w:id="765"/>
      <w:bookmarkEnd w:id="766"/>
      <w:bookmarkEnd w:id="767"/>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val="en-US" w:eastAsia="zh-CN"/>
        </w:rPr>
        <w:t>分项报价表</w:t>
      </w:r>
      <w:r>
        <w:rPr>
          <w:rFonts w:hint="eastAsia" w:ascii="宋体" w:hAnsi="宋体"/>
          <w:color w:val="auto"/>
          <w:kern w:val="0"/>
          <w:sz w:val="24"/>
          <w:highlight w:val="none"/>
        </w:rPr>
        <w:t>（如有）</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pStyle w:val="5"/>
        <w:spacing w:before="0" w:after="0" w:line="240" w:lineRule="auto"/>
        <w:jc w:val="center"/>
        <w:rPr>
          <w:rFonts w:ascii="宋体" w:hAnsi="宋体"/>
          <w:b w:val="0"/>
          <w:color w:val="auto"/>
          <w:highlight w:val="none"/>
        </w:rPr>
      </w:pPr>
      <w:bookmarkStart w:id="768" w:name="_Toc277082643"/>
      <w:bookmarkStart w:id="769" w:name="_Toc534185831"/>
      <w:bookmarkStart w:id="770" w:name="_Toc287607867"/>
      <w:bookmarkStart w:id="771" w:name="_Toc224103495"/>
      <w:bookmarkStart w:id="772" w:name="_Toc287620814"/>
      <w:bookmarkStart w:id="773" w:name="_Toc509218854"/>
      <w:bookmarkStart w:id="774" w:name="_Toc430530530"/>
      <w:r>
        <w:rPr>
          <w:rFonts w:ascii="宋体" w:hAnsi="宋体"/>
          <w:color w:val="auto"/>
          <w:highlight w:val="none"/>
        </w:rPr>
        <w:br w:type="page"/>
      </w:r>
      <w:bookmarkStart w:id="775" w:name="_Toc28404"/>
      <w:r>
        <w:rPr>
          <w:rFonts w:hint="eastAsia" w:ascii="宋体" w:hAnsi="宋体"/>
          <w:b w:val="0"/>
          <w:bCs w:val="0"/>
          <w:color w:val="auto"/>
          <w:highlight w:val="none"/>
        </w:rPr>
        <w:t>（一）投标函</w:t>
      </w:r>
      <w:bookmarkEnd w:id="768"/>
      <w:bookmarkEnd w:id="769"/>
      <w:bookmarkEnd w:id="770"/>
      <w:bookmarkEnd w:id="771"/>
      <w:bookmarkEnd w:id="772"/>
      <w:bookmarkEnd w:id="773"/>
      <w:bookmarkEnd w:id="774"/>
      <w:bookmarkEnd w:id="775"/>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项目名称）招标文件的全部内容，</w:t>
      </w:r>
      <w:r>
        <w:rPr>
          <w:rFonts w:hint="eastAsia" w:ascii="宋体" w:hAnsi="宋体"/>
          <w:snapToGrid w:val="0"/>
          <w:color w:val="auto"/>
          <w:kern w:val="0"/>
          <w:szCs w:val="21"/>
          <w:highlight w:val="none"/>
          <w:lang w:val="en-US" w:eastAsia="zh-CN"/>
        </w:rPr>
        <w:t>对投标文件中响应招标文件商务、技术评审要求的投标货物，</w:t>
      </w:r>
      <w:r>
        <w:rPr>
          <w:rFonts w:ascii="宋体" w:hAnsi="宋体"/>
          <w:snapToGrid w:val="0"/>
          <w:color w:val="auto"/>
          <w:kern w:val="0"/>
          <w:szCs w:val="21"/>
          <w:highlight w:val="none"/>
        </w:rPr>
        <w:t>愿意以</w:t>
      </w:r>
      <w:r>
        <w:rPr>
          <w:rFonts w:hint="default" w:ascii="宋体" w:hAnsi="宋体" w:eastAsia="宋体"/>
          <w:snapToGrid w:val="0"/>
          <w:color w:val="auto"/>
          <w:kern w:val="0"/>
          <w:szCs w:val="21"/>
          <w:highlight w:val="none"/>
          <w:lang w:val="en-US" w:eastAsia="zh-CN"/>
        </w:rPr>
        <w:t>下列方式进行报价</w:t>
      </w:r>
      <w:r>
        <w:rPr>
          <w:rFonts w:hint="eastAsia" w:ascii="宋体" w:hAnsi="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lang w:val="en-US" w:eastAsia="zh-CN"/>
        </w:rPr>
        <w:t>暂定投标</w:t>
      </w:r>
      <w:r>
        <w:rPr>
          <w:rFonts w:hint="eastAsia" w:ascii="宋体" w:hAnsi="宋体" w:eastAsia="宋体" w:cs="宋体"/>
          <w:color w:val="auto"/>
          <w:szCs w:val="21"/>
          <w:highlight w:val="none"/>
        </w:rPr>
        <w:t>报价</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eastAsia="zh-CN"/>
        </w:rPr>
        <w:t>，</w:t>
      </w: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r>
        <w:rPr>
          <w:color w:val="auto"/>
          <w:spacing w:val="-1"/>
          <w:w w:val="100"/>
          <w:highlight w:val="none"/>
        </w:rPr>
        <w:t>为</w:t>
      </w:r>
      <w:r>
        <w:rPr>
          <w:rFonts w:ascii="Times New Roman" w:hAnsi="Times New Roman" w:eastAsia="Times New Roman"/>
          <w:color w:val="auto"/>
          <w:w w:val="100"/>
          <w:highlight w:val="none"/>
          <w:u w:val="single"/>
        </w:rPr>
        <w:t xml:space="preserve"> </w:t>
      </w:r>
      <w:r>
        <w:rPr>
          <w:rFonts w:ascii="Times New Roman" w:hAnsi="Times New Roman" w:eastAsia="Times New Roman"/>
          <w:color w:val="auto"/>
          <w:highlight w:val="none"/>
          <w:u w:val="single"/>
        </w:rPr>
        <w:tab/>
      </w:r>
      <w:r>
        <w:rPr>
          <w:rFonts w:hint="eastAsia" w:eastAsia="宋体"/>
          <w:color w:val="auto"/>
          <w:spacing w:val="-36"/>
          <w:w w:val="100"/>
          <w:sz w:val="28"/>
          <w:highlight w:val="none"/>
          <w:u w:val="single"/>
          <w:lang w:val="en-US" w:eastAsia="zh-CN"/>
        </w:rPr>
        <w:t xml:space="preserve">   </w:t>
      </w:r>
      <w:r>
        <w:rPr>
          <w:rFonts w:hint="eastAsia" w:eastAsia="宋体"/>
          <w:color w:val="auto"/>
          <w:spacing w:val="-36"/>
          <w:w w:val="100"/>
          <w:sz w:val="21"/>
          <w:szCs w:val="21"/>
          <w:highlight w:val="none"/>
          <w:u w:val="none"/>
          <w:lang w:val="en-US" w:eastAsia="zh-CN"/>
        </w:rPr>
        <w:t>，</w:t>
      </w:r>
      <w:r>
        <w:rPr>
          <w:rFonts w:hint="eastAsia"/>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交货地点</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，按合同约定</w:t>
      </w:r>
      <w:r>
        <w:rPr>
          <w:rFonts w:hint="eastAsia" w:ascii="宋体" w:hAnsi="宋体"/>
          <w:snapToGrid w:val="0"/>
          <w:color w:val="auto"/>
          <w:kern w:val="0"/>
          <w:szCs w:val="21"/>
          <w:highlight w:val="none"/>
          <w:lang w:val="en-US" w:eastAsia="zh-CN"/>
        </w:rPr>
        <w:t>履行义务</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color w:val="auto"/>
          <w:highlight w:val="none"/>
        </w:rPr>
        <w:t>我方承诺除</w:t>
      </w:r>
      <w:r>
        <w:rPr>
          <w:color w:val="auto"/>
          <w:sz w:val="22"/>
          <w:highlight w:val="none"/>
        </w:rPr>
        <w:t>商务和技术</w:t>
      </w:r>
      <w:r>
        <w:rPr>
          <w:color w:val="auto"/>
          <w:highlight w:val="none"/>
        </w:rPr>
        <w:t>偏差表列出的偏差外，我方响应招标文件的全部要求。</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 xml:space="preserve">3.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pStyle w:val="2"/>
        <w:rPr>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after="0" w:line="240" w:lineRule="auto"/>
        <w:jc w:val="center"/>
        <w:rPr>
          <w:rFonts w:ascii="宋体" w:hAnsi="宋体"/>
          <w:color w:val="auto"/>
          <w:sz w:val="28"/>
          <w:highlight w:val="none"/>
        </w:rPr>
        <w:sectPr>
          <w:pgSz w:w="11906" w:h="16838"/>
          <w:pgMar w:top="1304" w:right="1134" w:bottom="1304" w:left="1304" w:header="851" w:footer="992" w:gutter="0"/>
          <w:cols w:space="720" w:num="1"/>
          <w:docGrid w:linePitch="312" w:charSpace="0"/>
        </w:sectPr>
      </w:pPr>
      <w:bookmarkStart w:id="776" w:name="_Toc224103496"/>
      <w:bookmarkStart w:id="777" w:name="_Toc430530531"/>
      <w:bookmarkStart w:id="778" w:name="_Toc287607868"/>
      <w:bookmarkStart w:id="779" w:name="_Toc277082644"/>
      <w:bookmarkStart w:id="780" w:name="_Toc287620815"/>
      <w:r>
        <w:rPr>
          <w:rFonts w:ascii="宋体" w:hAnsi="宋体"/>
          <w:color w:val="auto"/>
          <w:sz w:val="28"/>
          <w:highlight w:val="none"/>
        </w:rPr>
        <w:br w:type="page"/>
      </w:r>
      <w:bookmarkStart w:id="781" w:name="_Toc534185832"/>
      <w:bookmarkStart w:id="782" w:name="_Toc509218855"/>
      <w:bookmarkStart w:id="783" w:name="_Toc7299"/>
    </w:p>
    <w:p>
      <w:pPr>
        <w:pStyle w:val="5"/>
        <w:spacing w:before="0" w:after="0" w:line="240" w:lineRule="auto"/>
        <w:jc w:val="center"/>
        <w:rPr>
          <w:rFonts w:hint="eastAsia" w:ascii="宋体" w:hAnsi="宋体"/>
          <w:b w:val="0"/>
          <w:bCs w:val="0"/>
          <w:color w:val="auto"/>
          <w:sz w:val="32"/>
          <w:szCs w:val="20"/>
          <w:highlight w:val="none"/>
          <w:lang w:eastAsia="zh-CN"/>
        </w:rPr>
      </w:pPr>
      <w:r>
        <w:rPr>
          <w:rFonts w:ascii="宋体" w:hAnsi="宋体"/>
          <w:b w:val="0"/>
          <w:bCs w:val="0"/>
          <w:color w:val="auto"/>
          <w:highlight w:val="none"/>
        </w:rPr>
        <w:t>（二）</w:t>
      </w:r>
      <w:bookmarkEnd w:id="776"/>
      <w:bookmarkEnd w:id="777"/>
      <w:bookmarkEnd w:id="778"/>
      <w:bookmarkEnd w:id="779"/>
      <w:bookmarkEnd w:id="780"/>
      <w:bookmarkEnd w:id="781"/>
      <w:bookmarkEnd w:id="782"/>
      <w:r>
        <w:rPr>
          <w:rFonts w:hint="eastAsia" w:ascii="宋体" w:hAnsi="宋体"/>
          <w:b w:val="0"/>
          <w:bCs w:val="0"/>
          <w:color w:val="auto"/>
          <w:sz w:val="32"/>
          <w:szCs w:val="20"/>
          <w:highlight w:val="none"/>
          <w:lang w:eastAsia="zh-CN"/>
        </w:rPr>
        <w:t>分项报价表</w:t>
      </w:r>
      <w:bookmarkEnd w:id="783"/>
    </w:p>
    <w:p>
      <w:pPr>
        <w:rPr>
          <w:color w:val="auto"/>
          <w:highlight w:val="none"/>
        </w:rPr>
      </w:pPr>
    </w:p>
    <w:p>
      <w:pPr>
        <w:pStyle w:val="22"/>
        <w:numPr>
          <w:ilvl w:val="0"/>
          <w:numId w:val="0"/>
        </w:numPr>
        <w:tabs>
          <w:tab w:val="left" w:pos="805"/>
        </w:tabs>
        <w:spacing w:before="43"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22"/>
        <w:numPr>
          <w:ilvl w:val="0"/>
          <w:numId w:val="0"/>
        </w:numPr>
        <w:tabs>
          <w:tab w:val="left" w:pos="805"/>
        </w:tabs>
        <w:spacing w:before="151"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2"/>
        <w:spacing w:before="7"/>
        <w:rPr>
          <w:rFonts w:hint="eastAsia" w:ascii="宋体" w:hAnsi="宋体" w:eastAsia="宋体" w:cs="宋体"/>
          <w:color w:val="auto"/>
          <w:sz w:val="21"/>
          <w:szCs w:val="21"/>
          <w:highlight w:val="none"/>
        </w:rPr>
      </w:pPr>
    </w:p>
    <w:p>
      <w:pPr>
        <w:pStyle w:val="2"/>
        <w:spacing w:before="37" w:after="57"/>
        <w:ind w:right="2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单位：人民币元</w:t>
      </w:r>
    </w:p>
    <w:tbl>
      <w:tblPr>
        <w:tblStyle w:val="13"/>
        <w:tblW w:w="1333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637"/>
        <w:gridCol w:w="398"/>
        <w:gridCol w:w="434"/>
        <w:gridCol w:w="885"/>
        <w:gridCol w:w="1095"/>
        <w:gridCol w:w="2760"/>
        <w:gridCol w:w="1245"/>
        <w:gridCol w:w="645"/>
        <w:gridCol w:w="690"/>
        <w:gridCol w:w="765"/>
        <w:gridCol w:w="735"/>
        <w:gridCol w:w="480"/>
        <w:gridCol w:w="525"/>
        <w:gridCol w:w="56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0" w:type="dxa"/>
            <w:vMerge w:val="restart"/>
          </w:tcPr>
          <w:p>
            <w:pPr>
              <w:pStyle w:val="23"/>
              <w:spacing w:line="332" w:lineRule="exact"/>
              <w:ind w:left="115" w:right="108"/>
              <w:jc w:val="center"/>
              <w:rPr>
                <w:rFonts w:hint="eastAsia" w:ascii="宋体" w:hAnsi="宋体" w:eastAsia="宋体" w:cs="宋体"/>
                <w:b w:val="0"/>
                <w:bCs/>
                <w:color w:val="auto"/>
                <w:sz w:val="21"/>
                <w:szCs w:val="21"/>
                <w:highlight w:val="none"/>
              </w:rPr>
            </w:pPr>
          </w:p>
          <w:p>
            <w:pPr>
              <w:pStyle w:val="23"/>
              <w:spacing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637" w:type="dxa"/>
            <w:vMerge w:val="restart"/>
            <w:tcBorders>
              <w:right w:val="single" w:color="000000" w:sz="6" w:space="0"/>
            </w:tcBorders>
            <w:vAlign w:val="center"/>
          </w:tcPr>
          <w:p>
            <w:pPr>
              <w:pStyle w:val="23"/>
              <w:spacing w:line="332" w:lineRule="exact"/>
              <w:ind w:left="0" w:right="0"/>
              <w:jc w:val="center"/>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细目</w:t>
            </w:r>
            <w:r>
              <w:rPr>
                <w:rFonts w:hint="eastAsia" w:ascii="宋体" w:hAnsi="宋体" w:eastAsia="宋体" w:cs="宋体"/>
                <w:b w:val="0"/>
                <w:bCs/>
                <w:color w:val="auto"/>
                <w:sz w:val="21"/>
                <w:szCs w:val="21"/>
                <w:highlight w:val="none"/>
              </w:rPr>
              <w:t>名称</w:t>
            </w:r>
          </w:p>
        </w:tc>
        <w:tc>
          <w:tcPr>
            <w:tcW w:w="398" w:type="dxa"/>
            <w:vMerge w:val="restart"/>
            <w:tcBorders>
              <w:left w:val="single" w:color="000000" w:sz="6" w:space="0"/>
            </w:tcBorders>
            <w:vAlign w:val="center"/>
          </w:tcPr>
          <w:p>
            <w:pPr>
              <w:pStyle w:val="23"/>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olor w:val="auto"/>
                <w:spacing w:val="-10"/>
                <w:szCs w:val="21"/>
                <w:highlight w:val="none"/>
                <w:lang w:val="en-US" w:eastAsia="zh-CN"/>
              </w:rPr>
              <w:t>品牌</w:t>
            </w:r>
          </w:p>
        </w:tc>
        <w:tc>
          <w:tcPr>
            <w:tcW w:w="434" w:type="dxa"/>
            <w:vMerge w:val="restart"/>
            <w:tcBorders>
              <w:left w:val="single" w:color="000000" w:sz="6" w:space="0"/>
            </w:tcBorders>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color w:val="auto"/>
                <w:spacing w:val="-10"/>
                <w:szCs w:val="21"/>
                <w:highlight w:val="none"/>
                <w:lang w:val="en-US" w:eastAsia="zh-CN"/>
              </w:rPr>
              <w:t>型号</w:t>
            </w:r>
          </w:p>
        </w:tc>
        <w:tc>
          <w:tcPr>
            <w:tcW w:w="5985" w:type="dxa"/>
            <w:gridSpan w:val="4"/>
            <w:vAlign w:val="center"/>
          </w:tcPr>
          <w:p>
            <w:pPr>
              <w:pStyle w:val="23"/>
              <w:tabs>
                <w:tab w:val="left" w:pos="1885"/>
              </w:tabs>
              <w:spacing w:line="332" w:lineRule="exact"/>
              <w:ind w:left="0"/>
              <w:jc w:val="left"/>
              <w:rPr>
                <w:rFonts w:hint="eastAsia"/>
                <w:color w:val="auto"/>
                <w:spacing w:val="-10"/>
                <w:szCs w:val="21"/>
                <w:highlight w:val="none"/>
                <w:lang w:val="en-US" w:eastAsia="zh-CN"/>
              </w:rPr>
            </w:pPr>
            <w:r>
              <w:rPr>
                <w:rFonts w:hint="eastAsia"/>
                <w:color w:val="auto"/>
                <w:spacing w:val="-10"/>
                <w:szCs w:val="21"/>
                <w:highlight w:val="none"/>
                <w:lang w:val="en-US" w:eastAsia="zh-CN"/>
              </w:rPr>
              <w:tab/>
            </w:r>
            <w:r>
              <w:rPr>
                <w:rFonts w:hint="eastAsia"/>
                <w:color w:val="auto"/>
                <w:spacing w:val="-10"/>
                <w:szCs w:val="21"/>
                <w:highlight w:val="none"/>
                <w:lang w:val="en-US" w:eastAsia="zh-CN"/>
              </w:rPr>
              <w:t>技术参数</w:t>
            </w:r>
          </w:p>
        </w:tc>
        <w:tc>
          <w:tcPr>
            <w:tcW w:w="645" w:type="dxa"/>
            <w:vMerge w:val="restart"/>
            <w:vAlign w:val="center"/>
          </w:tcPr>
          <w:p>
            <w:pPr>
              <w:pStyle w:val="23"/>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单位</w:t>
            </w:r>
          </w:p>
        </w:tc>
        <w:tc>
          <w:tcPr>
            <w:tcW w:w="690" w:type="dxa"/>
            <w:vMerge w:val="restart"/>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500" w:type="dxa"/>
            <w:gridSpan w:val="2"/>
            <w:tcBorders>
              <w:bottom w:val="single" w:color="auto" w:sz="4" w:space="0"/>
            </w:tcBorders>
            <w:vAlign w:val="center"/>
          </w:tcPr>
          <w:p>
            <w:pPr>
              <w:pStyle w:val="23"/>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招标控制价（元）</w:t>
            </w:r>
          </w:p>
        </w:tc>
        <w:tc>
          <w:tcPr>
            <w:tcW w:w="1573" w:type="dxa"/>
            <w:gridSpan w:val="3"/>
            <w:tcBorders>
              <w:bottom w:val="single" w:color="auto" w:sz="4" w:space="0"/>
            </w:tcBorders>
            <w:vAlign w:val="center"/>
          </w:tcPr>
          <w:p>
            <w:pPr>
              <w:pStyle w:val="23"/>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投标报价（元）</w:t>
            </w:r>
          </w:p>
        </w:tc>
        <w:tc>
          <w:tcPr>
            <w:tcW w:w="935" w:type="dxa"/>
            <w:vMerge w:val="restart"/>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40" w:type="dxa"/>
            <w:vMerge w:val="continue"/>
          </w:tcPr>
          <w:p>
            <w:pPr>
              <w:pStyle w:val="23"/>
              <w:spacing w:line="332" w:lineRule="exact"/>
              <w:ind w:left="115" w:right="108"/>
              <w:jc w:val="center"/>
              <w:rPr>
                <w:rFonts w:hint="eastAsia" w:ascii="宋体" w:hAnsi="宋体" w:eastAsia="宋体" w:cs="宋体"/>
                <w:b w:val="0"/>
                <w:bCs/>
                <w:color w:val="auto"/>
                <w:sz w:val="21"/>
                <w:szCs w:val="21"/>
                <w:highlight w:val="none"/>
              </w:rPr>
            </w:pPr>
          </w:p>
        </w:tc>
        <w:tc>
          <w:tcPr>
            <w:tcW w:w="637" w:type="dxa"/>
            <w:vMerge w:val="continue"/>
            <w:tcBorders>
              <w:right w:val="single" w:color="000000" w:sz="6" w:space="0"/>
            </w:tcBorders>
            <w:vAlign w:val="center"/>
          </w:tcPr>
          <w:p>
            <w:pPr>
              <w:pStyle w:val="23"/>
              <w:spacing w:line="332" w:lineRule="exact"/>
              <w:ind w:left="0" w:right="0"/>
              <w:jc w:val="center"/>
              <w:rPr>
                <w:rFonts w:hint="eastAsia" w:cs="宋体"/>
                <w:b w:val="0"/>
                <w:bCs/>
                <w:color w:val="auto"/>
                <w:sz w:val="21"/>
                <w:szCs w:val="21"/>
                <w:highlight w:val="none"/>
                <w:lang w:val="en-US" w:eastAsia="zh-CN"/>
              </w:rPr>
            </w:pPr>
          </w:p>
        </w:tc>
        <w:tc>
          <w:tcPr>
            <w:tcW w:w="398" w:type="dxa"/>
            <w:vMerge w:val="continue"/>
            <w:tcBorders>
              <w:left w:val="single" w:color="000000" w:sz="6" w:space="0"/>
            </w:tcBorders>
            <w:vAlign w:val="center"/>
          </w:tcPr>
          <w:p>
            <w:pPr>
              <w:pStyle w:val="23"/>
              <w:spacing w:line="332" w:lineRule="exact"/>
              <w:ind w:left="0"/>
              <w:jc w:val="center"/>
              <w:rPr>
                <w:rFonts w:hint="eastAsia"/>
                <w:color w:val="auto"/>
                <w:spacing w:val="-10"/>
                <w:szCs w:val="21"/>
                <w:highlight w:val="none"/>
                <w:lang w:val="en-US" w:eastAsia="zh-CN"/>
              </w:rPr>
            </w:pPr>
          </w:p>
        </w:tc>
        <w:tc>
          <w:tcPr>
            <w:tcW w:w="434" w:type="dxa"/>
            <w:vMerge w:val="continue"/>
            <w:tcBorders>
              <w:left w:val="single" w:color="000000" w:sz="6" w:space="0"/>
            </w:tcBorders>
            <w:vAlign w:val="center"/>
          </w:tcPr>
          <w:p>
            <w:pPr>
              <w:pStyle w:val="23"/>
              <w:spacing w:line="332" w:lineRule="exact"/>
              <w:ind w:left="0"/>
              <w:jc w:val="center"/>
              <w:rPr>
                <w:rFonts w:hint="eastAsia"/>
                <w:color w:val="auto"/>
                <w:spacing w:val="-10"/>
                <w:szCs w:val="21"/>
                <w:highlight w:val="none"/>
                <w:lang w:val="en-US" w:eastAsia="zh-CN"/>
              </w:rPr>
            </w:pPr>
          </w:p>
        </w:tc>
        <w:tc>
          <w:tcPr>
            <w:tcW w:w="885" w:type="dxa"/>
            <w:vAlign w:val="center"/>
          </w:tcPr>
          <w:p>
            <w:pPr>
              <w:pStyle w:val="23"/>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功能</w:t>
            </w:r>
          </w:p>
        </w:tc>
        <w:tc>
          <w:tcPr>
            <w:tcW w:w="1095" w:type="dxa"/>
            <w:vAlign w:val="center"/>
          </w:tcPr>
          <w:p>
            <w:pPr>
              <w:pStyle w:val="23"/>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具体指标</w:t>
            </w:r>
          </w:p>
        </w:tc>
        <w:tc>
          <w:tcPr>
            <w:tcW w:w="2760" w:type="dxa"/>
            <w:vAlign w:val="center"/>
          </w:tcPr>
          <w:p>
            <w:pPr>
              <w:pStyle w:val="23"/>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指标参数</w:t>
            </w:r>
          </w:p>
        </w:tc>
        <w:tc>
          <w:tcPr>
            <w:tcW w:w="1245" w:type="dxa"/>
            <w:vAlign w:val="center"/>
          </w:tcPr>
          <w:p>
            <w:pPr>
              <w:pStyle w:val="23"/>
              <w:spacing w:line="332" w:lineRule="exact"/>
              <w:ind w:left="0"/>
              <w:jc w:val="center"/>
              <w:rPr>
                <w:rFonts w:hint="eastAsia"/>
                <w:color w:val="auto"/>
                <w:spacing w:val="-10"/>
                <w:szCs w:val="21"/>
                <w:highlight w:val="none"/>
                <w:lang w:val="en-US" w:eastAsia="zh-CN"/>
              </w:rPr>
            </w:pPr>
            <w:r>
              <w:rPr>
                <w:rFonts w:hint="eastAsia"/>
                <w:color w:val="auto"/>
                <w:spacing w:val="-10"/>
                <w:szCs w:val="21"/>
                <w:highlight w:val="none"/>
                <w:lang w:val="en-US" w:eastAsia="zh-CN"/>
              </w:rPr>
              <w:t>备注</w:t>
            </w:r>
          </w:p>
        </w:tc>
        <w:tc>
          <w:tcPr>
            <w:tcW w:w="645" w:type="dxa"/>
            <w:vMerge w:val="continue"/>
            <w:vAlign w:val="center"/>
          </w:tcPr>
          <w:p>
            <w:pPr>
              <w:pStyle w:val="23"/>
              <w:spacing w:line="332" w:lineRule="exact"/>
              <w:ind w:left="0"/>
              <w:jc w:val="center"/>
              <w:rPr>
                <w:rFonts w:hint="eastAsia" w:ascii="宋体" w:hAnsi="宋体" w:eastAsia="宋体" w:cs="宋体"/>
                <w:b w:val="0"/>
                <w:bCs/>
                <w:color w:val="auto"/>
                <w:sz w:val="21"/>
                <w:szCs w:val="21"/>
                <w:highlight w:val="none"/>
              </w:rPr>
            </w:pPr>
          </w:p>
        </w:tc>
        <w:tc>
          <w:tcPr>
            <w:tcW w:w="690" w:type="dxa"/>
            <w:vMerge w:val="continue"/>
            <w:vAlign w:val="center"/>
          </w:tcPr>
          <w:p>
            <w:pPr>
              <w:pStyle w:val="23"/>
              <w:spacing w:line="332" w:lineRule="exact"/>
              <w:ind w:left="0"/>
              <w:jc w:val="center"/>
              <w:rPr>
                <w:rFonts w:hint="eastAsia" w:ascii="宋体" w:hAnsi="宋体" w:eastAsia="宋体" w:cs="宋体"/>
                <w:b w:val="0"/>
                <w:bCs/>
                <w:color w:val="auto"/>
                <w:sz w:val="21"/>
                <w:szCs w:val="21"/>
                <w:highlight w:val="none"/>
              </w:rPr>
            </w:pPr>
          </w:p>
        </w:tc>
        <w:tc>
          <w:tcPr>
            <w:tcW w:w="765" w:type="dxa"/>
            <w:tcBorders>
              <w:top w:val="single" w:color="auto" w:sz="4" w:space="0"/>
              <w:right w:val="single" w:color="auto" w:sz="4" w:space="0"/>
            </w:tcBorders>
            <w:vAlign w:val="center"/>
          </w:tcPr>
          <w:p>
            <w:pPr>
              <w:pStyle w:val="23"/>
              <w:tabs>
                <w:tab w:val="left" w:pos="340"/>
              </w:tabs>
              <w:spacing w:line="332" w:lineRule="exact"/>
              <w:ind w:left="0"/>
              <w:jc w:val="left"/>
              <w:rPr>
                <w:rFonts w:hint="eastAsia" w:ascii="宋体" w:hAnsi="宋体" w:eastAsia="宋体" w:cs="宋体"/>
                <w:b w:val="0"/>
                <w:bCs/>
                <w:color w:val="auto"/>
                <w:sz w:val="21"/>
                <w:szCs w:val="21"/>
                <w:highlight w:val="none"/>
                <w:lang w:eastAsia="zh-CN"/>
              </w:rPr>
            </w:pPr>
            <w:r>
              <w:rPr>
                <w:rFonts w:hint="eastAsia" w:cs="宋体"/>
                <w:b w:val="0"/>
                <w:bCs/>
                <w:color w:val="auto"/>
                <w:sz w:val="21"/>
                <w:szCs w:val="21"/>
                <w:highlight w:val="none"/>
                <w:lang w:eastAsia="zh-CN"/>
              </w:rPr>
              <w:t>单价（含税）</w:t>
            </w:r>
          </w:p>
        </w:tc>
        <w:tc>
          <w:tcPr>
            <w:tcW w:w="735" w:type="dxa"/>
            <w:tcBorders>
              <w:top w:val="single" w:color="auto" w:sz="4" w:space="0"/>
              <w:left w:val="single" w:color="auto" w:sz="4" w:space="0"/>
            </w:tcBorders>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合价（含税）</w:t>
            </w:r>
          </w:p>
        </w:tc>
        <w:tc>
          <w:tcPr>
            <w:tcW w:w="480" w:type="dxa"/>
            <w:tcBorders>
              <w:top w:val="single" w:color="auto" w:sz="4" w:space="0"/>
              <w:right w:val="single" w:color="auto" w:sz="4" w:space="0"/>
            </w:tcBorders>
            <w:vAlign w:val="center"/>
          </w:tcPr>
          <w:p>
            <w:pPr>
              <w:pStyle w:val="23"/>
              <w:tabs>
                <w:tab w:val="left" w:pos="340"/>
              </w:tabs>
              <w:spacing w:line="332" w:lineRule="exact"/>
              <w:ind w:left="0"/>
              <w:jc w:val="left"/>
              <w:rPr>
                <w:rFonts w:hint="eastAsia" w:ascii="宋体" w:hAnsi="宋体" w:eastAsia="宋体" w:cs="宋体"/>
                <w:b w:val="0"/>
                <w:bCs/>
                <w:color w:val="auto"/>
                <w:sz w:val="21"/>
                <w:szCs w:val="21"/>
                <w:highlight w:val="none"/>
                <w:lang w:eastAsia="zh-CN"/>
              </w:rPr>
            </w:pPr>
            <w:r>
              <w:rPr>
                <w:rFonts w:hint="eastAsia" w:cs="宋体"/>
                <w:b w:val="0"/>
                <w:bCs/>
                <w:color w:val="auto"/>
                <w:sz w:val="21"/>
                <w:szCs w:val="21"/>
                <w:highlight w:val="none"/>
                <w:lang w:eastAsia="zh-CN"/>
              </w:rPr>
              <w:tab/>
            </w:r>
            <w:r>
              <w:rPr>
                <w:rFonts w:hint="eastAsia" w:cs="宋体"/>
                <w:b w:val="0"/>
                <w:bCs/>
                <w:color w:val="auto"/>
                <w:sz w:val="21"/>
                <w:szCs w:val="21"/>
                <w:highlight w:val="none"/>
                <w:lang w:eastAsia="zh-CN"/>
              </w:rPr>
              <w:t>单价（含税）</w:t>
            </w:r>
          </w:p>
        </w:tc>
        <w:tc>
          <w:tcPr>
            <w:tcW w:w="525" w:type="dxa"/>
            <w:tcBorders>
              <w:top w:val="single" w:color="auto" w:sz="4" w:space="0"/>
              <w:left w:val="single" w:color="auto" w:sz="4" w:space="0"/>
              <w:right w:val="single" w:color="auto" w:sz="4" w:space="0"/>
            </w:tcBorders>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增值税税率</w:t>
            </w:r>
          </w:p>
        </w:tc>
        <w:tc>
          <w:tcPr>
            <w:tcW w:w="568" w:type="dxa"/>
            <w:tcBorders>
              <w:top w:val="single" w:color="auto" w:sz="4" w:space="0"/>
              <w:left w:val="single" w:color="auto" w:sz="4" w:space="0"/>
            </w:tcBorders>
            <w:vAlign w:val="center"/>
          </w:tcPr>
          <w:p>
            <w:pPr>
              <w:pStyle w:val="23"/>
              <w:spacing w:line="332" w:lineRule="exact"/>
              <w:ind w:left="0"/>
              <w:jc w:val="center"/>
              <w:rPr>
                <w:rFonts w:hint="eastAsia" w:ascii="宋体" w:hAnsi="宋体" w:eastAsia="宋体" w:cs="宋体"/>
                <w:b w:val="0"/>
                <w:bCs/>
                <w:color w:val="auto"/>
                <w:sz w:val="21"/>
                <w:szCs w:val="21"/>
                <w:highlight w:val="none"/>
              </w:rPr>
            </w:pPr>
            <w:r>
              <w:rPr>
                <w:rFonts w:hint="eastAsia"/>
                <w:highlight w:val="none"/>
              </w:rPr>
              <w:t>合价（含税）</w:t>
            </w:r>
          </w:p>
        </w:tc>
        <w:tc>
          <w:tcPr>
            <w:tcW w:w="935" w:type="dxa"/>
            <w:vMerge w:val="continue"/>
            <w:vAlign w:val="center"/>
          </w:tcPr>
          <w:p>
            <w:pPr>
              <w:pStyle w:val="23"/>
              <w:spacing w:line="332" w:lineRule="exact"/>
              <w:ind w:left="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540" w:type="dxa"/>
            <w:vMerge w:val="restart"/>
          </w:tcPr>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p>
          <w:p>
            <w:pPr>
              <w:pStyle w:val="23"/>
              <w:spacing w:before="75"/>
              <w:ind w:right="328" w:firstLine="180" w:firstLineChars="100"/>
              <w:jc w:val="both"/>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w:t>
            </w:r>
          </w:p>
          <w:p>
            <w:pPr>
              <w:pStyle w:val="23"/>
              <w:spacing w:before="75"/>
              <w:ind w:right="328"/>
              <w:jc w:val="both"/>
              <w:rPr>
                <w:rFonts w:hint="eastAsia" w:ascii="宋体" w:hAnsi="宋体" w:eastAsia="宋体" w:cs="宋体"/>
                <w:b w:val="0"/>
                <w:bCs/>
                <w:color w:val="auto"/>
                <w:sz w:val="18"/>
                <w:szCs w:val="18"/>
                <w:highlight w:val="none"/>
                <w:lang w:val="en-US" w:eastAsia="zh-CN"/>
              </w:rPr>
            </w:pPr>
          </w:p>
        </w:tc>
        <w:tc>
          <w:tcPr>
            <w:tcW w:w="637" w:type="dxa"/>
            <w:vMerge w:val="restart"/>
            <w:tcBorders>
              <w:right w:val="single" w:color="000000" w:sz="6" w:space="0"/>
            </w:tcBorders>
          </w:tcPr>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right="328"/>
              <w:jc w:val="both"/>
              <w:rPr>
                <w:rFonts w:hint="eastAsia" w:ascii="宋体" w:hAnsi="宋体" w:eastAsia="宋体" w:cs="宋体"/>
                <w:b w:val="0"/>
                <w:bCs/>
                <w:color w:val="auto"/>
                <w:sz w:val="18"/>
                <w:szCs w:val="18"/>
                <w:highlight w:val="none"/>
                <w:lang w:val="en-US" w:eastAsia="zh-CN"/>
              </w:rPr>
            </w:pPr>
          </w:p>
          <w:p>
            <w:pPr>
              <w:pStyle w:val="23"/>
              <w:spacing w:before="75"/>
              <w:ind w:left="210" w:leftChars="100" w:right="328" w:firstLine="0" w:firstLineChars="0"/>
              <w:jc w:val="both"/>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摄像机</w:t>
            </w:r>
          </w:p>
        </w:tc>
        <w:tc>
          <w:tcPr>
            <w:tcW w:w="398" w:type="dxa"/>
            <w:vMerge w:val="restart"/>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restart"/>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物理功能</w:t>
            </w:r>
          </w:p>
        </w:tc>
        <w:tc>
          <w:tcPr>
            <w:tcW w:w="109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1.1形态</w:t>
            </w:r>
          </w:p>
        </w:tc>
        <w:tc>
          <w:tcPr>
            <w:tcW w:w="2760"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整机一体化设计，单IP、单电源供电。</w:t>
            </w:r>
          </w:p>
        </w:tc>
        <w:tc>
          <w:tcPr>
            <w:tcW w:w="124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2个辅摄像机要监控高速公路上、下行方向</w:t>
            </w:r>
          </w:p>
        </w:tc>
        <w:tc>
          <w:tcPr>
            <w:tcW w:w="645" w:type="dxa"/>
            <w:vMerge w:val="restart"/>
          </w:tcPr>
          <w:p>
            <w:pPr>
              <w:pStyle w:val="23"/>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ind w:firstLine="235" w:firstLineChars="0"/>
              <w:jc w:val="left"/>
              <w:rPr>
                <w:rFonts w:hint="eastAsia" w:ascii="宋体" w:hAnsi="宋体" w:eastAsia="宋体" w:cs="宋体"/>
                <w:sz w:val="18"/>
                <w:szCs w:val="18"/>
                <w:highlight w:val="none"/>
                <w:lang w:val="en-US" w:eastAsia="zh-CN"/>
              </w:rPr>
            </w:pPr>
          </w:p>
          <w:p>
            <w:pPr>
              <w:pStyle w:val="2"/>
              <w:rPr>
                <w:rFonts w:hint="eastAsia" w:ascii="宋体" w:hAnsi="宋体" w:eastAsia="宋体" w:cs="宋体"/>
                <w:sz w:val="18"/>
                <w:szCs w:val="18"/>
                <w:highlight w:val="none"/>
                <w:lang w:val="en-US" w:eastAsia="zh-CN"/>
              </w:rPr>
            </w:pPr>
          </w:p>
          <w:p>
            <w:pPr>
              <w:rPr>
                <w:rFonts w:hint="eastAsia" w:ascii="宋体" w:hAnsi="宋体" w:eastAsia="宋体" w:cs="宋体"/>
                <w:sz w:val="18"/>
                <w:szCs w:val="18"/>
                <w:highlight w:val="none"/>
                <w:lang w:val="en-US" w:eastAsia="zh-CN"/>
              </w:rPr>
            </w:pPr>
          </w:p>
          <w:p>
            <w:pPr>
              <w:pStyle w:val="2"/>
              <w:rPr>
                <w:rFonts w:hint="eastAsia" w:ascii="宋体" w:hAnsi="宋体" w:eastAsia="宋体" w:cs="宋体"/>
                <w:sz w:val="18"/>
                <w:szCs w:val="18"/>
                <w:highlight w:val="none"/>
                <w:lang w:val="en-US" w:eastAsia="zh-CN"/>
              </w:rPr>
            </w:pPr>
          </w:p>
          <w:p>
            <w:pPr>
              <w:rPr>
                <w:rFonts w:hint="eastAsia"/>
                <w:highlight w:val="none"/>
                <w:lang w:val="en-US" w:eastAsia="zh-CN"/>
              </w:rPr>
            </w:pPr>
            <w:r>
              <w:rPr>
                <w:rFonts w:hint="eastAsia"/>
                <w:highlight w:val="none"/>
                <w:lang w:val="en-US" w:eastAsia="zh-CN"/>
              </w:rPr>
              <w:t xml:space="preserve">     </w:t>
            </w:r>
          </w:p>
          <w:p>
            <w:pPr>
              <w:pStyle w:val="2"/>
              <w:rPr>
                <w:rFonts w:hint="default"/>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p>
          <w:p>
            <w:pPr>
              <w:bidi w:val="0"/>
              <w:ind w:firstLine="235" w:firstLineChars="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套</w:t>
            </w:r>
          </w:p>
        </w:tc>
        <w:tc>
          <w:tcPr>
            <w:tcW w:w="690" w:type="dxa"/>
            <w:vMerge w:val="restart"/>
          </w:tcPr>
          <w:p>
            <w:pPr>
              <w:pStyle w:val="23"/>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p>
          <w:p>
            <w:pPr>
              <w:bidi w:val="0"/>
              <w:ind w:firstLine="180" w:firstLineChars="1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791</w:t>
            </w:r>
          </w:p>
        </w:tc>
        <w:tc>
          <w:tcPr>
            <w:tcW w:w="765" w:type="dxa"/>
            <w:vMerge w:val="restart"/>
            <w:tcBorders>
              <w:right w:val="single" w:color="auto" w:sz="4" w:space="0"/>
            </w:tcBorders>
          </w:tcPr>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p>
          <w:p>
            <w:pPr>
              <w:pStyle w:val="23"/>
              <w:ind w:firstLine="180" w:firstLineChars="10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10405</w:t>
            </w:r>
          </w:p>
        </w:tc>
        <w:tc>
          <w:tcPr>
            <w:tcW w:w="735" w:type="dxa"/>
            <w:vMerge w:val="restart"/>
            <w:tcBorders>
              <w:left w:val="single" w:color="auto" w:sz="4" w:space="0"/>
            </w:tcBorders>
          </w:tcPr>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p>
          <w:p>
            <w:pPr>
              <w:pStyle w:val="23"/>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8230355</w:t>
            </w:r>
          </w:p>
        </w:tc>
        <w:tc>
          <w:tcPr>
            <w:tcW w:w="480" w:type="dxa"/>
            <w:vMerge w:val="restart"/>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restart"/>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restart"/>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restart"/>
          </w:tcPr>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p>
          <w:p>
            <w:pPr>
              <w:pStyle w:val="23"/>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单价及合价应设备本体及相关配件，税金，运费，卸货费，指导安装、调试费等所有费用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0" w:type="dxa"/>
            <w:vMerge w:val="continue"/>
          </w:tcPr>
          <w:p>
            <w:pPr>
              <w:pStyle w:val="23"/>
              <w:spacing w:before="75"/>
              <w:ind w:right="328"/>
              <w:jc w:val="both"/>
              <w:rPr>
                <w:rFonts w:hint="eastAsia" w:ascii="宋体" w:hAnsi="宋体" w:eastAsia="宋体" w:cs="宋体"/>
                <w:b w:val="0"/>
                <w:bCs/>
                <w:color w:val="auto"/>
                <w:sz w:val="18"/>
                <w:szCs w:val="18"/>
                <w:highlight w:val="none"/>
                <w:lang w:val="en-US" w:eastAsia="zh-CN"/>
              </w:rPr>
            </w:pPr>
          </w:p>
        </w:tc>
        <w:tc>
          <w:tcPr>
            <w:tcW w:w="637" w:type="dxa"/>
            <w:vMerge w:val="continue"/>
            <w:tcBorders>
              <w:right w:val="single" w:color="000000" w:sz="6" w:space="0"/>
            </w:tcBorders>
          </w:tcPr>
          <w:p>
            <w:pPr>
              <w:pStyle w:val="23"/>
              <w:spacing w:before="75"/>
              <w:ind w:left="210" w:leftChars="100" w:right="328" w:firstLine="0" w:firstLineChars="0"/>
              <w:jc w:val="both"/>
              <w:rPr>
                <w:rFonts w:hint="eastAsia" w:ascii="宋体" w:hAnsi="宋体" w:eastAsia="宋体" w:cs="宋体"/>
                <w:b w:val="0"/>
                <w:bCs/>
                <w:color w:val="auto"/>
                <w:sz w:val="18"/>
                <w:szCs w:val="18"/>
                <w:highlight w:val="none"/>
                <w:lang w:val="en-US" w:eastAsia="zh-CN"/>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1.2组成</w:t>
            </w:r>
          </w:p>
        </w:tc>
        <w:tc>
          <w:tcPr>
            <w:tcW w:w="2760"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1个主摄像机、具备2个辅摄像机，主摄像机所在机构的尺寸≥8寸。</w:t>
            </w:r>
          </w:p>
        </w:tc>
        <w:tc>
          <w:tcPr>
            <w:tcW w:w="124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bidi w:val="0"/>
              <w:ind w:firstLine="235" w:firstLineChars="0"/>
              <w:jc w:val="left"/>
              <w:rPr>
                <w:rFonts w:hint="eastAsia" w:ascii="宋体" w:hAnsi="宋体" w:eastAsia="宋体" w:cs="宋体"/>
                <w:sz w:val="18"/>
                <w:szCs w:val="18"/>
                <w:highlight w:val="none"/>
                <w:lang w:val="en-US" w:eastAsia="zh-CN"/>
              </w:rPr>
            </w:pPr>
          </w:p>
        </w:tc>
        <w:tc>
          <w:tcPr>
            <w:tcW w:w="690" w:type="dxa"/>
            <w:vMerge w:val="continue"/>
          </w:tcPr>
          <w:p>
            <w:pPr>
              <w:bidi w:val="0"/>
              <w:ind w:firstLine="355" w:firstLineChars="0"/>
              <w:jc w:val="left"/>
              <w:rPr>
                <w:rFonts w:hint="eastAsia" w:ascii="宋体" w:hAnsi="宋体" w:eastAsia="宋体" w:cs="宋体"/>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光学功能</w:t>
            </w:r>
          </w:p>
        </w:tc>
        <w:tc>
          <w:tcPr>
            <w:tcW w:w="109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2.1传感器</w:t>
            </w:r>
          </w:p>
        </w:tc>
        <w:tc>
          <w:tcPr>
            <w:tcW w:w="2760"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采用3个CMOS传感器，靶面尺寸均不小于1/1.8英寸。</w:t>
            </w:r>
          </w:p>
        </w:tc>
        <w:tc>
          <w:tcPr>
            <w:tcW w:w="124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2.2像素</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三镜头像素均≥400万。</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2.3分辨率</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三镜头视频图像分辨率均≥2560×1440。</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2.4焦距</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两个辅摄像机镜头最大焦距均≥120mm，光学变倍≥20倍；主摄像机镜头最大焦距≥220mm，光学变倍≥40倍。</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2.5光圈</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主摄像机最大光圈值≤F1.4，辅摄像机最大光圈值≤F1.7。</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2.6最低照度</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彩色：≤0.0004Lux，黑白：≤0.0001Lux。</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2.7动态范围</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p>
            <w:pPr>
              <w:bidi w:val="0"/>
              <w:ind w:firstLine="359"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≥120dB。</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2.8快门</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1s~1/30000s。</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2.9图像处理</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支持防抖、透雾、白平衡、强光抑制（夜间车辆大灯抑制）、自动增益等。</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2.10补光</w:t>
            </w:r>
          </w:p>
        </w:tc>
        <w:tc>
          <w:tcPr>
            <w:tcW w:w="2760"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三镜头均支持红外补光，其中辅摄像机补光距离≥100m，主摄像机补光距离≥250m。</w:t>
            </w:r>
          </w:p>
        </w:tc>
        <w:tc>
          <w:tcPr>
            <w:tcW w:w="124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both"/>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云台功能</w:t>
            </w:r>
          </w:p>
        </w:tc>
        <w:tc>
          <w:tcPr>
            <w:tcW w:w="109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3.1整机机身</w:t>
            </w:r>
          </w:p>
        </w:tc>
        <w:tc>
          <w:tcPr>
            <w:tcW w:w="2760"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支持整机机身转动，独立远程不低于0°~180°水平调节</w:t>
            </w:r>
          </w:p>
        </w:tc>
        <w:tc>
          <w:tcPr>
            <w:tcW w:w="124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3.2主摄像机</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主摄像机支持独立远程0°~360°水平调节、-15°~90°垂直调节；调节转速支持水平0.1°~210°/s，垂直0.1°~100°/s。</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3.3辅摄像机</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辅摄像机支持独立远程不低于0~240°水平调节、-15~90°垂直调节。</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3.4智能控制</w:t>
            </w:r>
          </w:p>
        </w:tc>
        <w:tc>
          <w:tcPr>
            <w:tcW w:w="2760"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支持多点预置位、延迟复位及摄像机角度角度信息反馈功能。</w:t>
            </w:r>
          </w:p>
        </w:tc>
        <w:tc>
          <w:tcPr>
            <w:tcW w:w="124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智能功能</w:t>
            </w:r>
          </w:p>
        </w:tc>
        <w:tc>
          <w:tcPr>
            <w:tcW w:w="109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4.1态势感知</w:t>
            </w:r>
          </w:p>
        </w:tc>
        <w:tc>
          <w:tcPr>
            <w:tcW w:w="2760"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辅摄像机支持事件检测功能，对有效检测范围内的停车、逆行等重要交通事件的检测准确率不低于96%。</w:t>
            </w:r>
          </w:p>
        </w:tc>
        <w:tc>
          <w:tcPr>
            <w:tcW w:w="1245" w:type="dxa"/>
            <w:vMerge w:val="restart"/>
          </w:tcPr>
          <w:p>
            <w:pPr>
              <w:pStyle w:val="23"/>
              <w:ind w:firstLine="360" w:firstLineChars="200"/>
              <w:jc w:val="center"/>
              <w:rPr>
                <w:rFonts w:hint="eastAsia" w:ascii="宋体" w:hAnsi="宋体" w:eastAsia="宋体" w:cs="宋体"/>
                <w:b w:val="0"/>
                <w:bCs/>
                <w:color w:val="auto"/>
                <w:sz w:val="18"/>
                <w:szCs w:val="18"/>
                <w:highlight w:val="none"/>
              </w:rPr>
            </w:pPr>
          </w:p>
          <w:p>
            <w:pPr>
              <w:pStyle w:val="23"/>
              <w:ind w:firstLine="360" w:firstLineChars="200"/>
              <w:jc w:val="center"/>
              <w:rPr>
                <w:rFonts w:hint="eastAsia" w:ascii="宋体" w:hAnsi="宋体" w:eastAsia="宋体" w:cs="宋体"/>
                <w:b w:val="0"/>
                <w:bCs/>
                <w:color w:val="auto"/>
                <w:sz w:val="18"/>
                <w:szCs w:val="18"/>
                <w:highlight w:val="none"/>
              </w:rPr>
            </w:pPr>
          </w:p>
          <w:p>
            <w:pPr>
              <w:pStyle w:val="23"/>
              <w:ind w:firstLine="360" w:firstLineChars="200"/>
              <w:jc w:val="center"/>
              <w:rPr>
                <w:rFonts w:hint="eastAsia" w:ascii="宋体" w:hAnsi="宋体" w:eastAsia="宋体" w:cs="宋体"/>
                <w:b w:val="0"/>
                <w:bCs/>
                <w:color w:val="auto"/>
                <w:sz w:val="18"/>
                <w:szCs w:val="18"/>
                <w:highlight w:val="none"/>
              </w:rPr>
            </w:pPr>
          </w:p>
          <w:p>
            <w:pPr>
              <w:pStyle w:val="23"/>
              <w:ind w:firstLine="360" w:firstLineChars="200"/>
              <w:jc w:val="center"/>
              <w:rPr>
                <w:rFonts w:hint="eastAsia" w:ascii="宋体" w:hAnsi="宋体" w:eastAsia="宋体" w:cs="宋体"/>
                <w:b w:val="0"/>
                <w:bCs/>
                <w:color w:val="auto"/>
                <w:sz w:val="18"/>
                <w:szCs w:val="18"/>
                <w:highlight w:val="none"/>
              </w:rPr>
            </w:pPr>
          </w:p>
          <w:p>
            <w:pPr>
              <w:pStyle w:val="23"/>
              <w:ind w:firstLine="360" w:firstLineChars="200"/>
              <w:jc w:val="both"/>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算力强</w:t>
            </w: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vMerge w:val="continue"/>
          </w:tcPr>
          <w:p>
            <w:pPr>
              <w:pStyle w:val="23"/>
              <w:jc w:val="center"/>
              <w:rPr>
                <w:rFonts w:hint="eastAsia" w:ascii="宋体" w:hAnsi="宋体" w:eastAsia="宋体" w:cs="宋体"/>
                <w:b w:val="0"/>
                <w:bCs/>
                <w:color w:val="auto"/>
                <w:sz w:val="18"/>
                <w:szCs w:val="18"/>
                <w:highlight w:val="none"/>
              </w:rPr>
            </w:pP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主摄像机支持事件检测工程，支持算法升级，具备预警等上报接口</w:t>
            </w:r>
          </w:p>
        </w:tc>
        <w:tc>
          <w:tcPr>
            <w:tcW w:w="1245" w:type="dxa"/>
            <w:vMerge w:val="continue"/>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vMerge w:val="continue"/>
          </w:tcPr>
          <w:p>
            <w:pPr>
              <w:pStyle w:val="23"/>
              <w:jc w:val="center"/>
              <w:rPr>
                <w:rFonts w:hint="eastAsia" w:ascii="宋体" w:hAnsi="宋体" w:eastAsia="宋体" w:cs="宋体"/>
                <w:b w:val="0"/>
                <w:bCs/>
                <w:color w:val="auto"/>
                <w:sz w:val="18"/>
                <w:szCs w:val="18"/>
                <w:highlight w:val="none"/>
              </w:rPr>
            </w:pPr>
          </w:p>
        </w:tc>
        <w:tc>
          <w:tcPr>
            <w:tcW w:w="2760"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自带GPU芯片，两个辅摄像机支持车流量监测预警与结构化数据输出等上报接口。</w:t>
            </w:r>
          </w:p>
        </w:tc>
        <w:tc>
          <w:tcPr>
            <w:tcW w:w="1245" w:type="dxa"/>
            <w:vMerge w:val="continue"/>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restart"/>
          </w:tcPr>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p>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适应性功能</w:t>
            </w:r>
          </w:p>
        </w:tc>
        <w:tc>
          <w:tcPr>
            <w:tcW w:w="109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5.1字符叠加</w:t>
            </w:r>
          </w:p>
        </w:tc>
        <w:tc>
          <w:tcPr>
            <w:tcW w:w="2760"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满足《重庆高速公路视频图像文字信息标注技术要求（2024版）》。</w:t>
            </w:r>
          </w:p>
        </w:tc>
        <w:tc>
          <w:tcPr>
            <w:tcW w:w="1245" w:type="dxa"/>
            <w:tcBorders>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详见指标及参数附件</w:t>
            </w: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5.2自清洁</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三个镜头都具备自清洁功能（如雨刷、加热、防污涂层等）。</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自清洁能力</w:t>
            </w: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5.3定位</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支持单北斗定位及信息叠加。</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5.4接口</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具备1个1000M自适应RJ45网口，具备音频输入/输出接口、报警输入/输出接口。</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5.5协议</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支持编码格式H.264/H.265;支持GB/T 28181协议、ONVIF视频协议、GA/T 1400协议。</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5.6供电</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支持220V AC，自带电源适配器。</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5.7安装</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具备法兰安装接口。</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5.8功率</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≤125W。</w:t>
            </w:r>
          </w:p>
        </w:tc>
        <w:tc>
          <w:tcPr>
            <w:tcW w:w="124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5.9重量</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≤18KG。</w:t>
            </w:r>
          </w:p>
        </w:tc>
        <w:tc>
          <w:tcPr>
            <w:tcW w:w="1245" w:type="dxa"/>
            <w:vMerge w:val="restart"/>
            <w:tcBorders>
              <w:top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5.10工作环境</w:t>
            </w:r>
          </w:p>
        </w:tc>
        <w:tc>
          <w:tcPr>
            <w:tcW w:w="2760" w:type="dxa"/>
            <w:tcBorders>
              <w:top w:val="single" w:color="auto" w:sz="4" w:space="0"/>
              <w:bottom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温度-40℃~70℃；湿度≤95%。</w:t>
            </w:r>
          </w:p>
        </w:tc>
        <w:tc>
          <w:tcPr>
            <w:tcW w:w="1245" w:type="dxa"/>
            <w:vMerge w:val="continue"/>
            <w:tcBorders>
              <w:bottom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540" w:type="dxa"/>
            <w:vMerge w:val="continue"/>
          </w:tcPr>
          <w:p>
            <w:pPr>
              <w:pStyle w:val="23"/>
              <w:spacing w:before="75"/>
              <w:ind w:left="7"/>
              <w:jc w:val="center"/>
              <w:rPr>
                <w:rFonts w:hint="eastAsia" w:ascii="宋体" w:hAnsi="宋体" w:eastAsia="宋体" w:cs="宋体"/>
                <w:b w:val="0"/>
                <w:bCs/>
                <w:color w:val="auto"/>
                <w:sz w:val="18"/>
                <w:szCs w:val="18"/>
                <w:highlight w:val="none"/>
              </w:rPr>
            </w:pPr>
          </w:p>
        </w:tc>
        <w:tc>
          <w:tcPr>
            <w:tcW w:w="637" w:type="dxa"/>
            <w:vMerge w:val="continue"/>
            <w:tcBorders>
              <w:right w:val="single" w:color="000000" w:sz="6" w:space="0"/>
            </w:tcBorders>
          </w:tcPr>
          <w:p>
            <w:pPr>
              <w:pStyle w:val="23"/>
              <w:rPr>
                <w:rFonts w:hint="eastAsia" w:ascii="宋体" w:hAnsi="宋体" w:eastAsia="宋体" w:cs="宋体"/>
                <w:b w:val="0"/>
                <w:bCs/>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885" w:type="dxa"/>
            <w:vMerge w:val="continue"/>
          </w:tcPr>
          <w:p>
            <w:pPr>
              <w:pStyle w:val="23"/>
              <w:jc w:val="center"/>
              <w:rPr>
                <w:rFonts w:hint="eastAsia" w:ascii="宋体" w:hAnsi="宋体" w:eastAsia="宋体" w:cs="宋体"/>
                <w:b w:val="0"/>
                <w:bCs/>
                <w:color w:val="auto"/>
                <w:sz w:val="18"/>
                <w:szCs w:val="18"/>
                <w:highlight w:val="none"/>
              </w:rPr>
            </w:pPr>
          </w:p>
        </w:tc>
        <w:tc>
          <w:tcPr>
            <w:tcW w:w="109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5.11防护等级</w:t>
            </w:r>
          </w:p>
        </w:tc>
        <w:tc>
          <w:tcPr>
            <w:tcW w:w="2760"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≥IP66防水防尘等级。</w:t>
            </w:r>
          </w:p>
        </w:tc>
        <w:tc>
          <w:tcPr>
            <w:tcW w:w="1245" w:type="dxa"/>
            <w:tcBorders>
              <w:top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40" w:type="dxa"/>
            <w:vMerge w:val="continue"/>
          </w:tcPr>
          <w:p>
            <w:pPr>
              <w:pStyle w:val="23"/>
              <w:spacing w:before="75"/>
              <w:ind w:left="120" w:right="108"/>
              <w:jc w:val="center"/>
              <w:rPr>
                <w:rFonts w:hint="eastAsia" w:ascii="宋体" w:hAnsi="宋体" w:eastAsia="宋体" w:cs="宋体"/>
                <w:b w:val="0"/>
                <w:bCs/>
                <w:i/>
                <w:color w:val="auto"/>
                <w:sz w:val="18"/>
                <w:szCs w:val="18"/>
                <w:highlight w:val="none"/>
              </w:rPr>
            </w:pPr>
          </w:p>
        </w:tc>
        <w:tc>
          <w:tcPr>
            <w:tcW w:w="637" w:type="dxa"/>
            <w:vMerge w:val="continue"/>
            <w:tcBorders>
              <w:right w:val="single" w:color="000000" w:sz="6" w:space="0"/>
            </w:tcBorders>
          </w:tcPr>
          <w:p>
            <w:pPr>
              <w:pStyle w:val="23"/>
              <w:spacing w:before="75"/>
              <w:ind w:left="339" w:right="328"/>
              <w:jc w:val="center"/>
              <w:rPr>
                <w:rFonts w:hint="eastAsia" w:ascii="宋体" w:hAnsi="宋体" w:eastAsia="宋体" w:cs="宋体"/>
                <w:b w:val="0"/>
                <w:bCs/>
                <w:i/>
                <w:color w:val="auto"/>
                <w:sz w:val="18"/>
                <w:szCs w:val="18"/>
                <w:highlight w:val="none"/>
              </w:rPr>
            </w:pPr>
          </w:p>
        </w:tc>
        <w:tc>
          <w:tcPr>
            <w:tcW w:w="398"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434" w:type="dxa"/>
            <w:vMerge w:val="continue"/>
            <w:tcBorders>
              <w:left w:val="single" w:color="000000" w:sz="6" w:space="0"/>
            </w:tcBorders>
          </w:tcPr>
          <w:p>
            <w:pPr>
              <w:pStyle w:val="23"/>
              <w:rPr>
                <w:rFonts w:hint="eastAsia" w:ascii="宋体" w:hAnsi="宋体" w:eastAsia="宋体" w:cs="宋体"/>
                <w:b w:val="0"/>
                <w:bCs/>
                <w:color w:val="auto"/>
                <w:sz w:val="18"/>
                <w:szCs w:val="18"/>
                <w:highlight w:val="none"/>
              </w:rPr>
            </w:pPr>
          </w:p>
        </w:tc>
        <w:tc>
          <w:tcPr>
            <w:tcW w:w="1980" w:type="dxa"/>
            <w:gridSpan w:val="2"/>
          </w:tcPr>
          <w:p>
            <w:pPr>
              <w:pStyle w:val="23"/>
              <w:jc w:val="center"/>
              <w:rPr>
                <w:rFonts w:hint="eastAsia" w:ascii="宋体" w:hAnsi="宋体" w:eastAsia="宋体" w:cs="宋体"/>
                <w:b w:val="0"/>
                <w:bCs/>
                <w:color w:val="auto"/>
                <w:sz w:val="18"/>
                <w:szCs w:val="18"/>
                <w:highlight w:val="none"/>
              </w:rPr>
            </w:pPr>
          </w:p>
          <w:p>
            <w:pPr>
              <w:pStyle w:val="23"/>
              <w:ind w:firstLine="540" w:firstLineChars="300"/>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质量保证期</w:t>
            </w:r>
          </w:p>
        </w:tc>
        <w:tc>
          <w:tcPr>
            <w:tcW w:w="2760" w:type="dxa"/>
            <w:tcBorders>
              <w:right w:val="single" w:color="auto" w:sz="4" w:space="0"/>
            </w:tcBorders>
          </w:tcPr>
          <w:p>
            <w:pPr>
              <w:pStyle w:val="2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基本质量保证期：验收合格之日起3年</w:t>
            </w:r>
          </w:p>
        </w:tc>
        <w:tc>
          <w:tcPr>
            <w:tcW w:w="1245" w:type="dxa"/>
            <w:tcBorders>
              <w:left w:val="single" w:color="auto" w:sz="4" w:space="0"/>
            </w:tcBorders>
          </w:tcPr>
          <w:p>
            <w:pPr>
              <w:pStyle w:val="23"/>
              <w:jc w:val="center"/>
              <w:rPr>
                <w:rFonts w:hint="eastAsia" w:ascii="宋体" w:hAnsi="宋体" w:eastAsia="宋体" w:cs="宋体"/>
                <w:b w:val="0"/>
                <w:bCs/>
                <w:color w:val="auto"/>
                <w:sz w:val="18"/>
                <w:szCs w:val="18"/>
                <w:highlight w:val="none"/>
              </w:rPr>
            </w:pPr>
          </w:p>
        </w:tc>
        <w:tc>
          <w:tcPr>
            <w:tcW w:w="645" w:type="dxa"/>
            <w:vMerge w:val="continue"/>
          </w:tcPr>
          <w:p>
            <w:pPr>
              <w:pStyle w:val="23"/>
              <w:rPr>
                <w:rFonts w:hint="eastAsia" w:ascii="宋体" w:hAnsi="宋体" w:eastAsia="宋体" w:cs="宋体"/>
                <w:b w:val="0"/>
                <w:bCs/>
                <w:color w:val="auto"/>
                <w:sz w:val="18"/>
                <w:szCs w:val="18"/>
                <w:highlight w:val="none"/>
              </w:rPr>
            </w:pPr>
          </w:p>
        </w:tc>
        <w:tc>
          <w:tcPr>
            <w:tcW w:w="690" w:type="dxa"/>
            <w:vMerge w:val="continue"/>
          </w:tcPr>
          <w:p>
            <w:pPr>
              <w:pStyle w:val="23"/>
              <w:rPr>
                <w:rFonts w:hint="eastAsia" w:ascii="宋体" w:hAnsi="宋体" w:eastAsia="宋体" w:cs="宋体"/>
                <w:b w:val="0"/>
                <w:bCs/>
                <w:color w:val="auto"/>
                <w:sz w:val="18"/>
                <w:szCs w:val="18"/>
                <w:highlight w:val="none"/>
              </w:rPr>
            </w:pPr>
          </w:p>
        </w:tc>
        <w:tc>
          <w:tcPr>
            <w:tcW w:w="765"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735"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480" w:type="dxa"/>
            <w:vMerge w:val="continue"/>
            <w:tcBorders>
              <w:right w:val="single" w:color="auto" w:sz="4" w:space="0"/>
            </w:tcBorders>
          </w:tcPr>
          <w:p>
            <w:pPr>
              <w:pStyle w:val="23"/>
              <w:rPr>
                <w:rFonts w:hint="eastAsia" w:ascii="宋体" w:hAnsi="宋体" w:eastAsia="宋体" w:cs="宋体"/>
                <w:b w:val="0"/>
                <w:bCs/>
                <w:color w:val="auto"/>
                <w:sz w:val="18"/>
                <w:szCs w:val="18"/>
                <w:highlight w:val="none"/>
              </w:rPr>
            </w:pPr>
          </w:p>
        </w:tc>
        <w:tc>
          <w:tcPr>
            <w:tcW w:w="525" w:type="dxa"/>
            <w:vMerge w:val="continue"/>
            <w:tcBorders>
              <w:left w:val="single" w:color="auto" w:sz="4" w:space="0"/>
              <w:right w:val="single" w:color="auto" w:sz="4" w:space="0"/>
            </w:tcBorders>
          </w:tcPr>
          <w:p>
            <w:pPr>
              <w:pStyle w:val="23"/>
              <w:rPr>
                <w:rFonts w:hint="eastAsia" w:ascii="宋体" w:hAnsi="宋体" w:eastAsia="宋体" w:cs="宋体"/>
                <w:b w:val="0"/>
                <w:bCs/>
                <w:color w:val="auto"/>
                <w:sz w:val="18"/>
                <w:szCs w:val="18"/>
                <w:highlight w:val="none"/>
              </w:rPr>
            </w:pPr>
          </w:p>
        </w:tc>
        <w:tc>
          <w:tcPr>
            <w:tcW w:w="568" w:type="dxa"/>
            <w:vMerge w:val="continue"/>
            <w:tcBorders>
              <w:left w:val="single" w:color="auto" w:sz="4" w:space="0"/>
            </w:tcBorders>
          </w:tcPr>
          <w:p>
            <w:pPr>
              <w:pStyle w:val="23"/>
              <w:rPr>
                <w:rFonts w:hint="eastAsia" w:ascii="宋体" w:hAnsi="宋体" w:eastAsia="宋体" w:cs="宋体"/>
                <w:b w:val="0"/>
                <w:bCs/>
                <w:color w:val="auto"/>
                <w:sz w:val="18"/>
                <w:szCs w:val="18"/>
                <w:highlight w:val="none"/>
              </w:rPr>
            </w:pPr>
          </w:p>
        </w:tc>
        <w:tc>
          <w:tcPr>
            <w:tcW w:w="935" w:type="dxa"/>
            <w:vMerge w:val="continue"/>
          </w:tcPr>
          <w:p>
            <w:pPr>
              <w:pStyle w:val="23"/>
              <w:rPr>
                <w:rFonts w:hint="eastAsia" w:ascii="宋体" w:hAnsi="宋体" w:eastAsia="宋体" w:cs="宋体"/>
                <w:b w:val="0"/>
                <w:bCs/>
                <w:color w:val="auto"/>
                <w:sz w:val="18"/>
                <w:szCs w:val="18"/>
                <w:highlight w:val="none"/>
              </w:rPr>
            </w:pPr>
          </w:p>
        </w:tc>
      </w:tr>
    </w:tbl>
    <w:p>
      <w:pPr>
        <w:spacing w:line="360" w:lineRule="auto"/>
        <w:rPr>
          <w:rFonts w:ascii="宋体" w:hAnsi="宋体"/>
          <w:snapToGrid w:val="0"/>
          <w:color w:val="auto"/>
          <w:w w:val="99"/>
          <w:highlight w:val="none"/>
        </w:rPr>
      </w:pPr>
    </w:p>
    <w:p>
      <w:pPr>
        <w:pStyle w:val="2"/>
        <w:jc w:val="right"/>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jc w:val="right"/>
        <w:rPr>
          <w:rFonts w:ascii="宋体" w:hAnsi="宋体"/>
          <w:snapToGrid w:val="0"/>
          <w:color w:val="auto"/>
          <w:kern w:val="0"/>
          <w:szCs w:val="21"/>
          <w:highlight w:val="none"/>
        </w:rPr>
      </w:pPr>
      <w:bookmarkStart w:id="784" w:name="_Hlk66701018"/>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22"/>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val="en-US" w:eastAsia="zh-CN"/>
        </w:rPr>
      </w:pPr>
    </w:p>
    <w:bookmarkEnd w:id="784"/>
    <w:p>
      <w:pPr>
        <w:rPr>
          <w:color w:val="auto"/>
          <w:highlight w:val="none"/>
        </w:rPr>
        <w:sectPr>
          <w:pgSz w:w="16838" w:h="11906" w:orient="landscape"/>
          <w:pgMar w:top="1304" w:right="1304" w:bottom="1134" w:left="1304" w:header="851" w:footer="992" w:gutter="0"/>
          <w:cols w:space="720" w:num="1"/>
          <w:docGrid w:linePitch="312" w:charSpace="0"/>
        </w:sectPr>
      </w:pPr>
      <w:r>
        <w:rPr>
          <w:color w:val="auto"/>
          <w:highlight w:val="none"/>
        </w:rPr>
        <w:br w:type="page"/>
      </w:r>
    </w:p>
    <w:p>
      <w:pPr>
        <w:pStyle w:val="2"/>
        <w:rPr>
          <w:highlight w:val="none"/>
        </w:rPr>
      </w:pPr>
    </w:p>
    <w:p>
      <w:pPr>
        <w:pStyle w:val="5"/>
        <w:spacing w:before="0" w:after="0" w:line="240" w:lineRule="auto"/>
        <w:jc w:val="center"/>
        <w:rPr>
          <w:rFonts w:ascii="宋体" w:hAnsi="宋体"/>
          <w:snapToGrid w:val="0"/>
          <w:color w:val="auto"/>
          <w:kern w:val="0"/>
          <w:szCs w:val="21"/>
          <w:highlight w:val="none"/>
        </w:rPr>
      </w:pPr>
      <w:bookmarkStart w:id="785" w:name="_Toc430530532"/>
      <w:bookmarkStart w:id="786" w:name="_Toc224103497"/>
      <w:bookmarkStart w:id="787" w:name="_Toc277082645"/>
      <w:bookmarkStart w:id="788" w:name="_Toc287607869"/>
      <w:bookmarkStart w:id="789" w:name="_Toc287620816"/>
      <w:bookmarkStart w:id="790" w:name="_Toc31408"/>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785"/>
      <w:bookmarkEnd w:id="786"/>
      <w:bookmarkEnd w:id="787"/>
      <w:bookmarkEnd w:id="788"/>
      <w:bookmarkEnd w:id="789"/>
      <w:bookmarkEnd w:id="790"/>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ascii="宋体" w:hAnsi="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rPr>
          <w:rFonts w:ascii="宋体" w:hAnsi="宋体"/>
          <w:color w:val="auto"/>
          <w:highlight w:val="none"/>
        </w:rPr>
      </w:pPr>
      <w:r>
        <w:rPr>
          <w:color w:val="auto"/>
          <w:highlight w:val="none"/>
        </w:rPr>
        <w:br w:type="page"/>
      </w:r>
      <w:bookmarkStart w:id="791" w:name="_Toc287607872"/>
      <w:bookmarkStart w:id="792" w:name="_Toc224103500"/>
      <w:bookmarkStart w:id="793" w:name="_Toc287620819"/>
      <w:bookmarkStart w:id="794" w:name="_Toc430530534"/>
    </w:p>
    <w:p>
      <w:pPr>
        <w:pStyle w:val="4"/>
        <w:spacing w:line="360" w:lineRule="auto"/>
        <w:jc w:val="center"/>
        <w:rPr>
          <w:rFonts w:ascii="宋体" w:hAnsi="宋体"/>
          <w:b w:val="0"/>
          <w:bCs w:val="0"/>
          <w:color w:val="auto"/>
          <w:sz w:val="44"/>
          <w:szCs w:val="44"/>
          <w:highlight w:val="none"/>
        </w:rPr>
      </w:pPr>
      <w:bookmarkStart w:id="795" w:name="_Toc20205"/>
      <w:r>
        <w:rPr>
          <w:rFonts w:hint="eastAsia" w:ascii="宋体" w:hAnsi="宋体"/>
          <w:b w:val="0"/>
          <w:bCs w:val="0"/>
          <w:color w:val="auto"/>
          <w:sz w:val="44"/>
          <w:szCs w:val="44"/>
          <w:highlight w:val="none"/>
        </w:rPr>
        <w:t>二、商务部分</w:t>
      </w:r>
      <w:bookmarkEnd w:id="791"/>
      <w:bookmarkEnd w:id="792"/>
      <w:bookmarkEnd w:id="793"/>
      <w:bookmarkEnd w:id="794"/>
      <w:bookmarkEnd w:id="795"/>
    </w:p>
    <w:p>
      <w:pPr>
        <w:pStyle w:val="2"/>
        <w:rPr>
          <w:i/>
          <w:iCs/>
          <w:color w:val="auto"/>
          <w:highlight w:val="none"/>
        </w:rPr>
      </w:pPr>
    </w:p>
    <w:p>
      <w:pPr>
        <w:rPr>
          <w:color w:val="auto"/>
          <w:highlight w:val="none"/>
        </w:rPr>
      </w:pPr>
    </w:p>
    <w:p>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numPr>
          <w:ilvl w:val="0"/>
          <w:numId w:val="3"/>
        </w:numPr>
        <w:autoSpaceDE w:val="0"/>
        <w:autoSpaceDN w:val="0"/>
        <w:adjustRightInd w:val="0"/>
        <w:snapToGrid w:val="0"/>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厂家提供质量保证期承诺函</w:t>
      </w:r>
    </w:p>
    <w:p>
      <w:pPr>
        <w:numPr>
          <w:ilvl w:val="0"/>
          <w:numId w:val="0"/>
        </w:numPr>
        <w:autoSpaceDE w:val="0"/>
        <w:autoSpaceDN w:val="0"/>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（二）类似业绩</w:t>
      </w:r>
    </w:p>
    <w:p>
      <w:pPr>
        <w:numPr>
          <w:ilvl w:val="0"/>
          <w:numId w:val="0"/>
        </w:numPr>
        <w:autoSpaceDE w:val="0"/>
        <w:autoSpaceDN w:val="0"/>
        <w:adjustRightInd w:val="0"/>
        <w:snapToGrid w:val="0"/>
        <w:spacing w:line="360" w:lineRule="auto"/>
        <w:rPr>
          <w:rFonts w:hint="default" w:ascii="宋体" w:hAnsi="宋体" w:eastAsia="宋体" w:cs="宋体"/>
          <w:color w:val="auto"/>
          <w:highlight w:val="none"/>
          <w:lang w:val="en-US" w:eastAsia="zh-CN"/>
        </w:rPr>
      </w:pPr>
    </w:p>
    <w:p>
      <w:pPr>
        <w:pStyle w:val="2"/>
        <w:rPr>
          <w:rFonts w:hint="eastAsia"/>
          <w:highlight w:val="none"/>
        </w:rPr>
      </w:pP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widowControl/>
        <w:jc w:val="left"/>
        <w:rPr>
          <w:rFonts w:ascii="宋体" w:hAnsi="宋体"/>
          <w:iCs/>
          <w:color w:val="auto"/>
          <w:kern w:val="0"/>
          <w:szCs w:val="21"/>
          <w:highlight w:val="none"/>
        </w:rPr>
        <w:sectPr>
          <w:pgSz w:w="11906" w:h="16838"/>
          <w:pgMar w:top="1304" w:right="1134" w:bottom="1304" w:left="1304" w:header="851" w:footer="992" w:gutter="0"/>
          <w:cols w:space="720" w:num="1"/>
          <w:docGrid w:linePitch="312" w:charSpace="0"/>
        </w:sectPr>
      </w:pPr>
    </w:p>
    <w:p>
      <w:pPr>
        <w:pStyle w:val="4"/>
        <w:spacing w:line="360" w:lineRule="auto"/>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t>厂家提供质量保证期承诺函</w:t>
      </w:r>
    </w:p>
    <w:p>
      <w:pPr>
        <w:pStyle w:val="2"/>
        <w:jc w:val="center"/>
        <w:rPr>
          <w:rFonts w:hint="default" w:eastAsia="宋体"/>
          <w:highlight w:val="none"/>
          <w:lang w:val="en-US" w:eastAsia="zh-CN"/>
        </w:rPr>
        <w:sectPr>
          <w:pgSz w:w="11906" w:h="16838"/>
          <w:pgMar w:top="1304" w:right="1134" w:bottom="1304" w:left="1304" w:header="851" w:footer="992" w:gutter="0"/>
          <w:cols w:space="720" w:num="1"/>
          <w:docGrid w:linePitch="312" w:charSpace="0"/>
        </w:sectPr>
      </w:pPr>
      <w:r>
        <w:rPr>
          <w:rFonts w:hint="eastAsia"/>
          <w:highlight w:val="none"/>
          <w:lang w:val="en-US" w:eastAsia="zh-CN"/>
        </w:rPr>
        <w:t>注：提供</w:t>
      </w:r>
      <w:r>
        <w:rPr>
          <w:rFonts w:hint="eastAsia" w:ascii="宋体" w:hAnsi="宋体" w:cs="宋体"/>
          <w:color w:val="auto"/>
          <w:highlight w:val="none"/>
          <w:lang w:val="en-US" w:eastAsia="zh-CN"/>
        </w:rPr>
        <w:t>厂家出具的质量保证期承诺函（格式自拟）</w:t>
      </w:r>
    </w:p>
    <w:p>
      <w:pPr>
        <w:rPr>
          <w:highlight w:val="none"/>
        </w:rPr>
      </w:pPr>
    </w:p>
    <w:p>
      <w:pPr>
        <w:pStyle w:val="4"/>
        <w:spacing w:line="360" w:lineRule="auto"/>
        <w:jc w:val="center"/>
        <w:rPr>
          <w:rFonts w:hint="eastAsia" w:ascii="宋体" w:hAnsi="宋体"/>
          <w:b w:val="0"/>
          <w:bCs w:val="0"/>
          <w:color w:val="auto"/>
          <w:sz w:val="44"/>
          <w:szCs w:val="44"/>
          <w:highlight w:val="none"/>
          <w:lang w:val="en-US" w:eastAsia="zh-CN"/>
        </w:rPr>
      </w:pPr>
      <w:bookmarkStart w:id="796" w:name="_Toc430530536"/>
      <w:bookmarkStart w:id="797" w:name="_Toc224103502"/>
      <w:bookmarkStart w:id="798" w:name="_Toc80"/>
      <w:bookmarkStart w:id="799" w:name="_Toc287620821"/>
      <w:bookmarkStart w:id="800" w:name="_Toc287607874"/>
      <w:r>
        <w:rPr>
          <w:rFonts w:hint="eastAsia" w:ascii="宋体" w:hAnsi="宋体"/>
          <w:b w:val="0"/>
          <w:bCs w:val="0"/>
          <w:color w:val="auto"/>
          <w:sz w:val="44"/>
          <w:szCs w:val="44"/>
          <w:highlight w:val="none"/>
          <w:lang w:val="en-US" w:eastAsia="zh-CN"/>
        </w:rPr>
        <w:t>类似业绩</w:t>
      </w:r>
    </w:p>
    <w:p>
      <w:pPr>
        <w:ind w:firstLine="3990" w:firstLineChars="1900"/>
        <w:rPr>
          <w:rFonts w:hint="eastAsia" w:ascii="Times New Roman" w:hAnsi="Times New Roman" w:eastAsia="宋体" w:cs="Times New Roman"/>
          <w:kern w:val="2"/>
          <w:sz w:val="21"/>
          <w:szCs w:val="24"/>
          <w:highlight w:val="none"/>
          <w:lang w:val="en-US" w:eastAsia="zh-CN" w:bidi="ar-SA"/>
        </w:rPr>
        <w:sectPr>
          <w:pgSz w:w="11906" w:h="16838"/>
          <w:pgMar w:top="1304" w:right="1134" w:bottom="1304" w:left="1304" w:header="851" w:footer="992" w:gutter="0"/>
          <w:cols w:space="720" w:num="1"/>
          <w:docGrid w:linePitch="312" w:charSpace="0"/>
        </w:sectPr>
      </w:pPr>
      <w:r>
        <w:rPr>
          <w:rFonts w:hint="eastAsia" w:ascii="Times New Roman" w:hAnsi="Times New Roman" w:eastAsia="宋体" w:cs="Times New Roman"/>
          <w:kern w:val="2"/>
          <w:sz w:val="21"/>
          <w:szCs w:val="24"/>
          <w:highlight w:val="none"/>
          <w:lang w:val="en-US" w:eastAsia="zh-CN" w:bidi="ar-SA"/>
        </w:rPr>
        <w:t>（注：格式自拟）</w:t>
      </w:r>
    </w:p>
    <w:p>
      <w:pPr>
        <w:pStyle w:val="4"/>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rPr>
        <w:t>三、技术部分</w:t>
      </w:r>
      <w:bookmarkEnd w:id="796"/>
      <w:bookmarkEnd w:id="797"/>
      <w:bookmarkEnd w:id="798"/>
    </w:p>
    <w:bookmarkEnd w:id="799"/>
    <w:bookmarkEnd w:id="800"/>
    <w:p>
      <w:pPr>
        <w:pStyle w:val="2"/>
        <w:jc w:val="center"/>
        <w:rPr>
          <w:color w:val="auto"/>
          <w:highlight w:val="none"/>
        </w:rPr>
      </w:pPr>
      <w:r>
        <w:rPr>
          <w:rFonts w:hint="eastAsia"/>
          <w:color w:val="auto"/>
          <w:highlight w:val="none"/>
        </w:rPr>
        <w:t>（注：电子投标文件技术</w:t>
      </w:r>
      <w:r>
        <w:rPr>
          <w:rFonts w:hint="eastAsia"/>
          <w:color w:val="auto"/>
          <w:highlight w:val="none"/>
          <w:lang w:val="en-US" w:eastAsia="zh-CN"/>
        </w:rPr>
        <w:t>部分</w:t>
      </w:r>
      <w:r>
        <w:rPr>
          <w:rFonts w:hint="eastAsia"/>
          <w:color w:val="auto"/>
          <w:highlight w:val="none"/>
        </w:rPr>
        <w:t>不设封面）</w:t>
      </w:r>
    </w:p>
    <w:p>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13" o:spid="_x0000_s1026" o:spt="1" style="position:absolute;left:0pt;margin-left:200.1pt;margin-top:686.4pt;height:54.6pt;width:63.6pt;z-index:251659264;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txbxContent>
                </v:textbox>
              </v:rect>
            </w:pict>
          </mc:Fallback>
        </mc:AlternateContent>
      </w:r>
    </w:p>
    <w:p>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hint="eastAsia" w:ascii="宋体" w:hAnsi="宋体"/>
          <w:b w:val="0"/>
          <w:bCs w:val="0"/>
          <w:color w:val="auto"/>
          <w:sz w:val="44"/>
          <w:szCs w:val="44"/>
          <w:highlight w:val="none"/>
        </w:rPr>
        <w:sectPr>
          <w:pgSz w:w="11906" w:h="16838"/>
          <w:pgMar w:top="1304" w:right="1134" w:bottom="1304" w:left="1304" w:header="851" w:footer="992" w:gutter="0"/>
          <w:cols w:space="720" w:num="1"/>
          <w:docGrid w:linePitch="312" w:charSpace="0"/>
        </w:sectPr>
      </w:pPr>
      <w:r>
        <w:rPr>
          <w:rFonts w:ascii="宋体" w:hAnsi="宋体"/>
          <w:color w:val="auto"/>
          <w:kern w:val="0"/>
          <w:szCs w:val="21"/>
          <w:highlight w:val="none"/>
        </w:rPr>
        <w:t>[</w:t>
      </w:r>
      <w:r>
        <w:rPr>
          <w:rFonts w:hint="eastAsia" w:ascii="宋体" w:hAnsi="宋体"/>
          <w:color w:val="auto"/>
          <w:kern w:val="0"/>
          <w:szCs w:val="21"/>
          <w:highlight w:val="none"/>
        </w:rPr>
        <w:t>投标人根据第三章</w:t>
      </w:r>
      <w:r>
        <w:rPr>
          <w:rFonts w:ascii="宋体" w:hAnsi="宋体"/>
          <w:color w:val="auto"/>
          <w:kern w:val="0"/>
          <w:szCs w:val="21"/>
          <w:highlight w:val="none"/>
        </w:rPr>
        <w:t xml:space="preserve"> </w:t>
      </w:r>
      <w:r>
        <w:rPr>
          <w:rFonts w:hint="eastAsia" w:ascii="宋体" w:hAnsi="宋体"/>
          <w:color w:val="auto"/>
          <w:kern w:val="0"/>
          <w:szCs w:val="21"/>
          <w:highlight w:val="none"/>
        </w:rPr>
        <w:t>评标办法的要求</w:t>
      </w:r>
      <w:r>
        <w:rPr>
          <w:rFonts w:hint="eastAsia" w:ascii="宋体" w:hAnsi="宋体"/>
          <w:color w:val="auto"/>
          <w:kern w:val="0"/>
          <w:szCs w:val="21"/>
          <w:highlight w:val="none"/>
          <w:lang w:val="en-US" w:eastAsia="zh-CN"/>
        </w:rPr>
        <w:t>编制</w:t>
      </w:r>
      <w:r>
        <w:rPr>
          <w:rFonts w:hint="eastAsia" w:ascii="宋体" w:hAnsi="宋体"/>
          <w:color w:val="auto"/>
          <w:kern w:val="0"/>
          <w:szCs w:val="21"/>
          <w:highlight w:val="none"/>
        </w:rPr>
        <w:t>，</w:t>
      </w:r>
      <w:r>
        <w:rPr>
          <w:rFonts w:ascii="宋体" w:hAnsi="宋体"/>
          <w:color w:val="auto"/>
          <w:kern w:val="0"/>
          <w:szCs w:val="21"/>
          <w:highlight w:val="none"/>
        </w:rPr>
        <w:t>目录</w:t>
      </w:r>
      <w:r>
        <w:rPr>
          <w:rFonts w:hint="eastAsia" w:ascii="宋体" w:hAnsi="宋体"/>
          <w:color w:val="auto"/>
          <w:kern w:val="0"/>
          <w:szCs w:val="21"/>
          <w:highlight w:val="none"/>
          <w:lang w:val="en-US" w:eastAsia="zh-CN"/>
        </w:rPr>
        <w:t>自拟</w:t>
      </w:r>
      <w:r>
        <w:rPr>
          <w:rFonts w:hint="eastAsia" w:ascii="宋体" w:hAnsi="宋体"/>
          <w:color w:val="auto"/>
          <w:kern w:val="0"/>
          <w:szCs w:val="21"/>
          <w:highlight w:val="none"/>
          <w:lang w:eastAsia="zh-CN"/>
        </w:rPr>
        <w:t>。</w:t>
      </w:r>
      <w:bookmarkStart w:id="801" w:name="_Toc430530545"/>
      <w:bookmarkStart w:id="802" w:name="_Toc287607882"/>
      <w:bookmarkStart w:id="803" w:name="_Toc8549"/>
      <w:bookmarkStart w:id="804" w:name="_Toc287620829"/>
      <w:bookmarkStart w:id="805" w:name="_Toc224103510"/>
      <w:bookmarkStart w:id="806" w:name="_Toc277082656"/>
    </w:p>
    <w:p>
      <w:pPr>
        <w:pStyle w:val="4"/>
        <w:spacing w:line="360" w:lineRule="auto"/>
        <w:ind w:firstLine="3520" w:firstLineChars="800"/>
        <w:jc w:val="both"/>
        <w:rPr>
          <w:rFonts w:ascii="宋体" w:hAnsi="宋体"/>
          <w:b w:val="0"/>
          <w:bCs w:val="0"/>
          <w:color w:val="auto"/>
          <w:sz w:val="44"/>
          <w:szCs w:val="44"/>
          <w:highlight w:val="none"/>
        </w:rPr>
      </w:pPr>
      <w:r>
        <w:rPr>
          <w:rFonts w:hint="eastAsia" w:ascii="宋体" w:hAnsi="宋体"/>
          <w:b w:val="0"/>
          <w:bCs w:val="0"/>
          <w:color w:val="auto"/>
          <w:sz w:val="44"/>
          <w:szCs w:val="44"/>
          <w:highlight w:val="none"/>
        </w:rPr>
        <w:t>四、资格审查部分</w:t>
      </w: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ind w:firstLine="3520" w:firstLineChars="800"/>
        <w:jc w:val="both"/>
        <w:rPr>
          <w:rFonts w:hint="eastAsia" w:ascii="宋体" w:hAnsi="宋体"/>
          <w:b w:val="0"/>
          <w:bCs w:val="0"/>
          <w:color w:val="auto"/>
          <w:sz w:val="44"/>
          <w:szCs w:val="44"/>
          <w:highlight w:val="none"/>
        </w:rPr>
      </w:pPr>
    </w:p>
    <w:bookmarkEnd w:id="801"/>
    <w:bookmarkEnd w:id="802"/>
    <w:bookmarkEnd w:id="803"/>
    <w:bookmarkEnd w:id="804"/>
    <w:bookmarkEnd w:id="805"/>
    <w:bookmarkEnd w:id="806"/>
    <w:p>
      <w:pPr>
        <w:pStyle w:val="4"/>
        <w:spacing w:line="360" w:lineRule="auto"/>
        <w:ind w:firstLine="3520" w:firstLineChars="800"/>
        <w:jc w:val="both"/>
        <w:rPr>
          <w:rFonts w:hint="eastAsia" w:ascii="宋体" w:hAnsi="宋体"/>
          <w:b w:val="0"/>
          <w:bCs w:val="0"/>
          <w:color w:val="auto"/>
          <w:sz w:val="44"/>
          <w:szCs w:val="44"/>
          <w:highlight w:val="none"/>
        </w:rPr>
      </w:pPr>
    </w:p>
    <w:p>
      <w:pPr>
        <w:pStyle w:val="4"/>
        <w:spacing w:line="360" w:lineRule="auto"/>
        <w:jc w:val="both"/>
        <w:rPr>
          <w:rFonts w:hint="eastAsia" w:ascii="宋体" w:hAnsi="宋体"/>
          <w:b w:val="0"/>
          <w:bCs w:val="0"/>
          <w:color w:val="auto"/>
          <w:sz w:val="44"/>
          <w:szCs w:val="44"/>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）近年财务状况表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w:t>
      </w:r>
      <w:r>
        <w:rPr>
          <w:rFonts w:hint="eastAsia" w:ascii="宋体" w:hAnsi="宋体"/>
          <w:snapToGrid w:val="0"/>
          <w:color w:val="auto"/>
          <w:highlight w:val="none"/>
          <w:lang w:val="en-US" w:eastAsia="zh-CN"/>
        </w:rPr>
        <w:t>业绩</w:t>
      </w:r>
      <w:r>
        <w:rPr>
          <w:rFonts w:hint="eastAsia" w:ascii="宋体" w:hAnsi="宋体"/>
          <w:snapToGrid w:val="0"/>
          <w:color w:val="auto"/>
          <w:highlight w:val="none"/>
        </w:rPr>
        <w:t>情况</w:t>
      </w:r>
      <w:r>
        <w:rPr>
          <w:rFonts w:hint="eastAsia" w:ascii="宋体" w:hAnsi="宋体"/>
          <w:snapToGrid w:val="0"/>
          <w:color w:val="auto"/>
          <w:highlight w:val="none"/>
          <w:lang w:val="en-US" w:eastAsia="zh-CN"/>
        </w:rPr>
        <w:t>汇总表</w:t>
      </w:r>
    </w:p>
    <w:p>
      <w:pPr>
        <w:autoSpaceDE w:val="0"/>
        <w:autoSpaceDN w:val="0"/>
        <w:adjustRightInd w:val="0"/>
        <w:snapToGrid w:val="0"/>
        <w:spacing w:line="360" w:lineRule="auto"/>
        <w:ind w:firstLine="420"/>
        <w:rPr>
          <w:rFonts w:hint="default" w:ascii="宋体" w:hAnsi="宋体" w:eastAsia="宋体"/>
          <w:snapToGrid w:val="0"/>
          <w:color w:val="auto"/>
          <w:highlight w:val="none"/>
          <w:lang w:val="en-US"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业绩情况表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w:t>
      </w:r>
      <w:r>
        <w:rPr>
          <w:rFonts w:hint="eastAsia" w:ascii="宋体" w:hAnsi="宋体"/>
          <w:snapToGrid w:val="0"/>
          <w:color w:val="auto"/>
          <w:highlight w:val="none"/>
          <w:lang w:val="en-US" w:eastAsia="zh-CN"/>
        </w:rPr>
        <w:t>质量保证期承诺函</w:t>
      </w:r>
    </w:p>
    <w:p>
      <w:pPr>
        <w:autoSpaceDE w:val="0"/>
        <w:autoSpaceDN w:val="0"/>
        <w:adjustRightInd w:val="0"/>
        <w:snapToGrid w:val="0"/>
        <w:spacing w:line="360" w:lineRule="auto"/>
        <w:ind w:firstLine="420"/>
        <w:rPr>
          <w:rFonts w:ascii="宋体" w:hAnsi="宋体"/>
          <w:color w:val="auto"/>
          <w:szCs w:val="21"/>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九）</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807" w:name="_Toc287620830"/>
      <w:bookmarkStart w:id="808" w:name="_Toc224103511"/>
      <w:bookmarkStart w:id="809" w:name="_Toc430530546"/>
      <w:bookmarkStart w:id="810" w:name="_Toc7768"/>
      <w:bookmarkStart w:id="811" w:name="_Toc287607883"/>
      <w:bookmarkStart w:id="812" w:name="_Toc277082657"/>
      <w:r>
        <w:rPr>
          <w:rFonts w:hint="eastAsia" w:ascii="宋体" w:hAnsi="宋体"/>
          <w:b w:val="0"/>
          <w:bCs w:val="0"/>
          <w:color w:val="auto"/>
          <w:sz w:val="30"/>
          <w:szCs w:val="30"/>
          <w:highlight w:val="none"/>
        </w:rPr>
        <w:t>（一）法定代表人身份证明或附有法定代表人身份证明的授权委托书</w:t>
      </w:r>
      <w:bookmarkEnd w:id="807"/>
      <w:bookmarkEnd w:id="808"/>
      <w:bookmarkEnd w:id="809"/>
      <w:bookmarkEnd w:id="810"/>
      <w:bookmarkEnd w:id="811"/>
      <w:bookmarkEnd w:id="812"/>
    </w:p>
    <w:p>
      <w:pPr>
        <w:spacing w:line="480" w:lineRule="auto"/>
        <w:jc w:val="center"/>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hint="eastAsia" w:ascii="宋体" w:hAnsi="宋体"/>
          <w:b w:val="0"/>
          <w:bCs w:val="0"/>
          <w:color w:val="auto"/>
          <w:highlight w:val="none"/>
          <w:lang w:eastAsia="zh-CN"/>
        </w:rPr>
      </w:pPr>
      <w:bookmarkStart w:id="813" w:name="_Toc18199"/>
      <w:bookmarkStart w:id="814" w:name="_Toc287620831"/>
      <w:bookmarkStart w:id="815" w:name="_Toc277082658"/>
      <w:bookmarkStart w:id="816" w:name="_Toc287607884"/>
      <w:bookmarkStart w:id="817" w:name="_Toc224103512"/>
      <w:bookmarkStart w:id="818" w:name="_Toc430530547"/>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b w:val="0"/>
          <w:bCs w:val="0"/>
          <w:snapToGrid w:val="0"/>
          <w:color w:val="auto"/>
          <w:highlight w:val="none"/>
          <w:lang w:val="en-US" w:eastAsia="zh-CN"/>
        </w:rPr>
        <w:t>制造商资格声明</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制造</w:t>
      </w:r>
      <w:r>
        <w:rPr>
          <w:rFonts w:hint="eastAsia" w:ascii="宋体" w:hAnsi="宋体"/>
          <w:b w:val="0"/>
          <w:bCs w:val="0"/>
          <w:color w:val="auto"/>
          <w:szCs w:val="21"/>
          <w:highlight w:val="none"/>
          <w:lang w:eastAsia="zh-CN"/>
        </w:rPr>
        <w:t>商投标时提供）</w:t>
      </w:r>
      <w:r>
        <w:rPr>
          <w:rFonts w:hint="eastAsia" w:ascii="宋体" w:hAnsi="宋体"/>
          <w:b w:val="0"/>
          <w:bCs w:val="0"/>
          <w:snapToGrid w:val="0"/>
          <w:color w:val="auto"/>
          <w:highlight w:val="none"/>
          <w:lang w:val="en-US" w:eastAsia="zh-CN"/>
        </w:rPr>
        <w:t>或</w:t>
      </w:r>
      <w:r>
        <w:rPr>
          <w:rFonts w:hint="eastAsia" w:ascii="宋体" w:hAnsi="宋体"/>
          <w:b w:val="0"/>
          <w:bCs w:val="0"/>
          <w:color w:val="auto"/>
          <w:highlight w:val="none"/>
        </w:rPr>
        <w:t>制造商授权书</w:t>
      </w:r>
      <w:r>
        <w:rPr>
          <w:rFonts w:hint="eastAsia" w:ascii="宋体" w:hAnsi="宋体"/>
          <w:b w:val="0"/>
          <w:bCs w:val="0"/>
          <w:color w:val="auto"/>
          <w:highlight w:val="none"/>
          <w:lang w:eastAsia="zh-CN"/>
        </w:rPr>
        <w:t>（代理商投标时提供）</w:t>
      </w:r>
      <w:bookmarkEnd w:id="813"/>
    </w:p>
    <w:p>
      <w:pPr>
        <w:pStyle w:val="2"/>
        <w:rPr>
          <w:rFonts w:hint="eastAsia"/>
          <w:color w:val="auto"/>
          <w:highlight w:val="none"/>
          <w:lang w:eastAsia="zh-CN"/>
        </w:rPr>
      </w:pPr>
    </w:p>
    <w:p>
      <w:pPr>
        <w:spacing w:before="149" w:line="240" w:lineRule="auto"/>
        <w:ind w:left="3280" w:right="3393" w:firstLine="0"/>
        <w:jc w:val="center"/>
        <w:rPr>
          <w:rFonts w:ascii="Times New Roman" w:hAnsi="Times New Roman" w:eastAsia="宋体" w:cs="Times New Roman"/>
          <w:b w:val="0"/>
          <w:bCs w:val="0"/>
          <w:color w:val="auto"/>
          <w:sz w:val="28"/>
          <w:szCs w:val="24"/>
          <w:highlight w:val="none"/>
        </w:rPr>
      </w:pPr>
      <w:r>
        <w:rPr>
          <w:rFonts w:hint="default" w:ascii="Times New Roman" w:hAnsi="Times New Roman" w:eastAsia="宋体" w:cs="Times New Roman"/>
          <w:b w:val="0"/>
          <w:bCs w:val="0"/>
          <w:color w:val="auto"/>
          <w:sz w:val="28"/>
          <w:szCs w:val="24"/>
          <w:highlight w:val="none"/>
        </w:rPr>
        <w:t>制造商资格声明</w:t>
      </w:r>
    </w:p>
    <w:p>
      <w:pPr>
        <w:spacing w:line="360" w:lineRule="auto"/>
        <w:ind w:firstLine="420"/>
        <w:rPr>
          <w:rFonts w:hint="eastAsia" w:ascii="宋体" w:hAnsi="宋体" w:eastAsia="宋体" w:cs="Times New Roman"/>
          <w:color w:val="auto"/>
          <w:szCs w:val="21"/>
          <w:highlight w:val="none"/>
        </w:rPr>
      </w:pP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1.制造商基本情况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2.制造商生产经营情况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p>
      <w:pPr>
        <w:spacing w:before="149"/>
        <w:ind w:left="3280" w:right="3393" w:firstLine="0"/>
        <w:jc w:val="center"/>
        <w:rPr>
          <w:color w:val="auto"/>
          <w:sz w:val="28"/>
          <w:highlight w:val="none"/>
        </w:rPr>
      </w:pPr>
      <w:r>
        <w:rPr>
          <w:color w:val="auto"/>
          <w:sz w:val="28"/>
          <w:highlight w:val="none"/>
        </w:rPr>
        <w:t>制造商授权书</w:t>
      </w:r>
    </w:p>
    <w:p>
      <w:pPr>
        <w:pStyle w:val="2"/>
        <w:rPr>
          <w:color w:val="auto"/>
          <w:sz w:val="20"/>
          <w:highlight w:val="none"/>
        </w:rPr>
      </w:pPr>
    </w:p>
    <w:p>
      <w:pPr>
        <w:pStyle w:val="2"/>
        <w:rPr>
          <w:color w:val="auto"/>
          <w:sz w:val="20"/>
          <w:highlight w:val="none"/>
        </w:rPr>
      </w:pPr>
    </w:p>
    <w:p>
      <w:pPr>
        <w:autoSpaceDE w:val="0"/>
        <w:autoSpaceDN w:val="0"/>
        <w:adjustRightInd w:val="0"/>
        <w:snapToGrid w:val="0"/>
        <w:jc w:val="both"/>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（招标人）</w:t>
      </w:r>
    </w:p>
    <w:p>
      <w:pPr>
        <w:pStyle w:val="2"/>
        <w:spacing w:before="3"/>
        <w:rPr>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lang w:val="en-US" w:eastAsia="zh-CN"/>
        </w:rPr>
      </w:pPr>
      <w:r>
        <w:rPr>
          <w:rFonts w:ascii="宋体" w:hAnsi="宋体"/>
          <w:color w:val="auto"/>
          <w:kern w:val="0"/>
          <w:szCs w:val="21"/>
          <w:highlight w:val="none"/>
        </w:rPr>
        <w:t>我单位</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（制造商名称）是按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（国家／地区名称）法律成立的一家制造商，主要营业地点设在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（制造商地址）。兹授权按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名称）的法律正式成立的，主要营业地点设在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（投标人的单位地址）的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（投标人名称）以我单位制造的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（设备名称）进行</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（项目名称）投标活动。我单位同意按照中标合同供货，并对产品质量承担责任。</w:t>
      </w:r>
      <w:r>
        <w:rPr>
          <w:rFonts w:hint="eastAsia" w:ascii="宋体" w:hAnsi="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color w:val="auto"/>
          <w:highlight w:val="none"/>
          <w:lang w:val="en-US" w:eastAsia="zh-CN"/>
        </w:rPr>
      </w:pPr>
      <w:r>
        <w:rPr>
          <w:rFonts w:ascii="宋体" w:hAnsi="宋体"/>
          <w:color w:val="auto"/>
          <w:kern w:val="0"/>
          <w:szCs w:val="21"/>
          <w:highlight w:val="none"/>
        </w:rPr>
        <w:t>授权期限：</w:t>
      </w:r>
      <w:r>
        <w:rPr>
          <w:rFonts w:hint="eastAsia" w:ascii="宋体" w:hAnsi="宋体"/>
          <w:color w:val="auto"/>
          <w:kern w:val="0"/>
          <w:szCs w:val="21"/>
          <w:highlight w:val="none"/>
          <w:u w:val="single"/>
          <w:lang w:val="en-US" w:eastAsia="zh-CN"/>
        </w:rPr>
        <w:t xml:space="preserve">                       </w:t>
      </w:r>
      <w:r>
        <w:rPr>
          <w:rFonts w:hint="eastAsia" w:ascii="宋体" w:hAnsi="宋体"/>
          <w:color w:val="auto"/>
          <w:highlight w:val="none"/>
          <w:lang w:val="en-US" w:eastAsia="zh-CN"/>
        </w:rPr>
        <w:t xml:space="preserve">。  </w:t>
      </w:r>
    </w:p>
    <w:p>
      <w:pPr>
        <w:pStyle w:val="2"/>
        <w:rPr>
          <w:color w:val="auto"/>
          <w:sz w:val="20"/>
          <w:highlight w:val="none"/>
        </w:rPr>
      </w:pPr>
    </w:p>
    <w:p>
      <w:pPr>
        <w:pStyle w:val="2"/>
        <w:rPr>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color w:val="auto"/>
          <w:sz w:val="9"/>
          <w:highlight w:val="none"/>
        </w:rPr>
      </w:pPr>
      <w:r>
        <w:rPr>
          <w:color w:val="auto"/>
          <w:highlight w:val="none"/>
        </w:rPr>
        <w:t>投标</w:t>
      </w:r>
      <w:r>
        <w:rPr>
          <w:color w:val="auto"/>
          <w:spacing w:val="-3"/>
          <w:highlight w:val="none"/>
        </w:rPr>
        <w:t>人</w:t>
      </w:r>
      <w:r>
        <w:rPr>
          <w:color w:val="auto"/>
          <w:highlight w:val="none"/>
        </w:rPr>
        <w:t>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r>
        <w:rPr>
          <w:color w:val="auto"/>
          <w:spacing w:val="-3"/>
          <w:highlight w:val="none"/>
        </w:rPr>
        <w:t>盖</w:t>
      </w:r>
      <w:r>
        <w:rPr>
          <w:color w:val="auto"/>
          <w:highlight w:val="none"/>
        </w:rPr>
        <w:t>单</w:t>
      </w:r>
      <w:r>
        <w:rPr>
          <w:color w:val="auto"/>
          <w:spacing w:val="-3"/>
          <w:highlight w:val="none"/>
        </w:rPr>
        <w:t>位</w:t>
      </w:r>
      <w:r>
        <w:rPr>
          <w:color w:val="auto"/>
          <w:highlight w:val="none"/>
        </w:rPr>
        <w:t>章）</w:t>
      </w:r>
      <w:r>
        <w:rPr>
          <w:color w:val="auto"/>
          <w:highlight w:val="none"/>
        </w:rPr>
        <w:tab/>
      </w:r>
      <w:r>
        <w:rPr>
          <w:color w:val="auto"/>
          <w:spacing w:val="-3"/>
          <w:highlight w:val="none"/>
        </w:rPr>
        <w:t>制造</w:t>
      </w:r>
      <w:r>
        <w:rPr>
          <w:color w:val="auto"/>
          <w:highlight w:val="none"/>
        </w:rPr>
        <w:t>商名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0"/>
          <w:highlight w:val="none"/>
        </w:rPr>
      </w:pPr>
      <w:r>
        <w:rPr>
          <w:color w:val="auto"/>
          <w:highlight w:val="none"/>
        </w:rPr>
        <w:t>签字</w:t>
      </w:r>
      <w:r>
        <w:rPr>
          <w:color w:val="auto"/>
          <w:spacing w:val="-3"/>
          <w:highlight w:val="none"/>
        </w:rPr>
        <w:t>人</w:t>
      </w:r>
      <w:r>
        <w:rPr>
          <w:color w:val="auto"/>
          <w:highlight w:val="none"/>
        </w:rPr>
        <w:t>职</w:t>
      </w:r>
      <w:r>
        <w:rPr>
          <w:color w:val="auto"/>
          <w:spacing w:val="-3"/>
          <w:highlight w:val="none"/>
        </w:rPr>
        <w:t>务</w:t>
      </w:r>
      <w:r>
        <w:rPr>
          <w:color w:val="auto"/>
          <w:highlight w:val="none"/>
        </w:rPr>
        <w:t>：</w:t>
      </w:r>
      <w:r>
        <w:rPr>
          <w:color w:val="auto"/>
          <w:highlight w:val="none"/>
          <w:u w:val="single"/>
        </w:rPr>
        <w:tab/>
      </w:r>
      <w:r>
        <w:rPr>
          <w:color w:val="auto"/>
          <w:spacing w:val="-3"/>
          <w:highlight w:val="none"/>
        </w:rPr>
        <w:t>签字</w:t>
      </w:r>
      <w:r>
        <w:rPr>
          <w:color w:val="auto"/>
          <w:highlight w:val="none"/>
        </w:rPr>
        <w:t>人职</w:t>
      </w:r>
      <w:r>
        <w:rPr>
          <w:color w:val="auto"/>
          <w:spacing w:val="-3"/>
          <w:highlight w:val="none"/>
        </w:rPr>
        <w:t>务</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1"/>
          <w:highlight w:val="none"/>
        </w:rPr>
      </w:pPr>
      <w:r>
        <w:rPr>
          <w:color w:val="auto"/>
          <w:highlight w:val="none"/>
        </w:rPr>
        <w:t>签字</w:t>
      </w:r>
      <w:r>
        <w:rPr>
          <w:color w:val="auto"/>
          <w:spacing w:val="-3"/>
          <w:highlight w:val="none"/>
        </w:rPr>
        <w:t>人</w:t>
      </w:r>
      <w:r>
        <w:rPr>
          <w:color w:val="auto"/>
          <w:highlight w:val="none"/>
        </w:rPr>
        <w:t>姓</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人姓</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eastAsia="Times New Roman"/>
          <w:color w:val="auto"/>
          <w:highlight w:val="none"/>
        </w:rPr>
      </w:pPr>
      <w:r>
        <w:rPr>
          <w:color w:val="auto"/>
          <w:highlight w:val="none"/>
        </w:rPr>
        <w:t>签字</w:t>
      </w:r>
      <w:r>
        <w:rPr>
          <w:color w:val="auto"/>
          <w:spacing w:val="-3"/>
          <w:highlight w:val="none"/>
        </w:rPr>
        <w:t>人</w:t>
      </w:r>
      <w:r>
        <w:rPr>
          <w:color w:val="auto"/>
          <w:highlight w:val="none"/>
        </w:rPr>
        <w:t>签</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人签</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numPr>
          <w:ilvl w:val="0"/>
          <w:numId w:val="0"/>
        </w:numPr>
        <w:rPr>
          <w:rFonts w:hint="eastAsia" w:ascii="宋体" w:hAnsi="宋体"/>
          <w:b w:val="0"/>
          <w:bCs w:val="0"/>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bookmarkEnd w:id="814"/>
    <w:bookmarkEnd w:id="815"/>
    <w:bookmarkEnd w:id="816"/>
    <w:bookmarkEnd w:id="817"/>
    <w:bookmarkEnd w:id="818"/>
    <w:p>
      <w:pPr>
        <w:pStyle w:val="5"/>
        <w:spacing w:before="0" w:after="0" w:line="240" w:lineRule="auto"/>
        <w:jc w:val="center"/>
        <w:rPr>
          <w:rFonts w:hint="eastAsia" w:ascii="宋体" w:hAnsi="宋体"/>
          <w:b w:val="0"/>
          <w:bCs w:val="0"/>
          <w:color w:val="auto"/>
          <w:highlight w:val="none"/>
        </w:rPr>
      </w:pPr>
      <w:bookmarkStart w:id="819" w:name="_Toc23048"/>
      <w:bookmarkStart w:id="820" w:name="_Toc287607887"/>
      <w:bookmarkStart w:id="821" w:name="_Toc277082659"/>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）投标人基本情况表</w:t>
      </w:r>
      <w:bookmarkEnd w:id="819"/>
    </w:p>
    <w:p>
      <w:pPr>
        <w:rPr>
          <w:color w:val="auto"/>
          <w:highlight w:val="none"/>
        </w:rPr>
      </w:pPr>
    </w:p>
    <w:p>
      <w:pPr>
        <w:pStyle w:val="2"/>
        <w:rPr>
          <w:color w:val="auto"/>
          <w:highlight w:val="none"/>
        </w:rPr>
      </w:pPr>
    </w:p>
    <w:tbl>
      <w:tblPr>
        <w:tblStyle w:val="24"/>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投标人名称</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3"/>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注册资金</w:t>
            </w:r>
          </w:p>
        </w:tc>
        <w:tc>
          <w:tcPr>
            <w:tcW w:w="3561" w:type="dxa"/>
            <w:gridSpan w:val="2"/>
            <w:vAlign w:val="top"/>
          </w:tcPr>
          <w:p>
            <w:pPr>
              <w:pStyle w:val="23"/>
              <w:autoSpaceDE w:val="0"/>
              <w:autoSpaceDN w:val="0"/>
              <w:rPr>
                <w:rFonts w:hAnsi="宋体" w:cs="宋体"/>
                <w:color w:val="auto"/>
                <w:kern w:val="0"/>
                <w:sz w:val="20"/>
                <w:szCs w:val="22"/>
                <w:highlight w:val="none"/>
                <w:lang w:eastAsia="en-US"/>
              </w:rPr>
            </w:pPr>
          </w:p>
        </w:tc>
        <w:tc>
          <w:tcPr>
            <w:tcW w:w="1205" w:type="dxa"/>
            <w:vAlign w:val="top"/>
          </w:tcPr>
          <w:p>
            <w:pPr>
              <w:pStyle w:val="23"/>
              <w:autoSpaceDE w:val="0"/>
              <w:autoSpaceDN w:val="0"/>
              <w:spacing w:before="107"/>
              <w:ind w:left="129" w:leftChars="0" w:right="114" w:rightChars="0"/>
              <w:jc w:val="center"/>
              <w:rPr>
                <w:rFonts w:ascii="宋体" w:hAnsi="宋体" w:cs="宋体"/>
                <w:color w:val="auto"/>
                <w:kern w:val="0"/>
                <w:szCs w:val="22"/>
                <w:highlight w:val="none"/>
                <w:lang w:eastAsia="en-US"/>
              </w:rPr>
            </w:pPr>
            <w:r>
              <w:rPr>
                <w:color w:val="auto"/>
                <w:sz w:val="21"/>
                <w:highlight w:val="none"/>
              </w:rPr>
              <w:t>成立时间</w:t>
            </w:r>
          </w:p>
        </w:tc>
        <w:tc>
          <w:tcPr>
            <w:tcW w:w="2410" w:type="dxa"/>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注册地址</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23"/>
              <w:autoSpaceDE w:val="0"/>
              <w:autoSpaceDN w:val="0"/>
              <w:spacing w:before="108"/>
              <w:ind w:left="123" w:leftChars="0" w:right="111" w:rightChars="0"/>
              <w:jc w:val="center"/>
              <w:rPr>
                <w:rFonts w:ascii="宋体" w:hAnsi="宋体" w:cs="宋体"/>
                <w:color w:val="auto"/>
                <w:kern w:val="0"/>
                <w:sz w:val="2"/>
                <w:szCs w:val="2"/>
                <w:highlight w:val="none"/>
                <w:lang w:eastAsia="en-US"/>
              </w:rPr>
            </w:pPr>
            <w:r>
              <w:rPr>
                <w:color w:val="auto"/>
                <w:sz w:val="21"/>
                <w:highlight w:val="none"/>
              </w:rPr>
              <w:t>邮政编码</w:t>
            </w:r>
          </w:p>
        </w:tc>
        <w:tc>
          <w:tcPr>
            <w:tcW w:w="3561" w:type="dxa"/>
            <w:gridSpan w:val="2"/>
            <w:vAlign w:val="top"/>
          </w:tcPr>
          <w:p>
            <w:pPr>
              <w:pStyle w:val="23"/>
              <w:autoSpaceDE w:val="0"/>
              <w:autoSpaceDN w:val="0"/>
              <w:rPr>
                <w:rFonts w:hAnsi="宋体" w:cs="宋体"/>
                <w:color w:val="auto"/>
                <w:kern w:val="0"/>
                <w:sz w:val="20"/>
                <w:szCs w:val="22"/>
                <w:highlight w:val="none"/>
                <w:lang w:eastAsia="en-US"/>
              </w:rPr>
            </w:pPr>
          </w:p>
        </w:tc>
        <w:tc>
          <w:tcPr>
            <w:tcW w:w="1205" w:type="dxa"/>
            <w:vAlign w:val="top"/>
          </w:tcPr>
          <w:p>
            <w:pPr>
              <w:pStyle w:val="23"/>
              <w:autoSpaceDE w:val="0"/>
              <w:autoSpaceDN w:val="0"/>
              <w:spacing w:before="108"/>
              <w:ind w:left="129" w:leftChars="0" w:right="114" w:rightChars="0"/>
              <w:jc w:val="center"/>
              <w:rPr>
                <w:rFonts w:ascii="宋体" w:hAnsi="宋体" w:cs="宋体"/>
                <w:color w:val="auto"/>
                <w:kern w:val="0"/>
                <w:szCs w:val="22"/>
                <w:highlight w:val="none"/>
                <w:lang w:eastAsia="en-US"/>
              </w:rPr>
            </w:pPr>
            <w:r>
              <w:rPr>
                <w:color w:val="auto"/>
                <w:sz w:val="21"/>
                <w:highlight w:val="none"/>
              </w:rPr>
              <w:t>员工总数</w:t>
            </w:r>
          </w:p>
        </w:tc>
        <w:tc>
          <w:tcPr>
            <w:tcW w:w="2410" w:type="dxa"/>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23"/>
              <w:autoSpaceDE w:val="0"/>
              <w:autoSpaceDN w:val="0"/>
              <w:spacing w:before="5"/>
              <w:rPr>
                <w:color w:val="auto"/>
                <w:sz w:val="25"/>
                <w:highlight w:val="none"/>
              </w:rPr>
            </w:pPr>
          </w:p>
          <w:p>
            <w:pPr>
              <w:pStyle w:val="23"/>
              <w:autoSpaceDE w:val="0"/>
              <w:autoSpaceDN w:val="0"/>
              <w:ind w:left="666" w:leftChars="0"/>
              <w:rPr>
                <w:rFonts w:ascii="宋体" w:hAnsi="宋体" w:cs="宋体"/>
                <w:color w:val="auto"/>
                <w:kern w:val="0"/>
                <w:szCs w:val="22"/>
                <w:highlight w:val="none"/>
                <w:lang w:eastAsia="en-US"/>
              </w:rPr>
            </w:pPr>
            <w:r>
              <w:rPr>
                <w:color w:val="auto"/>
                <w:sz w:val="21"/>
                <w:highlight w:val="none"/>
              </w:rPr>
              <w:t>联系方式</w:t>
            </w:r>
          </w:p>
        </w:tc>
        <w:tc>
          <w:tcPr>
            <w:tcW w:w="1001" w:type="dxa"/>
            <w:vAlign w:val="top"/>
          </w:tcPr>
          <w:p>
            <w:pPr>
              <w:pStyle w:val="23"/>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联系人</w:t>
            </w:r>
          </w:p>
        </w:tc>
        <w:tc>
          <w:tcPr>
            <w:tcW w:w="2560" w:type="dxa"/>
            <w:vAlign w:val="top"/>
          </w:tcPr>
          <w:p>
            <w:pPr>
              <w:pStyle w:val="23"/>
              <w:autoSpaceDE w:val="0"/>
              <w:autoSpaceDN w:val="0"/>
              <w:rPr>
                <w:rFonts w:ascii="宋体" w:hAnsi="宋体" w:cs="宋体"/>
                <w:color w:val="auto"/>
                <w:kern w:val="0"/>
                <w:szCs w:val="22"/>
                <w:highlight w:val="none"/>
                <w:lang w:eastAsia="en-US"/>
              </w:rPr>
            </w:pPr>
          </w:p>
        </w:tc>
        <w:tc>
          <w:tcPr>
            <w:tcW w:w="1205" w:type="dxa"/>
            <w:vAlign w:val="top"/>
          </w:tcPr>
          <w:p>
            <w:pPr>
              <w:pStyle w:val="23"/>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电话</w:t>
            </w:r>
          </w:p>
        </w:tc>
        <w:tc>
          <w:tcPr>
            <w:tcW w:w="2410" w:type="dxa"/>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ascii="宋体" w:hAnsi="宋体" w:cs="宋体"/>
                <w:color w:val="auto"/>
                <w:kern w:val="0"/>
                <w:szCs w:val="22"/>
                <w:highlight w:val="none"/>
                <w:lang w:eastAsia="en-US"/>
              </w:rPr>
            </w:pPr>
          </w:p>
        </w:tc>
        <w:tc>
          <w:tcPr>
            <w:tcW w:w="1001" w:type="dxa"/>
            <w:vAlign w:val="top"/>
          </w:tcPr>
          <w:p>
            <w:pPr>
              <w:pStyle w:val="23"/>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网址</w:t>
            </w:r>
          </w:p>
        </w:tc>
        <w:tc>
          <w:tcPr>
            <w:tcW w:w="2560" w:type="dxa"/>
            <w:vAlign w:val="top"/>
          </w:tcPr>
          <w:p>
            <w:pPr>
              <w:pStyle w:val="23"/>
              <w:autoSpaceDE w:val="0"/>
              <w:autoSpaceDN w:val="0"/>
              <w:rPr>
                <w:rFonts w:ascii="宋体" w:hAnsi="宋体" w:cs="宋体"/>
                <w:color w:val="auto"/>
                <w:kern w:val="0"/>
                <w:szCs w:val="22"/>
                <w:highlight w:val="none"/>
                <w:lang w:eastAsia="en-US"/>
              </w:rPr>
            </w:pPr>
          </w:p>
        </w:tc>
        <w:tc>
          <w:tcPr>
            <w:tcW w:w="1205" w:type="dxa"/>
            <w:vAlign w:val="top"/>
          </w:tcPr>
          <w:p>
            <w:pPr>
              <w:pStyle w:val="23"/>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传真</w:t>
            </w:r>
          </w:p>
        </w:tc>
        <w:tc>
          <w:tcPr>
            <w:tcW w:w="2410" w:type="dxa"/>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7"/>
              <w:ind w:left="123" w:right="111"/>
              <w:jc w:val="center"/>
              <w:rPr>
                <w:color w:val="auto"/>
                <w:sz w:val="21"/>
                <w:highlight w:val="none"/>
              </w:rPr>
            </w:pPr>
            <w:r>
              <w:rPr>
                <w:color w:val="auto"/>
                <w:sz w:val="21"/>
                <w:highlight w:val="none"/>
              </w:rPr>
              <w:t>法定代表人</w:t>
            </w:r>
          </w:p>
          <w:p>
            <w:pPr>
              <w:pStyle w:val="23"/>
              <w:autoSpaceDE w:val="0"/>
              <w:autoSpaceDN w:val="0"/>
              <w:spacing w:before="166"/>
              <w:ind w:left="18" w:leftChars="0" w:right="111" w:rightChars="0"/>
              <w:jc w:val="center"/>
              <w:rPr>
                <w:rFonts w:ascii="宋体" w:hAnsi="宋体" w:cs="宋体"/>
                <w:color w:val="auto"/>
                <w:kern w:val="0"/>
                <w:szCs w:val="22"/>
                <w:highlight w:val="none"/>
                <w:lang w:eastAsia="en-US"/>
              </w:rPr>
            </w:pPr>
            <w:r>
              <w:rPr>
                <w:color w:val="auto"/>
                <w:sz w:val="21"/>
                <w:highlight w:val="none"/>
              </w:rPr>
              <w:t>（单位负责人）</w:t>
            </w:r>
          </w:p>
        </w:tc>
        <w:tc>
          <w:tcPr>
            <w:tcW w:w="1001" w:type="dxa"/>
            <w:vAlign w:val="top"/>
          </w:tcPr>
          <w:p>
            <w:pPr>
              <w:pStyle w:val="23"/>
              <w:autoSpaceDE w:val="0"/>
              <w:autoSpaceDN w:val="0"/>
              <w:rPr>
                <w:color w:val="auto"/>
                <w:sz w:val="25"/>
                <w:highlight w:val="none"/>
              </w:rPr>
            </w:pPr>
          </w:p>
          <w:p>
            <w:pPr>
              <w:pStyle w:val="23"/>
              <w:autoSpaceDE w:val="0"/>
              <w:autoSpaceDN w:val="0"/>
              <w:spacing w:before="1"/>
              <w:ind w:left="135" w:leftChars="0" w:right="127" w:rightChars="0"/>
              <w:jc w:val="center"/>
              <w:rPr>
                <w:rFonts w:ascii="宋体" w:hAnsi="宋体" w:cs="宋体"/>
                <w:color w:val="auto"/>
                <w:kern w:val="0"/>
                <w:szCs w:val="22"/>
                <w:highlight w:val="none"/>
                <w:lang w:eastAsia="en-US"/>
              </w:rPr>
            </w:pPr>
            <w:r>
              <w:rPr>
                <w:color w:val="auto"/>
                <w:sz w:val="21"/>
                <w:highlight w:val="none"/>
              </w:rPr>
              <w:t>姓名</w:t>
            </w:r>
          </w:p>
        </w:tc>
        <w:tc>
          <w:tcPr>
            <w:tcW w:w="2560" w:type="dxa"/>
            <w:vAlign w:val="top"/>
          </w:tcPr>
          <w:p>
            <w:pPr>
              <w:pStyle w:val="23"/>
              <w:autoSpaceDE w:val="0"/>
              <w:autoSpaceDN w:val="0"/>
              <w:rPr>
                <w:color w:val="auto"/>
                <w:highlight w:val="none"/>
              </w:rPr>
            </w:pPr>
          </w:p>
        </w:tc>
        <w:tc>
          <w:tcPr>
            <w:tcW w:w="1205" w:type="dxa"/>
            <w:vAlign w:val="top"/>
          </w:tcPr>
          <w:p>
            <w:pPr>
              <w:pStyle w:val="23"/>
              <w:autoSpaceDE w:val="0"/>
              <w:autoSpaceDN w:val="0"/>
              <w:rPr>
                <w:color w:val="auto"/>
                <w:sz w:val="25"/>
                <w:highlight w:val="none"/>
              </w:rPr>
            </w:pPr>
          </w:p>
          <w:p>
            <w:pPr>
              <w:pStyle w:val="23"/>
              <w:autoSpaceDE w:val="0"/>
              <w:autoSpaceDN w:val="0"/>
              <w:spacing w:before="1"/>
              <w:ind w:left="129" w:leftChars="0" w:right="112" w:rightChars="0"/>
              <w:jc w:val="center"/>
              <w:rPr>
                <w:color w:val="auto"/>
                <w:highlight w:val="none"/>
              </w:rPr>
            </w:pPr>
            <w:r>
              <w:rPr>
                <w:color w:val="auto"/>
                <w:sz w:val="21"/>
                <w:highlight w:val="none"/>
              </w:rPr>
              <w:t>电话</w:t>
            </w:r>
          </w:p>
        </w:tc>
        <w:tc>
          <w:tcPr>
            <w:tcW w:w="2410" w:type="dxa"/>
            <w:vAlign w:val="top"/>
          </w:tcPr>
          <w:p>
            <w:pPr>
              <w:pStyle w:val="23"/>
              <w:autoSpaceDE w:val="0"/>
              <w:autoSpaceDN w:val="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23"/>
              <w:autoSpaceDE w:val="0"/>
              <w:autoSpaceDN w:val="0"/>
              <w:spacing w:before="107"/>
              <w:ind w:left="141"/>
              <w:rPr>
                <w:color w:val="auto"/>
                <w:sz w:val="21"/>
                <w:highlight w:val="none"/>
              </w:rPr>
            </w:pPr>
            <w:r>
              <w:rPr>
                <w:color w:val="auto"/>
                <w:sz w:val="21"/>
                <w:highlight w:val="none"/>
              </w:rPr>
              <w:t>投标人须知要求投标</w:t>
            </w:r>
          </w:p>
          <w:p>
            <w:pPr>
              <w:pStyle w:val="23"/>
              <w:autoSpaceDE w:val="0"/>
              <w:autoSpaceDN w:val="0"/>
              <w:spacing w:before="1" w:line="440" w:lineRule="atLeast"/>
              <w:ind w:left="875" w:leftChars="0" w:right="126" w:rightChars="0" w:hanging="735" w:firstLineChars="0"/>
              <w:rPr>
                <w:rFonts w:ascii="宋体" w:hAnsi="宋体" w:cs="宋体"/>
                <w:color w:val="auto"/>
                <w:kern w:val="0"/>
                <w:szCs w:val="22"/>
                <w:highlight w:val="none"/>
                <w:lang w:eastAsia="en-US"/>
              </w:rPr>
            </w:pPr>
            <w:r>
              <w:rPr>
                <w:color w:val="auto"/>
                <w:sz w:val="21"/>
                <w:highlight w:val="none"/>
              </w:rPr>
              <w:t>人需具有的各类资质证书</w:t>
            </w:r>
          </w:p>
        </w:tc>
        <w:tc>
          <w:tcPr>
            <w:tcW w:w="7176" w:type="dxa"/>
            <w:gridSpan w:val="4"/>
            <w:vAlign w:val="top"/>
          </w:tcPr>
          <w:p>
            <w:pPr>
              <w:pStyle w:val="23"/>
              <w:autoSpaceDE w:val="0"/>
              <w:autoSpaceDN w:val="0"/>
              <w:rPr>
                <w:color w:val="auto"/>
                <w:sz w:val="20"/>
                <w:highlight w:val="none"/>
              </w:rPr>
            </w:pPr>
          </w:p>
          <w:p>
            <w:pPr>
              <w:pStyle w:val="23"/>
              <w:autoSpaceDE w:val="0"/>
              <w:autoSpaceDN w:val="0"/>
              <w:spacing w:before="12"/>
              <w:rPr>
                <w:color w:val="auto"/>
                <w:sz w:val="21"/>
                <w:highlight w:val="none"/>
              </w:rPr>
            </w:pPr>
          </w:p>
          <w:p>
            <w:pPr>
              <w:pStyle w:val="23"/>
              <w:tabs>
                <w:tab w:val="left" w:pos="2314"/>
                <w:tab w:val="left" w:pos="4414"/>
              </w:tabs>
              <w:autoSpaceDE w:val="0"/>
              <w:autoSpaceDN w:val="0"/>
              <w:ind w:left="211" w:leftChars="0"/>
              <w:rPr>
                <w:rFonts w:ascii="宋体" w:hAnsi="宋体" w:cs="宋体"/>
                <w:color w:val="auto"/>
                <w:kern w:val="0"/>
                <w:szCs w:val="22"/>
                <w:highlight w:val="none"/>
                <w:lang w:eastAsia="en-US"/>
              </w:rPr>
            </w:pPr>
            <w:r>
              <w:rPr>
                <w:color w:val="auto"/>
                <w:sz w:val="21"/>
                <w:highlight w:val="none"/>
              </w:rPr>
              <w:t>类型：</w:t>
            </w:r>
            <w:r>
              <w:rPr>
                <w:color w:val="auto"/>
                <w:sz w:val="21"/>
                <w:highlight w:val="none"/>
              </w:rPr>
              <w:tab/>
            </w:r>
            <w:r>
              <w:rPr>
                <w:color w:val="auto"/>
                <w:spacing w:val="-3"/>
                <w:sz w:val="21"/>
                <w:highlight w:val="none"/>
              </w:rPr>
              <w:t>等</w:t>
            </w:r>
            <w:r>
              <w:rPr>
                <w:color w:val="auto"/>
                <w:sz w:val="21"/>
                <w:highlight w:val="none"/>
              </w:rPr>
              <w:t>级：</w:t>
            </w:r>
            <w:r>
              <w:rPr>
                <w:color w:val="auto"/>
                <w:sz w:val="21"/>
                <w:highlight w:val="none"/>
              </w:rPr>
              <w:tab/>
            </w:r>
            <w:r>
              <w:rPr>
                <w:color w:val="auto"/>
                <w:sz w:val="21"/>
                <w:highlight w:val="none"/>
              </w:rPr>
              <w:t>证</w:t>
            </w:r>
            <w:r>
              <w:rPr>
                <w:color w:val="auto"/>
                <w:spacing w:val="-3"/>
                <w:sz w:val="21"/>
                <w:highlight w:val="none"/>
              </w:rPr>
              <w:t>书</w:t>
            </w:r>
            <w:r>
              <w:rPr>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23"/>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基本账户开户银行</w:t>
            </w:r>
          </w:p>
        </w:tc>
        <w:tc>
          <w:tcPr>
            <w:tcW w:w="7176" w:type="dxa"/>
            <w:gridSpan w:val="4"/>
            <w:vAlign w:val="top"/>
          </w:tcPr>
          <w:p>
            <w:pPr>
              <w:pStyle w:val="23"/>
              <w:autoSpaceDE w:val="0"/>
              <w:autoSpaceDN w:val="0"/>
              <w:rPr>
                <w:rFonts w:ascii="宋体" w:hAnsi="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基本账户银行账号</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3"/>
              <w:autoSpaceDE w:val="0"/>
              <w:autoSpaceDN w:val="0"/>
              <w:spacing w:before="107"/>
              <w:ind w:left="121" w:leftChars="0" w:right="111" w:rightChars="0"/>
              <w:jc w:val="center"/>
              <w:rPr>
                <w:rFonts w:ascii="宋体" w:hAnsi="宋体" w:cs="宋体"/>
                <w:color w:val="auto"/>
                <w:kern w:val="0"/>
                <w:szCs w:val="22"/>
                <w:highlight w:val="none"/>
                <w:lang w:eastAsia="en-US"/>
              </w:rPr>
            </w:pPr>
            <w:r>
              <w:rPr>
                <w:color w:val="auto"/>
                <w:sz w:val="21"/>
                <w:highlight w:val="none"/>
              </w:rPr>
              <w:t>近三年营业额</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7"/>
              <w:ind w:left="141"/>
              <w:rPr>
                <w:color w:val="auto"/>
                <w:sz w:val="21"/>
                <w:highlight w:val="none"/>
              </w:rPr>
            </w:pPr>
            <w:r>
              <w:rPr>
                <w:color w:val="auto"/>
                <w:sz w:val="21"/>
                <w:highlight w:val="none"/>
              </w:rPr>
              <w:t>投标人关联企业情况</w:t>
            </w:r>
          </w:p>
          <w:p>
            <w:pPr>
              <w:pStyle w:val="23"/>
              <w:autoSpaceDE w:val="0"/>
              <w:autoSpaceDN w:val="0"/>
              <w:spacing w:before="164" w:line="384" w:lineRule="auto"/>
              <w:ind w:left="141" w:right="126" w:hanging="53"/>
              <w:jc w:val="both"/>
              <w:rPr>
                <w:color w:val="auto"/>
                <w:sz w:val="21"/>
                <w:highlight w:val="none"/>
              </w:rPr>
            </w:pPr>
            <w:r>
              <w:rPr>
                <w:color w:val="auto"/>
                <w:sz w:val="21"/>
                <w:highlight w:val="none"/>
              </w:rPr>
              <w:t>（包括但不限于与投标人法定代表人（单位负责人）为同一人或者存在控股、管理</w:t>
            </w:r>
          </w:p>
          <w:p>
            <w:pPr>
              <w:pStyle w:val="23"/>
              <w:autoSpaceDE w:val="0"/>
              <w:autoSpaceDN w:val="0"/>
              <w:spacing w:before="40"/>
              <w:ind w:left="123" w:leftChars="0" w:right="111" w:rightChars="0"/>
              <w:jc w:val="center"/>
              <w:rPr>
                <w:rFonts w:ascii="宋体" w:hAnsi="宋体" w:cs="宋体"/>
                <w:color w:val="auto"/>
                <w:kern w:val="0"/>
                <w:szCs w:val="22"/>
                <w:highlight w:val="none"/>
                <w:lang w:eastAsia="en-US"/>
              </w:rPr>
            </w:pPr>
            <w:r>
              <w:rPr>
                <w:color w:val="auto"/>
                <w:sz w:val="21"/>
                <w:highlight w:val="none"/>
              </w:rPr>
              <w:t>关系的不同单位）</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23"/>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w:t>
            </w:r>
            <w:r>
              <w:rPr>
                <w:rFonts w:hint="eastAsia"/>
                <w:color w:val="auto"/>
                <w:sz w:val="21"/>
                <w:highlight w:val="none"/>
                <w:lang w:val="en-US" w:eastAsia="zh-CN"/>
              </w:rPr>
              <w:t>货物</w:t>
            </w:r>
            <w:r>
              <w:rPr>
                <w:color w:val="auto"/>
                <w:sz w:val="21"/>
                <w:highlight w:val="none"/>
              </w:rPr>
              <w:t>制造商名称</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23"/>
              <w:autoSpaceDE w:val="0"/>
              <w:autoSpaceDN w:val="0"/>
              <w:spacing w:before="109" w:line="384" w:lineRule="auto"/>
              <w:ind w:left="141" w:right="126" w:firstLine="208"/>
              <w:rPr>
                <w:color w:val="auto"/>
                <w:sz w:val="21"/>
                <w:highlight w:val="none"/>
              </w:rPr>
            </w:pPr>
            <w:r>
              <w:rPr>
                <w:color w:val="auto"/>
                <w:spacing w:val="-2"/>
                <w:sz w:val="21"/>
                <w:highlight w:val="none"/>
              </w:rPr>
              <w:t xml:space="preserve">投标人须知要求 </w:t>
            </w:r>
            <w:r>
              <w:rPr>
                <w:color w:val="auto"/>
                <w:spacing w:val="-3"/>
                <w:sz w:val="21"/>
                <w:highlight w:val="none"/>
              </w:rPr>
              <w:t>投标</w:t>
            </w:r>
            <w:r>
              <w:rPr>
                <w:rFonts w:hint="eastAsia"/>
                <w:color w:val="auto"/>
                <w:spacing w:val="-3"/>
                <w:sz w:val="21"/>
                <w:highlight w:val="none"/>
                <w:lang w:val="en-US" w:eastAsia="zh-CN"/>
              </w:rPr>
              <w:t>货物</w:t>
            </w:r>
            <w:r>
              <w:rPr>
                <w:color w:val="auto"/>
                <w:spacing w:val="-3"/>
                <w:sz w:val="21"/>
                <w:highlight w:val="none"/>
              </w:rPr>
              <w:t>制造商需具</w:t>
            </w:r>
          </w:p>
          <w:p>
            <w:pPr>
              <w:pStyle w:val="23"/>
              <w:autoSpaceDE w:val="0"/>
              <w:autoSpaceDN w:val="0"/>
              <w:spacing w:before="38"/>
              <w:ind w:left="455" w:leftChars="0"/>
              <w:rPr>
                <w:rFonts w:ascii="宋体" w:hAnsi="宋体" w:cs="宋体"/>
                <w:color w:val="auto"/>
                <w:kern w:val="0"/>
                <w:szCs w:val="22"/>
                <w:highlight w:val="none"/>
                <w:lang w:eastAsia="en-US"/>
              </w:rPr>
            </w:pPr>
            <w:r>
              <w:rPr>
                <w:color w:val="auto"/>
                <w:sz w:val="21"/>
                <w:highlight w:val="none"/>
              </w:rPr>
              <w:t>有的资质证书</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23"/>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备注</w:t>
            </w:r>
          </w:p>
        </w:tc>
        <w:tc>
          <w:tcPr>
            <w:tcW w:w="7176" w:type="dxa"/>
            <w:gridSpan w:val="4"/>
            <w:vAlign w:val="top"/>
          </w:tcPr>
          <w:p>
            <w:pPr>
              <w:pStyle w:val="23"/>
              <w:autoSpaceDE w:val="0"/>
              <w:autoSpaceDN w:val="0"/>
              <w:rPr>
                <w:rFonts w:hAnsi="宋体" w:cs="宋体"/>
                <w:color w:val="auto"/>
                <w:kern w:val="0"/>
                <w:sz w:val="20"/>
                <w:szCs w:val="22"/>
                <w:highlight w:val="none"/>
                <w:lang w:eastAsia="en-US"/>
              </w:rPr>
            </w:pPr>
          </w:p>
        </w:tc>
      </w:tr>
    </w:tbl>
    <w:p>
      <w:pPr>
        <w:pStyle w:val="5"/>
        <w:spacing w:before="0" w:after="0" w:line="240" w:lineRule="auto"/>
        <w:jc w:val="both"/>
        <w:rPr>
          <w:rFonts w:ascii="宋体" w:hAnsi="宋体"/>
          <w:b w:val="0"/>
          <w:bCs w:val="0"/>
          <w:color w:val="auto"/>
          <w:highlight w:val="none"/>
        </w:rPr>
      </w:pPr>
      <w:r>
        <w:rPr>
          <w:rFonts w:ascii="宋体" w:hAnsi="宋体"/>
          <w:color w:val="auto"/>
          <w:szCs w:val="21"/>
          <w:highlight w:val="none"/>
        </w:rPr>
        <w:br w:type="page"/>
      </w:r>
      <w:bookmarkStart w:id="822" w:name="_Toc534185840"/>
      <w:bookmarkStart w:id="823" w:name="_Toc509218863"/>
      <w:bookmarkStart w:id="824" w:name="_Toc28698"/>
      <w:r>
        <w:rPr>
          <w:rFonts w:hint="eastAsia" w:ascii="宋体" w:hAnsi="宋体"/>
          <w:color w:val="auto"/>
          <w:szCs w:val="21"/>
          <w:highlight w:val="none"/>
          <w:lang w:val="en-US" w:eastAsia="zh-CN"/>
        </w:rPr>
        <w:t xml:space="preserve">                 </w:t>
      </w:r>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w:t>
      </w:r>
      <w:bookmarkEnd w:id="822"/>
      <w:bookmarkEnd w:id="823"/>
      <w:r>
        <w:rPr>
          <w:rFonts w:hint="eastAsia" w:ascii="宋体" w:hAnsi="宋体"/>
          <w:b w:val="0"/>
          <w:bCs w:val="0"/>
          <w:snapToGrid w:val="0"/>
          <w:color w:val="auto"/>
          <w:highlight w:val="none"/>
        </w:rPr>
        <w:t>近年财务状况表</w:t>
      </w:r>
      <w:bookmarkEnd w:id="824"/>
    </w:p>
    <w:p>
      <w:pPr>
        <w:pStyle w:val="5"/>
        <w:spacing w:before="0" w:after="0" w:line="240" w:lineRule="auto"/>
        <w:jc w:val="center"/>
        <w:rPr>
          <w:rFonts w:ascii="宋体" w:hAnsi="宋体"/>
          <w:color w:val="auto"/>
          <w:highlight w:val="none"/>
        </w:rPr>
      </w:pPr>
      <w:r>
        <w:rPr>
          <w:rFonts w:ascii="宋体" w:hAnsi="宋体"/>
          <w:color w:val="auto"/>
          <w:highlight w:val="none"/>
        </w:rPr>
        <w:br w:type="page"/>
      </w:r>
      <w:bookmarkEnd w:id="820"/>
      <w:bookmarkEnd w:id="821"/>
      <w:bookmarkStart w:id="825" w:name="_Toc27157"/>
      <w:r>
        <w:rPr>
          <w:rFonts w:hint="eastAsia" w:ascii="宋体" w:hAnsi="宋体"/>
          <w:b w:val="0"/>
          <w:bCs w:val="0"/>
          <w:color w:val="auto"/>
          <w:highlight w:val="none"/>
        </w:rPr>
        <w:t>（</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w:t>
      </w:r>
      <w:r>
        <w:rPr>
          <w:rFonts w:hint="eastAsia" w:ascii="宋体" w:hAnsi="宋体"/>
          <w:b w:val="0"/>
          <w:bCs w:val="0"/>
          <w:snapToGrid w:val="0"/>
          <w:color w:val="auto"/>
          <w:highlight w:val="none"/>
          <w:lang w:val="en-US" w:eastAsia="zh-CN"/>
        </w:rPr>
        <w:t>业绩</w:t>
      </w:r>
      <w:r>
        <w:rPr>
          <w:rFonts w:hint="eastAsia" w:ascii="宋体" w:hAnsi="宋体"/>
          <w:b w:val="0"/>
          <w:bCs w:val="0"/>
          <w:snapToGrid w:val="0"/>
          <w:color w:val="auto"/>
          <w:highlight w:val="none"/>
        </w:rPr>
        <w:t>情况</w:t>
      </w:r>
      <w:r>
        <w:rPr>
          <w:rFonts w:hint="eastAsia" w:ascii="宋体" w:hAnsi="宋体"/>
          <w:b w:val="0"/>
          <w:bCs w:val="0"/>
          <w:snapToGrid w:val="0"/>
          <w:color w:val="auto"/>
          <w:highlight w:val="none"/>
          <w:lang w:val="en-US" w:eastAsia="zh-CN"/>
        </w:rPr>
        <w:t>汇总</w:t>
      </w:r>
      <w:r>
        <w:rPr>
          <w:rFonts w:hint="eastAsia" w:ascii="宋体" w:hAnsi="宋体"/>
          <w:b w:val="0"/>
          <w:bCs w:val="0"/>
          <w:snapToGrid w:val="0"/>
          <w:color w:val="auto"/>
          <w:highlight w:val="none"/>
        </w:rPr>
        <w:t>表</w:t>
      </w:r>
      <w:bookmarkEnd w:id="825"/>
    </w:p>
    <w:p>
      <w:pPr>
        <w:spacing w:line="360" w:lineRule="auto"/>
        <w:rPr>
          <w:rFonts w:ascii="宋体" w:hAnsi="宋体"/>
          <w:color w:val="auto"/>
          <w:highlight w:val="none"/>
        </w:rPr>
      </w:pPr>
      <w:bookmarkStart w:id="826" w:name="_Toc224103515"/>
    </w:p>
    <w:tbl>
      <w:tblPr>
        <w:tblStyle w:val="13"/>
        <w:tblW w:w="968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505"/>
        <w:gridCol w:w="1395"/>
        <w:gridCol w:w="1400"/>
        <w:gridCol w:w="1290"/>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229" w:type="dxa"/>
            <w:vMerge w:val="restart"/>
            <w:vAlign w:val="center"/>
          </w:tcPr>
          <w:p>
            <w:pPr>
              <w:pStyle w:val="23"/>
              <w:ind w:right="265"/>
              <w:jc w:val="center"/>
              <w:rPr>
                <w:rFonts w:hint="eastAsia" w:eastAsia="宋体"/>
                <w:color w:val="auto"/>
                <w:sz w:val="21"/>
                <w:highlight w:val="none"/>
                <w:lang w:val="en-US" w:eastAsia="zh-CN"/>
              </w:rPr>
            </w:pPr>
            <w:bookmarkStart w:id="827" w:name="_Toc430530550"/>
            <w:bookmarkStart w:id="828" w:name="_Toc509218864"/>
            <w:bookmarkStart w:id="829" w:name="_Toc534185841"/>
            <w:bookmarkStart w:id="830" w:name="_Toc277082660"/>
            <w:bookmarkStart w:id="831" w:name="_Toc287607888"/>
            <w:bookmarkStart w:id="832" w:name="_Toc287620834"/>
            <w:r>
              <w:rPr>
                <w:rFonts w:hint="eastAsia"/>
                <w:color w:val="auto"/>
                <w:sz w:val="21"/>
                <w:highlight w:val="none"/>
                <w:lang w:val="en-US" w:eastAsia="zh-CN"/>
              </w:rPr>
              <w:t>序号</w:t>
            </w:r>
          </w:p>
        </w:tc>
        <w:tc>
          <w:tcPr>
            <w:tcW w:w="2505" w:type="dxa"/>
            <w:vMerge w:val="restart"/>
            <w:tcBorders>
              <w:right w:val="single" w:color="auto" w:sz="4" w:space="0"/>
            </w:tcBorders>
            <w:vAlign w:val="center"/>
          </w:tcPr>
          <w:p>
            <w:pPr>
              <w:pStyle w:val="23"/>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业绩名称</w:t>
            </w:r>
          </w:p>
        </w:tc>
        <w:tc>
          <w:tcPr>
            <w:tcW w:w="1395" w:type="dxa"/>
            <w:vMerge w:val="restart"/>
            <w:tcBorders>
              <w:left w:val="single" w:color="auto" w:sz="4" w:space="0"/>
              <w:right w:val="single" w:color="auto" w:sz="4" w:space="0"/>
            </w:tcBorders>
            <w:vAlign w:val="center"/>
          </w:tcPr>
          <w:p>
            <w:pPr>
              <w:pStyle w:val="23"/>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合同金额</w:t>
            </w:r>
          </w:p>
        </w:tc>
        <w:tc>
          <w:tcPr>
            <w:tcW w:w="2690" w:type="dxa"/>
            <w:gridSpan w:val="2"/>
            <w:tcBorders>
              <w:left w:val="single" w:color="auto" w:sz="4" w:space="0"/>
              <w:right w:val="single" w:color="auto" w:sz="4" w:space="0"/>
            </w:tcBorders>
            <w:vAlign w:val="center"/>
          </w:tcPr>
          <w:p>
            <w:pPr>
              <w:pStyle w:val="23"/>
              <w:jc w:val="center"/>
              <w:rPr>
                <w:rFonts w:hint="default" w:ascii="Times New Roman" w:eastAsia="宋体"/>
                <w:color w:val="auto"/>
                <w:sz w:val="20"/>
                <w:highlight w:val="none"/>
                <w:lang w:val="en-US" w:eastAsia="zh-CN"/>
              </w:rPr>
            </w:pPr>
            <w:r>
              <w:rPr>
                <w:rFonts w:hint="eastAsia" w:ascii="Times New Roman"/>
                <w:color w:val="auto"/>
                <w:sz w:val="20"/>
                <w:highlight w:val="none"/>
                <w:lang w:val="en-US" w:eastAsia="zh-CN"/>
              </w:rPr>
              <w:t>其中：</w:t>
            </w:r>
          </w:p>
        </w:tc>
        <w:tc>
          <w:tcPr>
            <w:tcW w:w="1863" w:type="dxa"/>
            <w:vMerge w:val="restart"/>
            <w:tcBorders>
              <w:left w:val="single" w:color="auto" w:sz="4" w:space="0"/>
            </w:tcBorders>
            <w:vAlign w:val="center"/>
          </w:tcPr>
          <w:p>
            <w:pPr>
              <w:pStyle w:val="23"/>
              <w:jc w:val="center"/>
              <w:rPr>
                <w:rFonts w:hint="eastAsia" w:ascii="Times New Roman" w:eastAsia="宋体"/>
                <w:color w:val="auto"/>
                <w:sz w:val="20"/>
                <w:highlight w:val="none"/>
                <w:lang w:val="en-US" w:eastAsia="zh-CN"/>
              </w:rPr>
            </w:pPr>
            <w:r>
              <w:rPr>
                <w:rFonts w:hint="eastAsia" w:ascii="Times New Roman"/>
                <w:color w:val="auto"/>
                <w:sz w:val="20"/>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229" w:type="dxa"/>
            <w:vMerge w:val="continue"/>
          </w:tcPr>
          <w:p>
            <w:pPr>
              <w:pStyle w:val="23"/>
              <w:ind w:left="273" w:right="265"/>
              <w:jc w:val="center"/>
              <w:rPr>
                <w:color w:val="auto"/>
                <w:sz w:val="21"/>
                <w:highlight w:val="none"/>
              </w:rPr>
            </w:pPr>
          </w:p>
        </w:tc>
        <w:tc>
          <w:tcPr>
            <w:tcW w:w="2505" w:type="dxa"/>
            <w:vMerge w:val="continue"/>
            <w:tcBorders>
              <w:right w:val="single" w:color="auto" w:sz="4" w:space="0"/>
            </w:tcBorders>
          </w:tcPr>
          <w:p>
            <w:pPr>
              <w:pStyle w:val="23"/>
              <w:rPr>
                <w:rFonts w:ascii="Times New Roman"/>
                <w:color w:val="auto"/>
                <w:sz w:val="20"/>
                <w:highlight w:val="none"/>
              </w:rPr>
            </w:pPr>
          </w:p>
        </w:tc>
        <w:tc>
          <w:tcPr>
            <w:tcW w:w="1395" w:type="dxa"/>
            <w:vMerge w:val="continue"/>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vAlign w:val="center"/>
          </w:tcPr>
          <w:p>
            <w:pPr>
              <w:pStyle w:val="23"/>
              <w:jc w:val="center"/>
              <w:rPr>
                <w:rFonts w:hint="eastAsia" w:ascii="Times New Roman" w:hAnsi="宋体" w:eastAsia="宋体" w:cs="宋体"/>
                <w:color w:val="auto"/>
                <w:kern w:val="2"/>
                <w:sz w:val="20"/>
                <w:szCs w:val="24"/>
                <w:highlight w:val="none"/>
                <w:lang w:val="en-US" w:eastAsia="zh-CN" w:bidi="ar-SA"/>
              </w:rPr>
            </w:pPr>
            <w:r>
              <w:rPr>
                <w:rFonts w:hint="eastAsia" w:ascii="Times New Roman"/>
                <w:color w:val="auto"/>
                <w:sz w:val="20"/>
                <w:highlight w:val="none"/>
                <w:lang w:val="en-US" w:eastAsia="zh-CN"/>
              </w:rPr>
              <w:t>摄像机金额</w:t>
            </w:r>
          </w:p>
        </w:tc>
        <w:tc>
          <w:tcPr>
            <w:tcW w:w="1290" w:type="dxa"/>
            <w:tcBorders>
              <w:left w:val="single" w:color="auto" w:sz="4" w:space="0"/>
              <w:right w:val="single" w:color="auto" w:sz="4" w:space="0"/>
            </w:tcBorders>
            <w:vAlign w:val="center"/>
          </w:tcPr>
          <w:p>
            <w:pPr>
              <w:pStyle w:val="23"/>
              <w:jc w:val="center"/>
              <w:rPr>
                <w:rFonts w:hint="default" w:ascii="Times New Roman" w:hAnsi="宋体" w:eastAsia="宋体" w:cs="宋体"/>
                <w:color w:val="auto"/>
                <w:kern w:val="2"/>
                <w:sz w:val="20"/>
                <w:szCs w:val="24"/>
                <w:highlight w:val="none"/>
                <w:lang w:val="en-US" w:eastAsia="zh-CN" w:bidi="ar-SA"/>
              </w:rPr>
            </w:pPr>
            <w:r>
              <w:rPr>
                <w:rFonts w:hint="eastAsia" w:ascii="Times New Roman"/>
                <w:color w:val="auto"/>
                <w:sz w:val="20"/>
                <w:highlight w:val="none"/>
                <w:lang w:val="en-US" w:eastAsia="zh-CN"/>
              </w:rPr>
              <w:t>摄像机数量</w:t>
            </w:r>
          </w:p>
        </w:tc>
        <w:tc>
          <w:tcPr>
            <w:tcW w:w="1863" w:type="dxa"/>
            <w:vMerge w:val="continue"/>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29" w:type="dxa"/>
          </w:tcPr>
          <w:p>
            <w:pPr>
              <w:pStyle w:val="23"/>
              <w:ind w:left="273" w:right="265"/>
              <w:jc w:val="center"/>
              <w:rPr>
                <w:color w:val="auto"/>
                <w:sz w:val="21"/>
                <w:highlight w:val="none"/>
              </w:rPr>
            </w:pP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29" w:type="dxa"/>
          </w:tcPr>
          <w:p>
            <w:pPr>
              <w:pStyle w:val="23"/>
              <w:ind w:left="273" w:right="265"/>
              <w:jc w:val="center"/>
              <w:rPr>
                <w:color w:val="auto"/>
                <w:sz w:val="21"/>
                <w:highlight w:val="none"/>
              </w:rPr>
            </w:pP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229" w:type="dxa"/>
          </w:tcPr>
          <w:p>
            <w:pPr>
              <w:pStyle w:val="23"/>
              <w:ind w:left="273" w:right="265"/>
              <w:jc w:val="center"/>
              <w:rPr>
                <w:color w:val="auto"/>
                <w:sz w:val="21"/>
                <w:highlight w:val="none"/>
              </w:rPr>
            </w:pP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9" w:type="dxa"/>
          </w:tcPr>
          <w:p>
            <w:pPr>
              <w:pStyle w:val="23"/>
              <w:ind w:left="273" w:right="265"/>
              <w:jc w:val="center"/>
              <w:rPr>
                <w:color w:val="auto"/>
                <w:sz w:val="21"/>
                <w:highlight w:val="none"/>
              </w:rPr>
            </w:pP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29" w:type="dxa"/>
          </w:tcPr>
          <w:p>
            <w:pPr>
              <w:pStyle w:val="23"/>
              <w:ind w:left="273" w:right="263"/>
              <w:jc w:val="center"/>
              <w:rPr>
                <w:color w:val="auto"/>
                <w:sz w:val="21"/>
                <w:highlight w:val="none"/>
              </w:rPr>
            </w:pP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29" w:type="dxa"/>
          </w:tcPr>
          <w:p>
            <w:pPr>
              <w:pStyle w:val="23"/>
              <w:ind w:left="273" w:right="263"/>
              <w:jc w:val="center"/>
              <w:rPr>
                <w:color w:val="auto"/>
                <w:sz w:val="21"/>
                <w:highlight w:val="none"/>
              </w:rPr>
            </w:pPr>
          </w:p>
          <w:p>
            <w:pPr>
              <w:pStyle w:val="23"/>
              <w:ind w:right="263" w:firstLine="420" w:firstLineChars="200"/>
              <w:jc w:val="both"/>
              <w:rPr>
                <w:rFonts w:hint="eastAsia" w:eastAsia="宋体"/>
                <w:color w:val="auto"/>
                <w:sz w:val="21"/>
                <w:highlight w:val="none"/>
                <w:lang w:val="en-US" w:eastAsia="zh-CN"/>
              </w:rPr>
            </w:pPr>
            <w:r>
              <w:rPr>
                <w:rFonts w:hint="eastAsia"/>
                <w:color w:val="auto"/>
                <w:sz w:val="21"/>
                <w:highlight w:val="none"/>
                <w:lang w:val="en-US" w:eastAsia="zh-CN"/>
              </w:rPr>
              <w:t>合计</w:t>
            </w:r>
          </w:p>
        </w:tc>
        <w:tc>
          <w:tcPr>
            <w:tcW w:w="2505" w:type="dxa"/>
            <w:tcBorders>
              <w:right w:val="single" w:color="auto" w:sz="4" w:space="0"/>
            </w:tcBorders>
          </w:tcPr>
          <w:p>
            <w:pPr>
              <w:pStyle w:val="23"/>
              <w:rPr>
                <w:rFonts w:ascii="Times New Roman"/>
                <w:color w:val="auto"/>
                <w:sz w:val="20"/>
                <w:highlight w:val="none"/>
              </w:rPr>
            </w:pPr>
          </w:p>
        </w:tc>
        <w:tc>
          <w:tcPr>
            <w:tcW w:w="1395" w:type="dxa"/>
            <w:tcBorders>
              <w:left w:val="single" w:color="auto" w:sz="4" w:space="0"/>
              <w:right w:val="single" w:color="auto" w:sz="4" w:space="0"/>
            </w:tcBorders>
          </w:tcPr>
          <w:p>
            <w:pPr>
              <w:pStyle w:val="23"/>
              <w:rPr>
                <w:rFonts w:ascii="Times New Roman"/>
                <w:color w:val="auto"/>
                <w:sz w:val="20"/>
                <w:highlight w:val="none"/>
              </w:rPr>
            </w:pPr>
          </w:p>
        </w:tc>
        <w:tc>
          <w:tcPr>
            <w:tcW w:w="1400" w:type="dxa"/>
            <w:tcBorders>
              <w:left w:val="single" w:color="auto" w:sz="4" w:space="0"/>
              <w:right w:val="single" w:color="auto" w:sz="4" w:space="0"/>
            </w:tcBorders>
          </w:tcPr>
          <w:p>
            <w:pPr>
              <w:pStyle w:val="23"/>
              <w:rPr>
                <w:rFonts w:ascii="Times New Roman"/>
                <w:color w:val="auto"/>
                <w:sz w:val="20"/>
                <w:highlight w:val="none"/>
              </w:rPr>
            </w:pPr>
          </w:p>
        </w:tc>
        <w:tc>
          <w:tcPr>
            <w:tcW w:w="1290" w:type="dxa"/>
            <w:tcBorders>
              <w:left w:val="single" w:color="auto" w:sz="4" w:space="0"/>
              <w:right w:val="single" w:color="auto" w:sz="4" w:space="0"/>
            </w:tcBorders>
          </w:tcPr>
          <w:p>
            <w:pPr>
              <w:pStyle w:val="23"/>
              <w:rPr>
                <w:rFonts w:ascii="Times New Roman"/>
                <w:color w:val="auto"/>
                <w:sz w:val="20"/>
                <w:highlight w:val="none"/>
              </w:rPr>
            </w:pPr>
          </w:p>
        </w:tc>
        <w:tc>
          <w:tcPr>
            <w:tcW w:w="1863" w:type="dxa"/>
            <w:tcBorders>
              <w:left w:val="single" w:color="auto" w:sz="4" w:space="0"/>
            </w:tcBorders>
          </w:tcPr>
          <w:p>
            <w:pPr>
              <w:pStyle w:val="23"/>
              <w:rPr>
                <w:rFonts w:ascii="Times New Roman"/>
                <w:color w:val="auto"/>
                <w:sz w:val="20"/>
                <w:highlight w:val="none"/>
              </w:rPr>
            </w:pPr>
          </w:p>
        </w:tc>
      </w:tr>
    </w:tbl>
    <w:p>
      <w:pPr>
        <w:rPr>
          <w:rFonts w:ascii="宋体" w:hAnsi="宋体"/>
          <w:color w:val="auto"/>
          <w:highlight w:val="none"/>
        </w:rPr>
      </w:pPr>
      <w:r>
        <w:rPr>
          <w:rFonts w:hint="eastAsia" w:ascii="宋体" w:hAnsi="宋体"/>
          <w:color w:val="auto"/>
          <w:highlight w:val="none"/>
          <w:lang w:val="en-US" w:eastAsia="zh-CN"/>
        </w:rPr>
        <w:t>注:投标人可自行扩展该表格</w:t>
      </w:r>
      <w:r>
        <w:rPr>
          <w:rFonts w:hint="eastAsia" w:ascii="宋体" w:hAnsi="宋体"/>
          <w:color w:val="auto"/>
          <w:highlight w:val="none"/>
        </w:rPr>
        <w:br w:type="page"/>
      </w:r>
    </w:p>
    <w:bookmarkEnd w:id="826"/>
    <w:bookmarkEnd w:id="827"/>
    <w:bookmarkEnd w:id="828"/>
    <w:bookmarkEnd w:id="829"/>
    <w:bookmarkEnd w:id="830"/>
    <w:bookmarkEnd w:id="831"/>
    <w:bookmarkEnd w:id="832"/>
    <w:p>
      <w:pPr>
        <w:pStyle w:val="5"/>
        <w:spacing w:before="0" w:after="0" w:line="240" w:lineRule="auto"/>
        <w:jc w:val="center"/>
        <w:rPr>
          <w:rFonts w:ascii="宋体" w:hAnsi="宋体"/>
          <w:color w:val="auto"/>
          <w:highlight w:val="none"/>
        </w:rPr>
      </w:pPr>
      <w:bookmarkStart w:id="833" w:name="_Toc509218866"/>
      <w:bookmarkStart w:id="834" w:name="_Toc287620839"/>
      <w:bookmarkStart w:id="835" w:name="_Toc534185843"/>
      <w:bookmarkStart w:id="836" w:name="_Toc430530552"/>
      <w:bookmarkStart w:id="837" w:name="_Toc277082663"/>
      <w:bookmarkStart w:id="838" w:name="_Toc287607893"/>
      <w:bookmarkStart w:id="839" w:name="_Toc224103520"/>
      <w:bookmarkStart w:id="840" w:name="_Toc6655"/>
      <w:r>
        <w:rPr>
          <w:rFonts w:hint="eastAsia" w:ascii="宋体" w:hAnsi="宋体"/>
          <w:b w:val="0"/>
          <w:bCs w:val="0"/>
          <w:color w:val="auto"/>
          <w:highlight w:val="none"/>
        </w:rPr>
        <w:t>（</w:t>
      </w:r>
      <w:r>
        <w:rPr>
          <w:rFonts w:hint="eastAsia" w:ascii="宋体" w:hAnsi="宋体"/>
          <w:b w:val="0"/>
          <w:bCs w:val="0"/>
          <w:color w:val="auto"/>
          <w:highlight w:val="none"/>
          <w:lang w:val="en-US" w:eastAsia="zh-CN"/>
        </w:rPr>
        <w:t>六</w:t>
      </w:r>
      <w:r>
        <w:rPr>
          <w:rFonts w:hint="eastAsia" w:ascii="宋体" w:hAnsi="宋体"/>
          <w:b w:val="0"/>
          <w:bCs w:val="0"/>
          <w:color w:val="auto"/>
          <w:highlight w:val="none"/>
        </w:rPr>
        <w:t>）</w:t>
      </w:r>
      <w:r>
        <w:rPr>
          <w:rFonts w:hint="eastAsia" w:ascii="宋体" w:hAnsi="宋体"/>
          <w:b w:val="0"/>
          <w:bCs w:val="0"/>
          <w:snapToGrid w:val="0"/>
          <w:color w:val="auto"/>
          <w:highlight w:val="none"/>
          <w:lang w:val="en-US" w:eastAsia="zh-CN"/>
        </w:rPr>
        <w:t>业绩</w:t>
      </w:r>
      <w:r>
        <w:rPr>
          <w:rFonts w:hint="eastAsia" w:ascii="宋体" w:hAnsi="宋体"/>
          <w:b w:val="0"/>
          <w:bCs w:val="0"/>
          <w:snapToGrid w:val="0"/>
          <w:color w:val="auto"/>
          <w:highlight w:val="none"/>
        </w:rPr>
        <w:t>情况表</w:t>
      </w:r>
    </w:p>
    <w:p>
      <w:pPr>
        <w:spacing w:line="360" w:lineRule="auto"/>
        <w:rPr>
          <w:rFonts w:ascii="宋体" w:hAnsi="宋体"/>
          <w:color w:val="auto"/>
          <w:highlight w:val="none"/>
        </w:rPr>
      </w:pPr>
    </w:p>
    <w:tbl>
      <w:tblPr>
        <w:tblStyle w:val="13"/>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23"/>
              <w:rPr>
                <w:color w:val="auto"/>
                <w:sz w:val="17"/>
                <w:highlight w:val="none"/>
              </w:rPr>
            </w:pPr>
          </w:p>
          <w:p>
            <w:pPr>
              <w:pStyle w:val="23"/>
              <w:ind w:left="271" w:right="265"/>
              <w:jc w:val="center"/>
              <w:rPr>
                <w:color w:val="auto"/>
                <w:sz w:val="21"/>
                <w:highlight w:val="none"/>
              </w:rPr>
            </w:pPr>
            <w:r>
              <w:rPr>
                <w:rFonts w:hint="eastAsia"/>
                <w:color w:val="auto"/>
                <w:sz w:val="21"/>
                <w:highlight w:val="none"/>
                <w:lang w:val="en-US" w:eastAsia="zh-CN"/>
              </w:rPr>
              <w:t>货物</w:t>
            </w:r>
            <w:r>
              <w:rPr>
                <w:color w:val="auto"/>
                <w:sz w:val="21"/>
                <w:highlight w:val="none"/>
              </w:rPr>
              <w:t>名称</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3"/>
              <w:spacing w:before="8"/>
              <w:rPr>
                <w:color w:val="auto"/>
                <w:sz w:val="14"/>
                <w:highlight w:val="none"/>
              </w:rPr>
            </w:pPr>
          </w:p>
          <w:p>
            <w:pPr>
              <w:pStyle w:val="23"/>
              <w:ind w:left="273" w:right="265"/>
              <w:jc w:val="center"/>
              <w:rPr>
                <w:color w:val="auto"/>
                <w:sz w:val="21"/>
                <w:highlight w:val="none"/>
              </w:rPr>
            </w:pPr>
            <w:r>
              <w:rPr>
                <w:color w:val="auto"/>
                <w:sz w:val="21"/>
                <w:highlight w:val="none"/>
              </w:rPr>
              <w:t>规格和型号</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23"/>
              <w:spacing w:before="10"/>
              <w:rPr>
                <w:color w:val="auto"/>
                <w:sz w:val="14"/>
                <w:highlight w:val="none"/>
              </w:rPr>
            </w:pPr>
          </w:p>
          <w:p>
            <w:pPr>
              <w:pStyle w:val="23"/>
              <w:ind w:left="273" w:right="265"/>
              <w:jc w:val="center"/>
              <w:rPr>
                <w:color w:val="auto"/>
                <w:sz w:val="21"/>
                <w:highlight w:val="none"/>
              </w:rPr>
            </w:pPr>
            <w:r>
              <w:rPr>
                <w:color w:val="auto"/>
                <w:sz w:val="21"/>
                <w:highlight w:val="none"/>
              </w:rPr>
              <w:t>项目名称</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3"/>
              <w:spacing w:before="8"/>
              <w:rPr>
                <w:color w:val="auto"/>
                <w:sz w:val="14"/>
                <w:highlight w:val="none"/>
              </w:rPr>
            </w:pPr>
          </w:p>
          <w:p>
            <w:pPr>
              <w:pStyle w:val="23"/>
              <w:ind w:left="273" w:right="265"/>
              <w:jc w:val="center"/>
              <w:rPr>
                <w:color w:val="auto"/>
                <w:sz w:val="21"/>
                <w:highlight w:val="none"/>
              </w:rPr>
            </w:pPr>
            <w:r>
              <w:rPr>
                <w:color w:val="auto"/>
                <w:sz w:val="21"/>
                <w:highlight w:val="none"/>
              </w:rPr>
              <w:t>买方名称</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23"/>
              <w:spacing w:before="10"/>
              <w:rPr>
                <w:color w:val="auto"/>
                <w:sz w:val="14"/>
                <w:highlight w:val="none"/>
              </w:rPr>
            </w:pPr>
          </w:p>
          <w:p>
            <w:pPr>
              <w:pStyle w:val="23"/>
              <w:ind w:left="273" w:right="265"/>
              <w:jc w:val="center"/>
              <w:rPr>
                <w:color w:val="auto"/>
                <w:sz w:val="21"/>
                <w:highlight w:val="none"/>
              </w:rPr>
            </w:pPr>
            <w:r>
              <w:rPr>
                <w:color w:val="auto"/>
                <w:sz w:val="21"/>
                <w:highlight w:val="none"/>
              </w:rPr>
              <w:t>买方联系人及电话</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23"/>
              <w:spacing w:before="10"/>
              <w:rPr>
                <w:color w:val="auto"/>
                <w:sz w:val="14"/>
                <w:highlight w:val="none"/>
              </w:rPr>
            </w:pPr>
          </w:p>
          <w:p>
            <w:pPr>
              <w:pStyle w:val="23"/>
              <w:ind w:left="273" w:right="265"/>
              <w:jc w:val="center"/>
              <w:rPr>
                <w:color w:val="auto"/>
                <w:sz w:val="21"/>
                <w:highlight w:val="none"/>
              </w:rPr>
            </w:pPr>
            <w:r>
              <w:rPr>
                <w:color w:val="auto"/>
                <w:sz w:val="21"/>
                <w:highlight w:val="none"/>
              </w:rPr>
              <w:t>合同价格</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23"/>
              <w:rPr>
                <w:color w:val="auto"/>
                <w:sz w:val="20"/>
                <w:highlight w:val="none"/>
              </w:rPr>
            </w:pPr>
          </w:p>
          <w:p>
            <w:pPr>
              <w:pStyle w:val="23"/>
              <w:rPr>
                <w:color w:val="auto"/>
                <w:sz w:val="20"/>
                <w:highlight w:val="none"/>
              </w:rPr>
            </w:pPr>
          </w:p>
          <w:p>
            <w:pPr>
              <w:pStyle w:val="23"/>
              <w:rPr>
                <w:color w:val="auto"/>
                <w:sz w:val="20"/>
                <w:highlight w:val="none"/>
              </w:rPr>
            </w:pPr>
          </w:p>
          <w:p>
            <w:pPr>
              <w:pStyle w:val="23"/>
              <w:rPr>
                <w:color w:val="auto"/>
                <w:sz w:val="20"/>
                <w:highlight w:val="none"/>
              </w:rPr>
            </w:pPr>
          </w:p>
          <w:p>
            <w:pPr>
              <w:pStyle w:val="23"/>
              <w:spacing w:before="160" w:line="386" w:lineRule="auto"/>
              <w:ind w:left="818" w:right="176" w:hanging="632"/>
              <w:rPr>
                <w:color w:val="auto"/>
                <w:sz w:val="21"/>
                <w:highlight w:val="none"/>
              </w:rPr>
            </w:pPr>
            <w:r>
              <w:rPr>
                <w:color w:val="auto"/>
                <w:sz w:val="21"/>
                <w:highlight w:val="none"/>
              </w:rPr>
              <w:t>项目概况及投标人履约情况</w:t>
            </w:r>
          </w:p>
        </w:tc>
        <w:tc>
          <w:tcPr>
            <w:tcW w:w="6253" w:type="dxa"/>
          </w:tcPr>
          <w:p>
            <w:pPr>
              <w:pStyle w:val="2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23"/>
              <w:spacing w:before="4"/>
              <w:rPr>
                <w:color w:val="auto"/>
                <w:sz w:val="15"/>
                <w:highlight w:val="none"/>
              </w:rPr>
            </w:pPr>
          </w:p>
          <w:p>
            <w:pPr>
              <w:pStyle w:val="23"/>
              <w:ind w:left="273" w:right="263"/>
              <w:jc w:val="center"/>
              <w:rPr>
                <w:color w:val="auto"/>
                <w:sz w:val="21"/>
                <w:highlight w:val="none"/>
              </w:rPr>
            </w:pPr>
            <w:r>
              <w:rPr>
                <w:color w:val="auto"/>
                <w:sz w:val="21"/>
                <w:highlight w:val="none"/>
              </w:rPr>
              <w:t>备注</w:t>
            </w:r>
          </w:p>
        </w:tc>
        <w:tc>
          <w:tcPr>
            <w:tcW w:w="6253" w:type="dxa"/>
          </w:tcPr>
          <w:p>
            <w:pPr>
              <w:pStyle w:val="23"/>
              <w:rPr>
                <w:rFonts w:ascii="Times New Roman"/>
                <w:color w:val="auto"/>
                <w:sz w:val="20"/>
                <w:highlight w:val="none"/>
              </w:rPr>
            </w:pPr>
          </w:p>
        </w:tc>
      </w:tr>
    </w:tbl>
    <w:p>
      <w:pPr>
        <w:pStyle w:val="5"/>
        <w:spacing w:before="0" w:line="360" w:lineRule="auto"/>
        <w:jc w:val="center"/>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rFonts w:ascii="宋体" w:hAnsi="宋体"/>
          <w:b w:val="0"/>
          <w:color w:val="auto"/>
          <w:highlight w:val="none"/>
        </w:rPr>
      </w:pPr>
    </w:p>
    <w:p>
      <w:pPr>
        <w:rPr>
          <w:rFonts w:ascii="宋体" w:hAnsi="宋体"/>
          <w:b w:val="0"/>
          <w:color w:val="auto"/>
          <w:highlight w:val="none"/>
        </w:rPr>
      </w:pPr>
    </w:p>
    <w:p>
      <w:pPr>
        <w:pStyle w:val="2"/>
        <w:rPr>
          <w:highlight w:val="none"/>
        </w:rPr>
      </w:pPr>
    </w:p>
    <w:p>
      <w:pPr>
        <w:pStyle w:val="5"/>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七</w:t>
      </w:r>
      <w:r>
        <w:rPr>
          <w:rFonts w:ascii="宋体" w:hAnsi="宋体"/>
          <w:b w:val="0"/>
          <w:color w:val="auto"/>
          <w:highlight w:val="none"/>
        </w:rPr>
        <w:t>）</w:t>
      </w:r>
      <w:bookmarkEnd w:id="833"/>
      <w:bookmarkEnd w:id="834"/>
      <w:bookmarkEnd w:id="835"/>
      <w:bookmarkEnd w:id="836"/>
      <w:bookmarkEnd w:id="837"/>
      <w:bookmarkEnd w:id="838"/>
      <w:bookmarkEnd w:id="839"/>
      <w:r>
        <w:rPr>
          <w:rFonts w:hint="eastAsia" w:ascii="宋体" w:hAnsi="宋体"/>
          <w:b w:val="0"/>
          <w:color w:val="auto"/>
          <w:highlight w:val="none"/>
        </w:rPr>
        <w:t>承诺</w:t>
      </w:r>
      <w:bookmarkEnd w:id="840"/>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1、我公司不存在下列情形之一：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2</w:t>
      </w:r>
      <w:r>
        <w:rPr>
          <w:rFonts w:hint="eastAsia" w:ascii="宋体" w:hAnsi="宋体"/>
          <w:color w:val="auto"/>
          <w:szCs w:val="21"/>
          <w:highlight w:val="none"/>
        </w:rPr>
        <w:t>、我公司</w:t>
      </w:r>
      <w:r>
        <w:rPr>
          <w:rFonts w:hint="eastAsia" w:ascii="宋体" w:hAnsi="宋体" w:cs="宋体"/>
          <w:b w:val="0"/>
          <w:bCs/>
          <w:color w:val="auto"/>
          <w:szCs w:val="21"/>
          <w:highlight w:val="none"/>
        </w:rPr>
        <w:t>投标文件中的所有内容</w:t>
      </w:r>
      <w:r>
        <w:rPr>
          <w:rFonts w:hint="eastAsia" w:ascii="宋体" w:hAnsi="宋体"/>
          <w:color w:val="auto"/>
          <w:szCs w:val="21"/>
          <w:highlight w:val="none"/>
        </w:rPr>
        <w:t>真实有效，不存在弄虚作假情形。</w:t>
      </w:r>
      <w:r>
        <w:rPr>
          <w:rFonts w:hint="eastAsia" w:ascii="宋体" w:hAnsi="宋体"/>
          <w:color w:val="auto"/>
          <w:szCs w:val="21"/>
          <w:highlight w:val="none"/>
          <w:u w:val="single"/>
        </w:rPr>
        <w:t>贵单位在合同签订前均有权对我公司提供的资料进行核实，若发现弄虚作假，取消我公司中标资格，并按相关法律法规报招标投标监督部门，投标保证金以现金形式交纳的不予退还，以保函形式交纳的由保函开立人支付保函担保的与投标保证金等额的款项，我公司自愿承担因此造成的相关责任并赔偿相应损失。</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w:t>
      </w:r>
      <w:r>
        <w:rPr>
          <w:rFonts w:hint="eastAsia" w:ascii="宋体" w:hAnsi="宋体"/>
          <w:color w:val="auto"/>
          <w:szCs w:val="21"/>
          <w:highlight w:val="none"/>
          <w:lang w:val="en-US" w:eastAsia="zh-CN"/>
        </w:rPr>
        <w:t>3</w:t>
      </w:r>
      <w:r>
        <w:rPr>
          <w:rFonts w:hint="eastAsia" w:ascii="宋体" w:hAnsi="宋体"/>
          <w:color w:val="auto"/>
          <w:szCs w:val="21"/>
          <w:highlight w:val="none"/>
        </w:rPr>
        <w:t>.1 项的规定。</w:t>
      </w:r>
    </w:p>
    <w:p>
      <w:pPr>
        <w:snapToGrid w:val="0"/>
        <w:spacing w:line="400" w:lineRule="exact"/>
        <w:ind w:firstLine="420" w:firstLineChars="200"/>
        <w:rPr>
          <w:rFonts w:hint="eastAsia" w:ascii="宋体" w:hAnsi="宋体"/>
          <w:color w:val="auto"/>
          <w:szCs w:val="21"/>
          <w:highlight w:val="none"/>
        </w:rPr>
      </w:pPr>
      <w:r>
        <w:rPr>
          <w:rFonts w:hint="default" w:ascii="宋体" w:hAnsi="宋体"/>
          <w:color w:val="auto"/>
          <w:szCs w:val="21"/>
          <w:highlight w:val="none"/>
          <w:lang w:val="en-US" w:eastAsia="zh-CN"/>
        </w:rPr>
        <w:t>5</w:t>
      </w:r>
      <w:r>
        <w:rPr>
          <w:rFonts w:hint="eastAsia" w:ascii="宋体" w:hAnsi="宋体"/>
          <w:color w:val="auto"/>
          <w:szCs w:val="21"/>
          <w:highlight w:val="none"/>
        </w:rPr>
        <w:t>、我公司的投标文件符合招标文件</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olor w:val="auto"/>
          <w:szCs w:val="21"/>
          <w:highlight w:val="none"/>
        </w:rPr>
        <w:t>，投标文件中没有贵单位不能接受的条件。</w:t>
      </w:r>
    </w:p>
    <w:p>
      <w:pPr>
        <w:snapToGrid w:val="0"/>
        <w:spacing w:line="400" w:lineRule="exact"/>
        <w:ind w:firstLine="420" w:firstLineChars="200"/>
        <w:rPr>
          <w:rFonts w:hint="default"/>
          <w:color w:val="auto"/>
          <w:highlight w:val="none"/>
          <w:lang w:val="en-US"/>
        </w:rPr>
      </w:pPr>
      <w:r>
        <w:rPr>
          <w:rFonts w:hint="eastAsia" w:ascii="宋体" w:hAnsi="宋体" w:cs="宋体"/>
          <w:color w:val="auto"/>
          <w:szCs w:val="21"/>
          <w:highlight w:val="none"/>
          <w:lang w:val="en-US" w:eastAsia="zh-CN"/>
        </w:rPr>
        <w:t>6</w:t>
      </w:r>
      <w:r>
        <w:rPr>
          <w:rFonts w:hint="eastAsia" w:ascii="宋体" w:hAnsi="宋体"/>
          <w:color w:val="auto"/>
          <w:kern w:val="0"/>
          <w:szCs w:val="21"/>
          <w:highlight w:val="none"/>
          <w:u w:val="single"/>
          <w:lang w:val="en-US" w:eastAsia="zh-CN"/>
        </w:rPr>
        <w:t>、我公司在投标文件商务部分《技术偏差表》中对招标文件列明的</w:t>
      </w:r>
      <w:r>
        <w:rPr>
          <w:rFonts w:hint="eastAsia" w:ascii="仿宋_GB2312" w:hAnsi="宋体" w:cs="仿宋_GB2312"/>
          <w:i w:val="0"/>
          <w:iCs w:val="0"/>
          <w:color w:val="auto"/>
          <w:kern w:val="0"/>
          <w:sz w:val="21"/>
          <w:szCs w:val="21"/>
          <w:highlight w:val="none"/>
          <w:u w:val="single"/>
          <w:shd w:val="clear" w:color="auto" w:fill="FFFFFF"/>
          <w:lang w:val="en-US" w:eastAsia="zh-CN" w:bidi="ar"/>
        </w:rPr>
        <w:t>未标明“★”号的</w:t>
      </w:r>
      <w:r>
        <w:rPr>
          <w:rFonts w:hint="eastAsia" w:ascii="宋体" w:hAnsi="宋体"/>
          <w:color w:val="auto"/>
          <w:kern w:val="0"/>
          <w:szCs w:val="21"/>
          <w:highlight w:val="none"/>
          <w:u w:val="single"/>
          <w:lang w:val="en-US" w:eastAsia="zh-CN"/>
        </w:rPr>
        <w:t>条款的响应均为投标货物技术指标的真实体现</w:t>
      </w:r>
      <w:r>
        <w:rPr>
          <w:rFonts w:hint="eastAsia" w:ascii="宋体" w:hAnsi="宋体"/>
          <w:color w:val="auto"/>
          <w:szCs w:val="21"/>
          <w:highlight w:val="none"/>
          <w:u w:val="single"/>
          <w:lang w:val="en-US" w:eastAsia="zh-CN"/>
        </w:rPr>
        <w:t>，相关证明材料在中标后签订合同前提供。如提供的证明材料与响应内容不一致，按弄虚作假处理。</w:t>
      </w: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widowControl/>
        <w:jc w:val="left"/>
        <w:rPr>
          <w:color w:val="auto"/>
          <w:highlight w:val="none"/>
        </w:rPr>
      </w:pPr>
      <w:r>
        <w:rPr>
          <w:color w:val="auto"/>
          <w:highlight w:val="none"/>
        </w:rPr>
        <w:br w:type="page"/>
      </w:r>
    </w:p>
    <w:p>
      <w:pPr>
        <w:rPr>
          <w:color w:val="auto"/>
          <w:highlight w:val="none"/>
        </w:rPr>
        <w:sectPr>
          <w:pgSz w:w="11906" w:h="16838"/>
          <w:pgMar w:top="1304" w:right="1134" w:bottom="1304" w:left="1304" w:header="851" w:footer="992" w:gutter="0"/>
          <w:cols w:space="720" w:num="1"/>
          <w:docGrid w:linePitch="312" w:charSpace="0"/>
        </w:sectPr>
      </w:pPr>
    </w:p>
    <w:p>
      <w:pPr>
        <w:pStyle w:val="4"/>
        <w:spacing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八</w:t>
      </w:r>
      <w:r>
        <w:rPr>
          <w:rFonts w:ascii="宋体" w:hAnsi="宋体"/>
          <w:b w:val="0"/>
          <w:color w:val="auto"/>
          <w:highlight w:val="none"/>
        </w:rPr>
        <w:t>）</w:t>
      </w:r>
      <w:r>
        <w:rPr>
          <w:rFonts w:hint="eastAsia" w:ascii="宋体" w:hAnsi="宋体" w:eastAsia="宋体" w:cs="Times New Roman"/>
          <w:b w:val="0"/>
          <w:bCs/>
          <w:color w:val="auto"/>
          <w:kern w:val="2"/>
          <w:sz w:val="32"/>
          <w:szCs w:val="32"/>
          <w:highlight w:val="none"/>
          <w:lang w:val="en-US" w:eastAsia="zh-CN" w:bidi="ar-SA"/>
        </w:rPr>
        <w:t>质量保证期承诺函</w:t>
      </w:r>
    </w:p>
    <w:p>
      <w:pPr>
        <w:pStyle w:val="2"/>
        <w:jc w:val="center"/>
        <w:sectPr>
          <w:pgSz w:w="11906" w:h="16838"/>
          <w:pgMar w:top="1304" w:right="1134" w:bottom="1304" w:left="1304" w:header="851" w:footer="992" w:gutter="0"/>
          <w:cols w:space="720" w:num="1"/>
          <w:docGrid w:linePitch="312" w:charSpace="0"/>
        </w:sectPr>
      </w:pPr>
      <w:r>
        <w:rPr>
          <w:rFonts w:hint="eastAsia"/>
          <w:highlight w:val="none"/>
          <w:lang w:val="en-US" w:eastAsia="zh-CN"/>
        </w:rPr>
        <w:t>注：提供</w:t>
      </w:r>
      <w:r>
        <w:rPr>
          <w:rFonts w:hint="eastAsia" w:ascii="宋体" w:hAnsi="宋体" w:cs="宋体"/>
          <w:color w:val="auto"/>
          <w:highlight w:val="none"/>
          <w:lang w:val="en-US" w:eastAsia="zh-CN"/>
        </w:rPr>
        <w:t>厂家出具的质量保证期承诺函（格式自拟）</w:t>
      </w:r>
      <w:bookmarkStart w:id="842" w:name="_GoBack"/>
      <w:bookmarkEnd w:id="842"/>
    </w:p>
    <w:p/>
    <w:p>
      <w:pPr>
        <w:pStyle w:val="5"/>
        <w:spacing w:before="0" w:line="360" w:lineRule="auto"/>
        <w:jc w:val="center"/>
        <w:rPr>
          <w:rFonts w:ascii="宋体" w:hAnsi="宋体"/>
          <w:color w:val="auto"/>
          <w:highlight w:val="none"/>
        </w:rPr>
      </w:pPr>
      <w:bookmarkStart w:id="841" w:name="_Toc31075"/>
      <w:r>
        <w:rPr>
          <w:rFonts w:hint="eastAsia" w:ascii="宋体" w:hAnsi="宋体"/>
          <w:b w:val="0"/>
          <w:color w:val="auto"/>
          <w:highlight w:val="none"/>
        </w:rPr>
        <w:t>（</w:t>
      </w:r>
      <w:r>
        <w:rPr>
          <w:rFonts w:hint="eastAsia" w:ascii="宋体" w:hAnsi="宋体"/>
          <w:b w:val="0"/>
          <w:color w:val="auto"/>
          <w:highlight w:val="none"/>
          <w:lang w:val="en-US" w:eastAsia="zh-CN"/>
        </w:rPr>
        <w:t>九</w:t>
      </w:r>
      <w:r>
        <w:rPr>
          <w:rFonts w:hint="eastAsia" w:ascii="宋体" w:hAnsi="宋体"/>
          <w:b w:val="0"/>
          <w:color w:val="auto"/>
          <w:highlight w:val="none"/>
        </w:rPr>
        <w:t>）其他资料</w:t>
      </w:r>
      <w:bookmarkEnd w:id="841"/>
    </w:p>
    <w:bookmarkEnd w:id="588"/>
    <w:bookmarkEnd w:id="589"/>
    <w:bookmarkEnd w:id="590"/>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w:t>
      </w:r>
      <w:r>
        <w:rPr>
          <w:rFonts w:hint="eastAsia" w:ascii="宋体" w:hAnsi="宋体" w:cs="宋体"/>
          <w:color w:val="auto"/>
          <w:spacing w:val="-6"/>
          <w:kern w:val="0"/>
          <w:sz w:val="21"/>
          <w:szCs w:val="21"/>
          <w:highlight w:val="none"/>
          <w:lang w:val="en-US" w:eastAsia="zh-CN" w:bidi="ar-SA"/>
        </w:rPr>
        <w:t>项目</w:t>
      </w:r>
      <w:r>
        <w:rPr>
          <w:rFonts w:hint="eastAsia" w:ascii="宋体" w:hAnsi="宋体" w:eastAsia="宋体" w:cs="宋体"/>
          <w:color w:val="auto"/>
          <w:spacing w:val="-6"/>
          <w:kern w:val="0"/>
          <w:sz w:val="21"/>
          <w:szCs w:val="21"/>
          <w:highlight w:val="none"/>
          <w:lang w:val="en-US" w:eastAsia="zh-CN" w:bidi="ar-SA"/>
        </w:rPr>
        <w:t>”）发出的招标文件以及后续发布的答疑补遗文件，并拟向招标人（即“受益人”）提交投标文件（即“基础交易”）。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spacing w:line="240" w:lineRule="auto"/>
        <w:ind w:firstLine="0" w:firstLineChars="0"/>
        <w:rPr>
          <w:rFonts w:hint="eastAsia"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eastAsia="宋体" w:cs="Times New Roman"/>
          <w:color w:val="auto"/>
          <w:szCs w:val="21"/>
          <w:highlight w:val="none"/>
        </w:rPr>
        <w:br w:type="page"/>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p>
    <w:p>
      <w:pPr>
        <w:spacing w:line="360" w:lineRule="auto"/>
        <w:ind w:firstLine="420" w:firstLineChars="200"/>
        <w:rPr>
          <w:rFonts w:hint="eastAsia"/>
          <w:highlight w:val="none"/>
        </w:rPr>
      </w:pPr>
      <w:r>
        <w:rPr>
          <w:rFonts w:ascii="宋体" w:hAnsi="宋体"/>
          <w:color w:val="auto"/>
          <w:szCs w:val="21"/>
          <w:highlight w:val="none"/>
        </w:rPr>
        <w:t>……</w:t>
      </w:r>
    </w:p>
    <w:p>
      <w:pPr>
        <w:pStyle w:val="2"/>
        <w:rPr>
          <w:rFonts w:hint="eastAsia"/>
          <w:highlight w:val="none"/>
        </w:rPr>
      </w:pPr>
    </w:p>
    <w:p>
      <w:pPr>
        <w:spacing w:line="240" w:lineRule="auto"/>
        <w:ind w:firstLine="0" w:firstLineChars="0"/>
        <w:rPr>
          <w:highlight w:val="none"/>
        </w:rPr>
      </w:pPr>
    </w:p>
    <w:p>
      <w:pPr>
        <w:rPr>
          <w:highlight w:val="none"/>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- 4 -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264</w: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3"/>
      <w:rPr>
        <w:sz w:val="18"/>
        <w:szCs w:val="18"/>
      </w:rPr>
    </w:pPr>
    <w:r>
      <w:rPr>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hint="eastAsia" w:ascii="方正仿宋_GBK" w:hAnsi="方正仿宋_GBK" w:eastAsia="方正仿宋_GBK" w:cs="方正仿宋_GBK"/>
        <w:sz w:val="18"/>
        <w:szCs w:val="18"/>
      </w:rPr>
    </w:pPr>
    <w:r>
      <w:rPr>
        <w:rFonts w:ascii="方正仿宋_GBK" w:hAnsi="方正仿宋_GBK" w:eastAsia="方正仿宋_GBK" w:cs="方正仿宋_GBK"/>
        <w:spacing w:val="2"/>
        <w:sz w:val="18"/>
        <w:szCs w:val="18"/>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47BB"/>
    <w:multiLevelType w:val="singleLevel"/>
    <w:tmpl w:val="B0DA47BB"/>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6DF10B14"/>
    <w:multiLevelType w:val="singleLevel"/>
    <w:tmpl w:val="6DF10B1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DdjMDI3MjYxZDcxYWE5NGIwMTNmMDI4NTM1ODgifQ=="/>
  </w:docVars>
  <w:rsids>
    <w:rsidRoot w:val="00000000"/>
    <w:rsid w:val="0300276E"/>
    <w:rsid w:val="04F8699A"/>
    <w:rsid w:val="05C51144"/>
    <w:rsid w:val="11E8249E"/>
    <w:rsid w:val="1EB0087A"/>
    <w:rsid w:val="20D312ED"/>
    <w:rsid w:val="267F638F"/>
    <w:rsid w:val="2A1B3573"/>
    <w:rsid w:val="2E6311FA"/>
    <w:rsid w:val="309E5142"/>
    <w:rsid w:val="35A61CBD"/>
    <w:rsid w:val="3A292D51"/>
    <w:rsid w:val="3DFC37FC"/>
    <w:rsid w:val="485F0E32"/>
    <w:rsid w:val="49613FCF"/>
    <w:rsid w:val="49A16864"/>
    <w:rsid w:val="49AA5BC8"/>
    <w:rsid w:val="567836F7"/>
    <w:rsid w:val="60187843"/>
    <w:rsid w:val="60A9633E"/>
    <w:rsid w:val="6BFD0818"/>
    <w:rsid w:val="73D0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11">
    <w:name w:val="Subtitle"/>
    <w:basedOn w:val="1"/>
    <w:qFormat/>
    <w:uiPriority w:val="0"/>
    <w:pPr>
      <w:widowControl/>
      <w:jc w:val="center"/>
    </w:pPr>
    <w:rPr>
      <w:kern w:val="0"/>
      <w:sz w:val="20"/>
      <w:u w:val="single"/>
      <w:lang w:eastAsia="en-US"/>
    </w:rPr>
  </w:style>
  <w:style w:type="paragraph" w:styleId="12">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character" w:styleId="15">
    <w:name w:val="page number"/>
    <w:basedOn w:val="14"/>
    <w:qFormat/>
    <w:uiPriority w:val="0"/>
  </w:style>
  <w:style w:type="paragraph" w:customStyle="1" w:styleId="16">
    <w:name w:val="普通(网站)1"/>
    <w:basedOn w:val="1"/>
    <w:qFormat/>
    <w:uiPriority w:val="0"/>
    <w:pPr>
      <w:widowControl/>
      <w:spacing w:before="100" w:beforeAutospacing="1" w:after="100" w:afterAutospacing="1"/>
      <w:jc w:val="left"/>
    </w:pPr>
    <w:rPr>
      <w:kern w:val="0"/>
      <w:sz w:val="24"/>
      <w:szCs w:val="24"/>
    </w:rPr>
  </w:style>
  <w:style w:type="paragraph" w:customStyle="1" w:styleId="1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9">
    <w:name w:val="标题 11"/>
    <w:basedOn w:val="1"/>
    <w:qFormat/>
    <w:uiPriority w:val="0"/>
    <w:pPr>
      <w:autoSpaceDE w:val="0"/>
      <w:autoSpaceDN w:val="0"/>
      <w:snapToGrid w:val="0"/>
      <w:spacing w:line="360" w:lineRule="auto"/>
      <w:ind w:left="3105" w:hanging="1320"/>
      <w:jc w:val="center"/>
      <w:outlineLvl w:val="0"/>
    </w:pPr>
    <w:rPr>
      <w:rFonts w:eastAsia="黑体"/>
      <w:kern w:val="0"/>
      <w:sz w:val="44"/>
      <w:szCs w:val="4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cs="宋体"/>
      <w:lang w:eastAsia="en-US"/>
    </w:rPr>
  </w:style>
  <w:style w:type="paragraph" w:customStyle="1" w:styleId="22">
    <w:name w:val="List Paragraph"/>
    <w:basedOn w:val="1"/>
    <w:qFormat/>
    <w:uiPriority w:val="1"/>
    <w:pPr>
      <w:ind w:left="100" w:firstLine="420"/>
    </w:pPr>
    <w:rPr>
      <w:rFonts w:ascii="宋体" w:hAnsi="宋体" w:eastAsia="宋体" w:cs="宋体"/>
    </w:rPr>
  </w:style>
  <w:style w:type="paragraph" w:customStyle="1" w:styleId="23">
    <w:name w:val="Table Paragraph"/>
    <w:basedOn w:val="1"/>
    <w:qFormat/>
    <w:uiPriority w:val="1"/>
    <w:rPr>
      <w:rFonts w:ascii="宋体" w:hAnsi="宋体" w:cs="宋体"/>
    </w:rPr>
  </w:style>
  <w:style w:type="table" w:customStyle="1" w:styleId="24">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65443</Words>
  <Characters>69846</Characters>
  <Lines>0</Lines>
  <Paragraphs>0</Paragraphs>
  <TotalTime>2</TotalTime>
  <ScaleCrop>false</ScaleCrop>
  <LinksUpToDate>false</LinksUpToDate>
  <CharactersWithSpaces>78004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2022-08-03T08:26:00Z</dcterms:created>
  <dc:creator>2019.5.15</dc:creator>
  <cp:lastModifiedBy>大熊猫</cp:lastModifiedBy>
  <dcterms:modified xsi:type="dcterms:W3CDTF">2024-09-30T02:35:27Z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DB1A54151D744E089F22204B51DB2EAB_12</vt:lpwstr>
  </property>
</Properties>
</file>