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0F6DB">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重庆高速公路集团有限公司集采中心2024年度水泥</w:t>
      </w:r>
      <w:r>
        <w:rPr>
          <w:rFonts w:hint="eastAsia" w:ascii="宋体"/>
          <w:b/>
          <w:color w:val="auto"/>
          <w:kern w:val="10"/>
          <w:sz w:val="28"/>
          <w:szCs w:val="28"/>
          <w:highlight w:val="none"/>
          <w:lang w:val="en-US" w:eastAsia="zh-CN"/>
        </w:rPr>
        <w:t>集中</w:t>
      </w:r>
      <w:r>
        <w:rPr>
          <w:rFonts w:hint="eastAsia" w:ascii="宋体"/>
          <w:b/>
          <w:color w:val="auto"/>
          <w:kern w:val="10"/>
          <w:sz w:val="28"/>
          <w:szCs w:val="28"/>
          <w:highlight w:val="none"/>
          <w:lang w:eastAsia="zh-CN"/>
        </w:rPr>
        <w:t>采购</w:t>
      </w:r>
    </w:p>
    <w:p w14:paraId="01802F44">
      <w:pPr>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hint="eastAsia" w:ascii="宋体"/>
          <w:b/>
          <w:color w:val="auto"/>
          <w:sz w:val="28"/>
          <w:szCs w:val="28"/>
          <w:highlight w:val="none"/>
          <w:lang w:val="en-US" w:eastAsia="zh-CN"/>
        </w:rPr>
        <w:t>比选</w:t>
      </w:r>
      <w:r>
        <w:rPr>
          <w:rFonts w:ascii="宋体"/>
          <w:b/>
          <w:color w:val="auto"/>
          <w:sz w:val="28"/>
          <w:szCs w:val="28"/>
          <w:highlight w:val="none"/>
        </w:rPr>
        <w:t>编号：0611-2400160928B</w:t>
      </w:r>
      <w:r>
        <w:rPr>
          <w:rFonts w:hint="eastAsia" w:ascii="宋体"/>
          <w:b/>
          <w:color w:val="auto"/>
          <w:kern w:val="10"/>
          <w:sz w:val="28"/>
          <w:szCs w:val="28"/>
          <w:highlight w:val="none"/>
          <w:lang w:eastAsia="zh-CN"/>
        </w:rPr>
        <w:t xml:space="preserve"> </w:t>
      </w:r>
    </w:p>
    <w:p w14:paraId="3C05D963">
      <w:pPr>
        <w:autoSpaceDE w:val="0"/>
        <w:autoSpaceDN w:val="0"/>
        <w:adjustRightInd w:val="0"/>
        <w:snapToGrid w:val="0"/>
        <w:spacing w:line="360" w:lineRule="auto"/>
        <w:jc w:val="left"/>
        <w:rPr>
          <w:rFonts w:ascii="宋体" w:hAnsi="宋体"/>
          <w:color w:val="auto"/>
          <w:kern w:val="0"/>
          <w:sz w:val="20"/>
          <w:szCs w:val="20"/>
          <w:highlight w:val="none"/>
        </w:rPr>
      </w:pPr>
    </w:p>
    <w:p w14:paraId="3432C0C8">
      <w:pPr>
        <w:autoSpaceDE w:val="0"/>
        <w:autoSpaceDN w:val="0"/>
        <w:adjustRightInd w:val="0"/>
        <w:snapToGrid w:val="0"/>
        <w:spacing w:line="360" w:lineRule="auto"/>
        <w:jc w:val="left"/>
        <w:rPr>
          <w:rFonts w:ascii="宋体" w:hAnsi="宋体"/>
          <w:color w:val="auto"/>
          <w:kern w:val="0"/>
          <w:sz w:val="20"/>
          <w:szCs w:val="20"/>
          <w:highlight w:val="none"/>
        </w:rPr>
      </w:pPr>
    </w:p>
    <w:p w14:paraId="7BE713A0">
      <w:pPr>
        <w:autoSpaceDE w:val="0"/>
        <w:autoSpaceDN w:val="0"/>
        <w:adjustRightInd w:val="0"/>
        <w:snapToGrid w:val="0"/>
        <w:spacing w:line="360" w:lineRule="auto"/>
        <w:jc w:val="left"/>
        <w:rPr>
          <w:rFonts w:ascii="宋体" w:hAnsi="宋体"/>
          <w:color w:val="auto"/>
          <w:kern w:val="0"/>
          <w:sz w:val="20"/>
          <w:szCs w:val="20"/>
          <w:highlight w:val="none"/>
        </w:rPr>
      </w:pPr>
    </w:p>
    <w:p w14:paraId="6312264E">
      <w:pPr>
        <w:autoSpaceDE w:val="0"/>
        <w:autoSpaceDN w:val="0"/>
        <w:adjustRightInd w:val="0"/>
        <w:snapToGrid w:val="0"/>
        <w:spacing w:line="360" w:lineRule="auto"/>
        <w:jc w:val="left"/>
        <w:rPr>
          <w:rFonts w:ascii="宋体" w:hAnsi="宋体"/>
          <w:color w:val="auto"/>
          <w:kern w:val="0"/>
          <w:sz w:val="20"/>
          <w:szCs w:val="20"/>
          <w:highlight w:val="none"/>
        </w:rPr>
      </w:pPr>
    </w:p>
    <w:p w14:paraId="233D3138">
      <w:pPr>
        <w:autoSpaceDE w:val="0"/>
        <w:autoSpaceDN w:val="0"/>
        <w:adjustRightInd w:val="0"/>
        <w:snapToGrid w:val="0"/>
        <w:spacing w:line="360" w:lineRule="auto"/>
        <w:jc w:val="left"/>
        <w:rPr>
          <w:rFonts w:ascii="宋体" w:hAnsi="宋体"/>
          <w:color w:val="auto"/>
          <w:kern w:val="0"/>
          <w:sz w:val="20"/>
          <w:szCs w:val="20"/>
          <w:highlight w:val="none"/>
        </w:rPr>
      </w:pPr>
    </w:p>
    <w:p w14:paraId="218A3A8E">
      <w:pPr>
        <w:autoSpaceDE w:val="0"/>
        <w:autoSpaceDN w:val="0"/>
        <w:adjustRightInd w:val="0"/>
        <w:snapToGrid w:val="0"/>
        <w:spacing w:line="360" w:lineRule="auto"/>
        <w:jc w:val="left"/>
        <w:rPr>
          <w:rFonts w:ascii="宋体" w:hAnsi="宋体"/>
          <w:color w:val="auto"/>
          <w:kern w:val="0"/>
          <w:sz w:val="20"/>
          <w:szCs w:val="20"/>
          <w:highlight w:val="none"/>
        </w:rPr>
      </w:pPr>
    </w:p>
    <w:p w14:paraId="7059662F">
      <w:pPr>
        <w:autoSpaceDE w:val="0"/>
        <w:autoSpaceDN w:val="0"/>
        <w:adjustRightInd w:val="0"/>
        <w:snapToGrid w:val="0"/>
        <w:spacing w:line="360" w:lineRule="auto"/>
        <w:jc w:val="center"/>
        <w:rPr>
          <w:rFonts w:hint="default" w:ascii="宋体" w:hAnsi="宋体" w:eastAsia="宋体"/>
          <w:color w:val="auto"/>
          <w:kern w:val="0"/>
          <w:sz w:val="72"/>
          <w:szCs w:val="72"/>
          <w:highlight w:val="none"/>
          <w:lang w:val="en-US" w:eastAsia="zh-CN"/>
        </w:rPr>
      </w:pPr>
      <w:r>
        <w:rPr>
          <w:rFonts w:hint="eastAsia" w:ascii="宋体" w:hAnsi="宋体"/>
          <w:color w:val="auto"/>
          <w:kern w:val="0"/>
          <w:sz w:val="72"/>
          <w:szCs w:val="72"/>
          <w:highlight w:val="none"/>
          <w:lang w:val="en-US" w:eastAsia="zh-CN"/>
        </w:rPr>
        <w:t>竞争性比选文件</w:t>
      </w:r>
    </w:p>
    <w:p w14:paraId="2F638A93">
      <w:pPr>
        <w:autoSpaceDE w:val="0"/>
        <w:autoSpaceDN w:val="0"/>
        <w:adjustRightInd w:val="0"/>
        <w:snapToGrid w:val="0"/>
        <w:spacing w:line="360" w:lineRule="auto"/>
        <w:jc w:val="left"/>
        <w:rPr>
          <w:rFonts w:ascii="宋体" w:hAnsi="宋体"/>
          <w:color w:val="auto"/>
          <w:kern w:val="0"/>
          <w:sz w:val="10"/>
          <w:szCs w:val="10"/>
          <w:highlight w:val="none"/>
        </w:rPr>
      </w:pPr>
    </w:p>
    <w:p w14:paraId="62F379C2">
      <w:pPr>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54D43632">
      <w:pPr>
        <w:spacing w:line="360" w:lineRule="auto"/>
        <w:rPr>
          <w:color w:val="auto"/>
          <w:sz w:val="32"/>
          <w:szCs w:val="32"/>
          <w:highlight w:val="none"/>
        </w:rPr>
      </w:pPr>
    </w:p>
    <w:p w14:paraId="54A58862">
      <w:pPr>
        <w:spacing w:line="360" w:lineRule="auto"/>
        <w:rPr>
          <w:b/>
          <w:bCs/>
          <w:color w:val="auto"/>
          <w:sz w:val="30"/>
          <w:szCs w:val="30"/>
          <w:highlight w:val="none"/>
        </w:rPr>
      </w:pPr>
    </w:p>
    <w:p w14:paraId="658C23F2">
      <w:pPr>
        <w:spacing w:line="360" w:lineRule="auto"/>
        <w:rPr>
          <w:b/>
          <w:bCs/>
          <w:color w:val="auto"/>
          <w:sz w:val="30"/>
          <w:szCs w:val="30"/>
          <w:highlight w:val="none"/>
        </w:rPr>
      </w:pPr>
    </w:p>
    <w:p w14:paraId="3BCD5D8D">
      <w:pPr>
        <w:pStyle w:val="18"/>
        <w:rPr>
          <w:b/>
          <w:bCs/>
          <w:color w:val="auto"/>
          <w:sz w:val="30"/>
          <w:szCs w:val="30"/>
          <w:highlight w:val="none"/>
        </w:rPr>
      </w:pPr>
    </w:p>
    <w:p w14:paraId="760E1EF7">
      <w:pPr>
        <w:rPr>
          <w:b/>
          <w:bCs/>
          <w:color w:val="auto"/>
          <w:sz w:val="30"/>
          <w:szCs w:val="30"/>
          <w:highlight w:val="none"/>
        </w:rPr>
      </w:pPr>
    </w:p>
    <w:p w14:paraId="65901EAD">
      <w:pPr>
        <w:pStyle w:val="18"/>
        <w:rPr>
          <w:color w:val="auto"/>
          <w:highlight w:val="none"/>
        </w:rPr>
      </w:pPr>
    </w:p>
    <w:p w14:paraId="635D7876">
      <w:pPr>
        <w:spacing w:line="360" w:lineRule="auto"/>
        <w:rPr>
          <w:b/>
          <w:bCs/>
          <w:color w:val="auto"/>
          <w:sz w:val="30"/>
          <w:szCs w:val="30"/>
          <w:highlight w:val="none"/>
        </w:rPr>
      </w:pPr>
    </w:p>
    <w:p w14:paraId="4E91ADF8">
      <w:pPr>
        <w:autoSpaceDE w:val="0"/>
        <w:autoSpaceDN w:val="0"/>
        <w:adjustRightInd w:val="0"/>
        <w:rPr>
          <w:color w:val="auto"/>
          <w:sz w:val="24"/>
          <w:highlight w:val="none"/>
        </w:rPr>
      </w:pPr>
    </w:p>
    <w:p w14:paraId="70B937AA">
      <w:pPr>
        <w:spacing w:line="360" w:lineRule="auto"/>
        <w:rPr>
          <w:b/>
          <w:bCs/>
          <w:color w:val="auto"/>
          <w:sz w:val="30"/>
          <w:szCs w:val="30"/>
          <w:highlight w:val="none"/>
        </w:rPr>
      </w:pPr>
    </w:p>
    <w:p w14:paraId="5D660FCD">
      <w:pPr>
        <w:spacing w:line="360" w:lineRule="auto"/>
        <w:outlineLvl w:val="0"/>
        <w:rPr>
          <w:color w:val="auto"/>
          <w:highlight w:val="none"/>
        </w:rPr>
      </w:pPr>
      <w:bookmarkStart w:id="2" w:name="_Toc29776"/>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选</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重庆高速资产经营管理有限公司</w:t>
      </w:r>
      <w:r>
        <w:rPr>
          <w:rFonts w:hint="eastAsia"/>
          <w:b/>
          <w:bCs/>
          <w:color w:val="auto"/>
          <w:sz w:val="30"/>
          <w:szCs w:val="30"/>
          <w:highlight w:val="none"/>
        </w:rPr>
        <w:t>（盖单位法人章）</w:t>
      </w:r>
      <w:bookmarkEnd w:id="2"/>
    </w:p>
    <w:p w14:paraId="2D75E4EC">
      <w:pPr>
        <w:spacing w:line="360" w:lineRule="auto"/>
        <w:rPr>
          <w:color w:val="auto"/>
          <w:sz w:val="30"/>
          <w:szCs w:val="30"/>
          <w:highlight w:val="none"/>
          <w:u w:val="single"/>
        </w:rPr>
      </w:pPr>
      <w:r>
        <w:rPr>
          <w:rFonts w:hint="eastAsia"/>
          <w:b/>
          <w:bCs/>
          <w:color w:val="auto"/>
          <w:sz w:val="30"/>
          <w:szCs w:val="30"/>
          <w:highlight w:val="none"/>
          <w:lang w:eastAsia="zh-CN"/>
        </w:rPr>
        <w:t>比选</w:t>
      </w:r>
      <w:r>
        <w:rPr>
          <w:b/>
          <w:bCs/>
          <w:color w:val="auto"/>
          <w:sz w:val="30"/>
          <w:szCs w:val="30"/>
          <w:highlight w:val="none"/>
        </w:rPr>
        <w:t>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（盖单位法人章）</w:t>
      </w:r>
    </w:p>
    <w:p w14:paraId="00DDD0CE">
      <w:pPr>
        <w:autoSpaceDE w:val="0"/>
        <w:autoSpaceDN w:val="0"/>
        <w:adjustRightInd w:val="0"/>
        <w:snapToGrid w:val="0"/>
        <w:spacing w:line="360" w:lineRule="auto"/>
        <w:rPr>
          <w:rFonts w:ascii="宋体" w:hAnsi="宋体"/>
          <w:bCs/>
          <w:color w:val="auto"/>
          <w:kern w:val="0"/>
          <w:sz w:val="20"/>
          <w:szCs w:val="20"/>
          <w:highlight w:val="none"/>
        </w:rPr>
      </w:pPr>
    </w:p>
    <w:p w14:paraId="0F25007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3" w:name="_Toc536796736"/>
      <w:bookmarkStart w:id="4" w:name="_Toc536797277"/>
      <w:bookmarkStart w:id="5" w:name="_Toc13210649"/>
      <w:bookmarkStart w:id="6" w:name="_Toc509218549"/>
      <w:bookmarkStart w:id="7" w:name="_Toc536621766"/>
      <w:r>
        <w:rPr>
          <w:rFonts w:hint="eastAsia" w:ascii="宋体" w:hAnsi="宋体"/>
          <w:bCs/>
          <w:color w:val="auto"/>
          <w:spacing w:val="8"/>
          <w:kern w:val="0"/>
          <w:sz w:val="28"/>
          <w:szCs w:val="28"/>
          <w:highlight w:val="none"/>
          <w:u w:val="single"/>
        </w:rPr>
        <w:t>2024</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9</w:t>
      </w:r>
      <w:r>
        <w:rPr>
          <w:rFonts w:ascii="宋体" w:hAnsi="宋体"/>
          <w:bCs/>
          <w:color w:val="auto"/>
          <w:spacing w:val="8"/>
          <w:kern w:val="0"/>
          <w:sz w:val="28"/>
          <w:szCs w:val="28"/>
          <w:highlight w:val="none"/>
        </w:rPr>
        <w:t>月</w:t>
      </w:r>
      <w:bookmarkEnd w:id="3"/>
      <w:bookmarkEnd w:id="4"/>
      <w:bookmarkEnd w:id="5"/>
      <w:bookmarkEnd w:id="6"/>
      <w:bookmarkEnd w:id="7"/>
    </w:p>
    <w:p w14:paraId="039A9025">
      <w:pPr>
        <w:pStyle w:val="2"/>
        <w:spacing w:line="360" w:lineRule="auto"/>
        <w:outlineLvl w:val="9"/>
        <w:rPr>
          <w:rFonts w:ascii="宋体" w:hAnsi="宋体"/>
          <w:color w:val="auto"/>
          <w:w w:val="99"/>
          <w:kern w:val="0"/>
          <w:sz w:val="24"/>
          <w:highlight w:val="none"/>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1CB3F356">
          <w:pPr>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11122E60">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p>
        <w:p w14:paraId="37058D6D">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_Toc26562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第一章  </w:t>
          </w:r>
          <w:r>
            <w:rPr>
              <w:rFonts w:hint="eastAsia" w:ascii="宋体" w:hAnsi="宋体"/>
              <w:snapToGrid w:val="0"/>
              <w:color w:val="auto"/>
              <w:kern w:val="0"/>
              <w:sz w:val="28"/>
              <w:szCs w:val="28"/>
              <w:highlight w:val="none"/>
              <w:lang w:val="en-US" w:eastAsia="zh-CN"/>
            </w:rPr>
            <w:t>比选</w:t>
          </w:r>
          <w:r>
            <w:rPr>
              <w:rFonts w:ascii="宋体" w:hAnsi="宋体"/>
              <w:snapToGrid w:val="0"/>
              <w:color w:val="auto"/>
              <w:kern w:val="0"/>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_Toc26562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宋体" w:hAnsi="宋体"/>
              <w:color w:val="auto"/>
              <w:sz w:val="28"/>
              <w:szCs w:val="28"/>
              <w:highlight w:val="none"/>
            </w:rPr>
            <w:fldChar w:fldCharType="end"/>
          </w:r>
        </w:p>
        <w:p w14:paraId="007AA98C">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_Toc1733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_Toc1733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color w:val="auto"/>
              <w:sz w:val="28"/>
              <w:szCs w:val="28"/>
              <w:highlight w:val="none"/>
            </w:rPr>
            <w:fldChar w:fldCharType="end"/>
          </w:r>
        </w:p>
        <w:p w14:paraId="1E9503C0">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_Toc26140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第三章 </w:t>
          </w:r>
          <w:r>
            <w:rPr>
              <w:rFonts w:hint="eastAsia" w:ascii="宋体" w:hAnsi="宋体"/>
              <w:snapToGrid w:val="0"/>
              <w:color w:val="auto"/>
              <w:kern w:val="0"/>
              <w:sz w:val="28"/>
              <w:szCs w:val="28"/>
              <w:highlight w:val="none"/>
            </w:rPr>
            <w:t xml:space="preserve"> </w:t>
          </w:r>
          <w:r>
            <w:rPr>
              <w:rFonts w:ascii="宋体" w:hAnsi="宋体"/>
              <w:snapToGrid w:val="0"/>
              <w:color w:val="auto"/>
              <w:kern w:val="0"/>
              <w:sz w:val="28"/>
              <w:szCs w:val="28"/>
              <w:highlight w:val="none"/>
            </w:rPr>
            <w:t>评标办法（</w:t>
          </w:r>
          <w:r>
            <w:rPr>
              <w:rFonts w:hint="eastAsia" w:ascii="宋体" w:hAnsi="宋体"/>
              <w:snapToGrid w:val="0"/>
              <w:color w:val="auto"/>
              <w:kern w:val="0"/>
              <w:sz w:val="28"/>
              <w:szCs w:val="28"/>
              <w:highlight w:val="none"/>
            </w:rPr>
            <w:t>经评审的最低投标价法</w:t>
          </w:r>
          <w:r>
            <w:rPr>
              <w:rFonts w:ascii="宋体" w:hAnsi="宋体"/>
              <w:snapToGrid w:val="0"/>
              <w:color w:val="auto"/>
              <w:kern w:val="0"/>
              <w:sz w:val="28"/>
              <w:szCs w:val="28"/>
              <w:highlight w:val="none"/>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_Toc26140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ascii="宋体" w:hAnsi="宋体"/>
              <w:color w:val="auto"/>
              <w:sz w:val="28"/>
              <w:szCs w:val="28"/>
              <w:highlight w:val="none"/>
            </w:rPr>
            <w:fldChar w:fldCharType="end"/>
          </w:r>
        </w:p>
        <w:p w14:paraId="564058C2">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_Toc20627 </w:instrText>
          </w:r>
          <w:r>
            <w:rPr>
              <w:rFonts w:ascii="宋体" w:hAnsi="宋体"/>
              <w:color w:val="auto"/>
              <w:sz w:val="28"/>
              <w:szCs w:val="28"/>
              <w:highlight w:val="none"/>
            </w:rPr>
            <w:fldChar w:fldCharType="separate"/>
          </w:r>
          <w:r>
            <w:rPr>
              <w:rFonts w:hint="eastAsia" w:ascii="宋体" w:hAnsi="宋体"/>
              <w:color w:val="auto"/>
              <w:kern w:val="0"/>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_Toc20627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ascii="宋体" w:hAnsi="宋体"/>
              <w:color w:val="auto"/>
              <w:sz w:val="28"/>
              <w:szCs w:val="28"/>
              <w:highlight w:val="none"/>
            </w:rPr>
            <w:fldChar w:fldCharType="end"/>
          </w:r>
        </w:p>
        <w:p w14:paraId="5B7247BE">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_Toc14759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第五章  发包人要求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_Toc14759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rFonts w:ascii="宋体" w:hAnsi="宋体"/>
              <w:color w:val="auto"/>
              <w:sz w:val="28"/>
              <w:szCs w:val="28"/>
              <w:highlight w:val="none"/>
            </w:rPr>
            <w:fldChar w:fldCharType="end"/>
          </w:r>
        </w:p>
        <w:p w14:paraId="639CDD3C">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_Toc30596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_Toc30596 \h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rFonts w:ascii="宋体" w:hAnsi="宋体"/>
              <w:color w:val="auto"/>
              <w:sz w:val="28"/>
              <w:szCs w:val="28"/>
              <w:highlight w:val="none"/>
            </w:rPr>
            <w:fldChar w:fldCharType="end"/>
          </w:r>
        </w:p>
        <w:p w14:paraId="0B5A1A4C">
          <w:pPr>
            <w:spacing w:line="480" w:lineRule="auto"/>
            <w:rPr>
              <w:rFonts w:ascii="宋体" w:hAnsi="宋体"/>
              <w:color w:val="auto"/>
              <w:highlight w:val="none"/>
            </w:rPr>
          </w:pPr>
          <w:r>
            <w:rPr>
              <w:rFonts w:ascii="宋体" w:hAnsi="宋体"/>
              <w:color w:val="auto"/>
              <w:sz w:val="32"/>
              <w:szCs w:val="40"/>
              <w:highlight w:val="none"/>
            </w:rPr>
            <w:fldChar w:fldCharType="end"/>
          </w:r>
        </w:p>
      </w:sdtContent>
    </w:sdt>
    <w:bookmarkEnd w:id="0"/>
    <w:p w14:paraId="08140768">
      <w:pPr>
        <w:spacing w:line="20" w:lineRule="exact"/>
        <w:rPr>
          <w:rFonts w:ascii="宋体" w:hAnsi="宋体"/>
          <w:color w:val="auto"/>
          <w:highlight w:val="none"/>
        </w:rPr>
      </w:pPr>
      <w:bookmarkStart w:id="8" w:name="_Toc430530414"/>
    </w:p>
    <w:p w14:paraId="29B27E8A">
      <w:pPr>
        <w:spacing w:line="20" w:lineRule="exact"/>
        <w:jc w:val="left"/>
        <w:rPr>
          <w:rFonts w:ascii="宋体" w:hAnsi="宋体"/>
          <w:color w:val="auto"/>
          <w:highlight w:val="none"/>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43071EA0">
      <w:pPr>
        <w:spacing w:line="360" w:lineRule="auto"/>
        <w:rPr>
          <w:rFonts w:ascii="宋体" w:hAnsi="宋体"/>
          <w:color w:val="auto"/>
          <w:highlight w:val="none"/>
        </w:rPr>
      </w:pPr>
    </w:p>
    <w:p w14:paraId="093B85E6">
      <w:pPr>
        <w:pStyle w:val="2"/>
        <w:spacing w:before="0" w:after="0" w:line="480" w:lineRule="auto"/>
        <w:jc w:val="center"/>
        <w:rPr>
          <w:rFonts w:ascii="宋体" w:hAnsi="宋体"/>
          <w:color w:val="auto"/>
          <w:sz w:val="52"/>
          <w:szCs w:val="52"/>
          <w:highlight w:val="none"/>
        </w:rPr>
      </w:pPr>
      <w:bookmarkStart w:id="9" w:name="_Toc509218690"/>
      <w:bookmarkStart w:id="10" w:name="_Toc9815"/>
      <w:bookmarkStart w:id="11" w:name="_Toc32060"/>
      <w:r>
        <w:rPr>
          <w:rFonts w:hint="eastAsia" w:ascii="宋体" w:hAnsi="宋体"/>
          <w:color w:val="auto"/>
          <w:sz w:val="52"/>
          <w:szCs w:val="52"/>
          <w:highlight w:val="none"/>
        </w:rPr>
        <w:t>第 一 卷</w:t>
      </w:r>
      <w:bookmarkEnd w:id="9"/>
      <w:bookmarkEnd w:id="10"/>
      <w:bookmarkEnd w:id="11"/>
    </w:p>
    <w:p w14:paraId="006BE0AD">
      <w:pPr>
        <w:spacing w:line="200" w:lineRule="exact"/>
        <w:rPr>
          <w:rFonts w:ascii="宋体" w:hAnsi="宋体"/>
          <w:color w:val="auto"/>
          <w:highlight w:val="none"/>
        </w:rPr>
      </w:pPr>
      <w:r>
        <w:rPr>
          <w:rFonts w:ascii="宋体" w:hAnsi="宋体"/>
          <w:color w:val="auto"/>
          <w:highlight w:val="none"/>
        </w:rPr>
        <w:br w:type="page"/>
      </w:r>
    </w:p>
    <w:p w14:paraId="0CCE9C58">
      <w:pPr>
        <w:pStyle w:val="2"/>
        <w:spacing w:line="360" w:lineRule="auto"/>
        <w:jc w:val="center"/>
        <w:rPr>
          <w:rFonts w:ascii="宋体" w:hAnsi="宋体"/>
          <w:snapToGrid w:val="0"/>
          <w:color w:val="auto"/>
          <w:kern w:val="0"/>
          <w:highlight w:val="none"/>
        </w:rPr>
      </w:pPr>
      <w:bookmarkStart w:id="12" w:name="_Toc509218691"/>
      <w:bookmarkStart w:id="13" w:name="_Toc277082535"/>
      <w:bookmarkStart w:id="14" w:name="_Toc25965"/>
      <w:bookmarkStart w:id="15" w:name="_Toc287607727"/>
      <w:bookmarkStart w:id="16" w:name="_Toc287620666"/>
      <w:bookmarkStart w:id="17" w:name="_Toc430530415"/>
      <w:bookmarkStart w:id="18" w:name="_Toc224103298"/>
      <w:bookmarkStart w:id="19" w:name="_Toc26562"/>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w:t>
      </w:r>
      <w:r>
        <w:rPr>
          <w:rFonts w:ascii="宋体" w:hAnsi="宋体"/>
          <w:snapToGrid w:val="0"/>
          <w:color w:val="auto"/>
          <w:kern w:val="0"/>
          <w:highlight w:val="none"/>
        </w:rPr>
        <w:t>公告</w:t>
      </w:r>
      <w:bookmarkEnd w:id="12"/>
      <w:bookmarkEnd w:id="13"/>
      <w:bookmarkEnd w:id="14"/>
      <w:bookmarkEnd w:id="15"/>
      <w:bookmarkEnd w:id="16"/>
      <w:bookmarkEnd w:id="17"/>
      <w:bookmarkEnd w:id="18"/>
      <w:bookmarkEnd w:id="19"/>
    </w:p>
    <w:p w14:paraId="73852285">
      <w:pPr>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0" w:name="_Toc20918"/>
      <w:r>
        <w:rPr>
          <w:rFonts w:hint="eastAsia" w:ascii="宋体"/>
          <w:b/>
          <w:color w:val="auto"/>
          <w:kern w:val="10"/>
          <w:sz w:val="28"/>
          <w:szCs w:val="28"/>
          <w:highlight w:val="none"/>
          <w:lang w:eastAsia="zh-CN"/>
        </w:rPr>
        <w:t>重庆高速公路集团有限公司集采中心2024年度水泥</w:t>
      </w:r>
      <w:r>
        <w:rPr>
          <w:rFonts w:hint="eastAsia" w:ascii="宋体"/>
          <w:b/>
          <w:color w:val="auto"/>
          <w:kern w:val="10"/>
          <w:sz w:val="28"/>
          <w:szCs w:val="28"/>
          <w:highlight w:val="none"/>
          <w:lang w:val="en-US" w:eastAsia="zh-CN"/>
        </w:rPr>
        <w:t>集中</w:t>
      </w:r>
      <w:r>
        <w:rPr>
          <w:rFonts w:hint="eastAsia" w:ascii="宋体"/>
          <w:b/>
          <w:color w:val="auto"/>
          <w:kern w:val="10"/>
          <w:sz w:val="28"/>
          <w:szCs w:val="28"/>
          <w:highlight w:val="none"/>
          <w:lang w:eastAsia="zh-CN"/>
        </w:rPr>
        <w:t>采购</w:t>
      </w:r>
    </w:p>
    <w:p w14:paraId="3363E9AD">
      <w:pPr>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lang w:val="en-US" w:eastAsia="zh-CN"/>
        </w:rPr>
        <w:t>比选</w:t>
      </w:r>
      <w:r>
        <w:rPr>
          <w:rFonts w:ascii="宋体" w:hAnsi="宋体"/>
          <w:b/>
          <w:bCs/>
          <w:snapToGrid w:val="0"/>
          <w:color w:val="auto"/>
          <w:w w:val="99"/>
          <w:kern w:val="0"/>
          <w:sz w:val="28"/>
          <w:szCs w:val="28"/>
          <w:highlight w:val="none"/>
        </w:rPr>
        <w:t>公告</w:t>
      </w:r>
      <w:bookmarkEnd w:id="20"/>
    </w:p>
    <w:p w14:paraId="0807F22B">
      <w:pPr>
        <w:pStyle w:val="3"/>
        <w:spacing w:before="100" w:after="100" w:line="460" w:lineRule="exact"/>
        <w:rPr>
          <w:rFonts w:ascii="宋体" w:hAnsi="宋体"/>
          <w:snapToGrid w:val="0"/>
          <w:color w:val="auto"/>
          <w:sz w:val="28"/>
          <w:szCs w:val="28"/>
          <w:highlight w:val="none"/>
        </w:rPr>
      </w:pPr>
      <w:bookmarkStart w:id="21" w:name="_Toc277082536"/>
      <w:bookmarkStart w:id="22" w:name="_Toc200359238"/>
      <w:bookmarkStart w:id="23" w:name="_Toc224103299"/>
      <w:bookmarkStart w:id="24" w:name="_Toc287620667"/>
      <w:bookmarkStart w:id="25" w:name="_Toc509218692"/>
      <w:bookmarkStart w:id="26" w:name="_Toc2350"/>
      <w:bookmarkStart w:id="27" w:name="_Toc430530416"/>
      <w:bookmarkStart w:id="28" w:name="_Toc287607728"/>
      <w:bookmarkStart w:id="29"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条件</w:t>
      </w:r>
      <w:bookmarkEnd w:id="21"/>
      <w:bookmarkEnd w:id="22"/>
      <w:bookmarkEnd w:id="23"/>
      <w:bookmarkEnd w:id="24"/>
      <w:bookmarkEnd w:id="25"/>
      <w:bookmarkEnd w:id="26"/>
      <w:bookmarkEnd w:id="27"/>
      <w:bookmarkEnd w:id="28"/>
      <w:bookmarkEnd w:id="29"/>
    </w:p>
    <w:p w14:paraId="71D3C3A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重庆高速公路集团有限公司集采中心2024年度水泥</w:t>
      </w:r>
      <w:r>
        <w:rPr>
          <w:rFonts w:hint="eastAsia" w:ascii="宋体" w:hAnsi="宋体"/>
          <w:snapToGrid w:val="0"/>
          <w:color w:val="auto"/>
          <w:kern w:val="0"/>
          <w:szCs w:val="21"/>
          <w:highlight w:val="none"/>
          <w:u w:val="single"/>
          <w:lang w:val="en-US" w:eastAsia="zh-CN"/>
        </w:rPr>
        <w:t>集中</w:t>
      </w:r>
      <w:r>
        <w:rPr>
          <w:rFonts w:hint="eastAsia" w:ascii="宋体" w:hAnsi="宋体"/>
          <w:snapToGrid w:val="0"/>
          <w:color w:val="auto"/>
          <w:kern w:val="0"/>
          <w:szCs w:val="21"/>
          <w:highlight w:val="none"/>
          <w:u w:val="single"/>
          <w:lang w:eastAsia="zh-CN"/>
        </w:rPr>
        <w:t>采购</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人为</w:t>
      </w:r>
      <w:r>
        <w:rPr>
          <w:rFonts w:hint="eastAsia" w:ascii="宋体" w:hAnsi="宋体"/>
          <w:snapToGrid w:val="0"/>
          <w:color w:val="auto"/>
          <w:kern w:val="0"/>
          <w:szCs w:val="21"/>
          <w:highlight w:val="none"/>
          <w:u w:val="single"/>
          <w:lang w:eastAsia="zh-CN"/>
        </w:rPr>
        <w:t>重庆高速资产经营管理有限公司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5B8CBC94">
      <w:pPr>
        <w:pStyle w:val="3"/>
        <w:spacing w:before="100" w:after="100" w:line="460" w:lineRule="exact"/>
        <w:rPr>
          <w:rFonts w:ascii="宋体" w:hAnsi="宋体"/>
          <w:snapToGrid w:val="0"/>
          <w:color w:val="auto"/>
          <w:sz w:val="28"/>
          <w:szCs w:val="28"/>
          <w:highlight w:val="none"/>
        </w:rPr>
      </w:pPr>
      <w:bookmarkStart w:id="30" w:name="_Toc17146"/>
      <w:bookmarkStart w:id="31" w:name="_Toc277082537"/>
      <w:bookmarkStart w:id="32" w:name="_Toc200359428"/>
      <w:bookmarkStart w:id="33" w:name="_Toc287607729"/>
      <w:bookmarkStart w:id="34" w:name="_Toc509218693"/>
      <w:bookmarkStart w:id="35" w:name="_Toc430530417"/>
      <w:bookmarkStart w:id="36" w:name="_Toc224103300"/>
      <w:bookmarkStart w:id="37" w:name="_Toc200359239"/>
      <w:bookmarkStart w:id="38"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30"/>
      <w:bookmarkEnd w:id="31"/>
      <w:bookmarkEnd w:id="32"/>
      <w:bookmarkEnd w:id="33"/>
      <w:bookmarkEnd w:id="34"/>
      <w:bookmarkEnd w:id="35"/>
      <w:bookmarkEnd w:id="36"/>
      <w:bookmarkEnd w:id="37"/>
      <w:bookmarkEnd w:id="38"/>
    </w:p>
    <w:p w14:paraId="50AF313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 xml:space="preserve"> </w:t>
      </w:r>
    </w:p>
    <w:p w14:paraId="29FCA6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此次比选涉及重庆市梁平区一环路南段(S204 大井水厂至桂东大桥改线段)新建工程项目、G渝赤（水）叙（永）高速公路（重庆段）4标。</w:t>
      </w:r>
    </w:p>
    <w:p w14:paraId="1863216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2.3 本次</w:t>
      </w:r>
      <w:r>
        <w:rPr>
          <w:rFonts w:hint="eastAsia" w:ascii="宋体" w:hAnsi="宋体" w:cs="Times New Roman"/>
          <w:snapToGrid w:val="0"/>
          <w:color w:val="auto"/>
          <w:kern w:val="0"/>
          <w:szCs w:val="21"/>
          <w:highlight w:val="none"/>
          <w:lang w:eastAsia="zh-CN"/>
        </w:rPr>
        <w:t>比选</w:t>
      </w:r>
      <w:r>
        <w:rPr>
          <w:rFonts w:hint="eastAsia" w:ascii="宋体" w:hAnsi="宋体" w:eastAsia="宋体" w:cs="Times New Roman"/>
          <w:snapToGrid w:val="0"/>
          <w:color w:val="auto"/>
          <w:kern w:val="0"/>
          <w:szCs w:val="21"/>
          <w:highlight w:val="none"/>
        </w:rPr>
        <w:t xml:space="preserve">项目合同估算金额：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eastAsia="宋体" w:cs="宋体"/>
          <w:i w:val="0"/>
          <w:iCs w:val="0"/>
          <w:color w:val="auto"/>
          <w:kern w:val="0"/>
          <w:sz w:val="21"/>
          <w:szCs w:val="21"/>
          <w:highlight w:val="none"/>
          <w:u w:val="single"/>
          <w:lang w:val="en-US" w:eastAsia="zh-CN" w:bidi="ar"/>
        </w:rPr>
        <w:t>3703</w:t>
      </w:r>
      <w:r>
        <w:rPr>
          <w:rFonts w:hint="eastAsia" w:ascii="宋体" w:hAnsi="宋体" w:cs="宋体"/>
          <w:i w:val="0"/>
          <w:iCs w:val="0"/>
          <w:color w:val="auto"/>
          <w:kern w:val="0"/>
          <w:sz w:val="20"/>
          <w:szCs w:val="20"/>
          <w:highlight w:val="none"/>
          <w:u w:val="single"/>
          <w:lang w:val="en-US" w:eastAsia="zh-CN" w:bidi="ar"/>
        </w:rPr>
        <w:t>万</w:t>
      </w:r>
      <w:r>
        <w:rPr>
          <w:rFonts w:hint="eastAsia" w:ascii="宋体" w:hAnsi="宋体" w:eastAsia="宋体" w:cs="宋体"/>
          <w:i w:val="0"/>
          <w:iCs w:val="0"/>
          <w:caps w:val="0"/>
          <w:color w:val="auto"/>
          <w:spacing w:val="0"/>
          <w:sz w:val="21"/>
          <w:szCs w:val="21"/>
          <w:highlight w:val="none"/>
          <w:u w:val="single"/>
          <w:shd w:val="clear" w:fill="FFFFFF"/>
        </w:rPr>
        <w:t xml:space="preserve">元 </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1F9031F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eastAsia="zh-CN"/>
        </w:rPr>
        <w:t>比选</w:t>
      </w:r>
      <w:r>
        <w:rPr>
          <w:rFonts w:hint="eastAsia" w:ascii="宋体" w:hAnsi="宋体" w:eastAsia="宋体" w:cs="Times New Roman"/>
          <w:snapToGrid w:val="0"/>
          <w:color w:val="auto"/>
          <w:kern w:val="0"/>
          <w:szCs w:val="21"/>
          <w:highlight w:val="none"/>
        </w:rPr>
        <w:t>范围：</w:t>
      </w:r>
    </w:p>
    <w:tbl>
      <w:tblPr>
        <w:tblStyle w:val="50"/>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272"/>
        <w:gridCol w:w="1712"/>
        <w:gridCol w:w="1433"/>
        <w:gridCol w:w="2446"/>
        <w:gridCol w:w="2024"/>
      </w:tblGrid>
      <w:tr w14:paraId="1217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DF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5B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19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需求物资</w:t>
            </w:r>
          </w:p>
        </w:tc>
        <w:tc>
          <w:tcPr>
            <w:tcW w:w="74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B71B9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暂估量（吨）</w:t>
            </w:r>
          </w:p>
        </w:tc>
        <w:tc>
          <w:tcPr>
            <w:tcW w:w="126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1D45D05">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交货地点</w:t>
            </w:r>
          </w:p>
        </w:tc>
        <w:tc>
          <w:tcPr>
            <w:tcW w:w="104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178E4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供货周期</w:t>
            </w:r>
          </w:p>
        </w:tc>
      </w:tr>
      <w:tr w14:paraId="2D80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5A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CC8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一环路南段项目</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1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1BFF0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39015.72</w:t>
            </w:r>
          </w:p>
        </w:tc>
        <w:tc>
          <w:tcPr>
            <w:tcW w:w="1264" w:type="pct"/>
            <w:tcBorders>
              <w:top w:val="single" w:color="000000" w:sz="4" w:space="0"/>
              <w:left w:val="single" w:color="auto" w:sz="4" w:space="0"/>
              <w:bottom w:val="single" w:color="000000" w:sz="4" w:space="0"/>
              <w:right w:val="single" w:color="auto" w:sz="4" w:space="0"/>
            </w:tcBorders>
            <w:shd w:val="clear" w:color="auto" w:fill="auto"/>
            <w:vAlign w:val="center"/>
          </w:tcPr>
          <w:p w14:paraId="0729FA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梁平区铁门乡余家梁搅拌站</w:t>
            </w:r>
          </w:p>
        </w:tc>
        <w:tc>
          <w:tcPr>
            <w:tcW w:w="1046" w:type="pct"/>
            <w:vMerge w:val="restart"/>
            <w:tcBorders>
              <w:left w:val="single" w:color="auto" w:sz="4" w:space="0"/>
              <w:right w:val="single" w:color="000000" w:sz="4" w:space="0"/>
            </w:tcBorders>
            <w:shd w:val="clear" w:color="auto" w:fill="auto"/>
            <w:vAlign w:val="center"/>
          </w:tcPr>
          <w:p w14:paraId="7A95AC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合同签订之日起至 项目竣工之日止</w:t>
            </w:r>
          </w:p>
        </w:tc>
      </w:tr>
      <w:tr w14:paraId="1CA6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D89B">
            <w:pPr>
              <w:jc w:val="center"/>
              <w:rPr>
                <w:rFonts w:hint="eastAsia" w:ascii="宋体" w:hAnsi="宋体" w:eastAsia="宋体" w:cs="宋体"/>
                <w:i w:val="0"/>
                <w:iCs w:val="0"/>
                <w:color w:val="auto"/>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01AC">
            <w:pPr>
              <w:jc w:val="center"/>
              <w:rPr>
                <w:rFonts w:hint="eastAsia" w:ascii="宋体" w:hAnsi="宋体" w:eastAsia="宋体" w:cs="宋体"/>
                <w:i w:val="0"/>
                <w:iCs w:val="0"/>
                <w:color w:val="auto"/>
                <w:sz w:val="21"/>
                <w:szCs w:val="21"/>
                <w:highlight w:val="none"/>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D3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5F46C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4616.48</w:t>
            </w:r>
          </w:p>
        </w:tc>
        <w:tc>
          <w:tcPr>
            <w:tcW w:w="1264" w:type="pct"/>
            <w:tcBorders>
              <w:top w:val="single" w:color="000000" w:sz="4" w:space="0"/>
              <w:left w:val="single" w:color="auto" w:sz="4" w:space="0"/>
              <w:bottom w:val="single" w:color="000000" w:sz="4" w:space="0"/>
              <w:right w:val="single" w:color="auto" w:sz="4" w:space="0"/>
            </w:tcBorders>
            <w:shd w:val="clear" w:color="auto" w:fill="auto"/>
            <w:vAlign w:val="center"/>
          </w:tcPr>
          <w:p w14:paraId="45E7CD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梁平区白沙村一组附近</w:t>
            </w:r>
          </w:p>
        </w:tc>
        <w:tc>
          <w:tcPr>
            <w:tcW w:w="1046" w:type="pct"/>
            <w:vMerge w:val="continue"/>
            <w:tcBorders>
              <w:left w:val="single" w:color="auto" w:sz="4" w:space="0"/>
              <w:right w:val="single" w:color="000000" w:sz="4" w:space="0"/>
            </w:tcBorders>
            <w:shd w:val="clear" w:color="auto" w:fill="auto"/>
            <w:vAlign w:val="center"/>
          </w:tcPr>
          <w:p w14:paraId="5F1E20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91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DE75">
            <w:pPr>
              <w:jc w:val="center"/>
              <w:rPr>
                <w:rFonts w:hint="eastAsia" w:ascii="宋体" w:hAnsi="宋体" w:eastAsia="宋体" w:cs="宋体"/>
                <w:i w:val="0"/>
                <w:iCs w:val="0"/>
                <w:color w:val="auto"/>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1A46">
            <w:pPr>
              <w:jc w:val="center"/>
              <w:rPr>
                <w:rFonts w:hint="eastAsia" w:ascii="宋体" w:hAnsi="宋体" w:eastAsia="宋体" w:cs="宋体"/>
                <w:i w:val="0"/>
                <w:iCs w:val="0"/>
                <w:color w:val="auto"/>
                <w:sz w:val="21"/>
                <w:szCs w:val="21"/>
                <w:highlight w:val="none"/>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AF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P.O42.5袋装水泥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560C29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3516.85</w:t>
            </w:r>
          </w:p>
        </w:tc>
        <w:tc>
          <w:tcPr>
            <w:tcW w:w="1264" w:type="pct"/>
            <w:tcBorders>
              <w:top w:val="single" w:color="000000" w:sz="4" w:space="0"/>
              <w:left w:val="single" w:color="auto" w:sz="4" w:space="0"/>
              <w:bottom w:val="single" w:color="000000" w:sz="4" w:space="0"/>
              <w:right w:val="single" w:color="auto" w:sz="4" w:space="0"/>
            </w:tcBorders>
            <w:shd w:val="clear" w:color="auto" w:fill="auto"/>
            <w:vAlign w:val="center"/>
          </w:tcPr>
          <w:p w14:paraId="551606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梁平区土桥村村民委员会附近</w:t>
            </w:r>
          </w:p>
        </w:tc>
        <w:tc>
          <w:tcPr>
            <w:tcW w:w="1046" w:type="pct"/>
            <w:vMerge w:val="continue"/>
            <w:tcBorders>
              <w:left w:val="single" w:color="auto" w:sz="4" w:space="0"/>
              <w:right w:val="single" w:color="000000" w:sz="4" w:space="0"/>
            </w:tcBorders>
            <w:shd w:val="clear" w:color="auto" w:fill="auto"/>
            <w:vAlign w:val="center"/>
          </w:tcPr>
          <w:p w14:paraId="7A1CAD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CE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BB73">
            <w:pPr>
              <w:jc w:val="center"/>
              <w:rPr>
                <w:rFonts w:hint="eastAsia" w:ascii="宋体" w:hAnsi="宋体" w:eastAsia="宋体" w:cs="宋体"/>
                <w:i w:val="0"/>
                <w:iCs w:val="0"/>
                <w:color w:val="auto"/>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260A">
            <w:pPr>
              <w:jc w:val="center"/>
              <w:rPr>
                <w:rFonts w:hint="eastAsia" w:ascii="宋体" w:hAnsi="宋体" w:eastAsia="宋体" w:cs="宋体"/>
                <w:i w:val="0"/>
                <w:iCs w:val="0"/>
                <w:color w:val="auto"/>
                <w:sz w:val="21"/>
                <w:szCs w:val="21"/>
                <w:highlight w:val="none"/>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9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P.O52.5散装水泥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6E0AB3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4263.17</w:t>
            </w:r>
          </w:p>
        </w:tc>
        <w:tc>
          <w:tcPr>
            <w:tcW w:w="1264" w:type="pct"/>
            <w:tcBorders>
              <w:top w:val="single" w:color="000000" w:sz="4" w:space="0"/>
              <w:left w:val="single" w:color="auto" w:sz="4" w:space="0"/>
              <w:bottom w:val="single" w:color="000000" w:sz="4" w:space="0"/>
              <w:right w:val="single" w:color="auto" w:sz="4" w:space="0"/>
            </w:tcBorders>
            <w:shd w:val="clear" w:color="auto" w:fill="auto"/>
            <w:vAlign w:val="center"/>
          </w:tcPr>
          <w:p w14:paraId="5422C3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梁平区铁门乡余家梁搅拌站</w:t>
            </w:r>
          </w:p>
        </w:tc>
        <w:tc>
          <w:tcPr>
            <w:tcW w:w="1046" w:type="pct"/>
            <w:vMerge w:val="continue"/>
            <w:tcBorders>
              <w:left w:val="single" w:color="auto" w:sz="4" w:space="0"/>
              <w:right w:val="single" w:color="000000" w:sz="4" w:space="0"/>
            </w:tcBorders>
            <w:shd w:val="clear" w:color="auto" w:fill="auto"/>
            <w:vAlign w:val="center"/>
          </w:tcPr>
          <w:p w14:paraId="41A4C4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61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F6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渝赤叙4标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top"/>
          </w:tcPr>
          <w:p w14:paraId="153C52B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P052.5散装水泥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6859C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40216.5</w:t>
            </w:r>
          </w:p>
        </w:tc>
        <w:tc>
          <w:tcPr>
            <w:tcW w:w="1264" w:type="pct"/>
            <w:vMerge w:val="restart"/>
            <w:tcBorders>
              <w:top w:val="single" w:color="000000" w:sz="4" w:space="0"/>
              <w:left w:val="single" w:color="auto" w:sz="4" w:space="0"/>
              <w:right w:val="single" w:color="auto" w:sz="4" w:space="0"/>
            </w:tcBorders>
            <w:shd w:val="clear" w:color="auto" w:fill="auto"/>
            <w:vAlign w:val="center"/>
          </w:tcPr>
          <w:p w14:paraId="1C3700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江津区蔡家镇、嘉平镇</w:t>
            </w:r>
          </w:p>
        </w:tc>
        <w:tc>
          <w:tcPr>
            <w:tcW w:w="1046" w:type="pct"/>
            <w:vMerge w:val="continue"/>
            <w:tcBorders>
              <w:left w:val="single" w:color="auto" w:sz="4" w:space="0"/>
              <w:right w:val="single" w:color="000000" w:sz="4" w:space="0"/>
            </w:tcBorders>
            <w:shd w:val="clear" w:color="auto" w:fill="auto"/>
            <w:vAlign w:val="center"/>
          </w:tcPr>
          <w:p w14:paraId="14FA52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1B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EA1F">
            <w:pPr>
              <w:jc w:val="center"/>
              <w:rPr>
                <w:rFonts w:hint="eastAsia" w:ascii="宋体" w:hAnsi="宋体" w:eastAsia="宋体" w:cs="宋体"/>
                <w:i w:val="0"/>
                <w:iCs w:val="0"/>
                <w:color w:val="auto"/>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6998">
            <w:pPr>
              <w:jc w:val="center"/>
              <w:rPr>
                <w:rFonts w:hint="eastAsia" w:ascii="宋体" w:hAnsi="宋体" w:eastAsia="宋体" w:cs="宋体"/>
                <w:i w:val="0"/>
                <w:iCs w:val="0"/>
                <w:color w:val="auto"/>
                <w:sz w:val="21"/>
                <w:szCs w:val="21"/>
                <w:highlight w:val="none"/>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top"/>
          </w:tcPr>
          <w:p w14:paraId="5A5DE90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P052.5(低碱)散装水泥</w:t>
            </w:r>
          </w:p>
        </w:tc>
        <w:tc>
          <w:tcPr>
            <w:tcW w:w="741" w:type="pct"/>
            <w:tcBorders>
              <w:top w:val="single" w:color="000000" w:sz="4" w:space="0"/>
              <w:left w:val="single" w:color="000000" w:sz="4" w:space="0"/>
              <w:bottom w:val="single" w:color="000000" w:sz="4" w:space="0"/>
              <w:right w:val="single" w:color="auto" w:sz="4" w:space="0"/>
            </w:tcBorders>
            <w:shd w:val="clear" w:color="auto" w:fill="auto"/>
            <w:vAlign w:val="center"/>
          </w:tcPr>
          <w:p w14:paraId="757686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4468.5</w:t>
            </w:r>
          </w:p>
        </w:tc>
        <w:tc>
          <w:tcPr>
            <w:tcW w:w="1264" w:type="pct"/>
            <w:vMerge w:val="continue"/>
            <w:tcBorders>
              <w:left w:val="single" w:color="auto" w:sz="4" w:space="0"/>
              <w:bottom w:val="single" w:color="000000" w:sz="4" w:space="0"/>
              <w:right w:val="single" w:color="auto" w:sz="4" w:space="0"/>
            </w:tcBorders>
            <w:shd w:val="clear" w:color="auto" w:fill="auto"/>
            <w:vAlign w:val="center"/>
          </w:tcPr>
          <w:p w14:paraId="204227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46" w:type="pct"/>
            <w:vMerge w:val="continue"/>
            <w:tcBorders>
              <w:left w:val="single" w:color="auto" w:sz="4" w:space="0"/>
              <w:bottom w:val="single" w:color="000000" w:sz="4" w:space="0"/>
              <w:right w:val="single" w:color="000000" w:sz="4" w:space="0"/>
            </w:tcBorders>
            <w:shd w:val="clear" w:color="auto" w:fill="auto"/>
            <w:vAlign w:val="center"/>
          </w:tcPr>
          <w:p w14:paraId="7E384B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71CD9E9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2.5 </w:t>
      </w:r>
      <w:bookmarkStart w:id="39" w:name="_Hlk64626254"/>
      <w:r>
        <w:rPr>
          <w:rFonts w:hint="eastAsia"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合同签订之日起至项目竣工之日止</w:t>
      </w:r>
      <w:r>
        <w:rPr>
          <w:rFonts w:hint="eastAsia" w:ascii="宋体" w:hAnsi="宋体" w:eastAsia="宋体" w:cs="宋体"/>
          <w:i w:val="0"/>
          <w:iCs w:val="0"/>
          <w:caps w:val="0"/>
          <w:color w:val="auto"/>
          <w:spacing w:val="0"/>
          <w:sz w:val="21"/>
          <w:szCs w:val="21"/>
          <w:highlight w:val="none"/>
          <w:u w:val="single"/>
          <w:shd w:val="clear" w:fill="FFFFFF"/>
          <w:lang w:val="en-US" w:eastAsia="zh-CN"/>
        </w:rPr>
        <w:t>。</w:t>
      </w:r>
    </w:p>
    <w:bookmarkEnd w:id="39"/>
    <w:p w14:paraId="76B0B3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2.6 </w:t>
      </w:r>
      <w:r>
        <w:rPr>
          <w:rFonts w:hint="eastAsia" w:ascii="宋体" w:hAnsi="宋体"/>
          <w:snapToGrid w:val="0"/>
          <w:color w:val="auto"/>
          <w:kern w:val="0"/>
          <w:szCs w:val="21"/>
          <w:highlight w:val="none"/>
          <w:lang w:val="en-US" w:eastAsia="zh-CN"/>
        </w:rPr>
        <w:t>包件</w:t>
      </w:r>
      <w:r>
        <w:rPr>
          <w:rFonts w:hint="eastAsia" w:ascii="宋体" w:hAnsi="宋体"/>
          <w:snapToGrid w:val="0"/>
          <w:color w:val="auto"/>
          <w:kern w:val="0"/>
          <w:szCs w:val="21"/>
          <w:highlight w:val="none"/>
        </w:rPr>
        <w:t>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1个</w:t>
      </w:r>
      <w:r>
        <w:rPr>
          <w:rFonts w:hint="eastAsia" w:ascii="宋体" w:hAnsi="宋体"/>
          <w:snapToGrid w:val="0"/>
          <w:color w:val="auto"/>
          <w:kern w:val="0"/>
          <w:szCs w:val="21"/>
          <w:highlight w:val="none"/>
          <w:u w:val="single"/>
        </w:rPr>
        <w:t xml:space="preserve">    </w:t>
      </w:r>
    </w:p>
    <w:p w14:paraId="25FBFBBD">
      <w:pPr>
        <w:pStyle w:val="3"/>
        <w:spacing w:before="100" w:after="100" w:line="460" w:lineRule="exact"/>
        <w:rPr>
          <w:rFonts w:ascii="宋体" w:hAnsi="宋体"/>
          <w:snapToGrid w:val="0"/>
          <w:color w:val="auto"/>
          <w:sz w:val="28"/>
          <w:szCs w:val="28"/>
          <w:highlight w:val="none"/>
        </w:rPr>
      </w:pPr>
      <w:bookmarkStart w:id="40" w:name="_Toc277082538"/>
      <w:bookmarkStart w:id="41" w:name="_Toc287607730"/>
      <w:bookmarkStart w:id="42" w:name="_Toc224103301"/>
      <w:bookmarkStart w:id="43" w:name="_Toc430530418"/>
      <w:bookmarkStart w:id="44" w:name="_Toc13670"/>
      <w:bookmarkStart w:id="45" w:name="_Toc287620669"/>
      <w:bookmarkStart w:id="46" w:name="_Toc200359240"/>
      <w:bookmarkStart w:id="47" w:name="_Toc509218694"/>
      <w:bookmarkStart w:id="48"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p>
    <w:p w14:paraId="763B0BD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6955874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4708FC99">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投标人须</w:t>
      </w:r>
      <w:r>
        <w:rPr>
          <w:rFonts w:hint="eastAsia" w:ascii="宋体" w:hAnsi="宋体"/>
          <w:snapToGrid w:val="0"/>
          <w:color w:val="auto"/>
          <w:kern w:val="0"/>
          <w:szCs w:val="21"/>
          <w:highlight w:val="none"/>
          <w:u w:val="single"/>
          <w:lang w:val="en-US" w:eastAsia="zh-CN"/>
        </w:rPr>
        <w:t>为重庆高速公路集团有限公司内部具有</w:t>
      </w:r>
      <w:r>
        <w:rPr>
          <w:rFonts w:hint="eastAsia" w:ascii="宋体" w:hAnsi="宋体"/>
          <w:color w:val="auto"/>
          <w:szCs w:val="21"/>
          <w:highlight w:val="none"/>
          <w:u w:val="single"/>
          <w:shd w:val="clear" w:color="auto" w:fill="FFFFFF"/>
        </w:rPr>
        <w:t>独立法人资格</w:t>
      </w:r>
      <w:r>
        <w:rPr>
          <w:rFonts w:hint="eastAsia" w:ascii="宋体" w:hAnsi="宋体"/>
          <w:snapToGrid w:val="0"/>
          <w:color w:val="auto"/>
          <w:kern w:val="0"/>
          <w:szCs w:val="21"/>
          <w:highlight w:val="none"/>
          <w:u w:val="single"/>
          <w:lang w:val="en-US" w:eastAsia="zh-CN"/>
        </w:rPr>
        <w:t>物资供应类企业，</w:t>
      </w:r>
      <w:r>
        <w:rPr>
          <w:rFonts w:hint="eastAsia" w:ascii="宋体" w:hAnsi="宋体"/>
          <w:color w:val="auto"/>
          <w:szCs w:val="21"/>
          <w:highlight w:val="none"/>
          <w:u w:val="single"/>
          <w:shd w:val="clear" w:color="auto" w:fill="FFFFFF"/>
        </w:rPr>
        <w:t>持有</w:t>
      </w:r>
      <w:r>
        <w:rPr>
          <w:rFonts w:ascii="宋体" w:hAnsi="宋体"/>
          <w:color w:val="auto"/>
          <w:szCs w:val="21"/>
          <w:highlight w:val="none"/>
          <w:u w:val="single"/>
        </w:rPr>
        <w:t>有效营业执照</w:t>
      </w:r>
      <w:r>
        <w:rPr>
          <w:rFonts w:hint="eastAsia" w:ascii="宋体" w:hAnsi="宋体"/>
          <w:snapToGrid w:val="0"/>
          <w:color w:val="auto"/>
          <w:kern w:val="0"/>
          <w:szCs w:val="21"/>
          <w:highlight w:val="none"/>
          <w:u w:val="single"/>
          <w:lang w:val="en-US" w:eastAsia="zh-CN"/>
        </w:rPr>
        <w:t>。或</w:t>
      </w:r>
      <w:r>
        <w:rPr>
          <w:rFonts w:hint="eastAsia" w:ascii="宋体" w:hAnsi="宋体"/>
          <w:snapToGrid w:val="0"/>
          <w:color w:val="auto"/>
          <w:kern w:val="0"/>
          <w:szCs w:val="21"/>
          <w:highlight w:val="none"/>
          <w:u w:val="single"/>
        </w:rPr>
        <w:t>具备独立法人资格，具备有效的营业执照的</w:t>
      </w:r>
      <w:r>
        <w:rPr>
          <w:rFonts w:hint="eastAsia" w:ascii="宋体" w:hAnsi="宋体"/>
          <w:snapToGrid w:val="0"/>
          <w:color w:val="auto"/>
          <w:kern w:val="0"/>
          <w:szCs w:val="21"/>
          <w:highlight w:val="none"/>
          <w:u w:val="single"/>
          <w:lang w:val="en-US" w:eastAsia="zh-CN"/>
        </w:rPr>
        <w:t>水泥</w:t>
      </w:r>
      <w:r>
        <w:rPr>
          <w:rFonts w:hint="eastAsia" w:ascii="宋体" w:hAnsi="宋体"/>
          <w:snapToGrid w:val="0"/>
          <w:color w:val="auto"/>
          <w:kern w:val="0"/>
          <w:szCs w:val="21"/>
          <w:highlight w:val="none"/>
          <w:u w:val="single"/>
        </w:rPr>
        <w:t>生产厂商</w:t>
      </w:r>
      <w:r>
        <w:rPr>
          <w:rFonts w:hint="eastAsia" w:ascii="宋体" w:hAnsi="宋体"/>
          <w:snapToGrid w:val="0"/>
          <w:color w:val="auto"/>
          <w:kern w:val="0"/>
          <w:szCs w:val="21"/>
          <w:highlight w:val="none"/>
          <w:u w:val="single"/>
          <w:lang w:val="en-US" w:eastAsia="zh-CN"/>
        </w:rPr>
        <w:t>。</w:t>
      </w:r>
    </w:p>
    <w:p w14:paraId="0C26C1BE">
      <w:pPr>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snapToGrid w:val="0"/>
          <w:color w:val="auto"/>
          <w:kern w:val="0"/>
          <w:szCs w:val="21"/>
          <w:highlight w:val="none"/>
          <w:u w:val="single"/>
          <w:lang w:val="en-US" w:eastAsia="zh-CN"/>
        </w:rPr>
        <w:t>（2）保供能力要求：</w:t>
      </w:r>
      <w:r>
        <w:rPr>
          <w:rFonts w:hint="eastAsia" w:ascii="宋体" w:hAnsi="宋体"/>
          <w:snapToGrid w:val="0"/>
          <w:color w:val="auto"/>
          <w:kern w:val="0"/>
          <w:szCs w:val="21"/>
          <w:highlight w:val="none"/>
          <w:u w:val="single"/>
        </w:rPr>
        <w:t>投标人对本项目实际特点和地理位置情况编制保供方案</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其中要求</w:t>
      </w:r>
      <w:r>
        <w:rPr>
          <w:rFonts w:hint="eastAsia" w:ascii="宋体" w:hAnsi="宋体"/>
          <w:snapToGrid w:val="0"/>
          <w:color w:val="auto"/>
          <w:kern w:val="0"/>
          <w:szCs w:val="21"/>
          <w:highlight w:val="none"/>
          <w:u w:val="single"/>
          <w:lang w:val="en-US" w:eastAsia="zh-CN"/>
        </w:rPr>
        <w:t>对船运能力保障计划、码头协调等方面编制具体方案，要求保供方案有针对性、可操作性。</w:t>
      </w:r>
    </w:p>
    <w:p w14:paraId="13CF96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财务能力要求：</w:t>
      </w:r>
      <w:r>
        <w:rPr>
          <w:rFonts w:hint="eastAsia" w:ascii="宋体" w:hAnsi="宋体"/>
          <w:snapToGrid w:val="0"/>
          <w:color w:val="auto"/>
          <w:kern w:val="0"/>
          <w:szCs w:val="21"/>
          <w:highlight w:val="none"/>
          <w:u w:val="single"/>
          <w:lang w:val="en-US" w:eastAsia="zh-CN"/>
        </w:rPr>
        <w:t>2022-2023年连续两年不亏损且近2年营业收入年均不少于2亿元（含）人民币以上</w:t>
      </w:r>
      <w:r>
        <w:rPr>
          <w:rFonts w:hint="eastAsia" w:ascii="宋体" w:hAnsi="宋体"/>
          <w:snapToGrid w:val="0"/>
          <w:color w:val="auto"/>
          <w:kern w:val="0"/>
          <w:szCs w:val="21"/>
          <w:highlight w:val="none"/>
          <w:u w:val="single"/>
        </w:rPr>
        <w:t>。</w:t>
      </w:r>
    </w:p>
    <w:p w14:paraId="3EBBBB2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供货业绩要求：201</w:t>
      </w:r>
      <w:r>
        <w:rPr>
          <w:rFonts w:hint="eastAsia" w:ascii="宋体" w:hAnsi="宋体"/>
          <w:snapToGrid w:val="0"/>
          <w:color w:val="auto"/>
          <w:kern w:val="0"/>
          <w:szCs w:val="21"/>
          <w:highlight w:val="none"/>
          <w:u w:val="single"/>
          <w:lang w:val="en-US" w:eastAsia="zh-CN"/>
        </w:rPr>
        <w:t>9</w:t>
      </w:r>
      <w:r>
        <w:rPr>
          <w:rFonts w:hint="eastAsia" w:ascii="宋体" w:hAnsi="宋体"/>
          <w:snapToGrid w:val="0"/>
          <w:color w:val="auto"/>
          <w:kern w:val="0"/>
          <w:szCs w:val="21"/>
          <w:highlight w:val="none"/>
          <w:u w:val="single"/>
        </w:rPr>
        <w:t>年1月1日至投标截止日止（以合同签订时间为准），投标人具有</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个及以上的</w:t>
      </w:r>
      <w:r>
        <w:rPr>
          <w:rFonts w:hint="eastAsia" w:ascii="宋体" w:hAnsi="宋体"/>
          <w:snapToGrid w:val="0"/>
          <w:color w:val="auto"/>
          <w:kern w:val="0"/>
          <w:szCs w:val="21"/>
          <w:highlight w:val="none"/>
          <w:u w:val="single"/>
          <w:lang w:val="en-US" w:eastAsia="zh-CN"/>
        </w:rPr>
        <w:t>工程项目水泥销售</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且单个</w:t>
      </w:r>
      <w:r>
        <w:rPr>
          <w:rFonts w:hint="eastAsia" w:ascii="宋体" w:hAnsi="宋体"/>
          <w:snapToGrid w:val="0"/>
          <w:color w:val="auto"/>
          <w:kern w:val="0"/>
          <w:szCs w:val="21"/>
          <w:highlight w:val="none"/>
          <w:u w:val="single"/>
        </w:rPr>
        <w:t>合同供货量不低于</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万吨。</w:t>
      </w:r>
    </w:p>
    <w:p w14:paraId="012F4A5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投标人还应在</w:t>
      </w:r>
      <w:r>
        <w:rPr>
          <w:rFonts w:hint="eastAsia" w:ascii="宋体" w:hAnsi="宋体"/>
          <w:snapToGrid w:val="0"/>
          <w:color w:val="auto"/>
          <w:kern w:val="0"/>
          <w:szCs w:val="21"/>
          <w:highlight w:val="none"/>
          <w:lang w:val="en-US" w:eastAsia="zh-CN"/>
        </w:rPr>
        <w:t>其他</w:t>
      </w:r>
      <w:r>
        <w:rPr>
          <w:rFonts w:hint="eastAsia" w:ascii="宋体" w:hAnsi="宋体"/>
          <w:snapToGrid w:val="0"/>
          <w:color w:val="auto"/>
          <w:kern w:val="0"/>
          <w:szCs w:val="21"/>
          <w:highlight w:val="none"/>
        </w:rPr>
        <w:t>方面具有相应的能力，详见</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文件第二章投标人须知前附表第1.4.1项内容。</w:t>
      </w:r>
    </w:p>
    <w:p w14:paraId="05DBA91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本</w:t>
      </w:r>
      <w:r>
        <w:rPr>
          <w:rFonts w:ascii="宋体" w:hAnsi="宋体"/>
          <w:snapToGrid w:val="0"/>
          <w:color w:val="auto"/>
          <w:kern w:val="0"/>
          <w:szCs w:val="21"/>
          <w:highlight w:val="none"/>
        </w:rPr>
        <w:t>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p>
    <w:p w14:paraId="0B5C3A71">
      <w:pPr>
        <w:pStyle w:val="3"/>
        <w:spacing w:before="100" w:after="100" w:line="460" w:lineRule="exact"/>
        <w:rPr>
          <w:rFonts w:ascii="宋体" w:hAnsi="宋体"/>
          <w:snapToGrid w:val="0"/>
          <w:color w:val="auto"/>
          <w:sz w:val="28"/>
          <w:szCs w:val="28"/>
          <w:highlight w:val="none"/>
        </w:rPr>
      </w:pPr>
      <w:bookmarkStart w:id="49" w:name="_Toc200359241"/>
      <w:bookmarkStart w:id="50" w:name="_Toc287620670"/>
      <w:bookmarkStart w:id="51" w:name="_Toc32099"/>
      <w:bookmarkStart w:id="52" w:name="_Toc224103302"/>
      <w:bookmarkStart w:id="53" w:name="_Toc509218695"/>
      <w:bookmarkStart w:id="54" w:name="_Toc200359430"/>
      <w:bookmarkStart w:id="55" w:name="_Toc277082539"/>
      <w:bookmarkStart w:id="56" w:name="_Toc287607731"/>
      <w:bookmarkStart w:id="57" w:name="_Toc430530419"/>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文件的获取</w:t>
      </w:r>
      <w:bookmarkEnd w:id="49"/>
      <w:bookmarkEnd w:id="50"/>
      <w:bookmarkEnd w:id="51"/>
      <w:bookmarkEnd w:id="52"/>
      <w:bookmarkEnd w:id="53"/>
      <w:bookmarkEnd w:id="54"/>
      <w:bookmarkEnd w:id="55"/>
      <w:bookmarkEnd w:id="56"/>
      <w:bookmarkEnd w:id="57"/>
    </w:p>
    <w:p w14:paraId="3C35AB5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从2024年</w:t>
      </w:r>
      <w:r>
        <w:rPr>
          <w:rFonts w:hint="eastAsia" w:ascii="宋体" w:hAnsi="宋体" w:cs="Times New Roman"/>
          <w:snapToGrid w:val="0"/>
          <w:color w:val="auto"/>
          <w:kern w:val="0"/>
          <w:szCs w:val="21"/>
          <w:highlight w:val="none"/>
          <w:u w:val="single"/>
          <w:lang w:val="en-US" w:eastAsia="zh-CN"/>
        </w:rPr>
        <w:t>9</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日到2024年</w:t>
      </w:r>
      <w:r>
        <w:rPr>
          <w:rFonts w:hint="eastAsia" w:ascii="宋体" w:hAnsi="宋体" w:cs="Times New Roman"/>
          <w:snapToGrid w:val="0"/>
          <w:color w:val="auto"/>
          <w:kern w:val="0"/>
          <w:szCs w:val="21"/>
          <w:highlight w:val="none"/>
          <w:u w:val="single"/>
          <w:lang w:val="en-US" w:eastAsia="zh-CN"/>
        </w:rPr>
        <w:t>10</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12</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9</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6C6B2F8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79E28DD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请投标人在投标截止日之前可在重庆高速集团物资采购平台（http://113.250.85.222:8090/express-purchase-portal/index）下载</w:t>
      </w:r>
      <w:r>
        <w:rPr>
          <w:rFonts w:hint="eastAsia" w:ascii="宋体" w:hAnsi="宋体" w:cs="Times New Roman"/>
          <w:i w:val="0"/>
          <w:iCs w:val="0"/>
          <w:caps w:val="0"/>
          <w:snapToGrid w:val="0"/>
          <w:color w:val="auto"/>
          <w:spacing w:val="0"/>
          <w:kern w:val="0"/>
          <w:sz w:val="21"/>
          <w:szCs w:val="21"/>
          <w:highlight w:val="none"/>
          <w:lang w:eastAsia="zh-CN"/>
        </w:rPr>
        <w:t>比选</w:t>
      </w:r>
      <w:r>
        <w:rPr>
          <w:rFonts w:hint="eastAsia" w:ascii="宋体" w:hAnsi="宋体" w:eastAsia="宋体" w:cs="Times New Roman"/>
          <w:i w:val="0"/>
          <w:iCs w:val="0"/>
          <w:caps w:val="0"/>
          <w:snapToGrid w:val="0"/>
          <w:color w:val="auto"/>
          <w:spacing w:val="0"/>
          <w:kern w:val="0"/>
          <w:sz w:val="21"/>
          <w:szCs w:val="21"/>
          <w:highlight w:val="none"/>
        </w:rPr>
        <w:t>文件、清单、澄清、修改、补充通知、最高限价通知等全部内容。参与本次</w:t>
      </w:r>
      <w:r>
        <w:rPr>
          <w:rFonts w:hint="eastAsia" w:ascii="宋体" w:hAnsi="宋体" w:cs="Times New Roman"/>
          <w:i w:val="0"/>
          <w:iCs w:val="0"/>
          <w:caps w:val="0"/>
          <w:snapToGrid w:val="0"/>
          <w:color w:val="auto"/>
          <w:spacing w:val="0"/>
          <w:kern w:val="0"/>
          <w:sz w:val="21"/>
          <w:szCs w:val="21"/>
          <w:highlight w:val="none"/>
          <w:lang w:eastAsia="zh-CN"/>
        </w:rPr>
        <w:t>比选</w:t>
      </w:r>
      <w:r>
        <w:rPr>
          <w:rFonts w:hint="eastAsia" w:ascii="宋体" w:hAnsi="宋体" w:eastAsia="宋体" w:cs="Times New Roman"/>
          <w:i w:val="0"/>
          <w:iCs w:val="0"/>
          <w:caps w:val="0"/>
          <w:snapToGrid w:val="0"/>
          <w:color w:val="auto"/>
          <w:spacing w:val="0"/>
          <w:kern w:val="0"/>
          <w:sz w:val="21"/>
          <w:szCs w:val="21"/>
          <w:highlight w:val="none"/>
        </w:rPr>
        <w:t>的投标人需在重庆高速集团物资采购平台（http://113.250.85.222:8090/express-purchase-portal/index）完成临时供应商注册。若投标人未及时完成临时供应商注册导致无法完成电子报价的，责任自负。</w:t>
      </w:r>
    </w:p>
    <w:p w14:paraId="4857AE10">
      <w:pPr>
        <w:pStyle w:val="3"/>
        <w:spacing w:before="100" w:after="100" w:line="460" w:lineRule="exact"/>
        <w:rPr>
          <w:rFonts w:ascii="宋体" w:hAnsi="宋体"/>
          <w:snapToGrid w:val="0"/>
          <w:color w:val="auto"/>
          <w:sz w:val="28"/>
          <w:szCs w:val="28"/>
          <w:highlight w:val="none"/>
        </w:rPr>
      </w:pPr>
      <w:bookmarkStart w:id="58" w:name="_Toc200359242"/>
      <w:bookmarkStart w:id="59" w:name="_Toc287620671"/>
      <w:bookmarkStart w:id="60" w:name="_Toc287607732"/>
      <w:bookmarkStart w:id="61" w:name="_Toc430530420"/>
      <w:bookmarkStart w:id="62" w:name="_Toc200359431"/>
      <w:bookmarkStart w:id="63" w:name="_Toc277082540"/>
      <w:bookmarkStart w:id="64" w:name="_Toc509218696"/>
      <w:bookmarkStart w:id="65" w:name="_Toc2973"/>
      <w:bookmarkStart w:id="66" w:name="_Toc224103303"/>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8"/>
      <w:bookmarkEnd w:id="59"/>
      <w:bookmarkEnd w:id="60"/>
      <w:bookmarkEnd w:id="61"/>
      <w:bookmarkEnd w:id="62"/>
      <w:bookmarkEnd w:id="63"/>
      <w:bookmarkEnd w:id="64"/>
      <w:bookmarkEnd w:id="65"/>
      <w:bookmarkEnd w:id="66"/>
    </w:p>
    <w:p w14:paraId="20144D28">
      <w:pPr>
        <w:spacing w:line="360" w:lineRule="auto"/>
        <w:ind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5.1投标文件递交：</w:t>
      </w:r>
      <w:r>
        <w:rPr>
          <w:rFonts w:hint="eastAsia" w:ascii="宋体" w:hAnsi="宋体" w:eastAsia="宋体" w:cs="宋体"/>
          <w:color w:val="auto"/>
          <w:sz w:val="20"/>
          <w:szCs w:val="20"/>
          <w:highlight w:val="none"/>
          <w:u w:val="single"/>
          <w:lang w:val="en-US" w:eastAsia="zh-CN"/>
        </w:rPr>
        <w:t>本次</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采用</w:t>
      </w:r>
      <w:r>
        <w:rPr>
          <w:rFonts w:hint="eastAsia" w:ascii="宋体" w:hAnsi="宋体" w:eastAsia="宋体" w:cs="宋体"/>
          <w:b/>
          <w:bCs/>
          <w:color w:val="auto"/>
          <w:sz w:val="20"/>
          <w:szCs w:val="20"/>
          <w:highlight w:val="none"/>
          <w:u w:val="single"/>
          <w:lang w:val="en-US" w:eastAsia="zh-CN"/>
        </w:rPr>
        <w:t>线上线下同步的方式进行</w:t>
      </w:r>
      <w:r>
        <w:rPr>
          <w:rFonts w:hint="eastAsia" w:ascii="宋体" w:hAnsi="宋体" w:eastAsia="宋体" w:cs="宋体"/>
          <w:color w:val="auto"/>
          <w:sz w:val="20"/>
          <w:szCs w:val="20"/>
          <w:highlight w:val="none"/>
          <w:u w:val="single"/>
          <w:lang w:val="en-US" w:eastAsia="zh-CN"/>
        </w:rPr>
        <w:t>。</w:t>
      </w:r>
    </w:p>
    <w:p w14:paraId="4D61F064">
      <w:pPr>
        <w:spacing w:line="360" w:lineRule="auto"/>
        <w:ind w:firstLine="402" w:firstLineChars="200"/>
        <w:rPr>
          <w:rFonts w:hint="eastAsia" w:ascii="宋体" w:hAnsi="宋体" w:eastAsia="宋体" w:cs="宋体"/>
          <w:color w:val="auto"/>
          <w:sz w:val="20"/>
          <w:szCs w:val="20"/>
          <w:highlight w:val="none"/>
          <w:u w:val="single"/>
          <w:lang w:val="en-US" w:eastAsia="zh-CN"/>
        </w:rPr>
      </w:pPr>
      <w:r>
        <w:rPr>
          <w:rFonts w:hint="eastAsia" w:ascii="宋体" w:hAnsi="宋体" w:eastAsia="宋体" w:cs="宋体"/>
          <w:b/>
          <w:bCs/>
          <w:color w:val="auto"/>
          <w:sz w:val="20"/>
          <w:szCs w:val="20"/>
          <w:highlight w:val="none"/>
          <w:u w:val="single"/>
          <w:lang w:val="en-US" w:eastAsia="zh-CN"/>
        </w:rPr>
        <w:t>线上</w:t>
      </w:r>
      <w:r>
        <w:rPr>
          <w:rFonts w:hint="eastAsia" w:ascii="宋体" w:hAnsi="宋体" w:cs="宋体"/>
          <w:b/>
          <w:bCs/>
          <w:color w:val="auto"/>
          <w:sz w:val="20"/>
          <w:szCs w:val="20"/>
          <w:highlight w:val="none"/>
          <w:u w:val="single"/>
          <w:lang w:val="en-US" w:eastAsia="zh-CN"/>
        </w:rPr>
        <w:t>投标</w:t>
      </w:r>
      <w:r>
        <w:rPr>
          <w:rFonts w:hint="eastAsia" w:ascii="宋体" w:hAnsi="宋体" w:eastAsia="宋体" w:cs="宋体"/>
          <w:b/>
          <w:bCs/>
          <w:color w:val="auto"/>
          <w:sz w:val="20"/>
          <w:szCs w:val="20"/>
          <w:highlight w:val="none"/>
          <w:u w:val="single"/>
          <w:lang w:val="en-US" w:eastAsia="zh-CN"/>
        </w:rPr>
        <w:t>：</w:t>
      </w:r>
      <w:r>
        <w:rPr>
          <w:rFonts w:hint="eastAsia" w:ascii="宋体" w:hAnsi="宋体" w:cs="宋体"/>
          <w:color w:val="auto"/>
          <w:sz w:val="20"/>
          <w:szCs w:val="20"/>
          <w:highlight w:val="none"/>
          <w:u w:val="single"/>
          <w:lang w:val="en-US" w:eastAsia="zh-CN"/>
        </w:rPr>
        <w:t>投标人</w:t>
      </w:r>
      <w:r>
        <w:rPr>
          <w:rFonts w:hint="eastAsia" w:ascii="宋体" w:hAnsi="宋体" w:eastAsia="宋体" w:cs="宋体"/>
          <w:color w:val="auto"/>
          <w:sz w:val="20"/>
          <w:szCs w:val="20"/>
          <w:highlight w:val="none"/>
          <w:u w:val="single"/>
          <w:lang w:val="en-US" w:eastAsia="zh-CN"/>
        </w:rPr>
        <w:t>应当在投标截止时间前，通过临时供应商账号在重庆高速集团物资采购平台（http://113.250.85.222:8099/merchants/login?redirect=%2F）上进行报价并将</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文件扫描件上传至该平台。</w:t>
      </w:r>
    </w:p>
    <w:p w14:paraId="3DCA8E90">
      <w:pPr>
        <w:spacing w:line="360" w:lineRule="auto"/>
        <w:ind w:firstLine="402" w:firstLineChars="200"/>
        <w:rPr>
          <w:rFonts w:hint="eastAsia" w:ascii="宋体" w:hAnsi="宋体" w:eastAsia="宋体" w:cs="宋体"/>
          <w:color w:val="auto"/>
          <w:sz w:val="20"/>
          <w:szCs w:val="20"/>
          <w:highlight w:val="none"/>
          <w:u w:val="single"/>
          <w:lang w:val="en-US" w:eastAsia="zh-CN"/>
        </w:rPr>
      </w:pPr>
      <w:r>
        <w:rPr>
          <w:rFonts w:hint="eastAsia" w:ascii="宋体" w:hAnsi="宋体" w:eastAsia="宋体" w:cs="宋体"/>
          <w:b/>
          <w:bCs/>
          <w:color w:val="auto"/>
          <w:sz w:val="20"/>
          <w:szCs w:val="20"/>
          <w:highlight w:val="none"/>
          <w:u w:val="single"/>
          <w:lang w:val="en-US" w:eastAsia="zh-CN"/>
        </w:rPr>
        <w:t>线下</w:t>
      </w:r>
      <w:r>
        <w:rPr>
          <w:rFonts w:hint="eastAsia" w:ascii="宋体" w:hAnsi="宋体" w:cs="宋体"/>
          <w:b/>
          <w:bCs/>
          <w:color w:val="auto"/>
          <w:sz w:val="20"/>
          <w:szCs w:val="20"/>
          <w:highlight w:val="none"/>
          <w:u w:val="single"/>
          <w:lang w:val="en-US" w:eastAsia="zh-CN"/>
        </w:rPr>
        <w:t>投标</w:t>
      </w:r>
      <w:r>
        <w:rPr>
          <w:rFonts w:hint="eastAsia" w:ascii="宋体" w:hAnsi="宋体" w:eastAsia="宋体" w:cs="宋体"/>
          <w:b/>
          <w:bCs/>
          <w:color w:val="auto"/>
          <w:sz w:val="20"/>
          <w:szCs w:val="20"/>
          <w:highlight w:val="none"/>
          <w:u w:val="single"/>
          <w:lang w:val="en-US" w:eastAsia="zh-CN"/>
        </w:rPr>
        <w:t>：</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人应当在投标截止时间前，将纸质版</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文件递交至</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逾期送达，或未送达指定地点，或未密封的</w:t>
      </w:r>
      <w:r>
        <w:rPr>
          <w:rFonts w:hint="eastAsia" w:ascii="宋体" w:hAnsi="宋体" w:eastAsia="宋体" w:cs="宋体"/>
          <w:color w:val="auto"/>
          <w:sz w:val="20"/>
          <w:szCs w:val="20"/>
          <w:highlight w:val="none"/>
          <w:u w:val="single"/>
          <w:lang w:eastAsia="zh-CN"/>
        </w:rPr>
        <w:t>竞选</w:t>
      </w:r>
      <w:r>
        <w:rPr>
          <w:rFonts w:hint="eastAsia" w:ascii="宋体" w:hAnsi="宋体" w:eastAsia="宋体" w:cs="宋体"/>
          <w:color w:val="auto"/>
          <w:sz w:val="20"/>
          <w:szCs w:val="20"/>
          <w:highlight w:val="none"/>
          <w:u w:val="single"/>
        </w:rPr>
        <w:t>文件，</w:t>
      </w:r>
      <w:r>
        <w:rPr>
          <w:rFonts w:hint="eastAsia" w:ascii="宋体" w:hAnsi="宋体" w:eastAsia="宋体" w:cs="宋体"/>
          <w:color w:val="auto"/>
          <w:sz w:val="20"/>
          <w:szCs w:val="20"/>
          <w:highlight w:val="none"/>
          <w:u w:val="single"/>
          <w:lang w:eastAsia="zh-CN"/>
        </w:rPr>
        <w:t>比选</w:t>
      </w:r>
      <w:r>
        <w:rPr>
          <w:rFonts w:hint="eastAsia" w:ascii="宋体" w:hAnsi="宋体" w:eastAsia="宋体" w:cs="宋体"/>
          <w:color w:val="auto"/>
          <w:sz w:val="20"/>
          <w:szCs w:val="20"/>
          <w:highlight w:val="none"/>
          <w:u w:val="single"/>
        </w:rPr>
        <w:t>人不予受理。</w:t>
      </w:r>
    </w:p>
    <w:p w14:paraId="209D5E20">
      <w:pPr>
        <w:spacing w:line="360" w:lineRule="auto"/>
        <w:ind w:firstLine="400" w:firstLineChars="200"/>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lang w:val="en-US" w:eastAsia="zh-CN"/>
        </w:rPr>
        <w:t>5.2</w:t>
      </w:r>
      <w:r>
        <w:rPr>
          <w:rFonts w:hint="eastAsia" w:ascii="宋体" w:hAnsi="宋体" w:eastAsia="宋体" w:cs="宋体"/>
          <w:color w:val="auto"/>
          <w:sz w:val="20"/>
          <w:szCs w:val="20"/>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0"/>
          <w:szCs w:val="20"/>
          <w:highlight w:val="none"/>
          <w:u w:val="single"/>
          <w:lang w:eastAsia="zh-CN"/>
        </w:rPr>
        <w:t>）</w:t>
      </w:r>
    </w:p>
    <w:p w14:paraId="0B709500">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5.3</w:t>
      </w:r>
      <w:r>
        <w:rPr>
          <w:rFonts w:hint="eastAsia" w:ascii="宋体" w:hAnsi="宋体" w:eastAsia="宋体" w:cs="宋体"/>
          <w:color w:val="auto"/>
          <w:sz w:val="20"/>
          <w:szCs w:val="20"/>
          <w:highlight w:val="none"/>
        </w:rPr>
        <w:t xml:space="preserve"> </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lang w:val="en-US" w:eastAsia="zh-CN"/>
        </w:rPr>
        <w:t>文件</w:t>
      </w:r>
      <w:r>
        <w:rPr>
          <w:rFonts w:hint="eastAsia" w:ascii="宋体" w:hAnsi="宋体" w:eastAsia="宋体" w:cs="宋体"/>
          <w:color w:val="auto"/>
          <w:sz w:val="20"/>
          <w:szCs w:val="20"/>
          <w:highlight w:val="none"/>
        </w:rPr>
        <w:t>递交截止时间：</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12</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p>
    <w:p w14:paraId="67BD477E">
      <w:pPr>
        <w:autoSpaceDE w:val="0"/>
        <w:autoSpaceDN w:val="0"/>
        <w:adjustRightInd w:val="0"/>
        <w:snapToGrid w:val="0"/>
        <w:spacing w:line="450" w:lineRule="exact"/>
        <w:ind w:firstLine="400" w:firstLineChars="200"/>
        <w:rPr>
          <w:rFonts w:hint="eastAsia" w:ascii="宋体" w:hAnsi="宋体"/>
          <w:snapToGrid w:val="0"/>
          <w:color w:val="auto"/>
          <w:kern w:val="0"/>
          <w:szCs w:val="21"/>
          <w:highlight w:val="none"/>
        </w:rPr>
      </w:pPr>
      <w:r>
        <w:rPr>
          <w:rFonts w:hint="eastAsia" w:ascii="宋体" w:hAnsi="宋体" w:eastAsia="宋体" w:cs="宋体"/>
          <w:color w:val="auto"/>
          <w:sz w:val="20"/>
          <w:szCs w:val="20"/>
          <w:highlight w:val="none"/>
          <w:lang w:val="en-US" w:eastAsia="zh-CN"/>
        </w:rPr>
        <w:t>5.4</w:t>
      </w:r>
      <w:r>
        <w:rPr>
          <w:rFonts w:hint="eastAsia" w:ascii="宋体" w:hAnsi="宋体" w:eastAsia="宋体" w:cs="宋体"/>
          <w:color w:val="auto"/>
          <w:sz w:val="20"/>
          <w:szCs w:val="20"/>
          <w:highlight w:val="none"/>
        </w:rPr>
        <w:t>递交</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rPr>
        <w:t>文件的时间为</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12</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00</w:t>
      </w:r>
      <w:r>
        <w:rPr>
          <w:rFonts w:hint="eastAsia" w:ascii="宋体" w:hAnsi="宋体" w:eastAsia="宋体" w:cs="宋体"/>
          <w:color w:val="auto"/>
          <w:sz w:val="20"/>
          <w:szCs w:val="20"/>
          <w:highlight w:val="none"/>
          <w:u w:val="single"/>
        </w:rPr>
        <w:t>分至2024年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12</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r>
        <w:rPr>
          <w:rFonts w:hint="eastAsia" w:ascii="宋体" w:hAnsi="宋体" w:cs="宋体"/>
          <w:color w:val="auto"/>
          <w:sz w:val="20"/>
          <w:szCs w:val="20"/>
          <w:highlight w:val="none"/>
          <w:u w:val="single"/>
          <w:lang w:eastAsia="zh-CN"/>
        </w:rPr>
        <w:t>。</w:t>
      </w:r>
    </w:p>
    <w:p w14:paraId="34FAC773">
      <w:pPr>
        <w:pStyle w:val="3"/>
        <w:spacing w:before="100" w:after="100" w:line="460" w:lineRule="exact"/>
        <w:rPr>
          <w:rFonts w:ascii="宋体" w:hAnsi="宋体"/>
          <w:snapToGrid w:val="0"/>
          <w:color w:val="auto"/>
          <w:sz w:val="28"/>
          <w:szCs w:val="28"/>
          <w:highlight w:val="none"/>
        </w:rPr>
      </w:pPr>
      <w:bookmarkStart w:id="67" w:name="_Toc287607733"/>
      <w:bookmarkStart w:id="68" w:name="_Toc509218697"/>
      <w:bookmarkStart w:id="69" w:name="_Toc287620672"/>
      <w:bookmarkStart w:id="70" w:name="_Toc200359243"/>
      <w:bookmarkStart w:id="71" w:name="_Toc8848"/>
      <w:bookmarkStart w:id="72" w:name="_Toc200359432"/>
      <w:bookmarkStart w:id="73" w:name="_Toc277082541"/>
      <w:bookmarkStart w:id="74" w:name="_Toc224103304"/>
      <w:bookmarkStart w:id="75" w:name="_Toc430530421"/>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p>
    <w:p w14:paraId="61925032">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公告同时在</w:t>
      </w:r>
      <w:r>
        <w:rPr>
          <w:rFonts w:hint="eastAsia" w:ascii="宋体" w:hAnsi="宋体"/>
          <w:snapToGrid w:val="0"/>
          <w:color w:val="auto"/>
          <w:kern w:val="0"/>
          <w:szCs w:val="21"/>
          <w:highlight w:val="none"/>
        </w:rPr>
        <w:t>重庆高速公路集团有限公司官方网站（http://www.cegc.com.cn/）及重庆高速集团物资采购平台</w:t>
      </w:r>
      <w:r>
        <w:rPr>
          <w:rFonts w:hint="eastAsia" w:ascii="宋体" w:hAnsi="宋体"/>
          <w:snapToGrid w:val="0"/>
          <w:color w:val="auto"/>
          <w:kern w:val="0"/>
          <w:szCs w:val="21"/>
          <w:highlight w:val="none"/>
          <w:lang w:eastAsia="zh-CN"/>
        </w:rPr>
        <w:t>（http://113.250.85.222:8099/merchants/login?redirect=%2F）</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color w:val="auto"/>
          <w:spacing w:val="-57"/>
          <w:sz w:val="20"/>
          <w:szCs w:val="20"/>
          <w:highlight w:val="none"/>
          <w:u w:val="single" w:color="auto"/>
        </w:rPr>
        <w:t xml:space="preserve"> </w:t>
      </w:r>
      <w:r>
        <w:rPr>
          <w:rFonts w:ascii="宋体" w:hAnsi="宋体"/>
          <w:snapToGrid w:val="0"/>
          <w:color w:val="auto"/>
          <w:kern w:val="0"/>
          <w:szCs w:val="21"/>
          <w:highlight w:val="none"/>
        </w:rPr>
        <w:t>上发布。</w:t>
      </w:r>
    </w:p>
    <w:p w14:paraId="25DF724D">
      <w:pPr>
        <w:pStyle w:val="3"/>
        <w:spacing w:before="100" w:after="100" w:line="460" w:lineRule="exact"/>
        <w:rPr>
          <w:rFonts w:ascii="宋体" w:hAnsi="宋体"/>
          <w:snapToGrid w:val="0"/>
          <w:color w:val="auto"/>
          <w:sz w:val="28"/>
          <w:szCs w:val="28"/>
          <w:highlight w:val="none"/>
        </w:rPr>
      </w:pPr>
      <w:bookmarkStart w:id="76" w:name="_Toc224103305"/>
      <w:bookmarkStart w:id="77" w:name="_Toc287607734"/>
      <w:bookmarkStart w:id="78" w:name="_Toc430530422"/>
      <w:bookmarkStart w:id="79" w:name="_Toc277082542"/>
      <w:bookmarkStart w:id="80" w:name="_Toc287620673"/>
      <w:bookmarkStart w:id="81" w:name="_Toc31809"/>
      <w:bookmarkStart w:id="82" w:name="_Toc50921869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6"/>
      <w:bookmarkEnd w:id="77"/>
      <w:bookmarkEnd w:id="78"/>
      <w:bookmarkEnd w:id="79"/>
      <w:bookmarkEnd w:id="80"/>
      <w:bookmarkEnd w:id="81"/>
      <w:bookmarkEnd w:id="82"/>
    </w:p>
    <w:p w14:paraId="6DB74DB5">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重庆高速资产经营管理有限公司</w:t>
      </w:r>
    </w:p>
    <w:p w14:paraId="0F55A196">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6095FD11">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丁老师</w:t>
      </w:r>
    </w:p>
    <w:p w14:paraId="7DE90D01">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p w14:paraId="38A4C5ED">
      <w:pPr>
        <w:pStyle w:val="18"/>
        <w:rPr>
          <w:color w:val="auto"/>
          <w:highlight w:val="none"/>
        </w:rPr>
      </w:pPr>
    </w:p>
    <w:p w14:paraId="1F386262">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代理机构：重庆国际投资咨询集团有限公司</w:t>
      </w:r>
    </w:p>
    <w:p w14:paraId="35361726">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1131FEFA">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联系人：谭老师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李老师</w:t>
      </w:r>
    </w:p>
    <w:p w14:paraId="7D9E0CEF">
      <w:pPr>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4DB89488">
      <w:pPr>
        <w:pStyle w:val="18"/>
        <w:rPr>
          <w:snapToGrid w:val="0"/>
          <w:color w:val="auto"/>
          <w:highlight w:val="none"/>
        </w:rPr>
      </w:pPr>
      <w:r>
        <w:rPr>
          <w:snapToGrid w:val="0"/>
          <w:color w:val="auto"/>
          <w:highlight w:val="none"/>
        </w:rPr>
        <w:br w:type="page"/>
      </w:r>
    </w:p>
    <w:p w14:paraId="01B1A0BA">
      <w:pPr>
        <w:pStyle w:val="2"/>
        <w:spacing w:line="360" w:lineRule="auto"/>
        <w:jc w:val="center"/>
        <w:rPr>
          <w:rFonts w:ascii="宋体" w:hAnsi="宋体"/>
          <w:bCs w:val="0"/>
          <w:snapToGrid w:val="0"/>
          <w:color w:val="auto"/>
          <w:kern w:val="0"/>
          <w:highlight w:val="none"/>
        </w:rPr>
      </w:pPr>
      <w:bookmarkStart w:id="83" w:name="_Toc1733"/>
      <w:bookmarkStart w:id="84" w:name="_Toc430530432"/>
      <w:bookmarkStart w:id="85" w:name="_Toc287607744"/>
      <w:bookmarkStart w:id="86" w:name="_Toc10561"/>
      <w:bookmarkStart w:id="87" w:name="_Toc287620683"/>
      <w:bookmarkStart w:id="88" w:name="_Toc224103315"/>
      <w:r>
        <w:rPr>
          <w:rFonts w:ascii="宋体" w:hAnsi="宋体"/>
          <w:snapToGrid w:val="0"/>
          <w:color w:val="auto"/>
          <w:kern w:val="0"/>
          <w:highlight w:val="none"/>
        </w:rPr>
        <w:t>第二章  投标人须知</w:t>
      </w:r>
      <w:bookmarkEnd w:id="83"/>
      <w:bookmarkEnd w:id="84"/>
      <w:bookmarkEnd w:id="85"/>
      <w:bookmarkEnd w:id="86"/>
      <w:bookmarkEnd w:id="87"/>
      <w:bookmarkEnd w:id="88"/>
      <w:bookmarkStart w:id="89" w:name="_Toc277082551"/>
      <w:bookmarkStart w:id="90" w:name="_Toc224103316"/>
      <w:bookmarkStart w:id="91" w:name="_Toc430530433"/>
      <w:bookmarkStart w:id="92" w:name="_Toc287620684"/>
      <w:bookmarkStart w:id="93" w:name="_Toc287607745"/>
    </w:p>
    <w:p w14:paraId="7CDE4DA9">
      <w:pPr>
        <w:pStyle w:val="3"/>
        <w:spacing w:before="100" w:after="100" w:line="360" w:lineRule="auto"/>
        <w:rPr>
          <w:rFonts w:ascii="宋体" w:hAnsi="宋体"/>
          <w:color w:val="auto"/>
          <w:highlight w:val="none"/>
        </w:rPr>
      </w:pPr>
      <w:bookmarkStart w:id="94" w:name="_Toc29433"/>
      <w:bookmarkStart w:id="95" w:name="_Toc509218708"/>
      <w:r>
        <w:rPr>
          <w:rFonts w:hint="eastAsia" w:ascii="宋体" w:hAnsi="宋体"/>
          <w:color w:val="auto"/>
          <w:highlight w:val="none"/>
        </w:rPr>
        <w:t>投标人须知前附表</w:t>
      </w:r>
      <w:bookmarkEnd w:id="89"/>
      <w:bookmarkEnd w:id="90"/>
      <w:bookmarkEnd w:id="91"/>
      <w:bookmarkEnd w:id="92"/>
      <w:bookmarkEnd w:id="93"/>
      <w:bookmarkEnd w:id="94"/>
      <w:bookmarkEnd w:id="95"/>
    </w:p>
    <w:p w14:paraId="2E1523C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5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7041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88FE477">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B9F4AD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1F3B175E">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1395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DA9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A97B08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w:t>
            </w:r>
          </w:p>
        </w:tc>
        <w:tc>
          <w:tcPr>
            <w:tcW w:w="6490" w:type="dxa"/>
            <w:vAlign w:val="center"/>
          </w:tcPr>
          <w:p w14:paraId="0E6E020F">
            <w:pPr>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重庆高速资产经营管理有限公司</w:t>
            </w:r>
          </w:p>
          <w:p w14:paraId="10FA431D">
            <w:pPr>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32096E06">
            <w:pPr>
              <w:topLinePunct/>
              <w:spacing w:line="42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丁老师</w:t>
            </w:r>
          </w:p>
          <w:p w14:paraId="1064622F">
            <w:pPr>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01D30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1F88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3EE5368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16BCE54A">
            <w:pPr>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59CB34F5">
            <w:pPr>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36158721">
            <w:pPr>
              <w:snapToGrid w:val="0"/>
              <w:spacing w:line="400" w:lineRule="exact"/>
              <w:rPr>
                <w:rFonts w:ascii="宋体"/>
                <w:color w:val="auto"/>
                <w:kern w:val="0"/>
                <w:szCs w:val="21"/>
                <w:highlight w:val="none"/>
              </w:rPr>
            </w:pPr>
            <w:r>
              <w:rPr>
                <w:rFonts w:hint="eastAsia" w:ascii="宋体"/>
                <w:color w:val="auto"/>
                <w:kern w:val="0"/>
                <w:szCs w:val="21"/>
                <w:highlight w:val="none"/>
              </w:rPr>
              <w:t>联系人：谭老师、</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392510AC">
            <w:pPr>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r>
              <w:rPr>
                <w:rFonts w:hint="eastAsia" w:ascii="宋体" w:hAnsi="宋体"/>
                <w:snapToGrid w:val="0"/>
                <w:color w:val="auto"/>
                <w:kern w:val="0"/>
                <w:szCs w:val="21"/>
                <w:highlight w:val="none"/>
              </w:rPr>
              <w:t>、023-67107374</w:t>
            </w:r>
          </w:p>
        </w:tc>
      </w:tr>
      <w:tr w14:paraId="18F01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7B03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2CEFDF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项目名称</w:t>
            </w:r>
          </w:p>
        </w:tc>
        <w:tc>
          <w:tcPr>
            <w:tcW w:w="6490" w:type="dxa"/>
            <w:vAlign w:val="center"/>
          </w:tcPr>
          <w:p w14:paraId="4B211F9A">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single"/>
                <w:lang w:eastAsia="zh-CN"/>
              </w:rPr>
              <w:t>重庆高速公路集团有限公司集采中心2024年</w:t>
            </w:r>
            <w:r>
              <w:rPr>
                <w:rFonts w:hint="eastAsia" w:ascii="宋体" w:hAnsi="宋体"/>
                <w:snapToGrid w:val="0"/>
                <w:color w:val="auto"/>
                <w:kern w:val="0"/>
                <w:szCs w:val="21"/>
                <w:highlight w:val="none"/>
                <w:u w:val="single"/>
                <w:lang w:val="en-US" w:eastAsia="zh-CN"/>
              </w:rPr>
              <w:t>度</w:t>
            </w:r>
            <w:r>
              <w:rPr>
                <w:rFonts w:hint="eastAsia" w:ascii="宋体" w:hAnsi="宋体"/>
                <w:snapToGrid w:val="0"/>
                <w:color w:val="auto"/>
                <w:kern w:val="0"/>
                <w:szCs w:val="21"/>
                <w:highlight w:val="none"/>
                <w:u w:val="single"/>
                <w:lang w:eastAsia="zh-CN"/>
              </w:rPr>
              <w:t>水泥</w:t>
            </w:r>
            <w:r>
              <w:rPr>
                <w:rFonts w:hint="eastAsia" w:ascii="宋体" w:hAnsi="宋体"/>
                <w:snapToGrid w:val="0"/>
                <w:color w:val="auto"/>
                <w:kern w:val="0"/>
                <w:szCs w:val="21"/>
                <w:highlight w:val="none"/>
                <w:u w:val="single"/>
                <w:lang w:val="en-US" w:eastAsia="zh-CN"/>
              </w:rPr>
              <w:t>集中</w:t>
            </w:r>
            <w:r>
              <w:rPr>
                <w:rFonts w:hint="eastAsia" w:ascii="宋体" w:hAnsi="宋体"/>
                <w:snapToGrid w:val="0"/>
                <w:color w:val="auto"/>
                <w:kern w:val="0"/>
                <w:szCs w:val="21"/>
                <w:highlight w:val="none"/>
                <w:u w:val="single"/>
                <w:lang w:eastAsia="zh-CN"/>
              </w:rPr>
              <w:t>采购</w:t>
            </w:r>
            <w:r>
              <w:rPr>
                <w:rFonts w:hint="eastAsia" w:ascii="宋体" w:hAnsi="宋体"/>
                <w:snapToGrid w:val="0"/>
                <w:color w:val="auto"/>
                <w:kern w:val="0"/>
                <w:szCs w:val="21"/>
                <w:highlight w:val="none"/>
                <w:u w:val="single"/>
              </w:rPr>
              <w:t xml:space="preserve"> </w:t>
            </w:r>
          </w:p>
        </w:tc>
      </w:tr>
      <w:tr w14:paraId="2B3AB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6569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BDFC51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490" w:type="dxa"/>
            <w:vAlign w:val="center"/>
          </w:tcPr>
          <w:p w14:paraId="77872B0F">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70E9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2561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5F8D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490" w:type="dxa"/>
            <w:vAlign w:val="center"/>
          </w:tcPr>
          <w:p w14:paraId="491DB2CB">
            <w:pPr>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70899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B0BFE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3DEFEB10">
            <w:pPr>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490" w:type="dxa"/>
            <w:vAlign w:val="center"/>
          </w:tcPr>
          <w:p w14:paraId="24F682C0">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6D4D7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29DB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001D99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14:paraId="61EDF129">
            <w:pPr>
              <w:tabs>
                <w:tab w:val="left" w:pos="3840"/>
                <w:tab w:val="left" w:pos="530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4AADD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AA34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7AB29A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7FBC5339">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5DEF5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7CF58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892A22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2479E221">
            <w:pPr>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4B407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76D6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BDDB7D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服务期限</w:t>
            </w:r>
          </w:p>
        </w:tc>
        <w:tc>
          <w:tcPr>
            <w:tcW w:w="6490" w:type="dxa"/>
            <w:vAlign w:val="center"/>
          </w:tcPr>
          <w:p w14:paraId="4CE94D36">
            <w:pPr>
              <w:snapToGrid w:val="0"/>
              <w:spacing w:line="40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203F5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F312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94B94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490" w:type="dxa"/>
            <w:vAlign w:val="center"/>
          </w:tcPr>
          <w:p w14:paraId="2D015AF0">
            <w:pPr>
              <w:tabs>
                <w:tab w:val="left" w:pos="3840"/>
                <w:tab w:val="left" w:pos="5300"/>
              </w:tabs>
              <w:autoSpaceDE w:val="0"/>
              <w:autoSpaceDN w:val="0"/>
              <w:adjustRightInd w:val="0"/>
              <w:snapToGrid w:val="0"/>
              <w:spacing w:line="46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w:t>
            </w:r>
          </w:p>
        </w:tc>
      </w:tr>
      <w:tr w14:paraId="1EE7E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5" w:hRule="atLeast"/>
          <w:jc w:val="center"/>
        </w:trPr>
        <w:tc>
          <w:tcPr>
            <w:tcW w:w="1335" w:type="dxa"/>
            <w:vAlign w:val="center"/>
          </w:tcPr>
          <w:p w14:paraId="430F2C00">
            <w:pPr>
              <w:snapToGrid w:val="0"/>
              <w:spacing w:line="400" w:lineRule="exact"/>
              <w:jc w:val="center"/>
              <w:rPr>
                <w:rFonts w:ascii="宋体" w:hAnsi="宋体"/>
                <w:color w:val="auto"/>
                <w:kern w:val="0"/>
                <w:szCs w:val="21"/>
                <w:highlight w:val="none"/>
              </w:rPr>
            </w:pPr>
          </w:p>
          <w:p w14:paraId="76BE0180">
            <w:pPr>
              <w:snapToGrid w:val="0"/>
              <w:spacing w:line="400" w:lineRule="exact"/>
              <w:jc w:val="center"/>
              <w:rPr>
                <w:rFonts w:ascii="宋体" w:hAnsi="宋体"/>
                <w:color w:val="auto"/>
                <w:kern w:val="0"/>
                <w:szCs w:val="21"/>
                <w:highlight w:val="none"/>
              </w:rPr>
            </w:pPr>
          </w:p>
          <w:p w14:paraId="17B643A3">
            <w:pPr>
              <w:snapToGrid w:val="0"/>
              <w:spacing w:line="400" w:lineRule="exact"/>
              <w:jc w:val="center"/>
              <w:rPr>
                <w:rFonts w:ascii="宋体" w:hAnsi="宋体"/>
                <w:color w:val="auto"/>
                <w:kern w:val="0"/>
                <w:szCs w:val="21"/>
                <w:highlight w:val="none"/>
              </w:rPr>
            </w:pPr>
          </w:p>
          <w:p w14:paraId="29A957C9">
            <w:pPr>
              <w:snapToGrid w:val="0"/>
              <w:spacing w:line="400" w:lineRule="exact"/>
              <w:jc w:val="center"/>
              <w:rPr>
                <w:rFonts w:ascii="宋体" w:hAnsi="宋体"/>
                <w:color w:val="auto"/>
                <w:kern w:val="0"/>
                <w:szCs w:val="21"/>
                <w:highlight w:val="none"/>
              </w:rPr>
            </w:pPr>
          </w:p>
          <w:p w14:paraId="4BB0F7A0">
            <w:pPr>
              <w:snapToGrid w:val="0"/>
              <w:spacing w:line="400" w:lineRule="exact"/>
              <w:jc w:val="center"/>
              <w:rPr>
                <w:rFonts w:ascii="宋体" w:hAnsi="宋体"/>
                <w:color w:val="auto"/>
                <w:kern w:val="0"/>
                <w:szCs w:val="21"/>
                <w:highlight w:val="none"/>
              </w:rPr>
            </w:pPr>
          </w:p>
          <w:p w14:paraId="6F94000C">
            <w:pPr>
              <w:snapToGrid w:val="0"/>
              <w:spacing w:line="400" w:lineRule="exact"/>
              <w:jc w:val="center"/>
              <w:rPr>
                <w:rFonts w:ascii="宋体" w:hAnsi="宋体"/>
                <w:color w:val="auto"/>
                <w:kern w:val="0"/>
                <w:szCs w:val="21"/>
                <w:highlight w:val="none"/>
              </w:rPr>
            </w:pPr>
          </w:p>
          <w:p w14:paraId="530A4EC2">
            <w:pPr>
              <w:snapToGrid w:val="0"/>
              <w:spacing w:line="400" w:lineRule="exact"/>
              <w:jc w:val="center"/>
              <w:rPr>
                <w:rFonts w:ascii="宋体" w:hAnsi="宋体"/>
                <w:color w:val="auto"/>
                <w:kern w:val="0"/>
                <w:szCs w:val="21"/>
                <w:highlight w:val="none"/>
              </w:rPr>
            </w:pPr>
          </w:p>
          <w:p w14:paraId="65AF5505">
            <w:pPr>
              <w:snapToGrid w:val="0"/>
              <w:spacing w:line="400" w:lineRule="exact"/>
              <w:jc w:val="center"/>
              <w:rPr>
                <w:rFonts w:ascii="宋体" w:hAnsi="宋体"/>
                <w:color w:val="auto"/>
                <w:kern w:val="0"/>
                <w:szCs w:val="21"/>
                <w:highlight w:val="none"/>
              </w:rPr>
            </w:pPr>
          </w:p>
          <w:p w14:paraId="528168B6">
            <w:pPr>
              <w:snapToGrid w:val="0"/>
              <w:spacing w:line="400" w:lineRule="exact"/>
              <w:jc w:val="center"/>
              <w:rPr>
                <w:rFonts w:ascii="宋体" w:hAnsi="宋体"/>
                <w:color w:val="auto"/>
                <w:kern w:val="0"/>
                <w:szCs w:val="21"/>
                <w:highlight w:val="none"/>
              </w:rPr>
            </w:pPr>
          </w:p>
          <w:p w14:paraId="4BBC4856">
            <w:pPr>
              <w:snapToGrid w:val="0"/>
              <w:spacing w:line="400" w:lineRule="exact"/>
              <w:jc w:val="center"/>
              <w:rPr>
                <w:rFonts w:ascii="宋体" w:hAnsi="宋体"/>
                <w:color w:val="auto"/>
                <w:kern w:val="0"/>
                <w:szCs w:val="21"/>
                <w:highlight w:val="none"/>
              </w:rPr>
            </w:pPr>
          </w:p>
          <w:p w14:paraId="08B77334">
            <w:pPr>
              <w:snapToGrid w:val="0"/>
              <w:spacing w:line="400" w:lineRule="exact"/>
              <w:jc w:val="center"/>
              <w:rPr>
                <w:rFonts w:ascii="宋体" w:hAnsi="宋体"/>
                <w:color w:val="auto"/>
                <w:kern w:val="0"/>
                <w:szCs w:val="21"/>
                <w:highlight w:val="none"/>
              </w:rPr>
            </w:pPr>
          </w:p>
          <w:p w14:paraId="7BBA7B7B">
            <w:pPr>
              <w:snapToGrid w:val="0"/>
              <w:spacing w:line="400" w:lineRule="exact"/>
              <w:jc w:val="center"/>
              <w:rPr>
                <w:rFonts w:ascii="宋体" w:hAnsi="宋体"/>
                <w:color w:val="auto"/>
                <w:kern w:val="0"/>
                <w:szCs w:val="21"/>
                <w:highlight w:val="none"/>
              </w:rPr>
            </w:pPr>
          </w:p>
          <w:p w14:paraId="54080F88">
            <w:pPr>
              <w:snapToGrid w:val="0"/>
              <w:spacing w:line="400" w:lineRule="exact"/>
              <w:jc w:val="center"/>
              <w:rPr>
                <w:rFonts w:ascii="宋体" w:hAnsi="宋体"/>
                <w:color w:val="auto"/>
                <w:kern w:val="0"/>
                <w:szCs w:val="21"/>
                <w:highlight w:val="none"/>
              </w:rPr>
            </w:pPr>
          </w:p>
          <w:p w14:paraId="6C413C6E">
            <w:pPr>
              <w:snapToGrid w:val="0"/>
              <w:spacing w:line="400" w:lineRule="exact"/>
              <w:jc w:val="center"/>
              <w:rPr>
                <w:rFonts w:ascii="宋体" w:hAnsi="宋体"/>
                <w:color w:val="auto"/>
                <w:kern w:val="0"/>
                <w:szCs w:val="21"/>
                <w:highlight w:val="none"/>
              </w:rPr>
            </w:pPr>
          </w:p>
          <w:p w14:paraId="3D6B3E73">
            <w:pPr>
              <w:snapToGrid w:val="0"/>
              <w:spacing w:line="400" w:lineRule="exact"/>
              <w:jc w:val="center"/>
              <w:rPr>
                <w:rFonts w:ascii="宋体" w:hAnsi="宋体"/>
                <w:color w:val="auto"/>
                <w:kern w:val="0"/>
                <w:szCs w:val="21"/>
                <w:highlight w:val="none"/>
              </w:rPr>
            </w:pPr>
          </w:p>
          <w:p w14:paraId="13E1A0A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53AAFDDE">
            <w:pPr>
              <w:snapToGrid w:val="0"/>
              <w:spacing w:line="400" w:lineRule="exact"/>
              <w:jc w:val="center"/>
              <w:rPr>
                <w:rFonts w:ascii="宋体" w:hAnsi="宋体"/>
                <w:color w:val="auto"/>
                <w:kern w:val="0"/>
                <w:szCs w:val="21"/>
                <w:highlight w:val="none"/>
              </w:rPr>
            </w:pPr>
          </w:p>
          <w:p w14:paraId="02A1BB2A">
            <w:pPr>
              <w:snapToGrid w:val="0"/>
              <w:spacing w:line="400" w:lineRule="exact"/>
              <w:jc w:val="center"/>
              <w:rPr>
                <w:rFonts w:ascii="宋体" w:hAnsi="宋体"/>
                <w:color w:val="auto"/>
                <w:kern w:val="0"/>
                <w:szCs w:val="21"/>
                <w:highlight w:val="none"/>
              </w:rPr>
            </w:pPr>
          </w:p>
          <w:p w14:paraId="235D0D85">
            <w:pPr>
              <w:snapToGrid w:val="0"/>
              <w:spacing w:line="400" w:lineRule="exact"/>
              <w:jc w:val="center"/>
              <w:rPr>
                <w:rFonts w:ascii="宋体" w:hAnsi="宋体"/>
                <w:color w:val="auto"/>
                <w:kern w:val="0"/>
                <w:szCs w:val="21"/>
                <w:highlight w:val="none"/>
              </w:rPr>
            </w:pPr>
          </w:p>
          <w:p w14:paraId="7D214937">
            <w:pPr>
              <w:snapToGrid w:val="0"/>
              <w:spacing w:line="400" w:lineRule="exact"/>
              <w:jc w:val="center"/>
              <w:rPr>
                <w:rFonts w:ascii="宋体" w:hAnsi="宋体"/>
                <w:color w:val="auto"/>
                <w:kern w:val="0"/>
                <w:szCs w:val="21"/>
                <w:highlight w:val="none"/>
              </w:rPr>
            </w:pPr>
          </w:p>
          <w:p w14:paraId="097B216A">
            <w:pPr>
              <w:snapToGrid w:val="0"/>
              <w:spacing w:line="400" w:lineRule="exact"/>
              <w:jc w:val="center"/>
              <w:rPr>
                <w:rFonts w:ascii="宋体" w:hAnsi="宋体"/>
                <w:color w:val="auto"/>
                <w:kern w:val="0"/>
                <w:szCs w:val="21"/>
                <w:highlight w:val="none"/>
              </w:rPr>
            </w:pPr>
          </w:p>
          <w:p w14:paraId="664C9F49">
            <w:pPr>
              <w:snapToGrid w:val="0"/>
              <w:spacing w:line="400" w:lineRule="exact"/>
              <w:jc w:val="center"/>
              <w:rPr>
                <w:rFonts w:ascii="宋体" w:hAnsi="宋体"/>
                <w:color w:val="auto"/>
                <w:kern w:val="0"/>
                <w:szCs w:val="21"/>
                <w:highlight w:val="none"/>
              </w:rPr>
            </w:pPr>
          </w:p>
          <w:p w14:paraId="40EA2369">
            <w:pPr>
              <w:snapToGrid w:val="0"/>
              <w:spacing w:line="400" w:lineRule="exact"/>
              <w:jc w:val="center"/>
              <w:rPr>
                <w:rFonts w:ascii="宋体" w:hAnsi="宋体"/>
                <w:color w:val="auto"/>
                <w:kern w:val="0"/>
                <w:szCs w:val="21"/>
                <w:highlight w:val="none"/>
              </w:rPr>
            </w:pPr>
          </w:p>
          <w:p w14:paraId="6ACEEFE5">
            <w:pPr>
              <w:snapToGrid w:val="0"/>
              <w:spacing w:line="400" w:lineRule="exact"/>
              <w:jc w:val="center"/>
              <w:rPr>
                <w:rFonts w:ascii="宋体" w:hAnsi="宋体"/>
                <w:color w:val="auto"/>
                <w:kern w:val="0"/>
                <w:szCs w:val="21"/>
                <w:highlight w:val="none"/>
              </w:rPr>
            </w:pPr>
          </w:p>
          <w:p w14:paraId="622086BD">
            <w:pPr>
              <w:snapToGrid w:val="0"/>
              <w:spacing w:line="400" w:lineRule="exact"/>
              <w:jc w:val="center"/>
              <w:rPr>
                <w:rFonts w:ascii="宋体" w:hAnsi="宋体"/>
                <w:color w:val="auto"/>
                <w:kern w:val="0"/>
                <w:szCs w:val="21"/>
                <w:highlight w:val="none"/>
              </w:rPr>
            </w:pPr>
          </w:p>
          <w:p w14:paraId="34A36280">
            <w:pPr>
              <w:snapToGrid w:val="0"/>
              <w:spacing w:line="400" w:lineRule="exact"/>
              <w:jc w:val="center"/>
              <w:rPr>
                <w:rFonts w:ascii="宋体" w:hAnsi="宋体"/>
                <w:color w:val="auto"/>
                <w:kern w:val="0"/>
                <w:szCs w:val="21"/>
                <w:highlight w:val="none"/>
              </w:rPr>
            </w:pPr>
          </w:p>
          <w:p w14:paraId="015EA9D4">
            <w:pPr>
              <w:snapToGrid w:val="0"/>
              <w:spacing w:line="400" w:lineRule="exact"/>
              <w:jc w:val="center"/>
              <w:rPr>
                <w:rFonts w:ascii="宋体" w:hAnsi="宋体"/>
                <w:color w:val="auto"/>
                <w:kern w:val="0"/>
                <w:szCs w:val="21"/>
                <w:highlight w:val="none"/>
              </w:rPr>
            </w:pPr>
          </w:p>
          <w:p w14:paraId="13E8C128">
            <w:pPr>
              <w:snapToGrid w:val="0"/>
              <w:spacing w:line="400" w:lineRule="exact"/>
              <w:jc w:val="center"/>
              <w:rPr>
                <w:rFonts w:ascii="宋体" w:hAnsi="宋体"/>
                <w:color w:val="auto"/>
                <w:kern w:val="0"/>
                <w:szCs w:val="21"/>
                <w:highlight w:val="none"/>
              </w:rPr>
            </w:pPr>
          </w:p>
          <w:p w14:paraId="46835953">
            <w:pPr>
              <w:snapToGrid w:val="0"/>
              <w:spacing w:line="400" w:lineRule="exact"/>
              <w:jc w:val="center"/>
              <w:rPr>
                <w:rFonts w:ascii="宋体" w:hAnsi="宋体"/>
                <w:color w:val="auto"/>
                <w:kern w:val="0"/>
                <w:szCs w:val="21"/>
                <w:highlight w:val="none"/>
              </w:rPr>
            </w:pPr>
          </w:p>
          <w:p w14:paraId="3AAE3639">
            <w:pPr>
              <w:snapToGrid w:val="0"/>
              <w:spacing w:line="400" w:lineRule="exact"/>
              <w:jc w:val="center"/>
              <w:rPr>
                <w:rFonts w:ascii="宋体" w:hAnsi="宋体"/>
                <w:color w:val="auto"/>
                <w:kern w:val="0"/>
                <w:szCs w:val="21"/>
                <w:highlight w:val="none"/>
              </w:rPr>
            </w:pPr>
          </w:p>
          <w:p w14:paraId="1F521991">
            <w:pPr>
              <w:snapToGrid w:val="0"/>
              <w:spacing w:line="400" w:lineRule="exact"/>
              <w:jc w:val="center"/>
              <w:rPr>
                <w:rFonts w:ascii="宋体" w:hAnsi="宋体"/>
                <w:color w:val="auto"/>
                <w:kern w:val="0"/>
                <w:szCs w:val="21"/>
                <w:highlight w:val="none"/>
              </w:rPr>
            </w:pPr>
          </w:p>
          <w:p w14:paraId="79F5478D">
            <w:pPr>
              <w:snapToGrid w:val="0"/>
              <w:spacing w:line="400" w:lineRule="exact"/>
              <w:jc w:val="center"/>
              <w:rPr>
                <w:rFonts w:ascii="宋体" w:hAnsi="宋体"/>
                <w:color w:val="auto"/>
                <w:kern w:val="0"/>
                <w:szCs w:val="21"/>
                <w:highlight w:val="none"/>
              </w:rPr>
            </w:pPr>
          </w:p>
          <w:p w14:paraId="1C683266">
            <w:pPr>
              <w:snapToGrid w:val="0"/>
              <w:spacing w:line="400" w:lineRule="exact"/>
              <w:jc w:val="center"/>
              <w:rPr>
                <w:rFonts w:ascii="宋体" w:hAnsi="宋体"/>
                <w:color w:val="auto"/>
                <w:kern w:val="0"/>
                <w:szCs w:val="21"/>
                <w:highlight w:val="none"/>
              </w:rPr>
            </w:pPr>
          </w:p>
          <w:p w14:paraId="665C415E">
            <w:pPr>
              <w:snapToGrid w:val="0"/>
              <w:spacing w:line="400" w:lineRule="exact"/>
              <w:jc w:val="center"/>
              <w:rPr>
                <w:rFonts w:ascii="宋体" w:hAnsi="宋体"/>
                <w:color w:val="auto"/>
                <w:kern w:val="0"/>
                <w:szCs w:val="21"/>
                <w:highlight w:val="none"/>
              </w:rPr>
            </w:pPr>
          </w:p>
          <w:p w14:paraId="6BF5DA07">
            <w:pPr>
              <w:snapToGrid w:val="0"/>
              <w:spacing w:line="400" w:lineRule="exact"/>
              <w:jc w:val="center"/>
              <w:rPr>
                <w:rFonts w:ascii="宋体" w:hAnsi="宋体"/>
                <w:color w:val="auto"/>
                <w:kern w:val="0"/>
                <w:szCs w:val="21"/>
                <w:highlight w:val="none"/>
              </w:rPr>
            </w:pPr>
          </w:p>
          <w:p w14:paraId="21934A80">
            <w:pPr>
              <w:snapToGrid w:val="0"/>
              <w:spacing w:line="400" w:lineRule="exact"/>
              <w:jc w:val="center"/>
              <w:rPr>
                <w:rFonts w:ascii="宋体" w:hAnsi="宋体"/>
                <w:color w:val="auto"/>
                <w:kern w:val="0"/>
                <w:szCs w:val="21"/>
                <w:highlight w:val="none"/>
              </w:rPr>
            </w:pPr>
          </w:p>
          <w:p w14:paraId="3EF7F59F">
            <w:pPr>
              <w:snapToGrid w:val="0"/>
              <w:spacing w:line="400" w:lineRule="exact"/>
              <w:jc w:val="center"/>
              <w:rPr>
                <w:rFonts w:ascii="宋体" w:hAnsi="宋体"/>
                <w:color w:val="auto"/>
                <w:kern w:val="0"/>
                <w:szCs w:val="21"/>
                <w:highlight w:val="none"/>
              </w:rPr>
            </w:pPr>
          </w:p>
          <w:p w14:paraId="373E9C3E">
            <w:pPr>
              <w:snapToGrid w:val="0"/>
              <w:spacing w:line="400" w:lineRule="exact"/>
              <w:jc w:val="center"/>
              <w:rPr>
                <w:rFonts w:ascii="宋体" w:hAnsi="宋体"/>
                <w:color w:val="auto"/>
                <w:kern w:val="0"/>
                <w:szCs w:val="21"/>
                <w:highlight w:val="none"/>
              </w:rPr>
            </w:pPr>
          </w:p>
          <w:p w14:paraId="2F995234">
            <w:pPr>
              <w:snapToGrid w:val="0"/>
              <w:spacing w:line="400" w:lineRule="exact"/>
              <w:jc w:val="center"/>
              <w:rPr>
                <w:rFonts w:ascii="宋体" w:hAnsi="宋体"/>
                <w:color w:val="auto"/>
                <w:kern w:val="0"/>
                <w:szCs w:val="21"/>
                <w:highlight w:val="none"/>
              </w:rPr>
            </w:pPr>
          </w:p>
          <w:p w14:paraId="498F9CD2">
            <w:pPr>
              <w:snapToGrid w:val="0"/>
              <w:spacing w:line="400" w:lineRule="exact"/>
              <w:jc w:val="center"/>
              <w:rPr>
                <w:rFonts w:ascii="宋体" w:hAnsi="宋体"/>
                <w:color w:val="auto"/>
                <w:kern w:val="0"/>
                <w:szCs w:val="21"/>
                <w:highlight w:val="none"/>
              </w:rPr>
            </w:pPr>
          </w:p>
          <w:p w14:paraId="418F94C5">
            <w:pPr>
              <w:snapToGrid w:val="0"/>
              <w:spacing w:line="400" w:lineRule="exact"/>
              <w:jc w:val="center"/>
              <w:rPr>
                <w:rFonts w:ascii="宋体" w:hAnsi="宋体"/>
                <w:color w:val="auto"/>
                <w:kern w:val="0"/>
                <w:szCs w:val="21"/>
                <w:highlight w:val="none"/>
              </w:rPr>
            </w:pPr>
          </w:p>
          <w:p w14:paraId="70B8A7D4">
            <w:pPr>
              <w:snapToGrid w:val="0"/>
              <w:spacing w:line="400" w:lineRule="exact"/>
              <w:jc w:val="center"/>
              <w:rPr>
                <w:rFonts w:ascii="宋体" w:hAnsi="宋体"/>
                <w:color w:val="auto"/>
                <w:kern w:val="0"/>
                <w:szCs w:val="21"/>
                <w:highlight w:val="none"/>
              </w:rPr>
            </w:pPr>
          </w:p>
          <w:p w14:paraId="2751857A">
            <w:pPr>
              <w:snapToGrid w:val="0"/>
              <w:spacing w:line="400" w:lineRule="exact"/>
              <w:jc w:val="center"/>
              <w:rPr>
                <w:rFonts w:ascii="宋体" w:hAnsi="宋体"/>
                <w:color w:val="auto"/>
                <w:kern w:val="0"/>
                <w:szCs w:val="21"/>
                <w:highlight w:val="none"/>
              </w:rPr>
            </w:pPr>
          </w:p>
          <w:p w14:paraId="7B895FA5">
            <w:pPr>
              <w:snapToGrid w:val="0"/>
              <w:spacing w:line="400" w:lineRule="exact"/>
              <w:jc w:val="center"/>
              <w:rPr>
                <w:rFonts w:ascii="宋体" w:hAnsi="宋体"/>
                <w:color w:val="auto"/>
                <w:kern w:val="0"/>
                <w:szCs w:val="21"/>
                <w:highlight w:val="none"/>
              </w:rPr>
            </w:pPr>
          </w:p>
          <w:p w14:paraId="6D0C4A00">
            <w:pPr>
              <w:snapToGrid w:val="0"/>
              <w:spacing w:line="400" w:lineRule="exact"/>
              <w:jc w:val="center"/>
              <w:rPr>
                <w:rFonts w:ascii="宋体" w:hAnsi="宋体"/>
                <w:color w:val="auto"/>
                <w:kern w:val="0"/>
                <w:szCs w:val="21"/>
                <w:highlight w:val="none"/>
              </w:rPr>
            </w:pPr>
          </w:p>
          <w:p w14:paraId="31F66FC4">
            <w:pPr>
              <w:snapToGrid w:val="0"/>
              <w:spacing w:line="400" w:lineRule="exact"/>
              <w:jc w:val="center"/>
              <w:rPr>
                <w:rFonts w:ascii="宋体" w:hAnsi="宋体"/>
                <w:color w:val="auto"/>
                <w:kern w:val="0"/>
                <w:szCs w:val="21"/>
                <w:highlight w:val="none"/>
              </w:rPr>
            </w:pPr>
          </w:p>
          <w:p w14:paraId="6125CEB3">
            <w:pPr>
              <w:snapToGrid w:val="0"/>
              <w:spacing w:line="400" w:lineRule="exact"/>
              <w:jc w:val="center"/>
              <w:rPr>
                <w:rFonts w:ascii="宋体" w:hAnsi="宋体"/>
                <w:color w:val="auto"/>
                <w:kern w:val="0"/>
                <w:szCs w:val="21"/>
                <w:highlight w:val="none"/>
              </w:rPr>
            </w:pPr>
          </w:p>
          <w:p w14:paraId="66E9B6A7">
            <w:pPr>
              <w:snapToGrid w:val="0"/>
              <w:spacing w:line="400" w:lineRule="exact"/>
              <w:jc w:val="center"/>
              <w:rPr>
                <w:rFonts w:ascii="宋体" w:hAnsi="宋体"/>
                <w:color w:val="auto"/>
                <w:kern w:val="0"/>
                <w:szCs w:val="21"/>
                <w:highlight w:val="none"/>
              </w:rPr>
            </w:pPr>
          </w:p>
          <w:p w14:paraId="06FC0243">
            <w:pPr>
              <w:snapToGrid w:val="0"/>
              <w:spacing w:line="400" w:lineRule="exact"/>
              <w:jc w:val="center"/>
              <w:rPr>
                <w:rFonts w:ascii="宋体" w:hAnsi="宋体"/>
                <w:color w:val="auto"/>
                <w:kern w:val="0"/>
                <w:szCs w:val="21"/>
                <w:highlight w:val="none"/>
              </w:rPr>
            </w:pPr>
          </w:p>
          <w:p w14:paraId="7C9A0AE7">
            <w:pPr>
              <w:snapToGrid w:val="0"/>
              <w:spacing w:line="400" w:lineRule="exact"/>
              <w:jc w:val="center"/>
              <w:rPr>
                <w:rFonts w:ascii="宋体" w:hAnsi="宋体"/>
                <w:color w:val="auto"/>
                <w:kern w:val="0"/>
                <w:szCs w:val="21"/>
                <w:highlight w:val="none"/>
              </w:rPr>
            </w:pPr>
          </w:p>
          <w:p w14:paraId="24D77F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6CEA40F2">
            <w:pPr>
              <w:snapToGrid w:val="0"/>
              <w:spacing w:line="400" w:lineRule="exact"/>
              <w:jc w:val="center"/>
              <w:rPr>
                <w:rFonts w:ascii="宋体" w:hAnsi="宋体"/>
                <w:color w:val="auto"/>
                <w:kern w:val="0"/>
                <w:szCs w:val="21"/>
                <w:highlight w:val="none"/>
              </w:rPr>
            </w:pPr>
          </w:p>
          <w:p w14:paraId="4DB8F8DC">
            <w:pPr>
              <w:snapToGrid w:val="0"/>
              <w:spacing w:line="400" w:lineRule="exact"/>
              <w:jc w:val="center"/>
              <w:rPr>
                <w:rFonts w:ascii="宋体" w:hAnsi="宋体"/>
                <w:color w:val="auto"/>
                <w:kern w:val="0"/>
                <w:szCs w:val="21"/>
                <w:highlight w:val="none"/>
              </w:rPr>
            </w:pPr>
          </w:p>
          <w:p w14:paraId="72099BD0">
            <w:pPr>
              <w:snapToGrid w:val="0"/>
              <w:spacing w:line="400" w:lineRule="exact"/>
              <w:jc w:val="center"/>
              <w:rPr>
                <w:rFonts w:ascii="宋体" w:hAnsi="宋体"/>
                <w:color w:val="auto"/>
                <w:kern w:val="0"/>
                <w:szCs w:val="21"/>
                <w:highlight w:val="none"/>
              </w:rPr>
            </w:pPr>
          </w:p>
          <w:p w14:paraId="26241057">
            <w:pPr>
              <w:snapToGrid w:val="0"/>
              <w:spacing w:line="400" w:lineRule="exact"/>
              <w:jc w:val="center"/>
              <w:rPr>
                <w:rFonts w:ascii="宋体" w:hAnsi="宋体"/>
                <w:color w:val="auto"/>
                <w:kern w:val="0"/>
                <w:szCs w:val="21"/>
                <w:highlight w:val="none"/>
              </w:rPr>
            </w:pPr>
          </w:p>
          <w:p w14:paraId="5D87E8F5">
            <w:pPr>
              <w:snapToGrid w:val="0"/>
              <w:spacing w:line="400" w:lineRule="exact"/>
              <w:jc w:val="center"/>
              <w:rPr>
                <w:rFonts w:ascii="宋体" w:hAnsi="宋体"/>
                <w:color w:val="auto"/>
                <w:kern w:val="0"/>
                <w:szCs w:val="21"/>
                <w:highlight w:val="none"/>
              </w:rPr>
            </w:pPr>
          </w:p>
          <w:p w14:paraId="497F28F3">
            <w:pPr>
              <w:snapToGrid w:val="0"/>
              <w:spacing w:line="400" w:lineRule="exact"/>
              <w:jc w:val="center"/>
              <w:rPr>
                <w:rFonts w:ascii="宋体" w:hAnsi="宋体"/>
                <w:color w:val="auto"/>
                <w:kern w:val="0"/>
                <w:szCs w:val="21"/>
                <w:highlight w:val="none"/>
              </w:rPr>
            </w:pPr>
          </w:p>
          <w:p w14:paraId="100B3D23">
            <w:pPr>
              <w:snapToGrid w:val="0"/>
              <w:spacing w:line="400" w:lineRule="exact"/>
              <w:jc w:val="center"/>
              <w:rPr>
                <w:rFonts w:ascii="宋体" w:hAnsi="宋体"/>
                <w:color w:val="auto"/>
                <w:kern w:val="0"/>
                <w:szCs w:val="21"/>
                <w:highlight w:val="none"/>
              </w:rPr>
            </w:pPr>
          </w:p>
          <w:p w14:paraId="4B87305E">
            <w:pPr>
              <w:snapToGrid w:val="0"/>
              <w:spacing w:line="400" w:lineRule="exact"/>
              <w:jc w:val="center"/>
              <w:rPr>
                <w:rFonts w:ascii="宋体" w:hAnsi="宋体"/>
                <w:color w:val="auto"/>
                <w:kern w:val="0"/>
                <w:szCs w:val="21"/>
                <w:highlight w:val="none"/>
              </w:rPr>
            </w:pPr>
          </w:p>
          <w:p w14:paraId="76DBA9E8">
            <w:pPr>
              <w:snapToGrid w:val="0"/>
              <w:spacing w:line="400" w:lineRule="exact"/>
              <w:jc w:val="center"/>
              <w:rPr>
                <w:rFonts w:ascii="宋体" w:hAnsi="宋体"/>
                <w:color w:val="auto"/>
                <w:kern w:val="0"/>
                <w:szCs w:val="21"/>
                <w:highlight w:val="none"/>
              </w:rPr>
            </w:pPr>
          </w:p>
          <w:p w14:paraId="44E01333">
            <w:pPr>
              <w:snapToGrid w:val="0"/>
              <w:spacing w:line="400" w:lineRule="exact"/>
              <w:jc w:val="center"/>
              <w:rPr>
                <w:rFonts w:ascii="宋体" w:hAnsi="宋体"/>
                <w:color w:val="auto"/>
                <w:kern w:val="0"/>
                <w:szCs w:val="21"/>
                <w:highlight w:val="none"/>
              </w:rPr>
            </w:pPr>
          </w:p>
          <w:p w14:paraId="2DC80F7F">
            <w:pPr>
              <w:snapToGrid w:val="0"/>
              <w:spacing w:line="400" w:lineRule="exact"/>
              <w:jc w:val="center"/>
              <w:rPr>
                <w:rFonts w:ascii="宋体" w:hAnsi="宋体"/>
                <w:color w:val="auto"/>
                <w:kern w:val="0"/>
                <w:szCs w:val="21"/>
                <w:highlight w:val="none"/>
              </w:rPr>
            </w:pPr>
          </w:p>
          <w:p w14:paraId="4CA6D2B8">
            <w:pPr>
              <w:snapToGrid w:val="0"/>
              <w:spacing w:line="400" w:lineRule="exact"/>
              <w:jc w:val="center"/>
              <w:rPr>
                <w:rFonts w:ascii="宋体" w:hAnsi="宋体"/>
                <w:color w:val="auto"/>
                <w:kern w:val="0"/>
                <w:szCs w:val="21"/>
                <w:highlight w:val="none"/>
              </w:rPr>
            </w:pPr>
          </w:p>
          <w:p w14:paraId="0F05DB14">
            <w:pPr>
              <w:snapToGrid w:val="0"/>
              <w:spacing w:line="400" w:lineRule="exact"/>
              <w:jc w:val="center"/>
              <w:rPr>
                <w:rFonts w:ascii="宋体" w:hAnsi="宋体"/>
                <w:color w:val="auto"/>
                <w:kern w:val="0"/>
                <w:szCs w:val="21"/>
                <w:highlight w:val="none"/>
              </w:rPr>
            </w:pPr>
          </w:p>
          <w:p w14:paraId="0514CB98">
            <w:pPr>
              <w:snapToGrid w:val="0"/>
              <w:spacing w:line="400" w:lineRule="exact"/>
              <w:jc w:val="center"/>
              <w:rPr>
                <w:rFonts w:ascii="宋体" w:hAnsi="宋体"/>
                <w:color w:val="auto"/>
                <w:kern w:val="0"/>
                <w:szCs w:val="21"/>
                <w:highlight w:val="none"/>
              </w:rPr>
            </w:pPr>
          </w:p>
          <w:p w14:paraId="69240194">
            <w:pPr>
              <w:snapToGrid w:val="0"/>
              <w:spacing w:line="400" w:lineRule="exact"/>
              <w:jc w:val="center"/>
              <w:rPr>
                <w:rFonts w:ascii="宋体" w:hAnsi="宋体"/>
                <w:color w:val="auto"/>
                <w:kern w:val="0"/>
                <w:szCs w:val="21"/>
                <w:highlight w:val="none"/>
              </w:rPr>
            </w:pPr>
          </w:p>
          <w:p w14:paraId="02D68C38">
            <w:pPr>
              <w:snapToGrid w:val="0"/>
              <w:spacing w:line="400" w:lineRule="exact"/>
              <w:jc w:val="center"/>
              <w:rPr>
                <w:rFonts w:ascii="宋体" w:hAnsi="宋体"/>
                <w:color w:val="auto"/>
                <w:kern w:val="0"/>
                <w:szCs w:val="21"/>
                <w:highlight w:val="none"/>
              </w:rPr>
            </w:pPr>
          </w:p>
          <w:p w14:paraId="51E46B86">
            <w:pPr>
              <w:snapToGrid w:val="0"/>
              <w:spacing w:line="400" w:lineRule="exact"/>
              <w:jc w:val="center"/>
              <w:rPr>
                <w:rFonts w:ascii="宋体" w:hAnsi="宋体"/>
                <w:color w:val="auto"/>
                <w:kern w:val="0"/>
                <w:szCs w:val="21"/>
                <w:highlight w:val="none"/>
              </w:rPr>
            </w:pPr>
          </w:p>
          <w:p w14:paraId="4CD9952F">
            <w:pPr>
              <w:snapToGrid w:val="0"/>
              <w:spacing w:line="400" w:lineRule="exact"/>
              <w:jc w:val="center"/>
              <w:rPr>
                <w:rFonts w:ascii="宋体" w:hAnsi="宋体"/>
                <w:color w:val="auto"/>
                <w:kern w:val="0"/>
                <w:szCs w:val="21"/>
                <w:highlight w:val="none"/>
              </w:rPr>
            </w:pPr>
          </w:p>
          <w:p w14:paraId="026FF193">
            <w:pPr>
              <w:snapToGrid w:val="0"/>
              <w:spacing w:line="400" w:lineRule="exact"/>
              <w:jc w:val="both"/>
              <w:rPr>
                <w:rFonts w:ascii="宋体" w:hAnsi="宋体"/>
                <w:color w:val="auto"/>
                <w:kern w:val="0"/>
                <w:szCs w:val="21"/>
                <w:highlight w:val="none"/>
              </w:rPr>
            </w:pPr>
          </w:p>
        </w:tc>
        <w:tc>
          <w:tcPr>
            <w:tcW w:w="1644" w:type="dxa"/>
            <w:vAlign w:val="center"/>
          </w:tcPr>
          <w:p w14:paraId="3ACE3178">
            <w:pPr>
              <w:snapToGrid w:val="0"/>
              <w:spacing w:line="400" w:lineRule="exact"/>
              <w:jc w:val="center"/>
              <w:rPr>
                <w:rFonts w:ascii="宋体" w:hAnsi="宋体"/>
                <w:color w:val="auto"/>
                <w:kern w:val="0"/>
                <w:szCs w:val="21"/>
                <w:highlight w:val="none"/>
              </w:rPr>
            </w:pPr>
          </w:p>
          <w:p w14:paraId="307BCAF1">
            <w:pPr>
              <w:snapToGrid w:val="0"/>
              <w:spacing w:line="400" w:lineRule="exact"/>
              <w:jc w:val="center"/>
              <w:rPr>
                <w:rFonts w:ascii="宋体" w:hAnsi="宋体"/>
                <w:color w:val="auto"/>
                <w:kern w:val="0"/>
                <w:szCs w:val="21"/>
                <w:highlight w:val="none"/>
              </w:rPr>
            </w:pPr>
          </w:p>
          <w:p w14:paraId="1B787D2D">
            <w:pPr>
              <w:snapToGrid w:val="0"/>
              <w:spacing w:line="400" w:lineRule="exact"/>
              <w:jc w:val="center"/>
              <w:rPr>
                <w:rFonts w:ascii="宋体" w:hAnsi="宋体"/>
                <w:color w:val="auto"/>
                <w:kern w:val="0"/>
                <w:szCs w:val="21"/>
                <w:highlight w:val="none"/>
              </w:rPr>
            </w:pPr>
          </w:p>
          <w:p w14:paraId="1D9F03C4">
            <w:pPr>
              <w:snapToGrid w:val="0"/>
              <w:spacing w:line="400" w:lineRule="exact"/>
              <w:jc w:val="center"/>
              <w:rPr>
                <w:rFonts w:ascii="宋体" w:hAnsi="宋体"/>
                <w:color w:val="auto"/>
                <w:kern w:val="0"/>
                <w:szCs w:val="21"/>
                <w:highlight w:val="none"/>
              </w:rPr>
            </w:pPr>
          </w:p>
          <w:p w14:paraId="0C2C3947">
            <w:pPr>
              <w:snapToGrid w:val="0"/>
              <w:spacing w:line="400" w:lineRule="exact"/>
              <w:jc w:val="center"/>
              <w:rPr>
                <w:rFonts w:ascii="宋体" w:hAnsi="宋体"/>
                <w:color w:val="auto"/>
                <w:kern w:val="0"/>
                <w:szCs w:val="21"/>
                <w:highlight w:val="none"/>
              </w:rPr>
            </w:pPr>
          </w:p>
          <w:p w14:paraId="4E3A7959">
            <w:pPr>
              <w:snapToGrid w:val="0"/>
              <w:spacing w:line="400" w:lineRule="exact"/>
              <w:jc w:val="center"/>
              <w:rPr>
                <w:rFonts w:ascii="宋体" w:hAnsi="宋体"/>
                <w:color w:val="auto"/>
                <w:kern w:val="0"/>
                <w:szCs w:val="21"/>
                <w:highlight w:val="none"/>
              </w:rPr>
            </w:pPr>
          </w:p>
          <w:p w14:paraId="27737796">
            <w:pPr>
              <w:snapToGrid w:val="0"/>
              <w:spacing w:line="400" w:lineRule="exact"/>
              <w:jc w:val="center"/>
              <w:rPr>
                <w:rFonts w:ascii="宋体" w:hAnsi="宋体"/>
                <w:color w:val="auto"/>
                <w:kern w:val="0"/>
                <w:szCs w:val="21"/>
                <w:highlight w:val="none"/>
              </w:rPr>
            </w:pPr>
          </w:p>
          <w:p w14:paraId="57EE1362">
            <w:pPr>
              <w:snapToGrid w:val="0"/>
              <w:spacing w:line="400" w:lineRule="exact"/>
              <w:jc w:val="center"/>
              <w:rPr>
                <w:rFonts w:ascii="宋体" w:hAnsi="宋体"/>
                <w:color w:val="auto"/>
                <w:kern w:val="0"/>
                <w:szCs w:val="21"/>
                <w:highlight w:val="none"/>
              </w:rPr>
            </w:pPr>
          </w:p>
          <w:p w14:paraId="32501DEB">
            <w:pPr>
              <w:snapToGrid w:val="0"/>
              <w:spacing w:line="400" w:lineRule="exact"/>
              <w:jc w:val="center"/>
              <w:rPr>
                <w:rFonts w:ascii="宋体" w:hAnsi="宋体"/>
                <w:color w:val="auto"/>
                <w:kern w:val="0"/>
                <w:szCs w:val="21"/>
                <w:highlight w:val="none"/>
              </w:rPr>
            </w:pPr>
          </w:p>
          <w:p w14:paraId="4CF2BAF5">
            <w:pPr>
              <w:snapToGrid w:val="0"/>
              <w:spacing w:line="400" w:lineRule="exact"/>
              <w:jc w:val="center"/>
              <w:rPr>
                <w:rFonts w:ascii="宋体" w:hAnsi="宋体"/>
                <w:color w:val="auto"/>
                <w:kern w:val="0"/>
                <w:szCs w:val="21"/>
                <w:highlight w:val="none"/>
              </w:rPr>
            </w:pPr>
          </w:p>
          <w:p w14:paraId="588A09BB">
            <w:pPr>
              <w:snapToGrid w:val="0"/>
              <w:spacing w:line="400" w:lineRule="exact"/>
              <w:jc w:val="center"/>
              <w:rPr>
                <w:rFonts w:ascii="宋体" w:hAnsi="宋体"/>
                <w:color w:val="auto"/>
                <w:kern w:val="0"/>
                <w:szCs w:val="21"/>
                <w:highlight w:val="none"/>
              </w:rPr>
            </w:pPr>
          </w:p>
          <w:p w14:paraId="396550DC">
            <w:pPr>
              <w:snapToGrid w:val="0"/>
              <w:spacing w:line="400" w:lineRule="exact"/>
              <w:jc w:val="center"/>
              <w:rPr>
                <w:rFonts w:ascii="宋体" w:hAnsi="宋体"/>
                <w:color w:val="auto"/>
                <w:kern w:val="0"/>
                <w:szCs w:val="21"/>
                <w:highlight w:val="none"/>
              </w:rPr>
            </w:pPr>
          </w:p>
          <w:p w14:paraId="1DFB6C9B">
            <w:pPr>
              <w:snapToGrid w:val="0"/>
              <w:spacing w:line="400" w:lineRule="exact"/>
              <w:jc w:val="center"/>
              <w:rPr>
                <w:rFonts w:ascii="宋体" w:hAnsi="宋体"/>
                <w:color w:val="auto"/>
                <w:kern w:val="0"/>
                <w:szCs w:val="21"/>
                <w:highlight w:val="none"/>
              </w:rPr>
            </w:pPr>
          </w:p>
          <w:p w14:paraId="57A9E927">
            <w:pPr>
              <w:snapToGrid w:val="0"/>
              <w:spacing w:line="400" w:lineRule="exact"/>
              <w:jc w:val="center"/>
              <w:rPr>
                <w:rFonts w:ascii="宋体" w:hAnsi="宋体"/>
                <w:color w:val="auto"/>
                <w:kern w:val="0"/>
                <w:szCs w:val="21"/>
                <w:highlight w:val="none"/>
              </w:rPr>
            </w:pPr>
          </w:p>
          <w:p w14:paraId="7E3A9A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24C13736">
            <w:pPr>
              <w:snapToGrid w:val="0"/>
              <w:spacing w:line="400" w:lineRule="exact"/>
              <w:jc w:val="center"/>
              <w:rPr>
                <w:rFonts w:ascii="宋体" w:hAnsi="宋体"/>
                <w:color w:val="auto"/>
                <w:kern w:val="0"/>
                <w:szCs w:val="21"/>
                <w:highlight w:val="none"/>
              </w:rPr>
            </w:pPr>
          </w:p>
          <w:p w14:paraId="1A4F9312">
            <w:pPr>
              <w:snapToGrid w:val="0"/>
              <w:spacing w:line="400" w:lineRule="exact"/>
              <w:jc w:val="center"/>
              <w:rPr>
                <w:rFonts w:ascii="宋体" w:hAnsi="宋体"/>
                <w:color w:val="auto"/>
                <w:kern w:val="0"/>
                <w:szCs w:val="21"/>
                <w:highlight w:val="none"/>
              </w:rPr>
            </w:pPr>
          </w:p>
          <w:p w14:paraId="55BD58E0">
            <w:pPr>
              <w:snapToGrid w:val="0"/>
              <w:spacing w:line="400" w:lineRule="exact"/>
              <w:jc w:val="center"/>
              <w:rPr>
                <w:rFonts w:ascii="宋体" w:hAnsi="宋体"/>
                <w:color w:val="auto"/>
                <w:kern w:val="0"/>
                <w:szCs w:val="21"/>
                <w:highlight w:val="none"/>
              </w:rPr>
            </w:pPr>
          </w:p>
          <w:p w14:paraId="05ACF3EB">
            <w:pPr>
              <w:snapToGrid w:val="0"/>
              <w:spacing w:line="400" w:lineRule="exact"/>
              <w:jc w:val="center"/>
              <w:rPr>
                <w:rFonts w:ascii="宋体" w:hAnsi="宋体"/>
                <w:color w:val="auto"/>
                <w:kern w:val="0"/>
                <w:szCs w:val="21"/>
                <w:highlight w:val="none"/>
              </w:rPr>
            </w:pPr>
          </w:p>
          <w:p w14:paraId="43D2AD15">
            <w:pPr>
              <w:snapToGrid w:val="0"/>
              <w:spacing w:line="400" w:lineRule="exact"/>
              <w:jc w:val="center"/>
              <w:rPr>
                <w:rFonts w:ascii="宋体" w:hAnsi="宋体"/>
                <w:color w:val="auto"/>
                <w:kern w:val="0"/>
                <w:szCs w:val="21"/>
                <w:highlight w:val="none"/>
              </w:rPr>
            </w:pPr>
          </w:p>
          <w:p w14:paraId="5F7D9970">
            <w:pPr>
              <w:snapToGrid w:val="0"/>
              <w:spacing w:line="400" w:lineRule="exact"/>
              <w:jc w:val="center"/>
              <w:rPr>
                <w:rFonts w:ascii="宋体" w:hAnsi="宋体"/>
                <w:color w:val="auto"/>
                <w:kern w:val="0"/>
                <w:szCs w:val="21"/>
                <w:highlight w:val="none"/>
              </w:rPr>
            </w:pPr>
          </w:p>
          <w:p w14:paraId="4E1164D7">
            <w:pPr>
              <w:snapToGrid w:val="0"/>
              <w:spacing w:line="400" w:lineRule="exact"/>
              <w:jc w:val="center"/>
              <w:rPr>
                <w:rFonts w:ascii="宋体" w:hAnsi="宋体"/>
                <w:color w:val="auto"/>
                <w:kern w:val="0"/>
                <w:szCs w:val="21"/>
                <w:highlight w:val="none"/>
              </w:rPr>
            </w:pPr>
          </w:p>
          <w:p w14:paraId="2B1B3AD6">
            <w:pPr>
              <w:snapToGrid w:val="0"/>
              <w:spacing w:line="400" w:lineRule="exact"/>
              <w:jc w:val="center"/>
              <w:rPr>
                <w:rFonts w:ascii="宋体" w:hAnsi="宋体"/>
                <w:color w:val="auto"/>
                <w:kern w:val="0"/>
                <w:szCs w:val="21"/>
                <w:highlight w:val="none"/>
              </w:rPr>
            </w:pPr>
          </w:p>
          <w:p w14:paraId="202BFA1D">
            <w:pPr>
              <w:snapToGrid w:val="0"/>
              <w:spacing w:line="400" w:lineRule="exact"/>
              <w:jc w:val="center"/>
              <w:rPr>
                <w:rFonts w:ascii="宋体" w:hAnsi="宋体"/>
                <w:color w:val="auto"/>
                <w:kern w:val="0"/>
                <w:szCs w:val="21"/>
                <w:highlight w:val="none"/>
              </w:rPr>
            </w:pPr>
          </w:p>
          <w:p w14:paraId="6DB6896A">
            <w:pPr>
              <w:snapToGrid w:val="0"/>
              <w:spacing w:line="400" w:lineRule="exact"/>
              <w:jc w:val="center"/>
              <w:rPr>
                <w:rFonts w:ascii="宋体" w:hAnsi="宋体"/>
                <w:color w:val="auto"/>
                <w:kern w:val="0"/>
                <w:szCs w:val="21"/>
                <w:highlight w:val="none"/>
              </w:rPr>
            </w:pPr>
          </w:p>
          <w:p w14:paraId="04C74DFE">
            <w:pPr>
              <w:snapToGrid w:val="0"/>
              <w:spacing w:line="400" w:lineRule="exact"/>
              <w:jc w:val="center"/>
              <w:rPr>
                <w:rFonts w:ascii="宋体" w:hAnsi="宋体"/>
                <w:color w:val="auto"/>
                <w:kern w:val="0"/>
                <w:szCs w:val="21"/>
                <w:highlight w:val="none"/>
              </w:rPr>
            </w:pPr>
          </w:p>
          <w:p w14:paraId="339291AB">
            <w:pPr>
              <w:snapToGrid w:val="0"/>
              <w:spacing w:line="400" w:lineRule="exact"/>
              <w:jc w:val="center"/>
              <w:rPr>
                <w:rFonts w:ascii="宋体" w:hAnsi="宋体"/>
                <w:color w:val="auto"/>
                <w:kern w:val="0"/>
                <w:szCs w:val="21"/>
                <w:highlight w:val="none"/>
              </w:rPr>
            </w:pPr>
          </w:p>
          <w:p w14:paraId="051139D0">
            <w:pPr>
              <w:snapToGrid w:val="0"/>
              <w:spacing w:line="400" w:lineRule="exact"/>
              <w:jc w:val="center"/>
              <w:rPr>
                <w:rFonts w:ascii="宋体" w:hAnsi="宋体"/>
                <w:color w:val="auto"/>
                <w:kern w:val="0"/>
                <w:szCs w:val="21"/>
                <w:highlight w:val="none"/>
              </w:rPr>
            </w:pPr>
          </w:p>
          <w:p w14:paraId="0745BAB9">
            <w:pPr>
              <w:snapToGrid w:val="0"/>
              <w:spacing w:line="400" w:lineRule="exact"/>
              <w:jc w:val="center"/>
              <w:rPr>
                <w:rFonts w:ascii="宋体" w:hAnsi="宋体"/>
                <w:color w:val="auto"/>
                <w:kern w:val="0"/>
                <w:szCs w:val="21"/>
                <w:highlight w:val="none"/>
              </w:rPr>
            </w:pPr>
          </w:p>
          <w:p w14:paraId="206765D9">
            <w:pPr>
              <w:snapToGrid w:val="0"/>
              <w:spacing w:line="400" w:lineRule="exact"/>
              <w:jc w:val="center"/>
              <w:rPr>
                <w:rFonts w:ascii="宋体" w:hAnsi="宋体"/>
                <w:color w:val="auto"/>
                <w:kern w:val="0"/>
                <w:szCs w:val="21"/>
                <w:highlight w:val="none"/>
              </w:rPr>
            </w:pPr>
          </w:p>
          <w:p w14:paraId="297BAD29">
            <w:pPr>
              <w:snapToGrid w:val="0"/>
              <w:spacing w:line="400" w:lineRule="exact"/>
              <w:jc w:val="center"/>
              <w:rPr>
                <w:rFonts w:ascii="宋体" w:hAnsi="宋体"/>
                <w:color w:val="auto"/>
                <w:kern w:val="0"/>
                <w:szCs w:val="21"/>
                <w:highlight w:val="none"/>
              </w:rPr>
            </w:pPr>
          </w:p>
          <w:p w14:paraId="75C8BDEC">
            <w:pPr>
              <w:snapToGrid w:val="0"/>
              <w:spacing w:line="400" w:lineRule="exact"/>
              <w:jc w:val="center"/>
              <w:rPr>
                <w:rFonts w:ascii="宋体" w:hAnsi="宋体"/>
                <w:color w:val="auto"/>
                <w:kern w:val="0"/>
                <w:szCs w:val="21"/>
                <w:highlight w:val="none"/>
              </w:rPr>
            </w:pPr>
          </w:p>
          <w:p w14:paraId="3E016711">
            <w:pPr>
              <w:snapToGrid w:val="0"/>
              <w:spacing w:line="400" w:lineRule="exact"/>
              <w:jc w:val="center"/>
              <w:rPr>
                <w:rFonts w:ascii="宋体" w:hAnsi="宋体"/>
                <w:color w:val="auto"/>
                <w:kern w:val="0"/>
                <w:szCs w:val="21"/>
                <w:highlight w:val="none"/>
              </w:rPr>
            </w:pPr>
          </w:p>
          <w:p w14:paraId="64543DFE">
            <w:pPr>
              <w:snapToGrid w:val="0"/>
              <w:spacing w:line="400" w:lineRule="exact"/>
              <w:jc w:val="center"/>
              <w:rPr>
                <w:rFonts w:ascii="宋体" w:hAnsi="宋体"/>
                <w:color w:val="auto"/>
                <w:kern w:val="0"/>
                <w:szCs w:val="21"/>
                <w:highlight w:val="none"/>
              </w:rPr>
            </w:pPr>
          </w:p>
          <w:p w14:paraId="5ABC12C7">
            <w:pPr>
              <w:snapToGrid w:val="0"/>
              <w:spacing w:line="400" w:lineRule="exact"/>
              <w:jc w:val="center"/>
              <w:rPr>
                <w:rFonts w:ascii="宋体" w:hAnsi="宋体"/>
                <w:color w:val="auto"/>
                <w:kern w:val="0"/>
                <w:szCs w:val="21"/>
                <w:highlight w:val="none"/>
              </w:rPr>
            </w:pPr>
          </w:p>
          <w:p w14:paraId="2957FEF3">
            <w:pPr>
              <w:snapToGrid w:val="0"/>
              <w:spacing w:line="400" w:lineRule="exact"/>
              <w:jc w:val="center"/>
              <w:rPr>
                <w:rFonts w:ascii="宋体" w:hAnsi="宋体"/>
                <w:color w:val="auto"/>
                <w:kern w:val="0"/>
                <w:szCs w:val="21"/>
                <w:highlight w:val="none"/>
              </w:rPr>
            </w:pPr>
          </w:p>
          <w:p w14:paraId="34E10708">
            <w:pPr>
              <w:snapToGrid w:val="0"/>
              <w:spacing w:line="400" w:lineRule="exact"/>
              <w:jc w:val="center"/>
              <w:rPr>
                <w:rFonts w:ascii="宋体" w:hAnsi="宋体"/>
                <w:color w:val="auto"/>
                <w:kern w:val="0"/>
                <w:szCs w:val="21"/>
                <w:highlight w:val="none"/>
              </w:rPr>
            </w:pPr>
          </w:p>
          <w:p w14:paraId="1BFE9CB9">
            <w:pPr>
              <w:snapToGrid w:val="0"/>
              <w:spacing w:line="400" w:lineRule="exact"/>
              <w:jc w:val="center"/>
              <w:rPr>
                <w:rFonts w:ascii="宋体" w:hAnsi="宋体"/>
                <w:color w:val="auto"/>
                <w:kern w:val="0"/>
                <w:szCs w:val="21"/>
                <w:highlight w:val="none"/>
              </w:rPr>
            </w:pPr>
          </w:p>
          <w:p w14:paraId="044D9404">
            <w:pPr>
              <w:snapToGrid w:val="0"/>
              <w:spacing w:line="400" w:lineRule="exact"/>
              <w:jc w:val="center"/>
              <w:rPr>
                <w:rFonts w:ascii="宋体" w:hAnsi="宋体"/>
                <w:color w:val="auto"/>
                <w:kern w:val="0"/>
                <w:szCs w:val="21"/>
                <w:highlight w:val="none"/>
              </w:rPr>
            </w:pPr>
          </w:p>
          <w:p w14:paraId="1CD90E83">
            <w:pPr>
              <w:snapToGrid w:val="0"/>
              <w:spacing w:line="400" w:lineRule="exact"/>
              <w:jc w:val="center"/>
              <w:rPr>
                <w:rFonts w:ascii="宋体" w:hAnsi="宋体"/>
                <w:color w:val="auto"/>
                <w:kern w:val="0"/>
                <w:szCs w:val="21"/>
                <w:highlight w:val="none"/>
              </w:rPr>
            </w:pPr>
          </w:p>
          <w:p w14:paraId="28E72B4D">
            <w:pPr>
              <w:snapToGrid w:val="0"/>
              <w:spacing w:line="400" w:lineRule="exact"/>
              <w:jc w:val="center"/>
              <w:rPr>
                <w:rFonts w:ascii="宋体" w:hAnsi="宋体"/>
                <w:color w:val="auto"/>
                <w:kern w:val="0"/>
                <w:szCs w:val="21"/>
                <w:highlight w:val="none"/>
              </w:rPr>
            </w:pPr>
          </w:p>
          <w:p w14:paraId="5BC8EA64">
            <w:pPr>
              <w:snapToGrid w:val="0"/>
              <w:spacing w:line="400" w:lineRule="exact"/>
              <w:jc w:val="center"/>
              <w:rPr>
                <w:rFonts w:ascii="宋体" w:hAnsi="宋体"/>
                <w:color w:val="auto"/>
                <w:kern w:val="0"/>
                <w:szCs w:val="21"/>
                <w:highlight w:val="none"/>
              </w:rPr>
            </w:pPr>
          </w:p>
          <w:p w14:paraId="61A88BEB">
            <w:pPr>
              <w:snapToGrid w:val="0"/>
              <w:spacing w:line="400" w:lineRule="exact"/>
              <w:jc w:val="center"/>
              <w:rPr>
                <w:rFonts w:ascii="宋体" w:hAnsi="宋体"/>
                <w:color w:val="auto"/>
                <w:kern w:val="0"/>
                <w:szCs w:val="21"/>
                <w:highlight w:val="none"/>
              </w:rPr>
            </w:pPr>
          </w:p>
          <w:p w14:paraId="04F448EE">
            <w:pPr>
              <w:snapToGrid w:val="0"/>
              <w:spacing w:line="400" w:lineRule="exact"/>
              <w:jc w:val="center"/>
              <w:rPr>
                <w:rFonts w:ascii="宋体" w:hAnsi="宋体"/>
                <w:color w:val="auto"/>
                <w:kern w:val="0"/>
                <w:szCs w:val="21"/>
                <w:highlight w:val="none"/>
              </w:rPr>
            </w:pPr>
          </w:p>
          <w:p w14:paraId="70615420">
            <w:pPr>
              <w:snapToGrid w:val="0"/>
              <w:spacing w:line="400" w:lineRule="exact"/>
              <w:jc w:val="center"/>
              <w:rPr>
                <w:rFonts w:ascii="宋体" w:hAnsi="宋体"/>
                <w:color w:val="auto"/>
                <w:kern w:val="0"/>
                <w:szCs w:val="21"/>
                <w:highlight w:val="none"/>
              </w:rPr>
            </w:pPr>
          </w:p>
          <w:p w14:paraId="5615B615">
            <w:pPr>
              <w:snapToGrid w:val="0"/>
              <w:spacing w:line="400" w:lineRule="exact"/>
              <w:jc w:val="center"/>
              <w:rPr>
                <w:rFonts w:ascii="宋体" w:hAnsi="宋体"/>
                <w:color w:val="auto"/>
                <w:kern w:val="0"/>
                <w:szCs w:val="21"/>
                <w:highlight w:val="none"/>
              </w:rPr>
            </w:pPr>
          </w:p>
          <w:p w14:paraId="4964E239">
            <w:pPr>
              <w:snapToGrid w:val="0"/>
              <w:spacing w:line="400" w:lineRule="exact"/>
              <w:jc w:val="center"/>
              <w:rPr>
                <w:rFonts w:ascii="宋体" w:hAnsi="宋体"/>
                <w:color w:val="auto"/>
                <w:kern w:val="0"/>
                <w:szCs w:val="21"/>
                <w:highlight w:val="none"/>
              </w:rPr>
            </w:pPr>
          </w:p>
          <w:p w14:paraId="614A3B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7889AE9D">
            <w:pPr>
              <w:snapToGrid w:val="0"/>
              <w:spacing w:line="400" w:lineRule="exact"/>
              <w:jc w:val="center"/>
              <w:rPr>
                <w:rFonts w:ascii="宋体" w:hAnsi="宋体"/>
                <w:color w:val="auto"/>
                <w:kern w:val="0"/>
                <w:szCs w:val="21"/>
                <w:highlight w:val="none"/>
              </w:rPr>
            </w:pPr>
          </w:p>
          <w:p w14:paraId="1B82D597">
            <w:pPr>
              <w:snapToGrid w:val="0"/>
              <w:spacing w:line="400" w:lineRule="exact"/>
              <w:jc w:val="center"/>
              <w:rPr>
                <w:rFonts w:ascii="宋体" w:hAnsi="宋体"/>
                <w:color w:val="auto"/>
                <w:kern w:val="0"/>
                <w:szCs w:val="21"/>
                <w:highlight w:val="none"/>
              </w:rPr>
            </w:pPr>
          </w:p>
          <w:p w14:paraId="50324A31">
            <w:pPr>
              <w:snapToGrid w:val="0"/>
              <w:spacing w:line="400" w:lineRule="exact"/>
              <w:jc w:val="center"/>
              <w:rPr>
                <w:rFonts w:ascii="宋体" w:hAnsi="宋体"/>
                <w:color w:val="auto"/>
                <w:kern w:val="0"/>
                <w:szCs w:val="21"/>
                <w:highlight w:val="none"/>
              </w:rPr>
            </w:pPr>
          </w:p>
          <w:p w14:paraId="52F3A03E">
            <w:pPr>
              <w:snapToGrid w:val="0"/>
              <w:spacing w:line="400" w:lineRule="exact"/>
              <w:jc w:val="center"/>
              <w:rPr>
                <w:rFonts w:ascii="宋体" w:hAnsi="宋体"/>
                <w:color w:val="auto"/>
                <w:kern w:val="0"/>
                <w:szCs w:val="21"/>
                <w:highlight w:val="none"/>
              </w:rPr>
            </w:pPr>
          </w:p>
          <w:p w14:paraId="23FAC4F4">
            <w:pPr>
              <w:snapToGrid w:val="0"/>
              <w:spacing w:line="400" w:lineRule="exact"/>
              <w:jc w:val="center"/>
              <w:rPr>
                <w:rFonts w:ascii="宋体" w:hAnsi="宋体"/>
                <w:color w:val="auto"/>
                <w:kern w:val="0"/>
                <w:szCs w:val="21"/>
                <w:highlight w:val="none"/>
              </w:rPr>
            </w:pPr>
          </w:p>
          <w:p w14:paraId="20371F25">
            <w:pPr>
              <w:snapToGrid w:val="0"/>
              <w:spacing w:line="400" w:lineRule="exact"/>
              <w:jc w:val="center"/>
              <w:rPr>
                <w:rFonts w:ascii="宋体" w:hAnsi="宋体"/>
                <w:color w:val="auto"/>
                <w:kern w:val="0"/>
                <w:szCs w:val="21"/>
                <w:highlight w:val="none"/>
              </w:rPr>
            </w:pPr>
          </w:p>
          <w:p w14:paraId="2B7ACE2F">
            <w:pPr>
              <w:snapToGrid w:val="0"/>
              <w:spacing w:line="400" w:lineRule="exact"/>
              <w:jc w:val="center"/>
              <w:rPr>
                <w:rFonts w:ascii="宋体" w:hAnsi="宋体"/>
                <w:color w:val="auto"/>
                <w:kern w:val="0"/>
                <w:szCs w:val="21"/>
                <w:highlight w:val="none"/>
              </w:rPr>
            </w:pPr>
          </w:p>
          <w:p w14:paraId="764E0149">
            <w:pPr>
              <w:snapToGrid w:val="0"/>
              <w:spacing w:line="400" w:lineRule="exact"/>
              <w:jc w:val="center"/>
              <w:rPr>
                <w:rFonts w:ascii="宋体" w:hAnsi="宋体"/>
                <w:color w:val="auto"/>
                <w:kern w:val="0"/>
                <w:szCs w:val="21"/>
                <w:highlight w:val="none"/>
              </w:rPr>
            </w:pPr>
          </w:p>
          <w:p w14:paraId="2D4EA466">
            <w:pPr>
              <w:snapToGrid w:val="0"/>
              <w:spacing w:line="400" w:lineRule="exact"/>
              <w:jc w:val="center"/>
              <w:rPr>
                <w:rFonts w:ascii="宋体" w:hAnsi="宋体"/>
                <w:color w:val="auto"/>
                <w:kern w:val="0"/>
                <w:szCs w:val="21"/>
                <w:highlight w:val="none"/>
              </w:rPr>
            </w:pPr>
          </w:p>
          <w:p w14:paraId="53648CD0">
            <w:pPr>
              <w:snapToGrid w:val="0"/>
              <w:spacing w:line="400" w:lineRule="exact"/>
              <w:jc w:val="center"/>
              <w:rPr>
                <w:rFonts w:ascii="宋体" w:hAnsi="宋体"/>
                <w:color w:val="auto"/>
                <w:kern w:val="0"/>
                <w:szCs w:val="21"/>
                <w:highlight w:val="none"/>
              </w:rPr>
            </w:pPr>
          </w:p>
          <w:p w14:paraId="53F10475">
            <w:pPr>
              <w:snapToGrid w:val="0"/>
              <w:spacing w:line="400" w:lineRule="exact"/>
              <w:jc w:val="center"/>
              <w:rPr>
                <w:rFonts w:ascii="宋体" w:hAnsi="宋体"/>
                <w:color w:val="auto"/>
                <w:kern w:val="0"/>
                <w:szCs w:val="21"/>
                <w:highlight w:val="none"/>
              </w:rPr>
            </w:pPr>
          </w:p>
          <w:p w14:paraId="492CF869">
            <w:pPr>
              <w:snapToGrid w:val="0"/>
              <w:spacing w:line="400" w:lineRule="exact"/>
              <w:jc w:val="center"/>
              <w:rPr>
                <w:rFonts w:ascii="宋体" w:hAnsi="宋体"/>
                <w:color w:val="auto"/>
                <w:kern w:val="0"/>
                <w:szCs w:val="21"/>
                <w:highlight w:val="none"/>
              </w:rPr>
            </w:pPr>
          </w:p>
          <w:p w14:paraId="4F7FD29E">
            <w:pPr>
              <w:snapToGrid w:val="0"/>
              <w:spacing w:line="400" w:lineRule="exact"/>
              <w:jc w:val="center"/>
              <w:rPr>
                <w:rFonts w:ascii="宋体" w:hAnsi="宋体"/>
                <w:color w:val="auto"/>
                <w:kern w:val="0"/>
                <w:szCs w:val="21"/>
                <w:highlight w:val="none"/>
              </w:rPr>
            </w:pPr>
          </w:p>
          <w:p w14:paraId="39059162">
            <w:pPr>
              <w:snapToGrid w:val="0"/>
              <w:spacing w:line="400" w:lineRule="exact"/>
              <w:jc w:val="center"/>
              <w:rPr>
                <w:rFonts w:ascii="宋体" w:hAnsi="宋体"/>
                <w:color w:val="auto"/>
                <w:kern w:val="0"/>
                <w:szCs w:val="21"/>
                <w:highlight w:val="none"/>
              </w:rPr>
            </w:pPr>
          </w:p>
          <w:p w14:paraId="6CA5C255">
            <w:pPr>
              <w:snapToGrid w:val="0"/>
              <w:spacing w:line="400" w:lineRule="exact"/>
              <w:jc w:val="center"/>
              <w:rPr>
                <w:rFonts w:ascii="宋体" w:hAnsi="宋体"/>
                <w:color w:val="auto"/>
                <w:kern w:val="0"/>
                <w:szCs w:val="21"/>
                <w:highlight w:val="none"/>
              </w:rPr>
            </w:pPr>
          </w:p>
          <w:p w14:paraId="0BDBAF72">
            <w:pPr>
              <w:snapToGrid w:val="0"/>
              <w:spacing w:line="400" w:lineRule="exact"/>
              <w:jc w:val="center"/>
              <w:rPr>
                <w:rFonts w:ascii="宋体" w:hAnsi="宋体"/>
                <w:color w:val="auto"/>
                <w:kern w:val="0"/>
                <w:szCs w:val="21"/>
                <w:highlight w:val="none"/>
              </w:rPr>
            </w:pPr>
          </w:p>
          <w:p w14:paraId="344AA50A">
            <w:pPr>
              <w:snapToGrid w:val="0"/>
              <w:spacing w:line="400" w:lineRule="exact"/>
              <w:jc w:val="center"/>
              <w:rPr>
                <w:rFonts w:ascii="宋体" w:hAnsi="宋体"/>
                <w:color w:val="auto"/>
                <w:kern w:val="0"/>
                <w:szCs w:val="21"/>
                <w:highlight w:val="none"/>
              </w:rPr>
            </w:pPr>
          </w:p>
          <w:p w14:paraId="30D0C34F">
            <w:pPr>
              <w:snapToGrid w:val="0"/>
              <w:spacing w:line="400" w:lineRule="exact"/>
              <w:jc w:val="center"/>
              <w:rPr>
                <w:rFonts w:ascii="宋体" w:hAnsi="宋体"/>
                <w:color w:val="auto"/>
                <w:kern w:val="0"/>
                <w:szCs w:val="21"/>
                <w:highlight w:val="none"/>
              </w:rPr>
            </w:pPr>
          </w:p>
          <w:p w14:paraId="4FC1BC8A">
            <w:pPr>
              <w:snapToGrid w:val="0"/>
              <w:spacing w:line="400" w:lineRule="exact"/>
              <w:jc w:val="center"/>
              <w:rPr>
                <w:rFonts w:ascii="宋体" w:hAnsi="宋体"/>
                <w:color w:val="auto"/>
                <w:kern w:val="0"/>
                <w:szCs w:val="21"/>
                <w:highlight w:val="none"/>
              </w:rPr>
            </w:pPr>
          </w:p>
          <w:p w14:paraId="67C656DA">
            <w:pPr>
              <w:snapToGrid w:val="0"/>
              <w:spacing w:line="400" w:lineRule="exact"/>
              <w:jc w:val="center"/>
              <w:rPr>
                <w:rFonts w:ascii="宋体" w:hAnsi="宋体"/>
                <w:color w:val="auto"/>
                <w:kern w:val="0"/>
                <w:szCs w:val="21"/>
                <w:highlight w:val="none"/>
              </w:rPr>
            </w:pPr>
          </w:p>
          <w:p w14:paraId="03A6F8C7">
            <w:pPr>
              <w:snapToGrid w:val="0"/>
              <w:spacing w:line="400" w:lineRule="exact"/>
              <w:jc w:val="center"/>
              <w:rPr>
                <w:rFonts w:ascii="宋体" w:hAnsi="宋体"/>
                <w:color w:val="auto"/>
                <w:kern w:val="0"/>
                <w:szCs w:val="21"/>
                <w:highlight w:val="none"/>
              </w:rPr>
            </w:pPr>
          </w:p>
          <w:p w14:paraId="17FBFA7F">
            <w:pPr>
              <w:snapToGrid w:val="0"/>
              <w:spacing w:line="400" w:lineRule="exact"/>
              <w:jc w:val="center"/>
              <w:rPr>
                <w:rFonts w:ascii="宋体" w:hAnsi="宋体"/>
                <w:color w:val="auto"/>
                <w:kern w:val="0"/>
                <w:szCs w:val="21"/>
                <w:highlight w:val="none"/>
              </w:rPr>
            </w:pPr>
          </w:p>
          <w:p w14:paraId="0799F91E">
            <w:pPr>
              <w:snapToGrid w:val="0"/>
              <w:spacing w:line="400" w:lineRule="exact"/>
              <w:jc w:val="center"/>
              <w:rPr>
                <w:rFonts w:ascii="宋体" w:hAnsi="宋体"/>
                <w:color w:val="auto"/>
                <w:kern w:val="0"/>
                <w:szCs w:val="21"/>
                <w:highlight w:val="none"/>
              </w:rPr>
            </w:pPr>
          </w:p>
          <w:p w14:paraId="5E0DBF8C">
            <w:pPr>
              <w:snapToGrid w:val="0"/>
              <w:spacing w:line="400" w:lineRule="exact"/>
              <w:jc w:val="center"/>
              <w:rPr>
                <w:rFonts w:ascii="宋体" w:hAnsi="宋体"/>
                <w:color w:val="auto"/>
                <w:kern w:val="0"/>
                <w:szCs w:val="21"/>
                <w:highlight w:val="none"/>
              </w:rPr>
            </w:pPr>
          </w:p>
          <w:p w14:paraId="41179ABF">
            <w:pPr>
              <w:snapToGrid w:val="0"/>
              <w:spacing w:line="400" w:lineRule="exact"/>
              <w:jc w:val="center"/>
              <w:rPr>
                <w:rFonts w:ascii="宋体" w:hAnsi="宋体"/>
                <w:color w:val="auto"/>
                <w:kern w:val="0"/>
                <w:szCs w:val="21"/>
                <w:highlight w:val="none"/>
              </w:rPr>
            </w:pPr>
          </w:p>
          <w:p w14:paraId="2CCA6FBC">
            <w:pPr>
              <w:snapToGrid w:val="0"/>
              <w:spacing w:line="400" w:lineRule="exact"/>
              <w:jc w:val="center"/>
              <w:rPr>
                <w:rFonts w:ascii="宋体" w:hAnsi="宋体"/>
                <w:color w:val="auto"/>
                <w:kern w:val="0"/>
                <w:szCs w:val="21"/>
                <w:highlight w:val="none"/>
              </w:rPr>
            </w:pPr>
          </w:p>
          <w:p w14:paraId="21FEE4E9">
            <w:pPr>
              <w:snapToGrid w:val="0"/>
              <w:spacing w:line="400" w:lineRule="exact"/>
              <w:jc w:val="both"/>
              <w:rPr>
                <w:rFonts w:ascii="宋体" w:hAnsi="宋体"/>
                <w:color w:val="auto"/>
                <w:kern w:val="0"/>
                <w:szCs w:val="21"/>
                <w:highlight w:val="none"/>
              </w:rPr>
            </w:pPr>
          </w:p>
          <w:p w14:paraId="6B7ECE75">
            <w:pPr>
              <w:snapToGrid w:val="0"/>
              <w:spacing w:line="400" w:lineRule="exact"/>
              <w:jc w:val="center"/>
              <w:rPr>
                <w:rFonts w:ascii="宋体" w:hAnsi="宋体"/>
                <w:color w:val="auto"/>
                <w:kern w:val="0"/>
                <w:szCs w:val="21"/>
                <w:highlight w:val="none"/>
              </w:rPr>
            </w:pPr>
          </w:p>
        </w:tc>
        <w:tc>
          <w:tcPr>
            <w:tcW w:w="6490" w:type="dxa"/>
            <w:vAlign w:val="center"/>
          </w:tcPr>
          <w:p w14:paraId="26A65F68">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97" w:name="一是"/>
            <w:bookmarkEnd w:id="97"/>
            <w:r>
              <w:rPr>
                <w:rFonts w:ascii="宋体" w:hAnsi="宋体"/>
                <w:color w:val="auto"/>
                <w:szCs w:val="21"/>
                <w:highlight w:val="none"/>
              </w:rPr>
              <w:t>具备以下资格条件：</w:t>
            </w:r>
          </w:p>
          <w:bookmarkEnd w:id="96"/>
          <w:p w14:paraId="7D610AF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56D94555">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投标人须</w:t>
            </w:r>
            <w:r>
              <w:rPr>
                <w:rFonts w:hint="eastAsia" w:ascii="宋体" w:hAnsi="宋体"/>
                <w:snapToGrid w:val="0"/>
                <w:color w:val="auto"/>
                <w:kern w:val="0"/>
                <w:szCs w:val="21"/>
                <w:highlight w:val="none"/>
                <w:u w:val="single"/>
                <w:lang w:val="en-US" w:eastAsia="zh-CN"/>
              </w:rPr>
              <w:t>为重庆高速集团有限公司内部具有</w:t>
            </w:r>
            <w:r>
              <w:rPr>
                <w:rFonts w:hint="eastAsia" w:ascii="宋体" w:hAnsi="宋体"/>
                <w:color w:val="auto"/>
                <w:szCs w:val="21"/>
                <w:highlight w:val="none"/>
                <w:u w:val="single"/>
                <w:shd w:val="clear" w:color="auto" w:fill="FFFFFF"/>
              </w:rPr>
              <w:t>独立法人资格</w:t>
            </w:r>
            <w:r>
              <w:rPr>
                <w:rFonts w:hint="eastAsia" w:ascii="宋体" w:hAnsi="宋体"/>
                <w:snapToGrid w:val="0"/>
                <w:color w:val="auto"/>
                <w:kern w:val="0"/>
                <w:szCs w:val="21"/>
                <w:highlight w:val="none"/>
                <w:u w:val="single"/>
                <w:lang w:val="en-US" w:eastAsia="zh-CN"/>
              </w:rPr>
              <w:t>物资供应类企业，</w:t>
            </w:r>
            <w:r>
              <w:rPr>
                <w:rFonts w:hint="eastAsia" w:ascii="宋体" w:hAnsi="宋体"/>
                <w:color w:val="auto"/>
                <w:szCs w:val="21"/>
                <w:highlight w:val="none"/>
                <w:u w:val="single"/>
                <w:shd w:val="clear" w:color="auto" w:fill="FFFFFF"/>
              </w:rPr>
              <w:t>持有</w:t>
            </w:r>
            <w:r>
              <w:rPr>
                <w:rFonts w:ascii="宋体" w:hAnsi="宋体"/>
                <w:color w:val="auto"/>
                <w:szCs w:val="21"/>
                <w:highlight w:val="none"/>
                <w:u w:val="single"/>
              </w:rPr>
              <w:t>有效营业执照</w:t>
            </w:r>
            <w:r>
              <w:rPr>
                <w:rFonts w:hint="eastAsia" w:ascii="宋体" w:hAnsi="宋体"/>
                <w:snapToGrid w:val="0"/>
                <w:color w:val="auto"/>
                <w:kern w:val="0"/>
                <w:szCs w:val="21"/>
                <w:highlight w:val="none"/>
                <w:u w:val="single"/>
                <w:lang w:val="en-US" w:eastAsia="zh-CN"/>
              </w:rPr>
              <w:t>。或</w:t>
            </w:r>
            <w:r>
              <w:rPr>
                <w:rFonts w:hint="eastAsia" w:ascii="宋体" w:hAnsi="宋体"/>
                <w:snapToGrid w:val="0"/>
                <w:color w:val="auto"/>
                <w:kern w:val="0"/>
                <w:szCs w:val="21"/>
                <w:highlight w:val="none"/>
                <w:u w:val="single"/>
              </w:rPr>
              <w:t>具备独立法人资格，具备有效的营业执照的</w:t>
            </w:r>
            <w:r>
              <w:rPr>
                <w:rFonts w:hint="eastAsia" w:ascii="宋体" w:hAnsi="宋体"/>
                <w:snapToGrid w:val="0"/>
                <w:color w:val="auto"/>
                <w:kern w:val="0"/>
                <w:szCs w:val="21"/>
                <w:highlight w:val="none"/>
                <w:u w:val="single"/>
                <w:lang w:val="en-US" w:eastAsia="zh-CN"/>
              </w:rPr>
              <w:t>水泥</w:t>
            </w:r>
            <w:r>
              <w:rPr>
                <w:rFonts w:hint="eastAsia" w:ascii="宋体" w:hAnsi="宋体"/>
                <w:snapToGrid w:val="0"/>
                <w:color w:val="auto"/>
                <w:kern w:val="0"/>
                <w:szCs w:val="21"/>
                <w:highlight w:val="none"/>
                <w:u w:val="single"/>
              </w:rPr>
              <w:t>生产厂商</w:t>
            </w:r>
            <w:r>
              <w:rPr>
                <w:rFonts w:hint="eastAsia" w:ascii="宋体" w:hAnsi="宋体"/>
                <w:snapToGrid w:val="0"/>
                <w:color w:val="auto"/>
                <w:kern w:val="0"/>
                <w:szCs w:val="21"/>
                <w:highlight w:val="none"/>
                <w:u w:val="single"/>
                <w:lang w:val="en-US" w:eastAsia="zh-CN"/>
              </w:rPr>
              <w:t>。</w:t>
            </w:r>
          </w:p>
          <w:p w14:paraId="20BA6788">
            <w:pPr>
              <w:autoSpaceDE w:val="0"/>
              <w:autoSpaceDN w:val="0"/>
              <w:adjustRightInd w:val="0"/>
              <w:snapToGrid w:val="0"/>
              <w:spacing w:line="400" w:lineRule="exact"/>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w:t>
            </w:r>
            <w:r>
              <w:rPr>
                <w:rFonts w:ascii="宋体" w:hAnsi="宋体"/>
                <w:b/>
                <w:bCs/>
                <w:color w:val="auto"/>
                <w:szCs w:val="21"/>
                <w:highlight w:val="none"/>
              </w:rPr>
              <w:t>须</w:t>
            </w:r>
            <w:r>
              <w:rPr>
                <w:rFonts w:hint="eastAsia" w:ascii="宋体" w:hAnsi="宋体"/>
                <w:b/>
                <w:bCs/>
                <w:color w:val="auto"/>
                <w:szCs w:val="21"/>
                <w:highlight w:val="none"/>
              </w:rPr>
              <w:t>在投标文件资格审查部分</w:t>
            </w:r>
            <w:r>
              <w:rPr>
                <w:rFonts w:ascii="宋体" w:hAnsi="宋体"/>
                <w:b/>
                <w:bCs/>
                <w:color w:val="auto"/>
                <w:szCs w:val="21"/>
                <w:highlight w:val="none"/>
              </w:rPr>
              <w:t>提供有效的营业执照</w:t>
            </w:r>
            <w:r>
              <w:rPr>
                <w:rFonts w:hint="eastAsia" w:ascii="宋体" w:hAnsi="宋体"/>
                <w:b/>
                <w:bCs/>
                <w:color w:val="auto"/>
                <w:szCs w:val="21"/>
                <w:highlight w:val="none"/>
                <w:lang w:val="en-US" w:eastAsia="zh-CN"/>
              </w:rPr>
              <w:t>复印件并加盖公章</w:t>
            </w:r>
            <w:r>
              <w:rPr>
                <w:rFonts w:ascii="宋体" w:hAnsi="宋体"/>
                <w:b/>
                <w:bCs/>
                <w:color w:val="auto"/>
                <w:szCs w:val="21"/>
                <w:highlight w:val="none"/>
              </w:rPr>
              <w:t>。</w:t>
            </w:r>
          </w:p>
          <w:p w14:paraId="055E3F04">
            <w:pPr>
              <w:autoSpaceDE w:val="0"/>
              <w:autoSpaceDN w:val="0"/>
              <w:adjustRightInd w:val="0"/>
              <w:snapToGrid w:val="0"/>
              <w:spacing w:line="400" w:lineRule="exact"/>
              <w:ind w:firstLine="422" w:firstLineChars="200"/>
              <w:rPr>
                <w:rFonts w:hint="eastAsia"/>
                <w:b/>
                <w:bCs/>
                <w:color w:val="auto"/>
                <w:highlight w:val="none"/>
              </w:rPr>
            </w:pPr>
            <w:r>
              <w:rPr>
                <w:rFonts w:hint="eastAsia"/>
                <w:b/>
                <w:bCs/>
                <w:color w:val="auto"/>
                <w:highlight w:val="none"/>
              </w:rPr>
              <w:t>注：不得将投标人营业执照记载的经营范围作为评审因素。</w:t>
            </w:r>
          </w:p>
          <w:p w14:paraId="6A8B685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snapToGrid w:val="0"/>
                <w:color w:val="auto"/>
                <w:kern w:val="0"/>
                <w:szCs w:val="21"/>
                <w:highlight w:val="none"/>
                <w:lang w:val="en-US" w:eastAsia="zh-CN"/>
              </w:rPr>
              <w:t>保供</w:t>
            </w:r>
            <w:r>
              <w:rPr>
                <w:rFonts w:hint="eastAsia" w:ascii="宋体" w:hAnsi="宋体"/>
                <w:snapToGrid w:val="0"/>
                <w:color w:val="auto"/>
                <w:kern w:val="0"/>
                <w:szCs w:val="21"/>
                <w:highlight w:val="none"/>
              </w:rPr>
              <w:t>能力要求</w:t>
            </w:r>
          </w:p>
          <w:p w14:paraId="411C359E">
            <w:pPr>
              <w:snapToGri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投标人对本项目实际特点和地理位置情况编制保供方案</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其中要求</w:t>
            </w:r>
            <w:r>
              <w:rPr>
                <w:rFonts w:hint="eastAsia" w:ascii="宋体" w:hAnsi="宋体"/>
                <w:snapToGrid w:val="0"/>
                <w:color w:val="auto"/>
                <w:kern w:val="0"/>
                <w:szCs w:val="21"/>
                <w:highlight w:val="none"/>
                <w:u w:val="single"/>
                <w:lang w:val="en-US" w:eastAsia="zh-CN"/>
              </w:rPr>
              <w:t>对船运能力保障计划、码头协调等方面编制具体方案，要求保供方案有针对性、可操作性</w:t>
            </w:r>
          </w:p>
          <w:p w14:paraId="6B41E212">
            <w:pPr>
              <w:autoSpaceDE w:val="0"/>
              <w:autoSpaceDN w:val="0"/>
              <w:adjustRightInd w:val="0"/>
              <w:snapToGrid w:val="0"/>
              <w:spacing w:line="400" w:lineRule="exact"/>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w:t>
            </w:r>
            <w:r>
              <w:rPr>
                <w:rFonts w:ascii="宋体" w:hAnsi="宋体"/>
                <w:b/>
                <w:bCs/>
                <w:color w:val="auto"/>
                <w:szCs w:val="21"/>
                <w:highlight w:val="none"/>
              </w:rPr>
              <w:t>须</w:t>
            </w:r>
            <w:r>
              <w:rPr>
                <w:rFonts w:hint="eastAsia" w:ascii="宋体" w:hAnsi="宋体"/>
                <w:b/>
                <w:bCs/>
                <w:color w:val="auto"/>
                <w:szCs w:val="21"/>
                <w:highlight w:val="none"/>
              </w:rPr>
              <w:t>在投标文件资格审查部分</w:t>
            </w:r>
            <w:r>
              <w:rPr>
                <w:rFonts w:ascii="宋体" w:hAnsi="宋体"/>
                <w:b/>
                <w:bCs/>
                <w:color w:val="auto"/>
                <w:szCs w:val="21"/>
                <w:highlight w:val="none"/>
              </w:rPr>
              <w:t>提供</w:t>
            </w:r>
            <w:r>
              <w:rPr>
                <w:rFonts w:hint="eastAsia" w:ascii="宋体" w:hAnsi="宋体"/>
                <w:b/>
                <w:bCs/>
                <w:color w:val="auto"/>
                <w:szCs w:val="21"/>
                <w:highlight w:val="none"/>
              </w:rPr>
              <w:t>保供方案</w:t>
            </w:r>
            <w:r>
              <w:rPr>
                <w:rFonts w:hint="eastAsia" w:ascii="宋体" w:hAnsi="宋体"/>
                <w:b/>
                <w:bCs/>
                <w:color w:val="auto"/>
                <w:szCs w:val="21"/>
                <w:highlight w:val="none"/>
                <w:lang w:val="en-US" w:eastAsia="zh-CN"/>
              </w:rPr>
              <w:t>并加盖公章。</w:t>
            </w:r>
          </w:p>
          <w:p w14:paraId="00A414AB">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lang w:val="en-US" w:eastAsia="zh-CN"/>
              </w:rPr>
              <w:t>财务能力</w:t>
            </w:r>
            <w:r>
              <w:rPr>
                <w:rFonts w:ascii="宋体" w:hAnsi="宋体"/>
                <w:b/>
                <w:color w:val="auto"/>
                <w:szCs w:val="21"/>
                <w:highlight w:val="none"/>
              </w:rPr>
              <w:t>要求</w:t>
            </w:r>
          </w:p>
          <w:p w14:paraId="392CF6B2">
            <w:pPr>
              <w:snapToGrid w:val="0"/>
              <w:spacing w:line="400" w:lineRule="exact"/>
              <w:ind w:firstLine="420" w:firstLineChars="200"/>
              <w:rPr>
                <w:rFonts w:hint="eastAsia" w:ascii="宋体" w:hAnsi="宋体" w:eastAsia="宋体" w:cs="Times New Roman"/>
                <w:snapToGrid w:val="0"/>
                <w:color w:val="auto"/>
                <w:kern w:val="0"/>
                <w:szCs w:val="21"/>
                <w:highlight w:val="none"/>
              </w:rPr>
            </w:pPr>
            <w:r>
              <w:rPr>
                <w:rFonts w:hint="eastAsia" w:ascii="宋体" w:hAnsi="宋体"/>
                <w:snapToGrid w:val="0"/>
                <w:color w:val="auto"/>
                <w:kern w:val="0"/>
                <w:szCs w:val="21"/>
                <w:highlight w:val="none"/>
                <w:u w:val="single"/>
                <w:lang w:val="en-US" w:eastAsia="zh-CN"/>
              </w:rPr>
              <w:t>2022-2023年连续两年不亏损且近2年营业收入年均不少于2亿元（含）人民币以上。</w:t>
            </w:r>
          </w:p>
          <w:p w14:paraId="2D0DAC4E">
            <w:pPr>
              <w:autoSpaceDE w:val="0"/>
              <w:autoSpaceDN w:val="0"/>
              <w:adjustRightInd w:val="0"/>
              <w:snapToGrid w:val="0"/>
              <w:spacing w:line="276" w:lineRule="auto"/>
              <w:ind w:firstLine="420"/>
              <w:jc w:val="left"/>
              <w:rPr>
                <w:rFonts w:hint="eastAsia" w:ascii="Times New Roman"/>
                <w:b/>
                <w:bCs w:val="0"/>
                <w:color w:val="auto"/>
                <w:kern w:val="0"/>
                <w:szCs w:val="21"/>
                <w:highlight w:val="none"/>
                <w:lang w:val="en-US" w:eastAsia="zh-CN"/>
              </w:rPr>
            </w:pPr>
            <w:r>
              <w:rPr>
                <w:rFonts w:hint="eastAsia" w:ascii="Times New Roman"/>
                <w:b/>
                <w:bCs w:val="0"/>
                <w:color w:val="auto"/>
                <w:kern w:val="0"/>
                <w:szCs w:val="21"/>
                <w:highlight w:val="none"/>
                <w:lang w:val="en-US" w:eastAsia="zh-CN"/>
              </w:rPr>
              <w:t>提供：</w:t>
            </w:r>
          </w:p>
          <w:p w14:paraId="1503C0C1">
            <w:pPr>
              <w:autoSpaceDE w:val="0"/>
              <w:autoSpaceDN w:val="0"/>
              <w:adjustRightInd w:val="0"/>
              <w:snapToGrid w:val="0"/>
              <w:spacing w:line="276" w:lineRule="auto"/>
              <w:ind w:firstLine="420"/>
              <w:jc w:val="left"/>
              <w:rPr>
                <w:rFonts w:hint="eastAsia" w:ascii="宋体" w:hAnsi="宋体" w:eastAsia="宋体" w:cs="Times New Roman"/>
                <w:b/>
                <w:bCs w:val="0"/>
                <w:snapToGrid w:val="0"/>
                <w:color w:val="auto"/>
                <w:kern w:val="0"/>
                <w:szCs w:val="21"/>
                <w:highlight w:val="none"/>
              </w:rPr>
            </w:pPr>
            <w:r>
              <w:rPr>
                <w:rFonts w:hint="eastAsia" w:ascii="宋体" w:hAnsi="宋体"/>
                <w:b/>
                <w:bCs w:val="0"/>
                <w:color w:val="auto"/>
                <w:szCs w:val="21"/>
                <w:highlight w:val="none"/>
              </w:rPr>
              <w:t>投标人</w:t>
            </w:r>
            <w:r>
              <w:rPr>
                <w:rFonts w:ascii="宋体" w:hAnsi="宋体"/>
                <w:b/>
                <w:bCs w:val="0"/>
                <w:color w:val="auto"/>
                <w:szCs w:val="21"/>
                <w:highlight w:val="none"/>
              </w:rPr>
              <w:t>须</w:t>
            </w:r>
            <w:r>
              <w:rPr>
                <w:rFonts w:hint="eastAsia" w:ascii="宋体" w:hAnsi="宋体"/>
                <w:b/>
                <w:bCs w:val="0"/>
                <w:color w:val="auto"/>
                <w:szCs w:val="21"/>
                <w:highlight w:val="none"/>
              </w:rPr>
              <w:t>在投标文件资格审查部分</w:t>
            </w:r>
            <w:r>
              <w:rPr>
                <w:rFonts w:hint="eastAsia" w:ascii="宋体" w:hAnsi="宋体" w:eastAsia="宋体" w:cs="Times New Roman"/>
                <w:b/>
                <w:bCs w:val="0"/>
                <w:snapToGrid w:val="0"/>
                <w:color w:val="auto"/>
                <w:kern w:val="0"/>
                <w:szCs w:val="21"/>
                <w:highlight w:val="none"/>
              </w:rPr>
              <w:t>提供经会计师事务所或审计机构审计的财务审计报告及报表。</w:t>
            </w:r>
          </w:p>
          <w:p w14:paraId="7193ABB4">
            <w:pPr>
              <w:tabs>
                <w:tab w:val="left" w:pos="2388"/>
                <w:tab w:val="left" w:pos="2832"/>
                <w:tab w:val="left" w:pos="3472"/>
                <w:tab w:val="left" w:pos="6667"/>
                <w:tab w:val="left" w:pos="7270"/>
              </w:tabs>
              <w:autoSpaceDE w:val="0"/>
              <w:autoSpaceDN w:val="0"/>
              <w:spacing w:line="276" w:lineRule="auto"/>
              <w:ind w:firstLine="422" w:firstLineChars="200"/>
              <w:rPr>
                <w:rFonts w:ascii="Times New Roman" w:eastAsia="宋体"/>
                <w:b/>
                <w:bCs w:val="0"/>
                <w:color w:val="auto"/>
                <w:kern w:val="0"/>
                <w:szCs w:val="21"/>
                <w:highlight w:val="none"/>
              </w:rPr>
            </w:pPr>
            <w:r>
              <w:rPr>
                <w:rFonts w:ascii="Times New Roman" w:eastAsia="宋体"/>
                <w:b/>
                <w:bCs w:val="0"/>
                <w:color w:val="auto"/>
                <w:kern w:val="0"/>
                <w:szCs w:val="21"/>
                <w:highlight w:val="none"/>
              </w:rPr>
              <w:t>以上证明资料的复印件须加盖投标人单位公章。</w:t>
            </w:r>
          </w:p>
          <w:p w14:paraId="7922D44C">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Fonts w:hint="eastAsia" w:ascii="宋体" w:hAnsi="宋体"/>
                <w:b/>
                <w:color w:val="auto"/>
                <w:szCs w:val="21"/>
                <w:highlight w:val="none"/>
                <w:lang w:val="en-US" w:eastAsia="zh-CN"/>
              </w:rPr>
              <w:t>供货</w:t>
            </w:r>
            <w:r>
              <w:rPr>
                <w:rFonts w:ascii="宋体" w:hAnsi="宋体"/>
                <w:b/>
                <w:color w:val="auto"/>
                <w:szCs w:val="21"/>
                <w:highlight w:val="none"/>
              </w:rPr>
              <w:t>业绩要求</w:t>
            </w:r>
          </w:p>
          <w:p w14:paraId="2ED7A20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201</w:t>
            </w:r>
            <w:r>
              <w:rPr>
                <w:rFonts w:hint="eastAsia" w:ascii="宋体" w:hAnsi="宋体"/>
                <w:snapToGrid w:val="0"/>
                <w:color w:val="auto"/>
                <w:kern w:val="0"/>
                <w:szCs w:val="21"/>
                <w:highlight w:val="none"/>
                <w:u w:val="single"/>
                <w:lang w:val="en-US" w:eastAsia="zh-CN"/>
              </w:rPr>
              <w:t>9</w:t>
            </w:r>
            <w:r>
              <w:rPr>
                <w:rFonts w:hint="eastAsia" w:ascii="宋体" w:hAnsi="宋体"/>
                <w:snapToGrid w:val="0"/>
                <w:color w:val="auto"/>
                <w:kern w:val="0"/>
                <w:szCs w:val="21"/>
                <w:highlight w:val="none"/>
                <w:u w:val="single"/>
              </w:rPr>
              <w:t>年1月1日至投标截止日止（以合同签订时间为准），投标人具有</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个及以上的</w:t>
            </w:r>
            <w:r>
              <w:rPr>
                <w:rFonts w:hint="eastAsia" w:ascii="宋体" w:hAnsi="宋体"/>
                <w:snapToGrid w:val="0"/>
                <w:color w:val="auto"/>
                <w:kern w:val="0"/>
                <w:szCs w:val="21"/>
                <w:highlight w:val="none"/>
                <w:u w:val="single"/>
                <w:lang w:val="en-US" w:eastAsia="zh-CN"/>
              </w:rPr>
              <w:t>工程项目水泥销售</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且单个</w:t>
            </w:r>
            <w:r>
              <w:rPr>
                <w:rFonts w:hint="eastAsia" w:ascii="宋体" w:hAnsi="宋体"/>
                <w:snapToGrid w:val="0"/>
                <w:color w:val="auto"/>
                <w:kern w:val="0"/>
                <w:szCs w:val="21"/>
                <w:highlight w:val="none"/>
                <w:u w:val="single"/>
              </w:rPr>
              <w:t>合同供货量不低于</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万吨。</w:t>
            </w:r>
          </w:p>
          <w:p w14:paraId="3D38EFD6">
            <w:pPr>
              <w:autoSpaceDE w:val="0"/>
              <w:autoSpaceDN w:val="0"/>
              <w:adjustRightInd w:val="0"/>
              <w:snapToGrid w:val="0"/>
              <w:spacing w:line="400" w:lineRule="exact"/>
              <w:ind w:firstLine="417" w:firstLineChars="198"/>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投标人须在投标文件资格审查部分提供业绩的合同协议书</w:t>
            </w:r>
            <w:r>
              <w:rPr>
                <w:rFonts w:hint="eastAsia" w:ascii="宋体" w:hAnsi="宋体"/>
                <w:b/>
                <w:bCs/>
                <w:color w:val="auto"/>
                <w:szCs w:val="21"/>
                <w:highlight w:val="none"/>
                <w:lang w:val="en-US" w:eastAsia="zh-CN"/>
              </w:rPr>
              <w:t>复印件并加盖公章，需至少体现供应内容、供应量</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若合同中未体现业绩要求中相关指标的，可提供业主证明作为佐证。</w:t>
            </w:r>
          </w:p>
          <w:p w14:paraId="366582DA">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注：（1）投标人应对其提供的业绩证明材料的真实性负责。</w:t>
            </w:r>
          </w:p>
          <w:p w14:paraId="79E565D2">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不满足上述业绩要求的业绩视为无效。</w:t>
            </w:r>
          </w:p>
          <w:p w14:paraId="656781FF">
            <w:pPr>
              <w:adjustRightInd w:val="0"/>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5</w:t>
            </w:r>
            <w:r>
              <w:rPr>
                <w:rFonts w:ascii="宋体" w:hAnsi="宋体"/>
                <w:b/>
                <w:color w:val="auto"/>
                <w:szCs w:val="21"/>
                <w:highlight w:val="none"/>
              </w:rPr>
              <w:t>.</w:t>
            </w:r>
            <w:r>
              <w:rPr>
                <w:rFonts w:hint="eastAsia" w:ascii="宋体" w:hAnsi="宋体"/>
                <w:b/>
                <w:color w:val="auto"/>
                <w:szCs w:val="21"/>
                <w:highlight w:val="none"/>
                <w:lang w:val="en-US" w:eastAsia="zh-CN"/>
              </w:rPr>
              <w:t>质量能力要求</w:t>
            </w:r>
          </w:p>
          <w:p w14:paraId="55DB733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5.1</w:t>
            </w:r>
            <w:r>
              <w:rPr>
                <w:rFonts w:hint="eastAsia" w:ascii="宋体" w:hAnsi="宋体" w:cs="宋体"/>
                <w:b/>
                <w:color w:val="auto"/>
                <w:szCs w:val="21"/>
                <w:highlight w:val="none"/>
              </w:rPr>
              <w:t>散装水泥技术标准</w:t>
            </w:r>
          </w:p>
          <w:p w14:paraId="3521CA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1.1质量符合《通用硅酸盐水泥》（GB175-20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）中</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方要求的相应型号及指标的技术要求。</w:t>
            </w:r>
          </w:p>
          <w:p w14:paraId="53F0DCE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1.2水泥的技术要求除满足《通用硅酸盐水泥》（GB175-20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）的相关规定外，还应满足《公路钢筋混凝土及预应力混凝土桥涵设计规范》（JTG 3362-2018）、《公路桥涵施工技术规范》（JTG/T F50-2011）、设计文件的要求。如国家有新标准出台，则应符合国家所颁发的最新版本的质量和技术标准。</w:t>
            </w:r>
          </w:p>
          <w:p w14:paraId="4C2E13E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2满足</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文件第五章《供货要求》</w:t>
            </w:r>
          </w:p>
          <w:p w14:paraId="1B729A7C">
            <w:pPr>
              <w:autoSpaceDE w:val="0"/>
              <w:autoSpaceDN w:val="0"/>
              <w:adjustRightInd w:val="0"/>
              <w:snapToGrid w:val="0"/>
              <w:spacing w:line="400" w:lineRule="exact"/>
              <w:ind w:firstLine="422" w:firstLineChars="200"/>
              <w:rPr>
                <w:rFonts w:hint="eastAsia" w:ascii="宋体" w:hAnsi="宋体" w:eastAsia="宋体" w:cs="Times New Roman"/>
                <w:b/>
                <w:bCs/>
                <w:snapToGrid w:val="0"/>
                <w:color w:val="auto"/>
                <w:kern w:val="0"/>
                <w:sz w:val="21"/>
                <w:szCs w:val="21"/>
                <w:highlight w:val="none"/>
                <w:lang w:val="en-US" w:eastAsia="zh-CN"/>
              </w:rPr>
            </w:pPr>
            <w:r>
              <w:rPr>
                <w:rFonts w:hint="eastAsia" w:ascii="宋体" w:hAnsi="宋体" w:eastAsia="宋体" w:cs="Times New Roman"/>
                <w:b/>
                <w:bCs/>
                <w:snapToGrid w:val="0"/>
                <w:color w:val="auto"/>
                <w:kern w:val="0"/>
                <w:sz w:val="21"/>
                <w:szCs w:val="21"/>
                <w:highlight w:val="none"/>
                <w:lang w:val="en-US" w:eastAsia="zh-CN"/>
              </w:rPr>
              <w:t>提供：承诺</w:t>
            </w:r>
            <w:r>
              <w:rPr>
                <w:rFonts w:hint="eastAsia" w:ascii="宋体" w:hAnsi="宋体" w:cs="Times New Roman"/>
                <w:b/>
                <w:bCs/>
                <w:snapToGrid w:val="0"/>
                <w:color w:val="auto"/>
                <w:kern w:val="0"/>
                <w:sz w:val="21"/>
                <w:szCs w:val="21"/>
                <w:highlight w:val="none"/>
                <w:lang w:val="en-US" w:eastAsia="zh-CN"/>
              </w:rPr>
              <w:t>书</w:t>
            </w:r>
            <w:r>
              <w:rPr>
                <w:rFonts w:hint="eastAsia" w:ascii="宋体" w:hAnsi="宋体" w:eastAsia="宋体" w:cs="Times New Roman"/>
                <w:b/>
                <w:bCs/>
                <w:snapToGrid w:val="0"/>
                <w:color w:val="auto"/>
                <w:kern w:val="0"/>
                <w:sz w:val="21"/>
                <w:szCs w:val="21"/>
                <w:highlight w:val="none"/>
                <w:lang w:val="en-US" w:eastAsia="zh-CN"/>
              </w:rPr>
              <w:t>，按“第六章 《信誉承诺书》”的格式承诺，并加盖单位鲜公章。</w:t>
            </w:r>
          </w:p>
          <w:p w14:paraId="32FB8126">
            <w:pPr>
              <w:autoSpaceDE w:val="0"/>
              <w:autoSpaceDN w:val="0"/>
              <w:adjustRightInd w:val="0"/>
              <w:snapToGrid w:val="0"/>
              <w:spacing w:line="400" w:lineRule="exact"/>
              <w:ind w:firstLine="422" w:firstLineChars="200"/>
              <w:rPr>
                <w:rFonts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6</w:t>
            </w:r>
            <w:r>
              <w:rPr>
                <w:rFonts w:ascii="宋体" w:hAnsi="宋体" w:eastAsia="宋体" w:cs="Times New Roman"/>
                <w:b/>
                <w:color w:val="auto"/>
                <w:szCs w:val="21"/>
                <w:highlight w:val="none"/>
              </w:rPr>
              <w:t>.投标截止日投标资格情况</w:t>
            </w:r>
          </w:p>
          <w:p w14:paraId="005D581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投标人自行承诺（格式见第六章投标文件格式）不得存在下列情形之一：</w:t>
            </w:r>
          </w:p>
          <w:p w14:paraId="544D9DD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8290E5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B3E48F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7D6B2DB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1E5794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243AA04E">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4B87A40A">
            <w:pPr>
              <w:snapToGrid w:val="0"/>
              <w:spacing w:line="400" w:lineRule="exact"/>
              <w:ind w:firstLine="422" w:firstLineChars="200"/>
              <w:rPr>
                <w:rFonts w:hint="eastAsia"/>
                <w:b/>
                <w:bCs/>
                <w:color w:val="auto"/>
                <w:highlight w:val="none"/>
              </w:rPr>
            </w:pPr>
            <w:r>
              <w:rPr>
                <w:rFonts w:hint="eastAsia"/>
                <w:b/>
                <w:bCs/>
                <w:color w:val="auto"/>
                <w:highlight w:val="none"/>
              </w:rPr>
              <w:t>投标人须在投标文件资格审查部分提供承诺</w:t>
            </w:r>
            <w:r>
              <w:rPr>
                <w:rFonts w:hint="eastAsia" w:ascii="宋体" w:hAnsi="宋体"/>
                <w:b/>
                <w:bCs/>
                <w:color w:val="auto"/>
                <w:szCs w:val="21"/>
                <w:highlight w:val="none"/>
                <w:lang w:val="en-US" w:eastAsia="zh-CN"/>
              </w:rPr>
              <w:t>并加盖公章</w:t>
            </w:r>
            <w:r>
              <w:rPr>
                <w:rFonts w:hint="eastAsia"/>
                <w:b/>
                <w:bCs/>
                <w:color w:val="auto"/>
                <w:highlight w:val="none"/>
              </w:rPr>
              <w:t>。</w:t>
            </w:r>
          </w:p>
          <w:p w14:paraId="342E3138">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7</w:t>
            </w:r>
            <w:r>
              <w:rPr>
                <w:rFonts w:ascii="宋体" w:hAnsi="宋体"/>
                <w:b/>
                <w:color w:val="auto"/>
                <w:szCs w:val="21"/>
                <w:highlight w:val="none"/>
              </w:rPr>
              <w:t>.其他要求</w:t>
            </w:r>
          </w:p>
          <w:p w14:paraId="6084ADC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1</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AA1E90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71E5469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w:t>
            </w:r>
            <w:r>
              <w:rPr>
                <w:rFonts w:hint="eastAsia" w:ascii="宋体" w:hAnsi="宋体"/>
                <w:color w:val="auto"/>
                <w:szCs w:val="21"/>
                <w:highlight w:val="none"/>
                <w:lang w:val="en-US" w:eastAsia="zh-CN"/>
              </w:rPr>
              <w:t>复印件并加盖公章</w:t>
            </w:r>
            <w:r>
              <w:rPr>
                <w:rFonts w:hint="eastAsia" w:ascii="宋体" w:hAnsi="宋体"/>
                <w:color w:val="auto"/>
                <w:kern w:val="0"/>
                <w:szCs w:val="21"/>
                <w:highlight w:val="none"/>
              </w:rPr>
              <w:t>。否则，将由评标委员会作否决投标处理。</w:t>
            </w:r>
          </w:p>
          <w:p w14:paraId="2277F59F">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37B26ED">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6F66E15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（2）投标人须自行承诺其提供的上述相关证明材料真实有效，不存在弄虚作假情形（格式见第六章投标文件格式）。</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人在合同签订前均有权对投标人提供的资料进行核实，若发现弄虚作假，按相关规定取消其中标资格，并按相关法律法规报监督部门，其投标保证金不予退还，投标人承担因此造成的相关责任并赔偿相应损失。</w:t>
            </w:r>
          </w:p>
          <w:p w14:paraId="5C314749">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6E59FE86">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4680BF77">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lang w:val="en-US" w:eastAsia="zh-CN"/>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8</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57A40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8E0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338AFE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56892110">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r>
              <w:rPr>
                <w:rFonts w:hint="eastAsia" w:ascii="宋体" w:hAnsi="宋体"/>
                <w:snapToGrid w:val="0"/>
                <w:color w:val="auto"/>
                <w:kern w:val="0"/>
                <w:szCs w:val="21"/>
                <w:highlight w:val="none"/>
                <w:lang w:eastAsia="zh-CN"/>
              </w:rPr>
              <w:t>。</w:t>
            </w:r>
          </w:p>
        </w:tc>
      </w:tr>
      <w:tr w14:paraId="50D6A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A00B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5C91C8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14:paraId="0EA7230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p>
        </w:tc>
      </w:tr>
      <w:tr w14:paraId="670B4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929AF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491D5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87C6DC5">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不组织</w:t>
            </w:r>
          </w:p>
        </w:tc>
      </w:tr>
      <w:tr w14:paraId="237F5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08DB6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56DFF9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6869C28">
            <w:pPr>
              <w:snapToGrid w:val="0"/>
              <w:spacing w:after="12"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62E9C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0BCC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53C3C7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0F2C8CD8">
            <w:pPr>
              <w:snapToGrid w:val="0"/>
              <w:spacing w:line="400" w:lineRule="exact"/>
              <w:ind w:firstLine="420" w:firstLineChars="200"/>
              <w:rPr>
                <w:color w:val="auto"/>
                <w:highlight w:val="none"/>
              </w:rPr>
            </w:pPr>
            <w:r>
              <w:rPr>
                <w:color w:val="auto"/>
                <w:highlight w:val="none"/>
              </w:rPr>
              <w:t>不允许</w:t>
            </w:r>
          </w:p>
        </w:tc>
      </w:tr>
      <w:tr w14:paraId="77BE1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2DC0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0E277EB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490" w:type="dxa"/>
            <w:vAlign w:val="center"/>
          </w:tcPr>
          <w:p w14:paraId="348A6D7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投标文件存在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情形之一的，投标文件视为重大偏差并作否决投标处理，否则，评标委员会不得视为重大偏差而否决投标人的投标文件。</w:t>
            </w:r>
          </w:p>
        </w:tc>
      </w:tr>
      <w:tr w14:paraId="08F99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AAA7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1DE3053">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14:paraId="04531F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37A0F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7956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3C420F2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14:paraId="54280F6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lang w:val="en-US" w:eastAsia="zh-CN"/>
              </w:rPr>
              <w:t>2024年10月5日 17时 00分</w:t>
            </w:r>
            <w:r>
              <w:rPr>
                <w:rFonts w:hint="eastAsia" w:ascii="宋体" w:hAnsi="宋体" w:cs="宋体"/>
                <w:color w:val="auto"/>
                <w:kern w:val="0"/>
                <w:szCs w:val="21"/>
                <w:highlight w:val="none"/>
                <w:lang w:val="en-US" w:eastAsia="zh-CN"/>
              </w:rPr>
              <w:t>前以书面形式向比选人或比选代理机构提出</w:t>
            </w:r>
            <w:r>
              <w:rPr>
                <w:rFonts w:ascii="宋体" w:hAnsi="宋体"/>
                <w:color w:val="auto"/>
                <w:kern w:val="0"/>
                <w:szCs w:val="21"/>
                <w:highlight w:val="none"/>
              </w:rPr>
              <w:t>。</w:t>
            </w:r>
          </w:p>
        </w:tc>
      </w:tr>
      <w:tr w14:paraId="0A82E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36A8BD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A0E686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14:paraId="625838A9">
            <w:pPr>
              <w:snapToGrid w:val="0"/>
              <w:spacing w:line="400" w:lineRule="exact"/>
              <w:ind w:firstLine="420" w:firstLineChars="200"/>
              <w:rPr>
                <w:rFonts w:ascii="宋体" w:hAnsi="宋体" w:eastAsia="宋体" w:cs="Times New Roman"/>
                <w:snapToGrid/>
                <w:color w:val="auto"/>
                <w:kern w:val="0"/>
                <w:szCs w:val="21"/>
                <w:highlight w:val="none"/>
              </w:rPr>
            </w:pPr>
            <w:r>
              <w:rPr>
                <w:rFonts w:hint="eastAsia" w:ascii="宋体" w:hAnsi="宋体" w:cs="Times New Roman"/>
                <w:color w:val="auto"/>
                <w:kern w:val="0"/>
                <w:szCs w:val="21"/>
                <w:highlight w:val="none"/>
                <w:lang w:eastAsia="zh-CN"/>
              </w:rPr>
              <w:t>比选</w:t>
            </w:r>
            <w:r>
              <w:rPr>
                <w:rFonts w:hint="default" w:ascii="宋体" w:hAnsi="宋体" w:eastAsia="宋体" w:cs="Times New Roman"/>
                <w:color w:val="auto"/>
                <w:kern w:val="0"/>
                <w:szCs w:val="21"/>
                <w:highlight w:val="none"/>
              </w:rPr>
              <w:t>人应在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9</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u w:val="singl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w:t>
            </w:r>
            <w:r>
              <w:rPr>
                <w:rFonts w:hint="eastAsia" w:ascii="宋体" w:hAnsi="宋体" w:cs="Times New Roman"/>
                <w:bCs w:val="0"/>
                <w:color w:val="auto"/>
                <w:kern w:val="0"/>
                <w:sz w:val="21"/>
                <w:szCs w:val="21"/>
                <w:highlight w:val="none"/>
                <w:lang w:eastAsia="zh-CN"/>
              </w:rPr>
              <w:t>比选</w:t>
            </w:r>
            <w:r>
              <w:rPr>
                <w:rFonts w:hint="default" w:ascii="宋体" w:hAnsi="宋体" w:eastAsia="宋体" w:cs="Times New Roman"/>
                <w:bCs w:val="0"/>
                <w:color w:val="auto"/>
                <w:kern w:val="0"/>
                <w:sz w:val="21"/>
                <w:szCs w:val="21"/>
                <w:highlight w:val="none"/>
              </w:rPr>
              <w:t>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777DC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C05E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4BF2B112">
            <w:pPr>
              <w:snapToGrid w:val="0"/>
              <w:spacing w:after="12"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14:paraId="00740E52">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cs="Times New Roman"/>
                <w:color w:val="auto"/>
                <w:kern w:val="0"/>
                <w:szCs w:val="21"/>
                <w:highlight w:val="none"/>
                <w:lang w:eastAsia="zh-CN"/>
              </w:rPr>
              <w:t>比选</w:t>
            </w:r>
            <w:r>
              <w:rPr>
                <w:rFonts w:hint="default" w:ascii="宋体" w:hAnsi="宋体" w:eastAsia="宋体" w:cs="Times New Roman"/>
                <w:color w:val="auto"/>
                <w:kern w:val="0"/>
                <w:szCs w:val="21"/>
                <w:highlight w:val="none"/>
              </w:rPr>
              <w:t>人应在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9</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w:t>
            </w:r>
            <w:r>
              <w:rPr>
                <w:rFonts w:hint="eastAsia" w:ascii="宋体" w:hAnsi="宋体" w:cs="Times New Roman"/>
                <w:bCs w:val="0"/>
                <w:color w:val="auto"/>
                <w:kern w:val="0"/>
                <w:sz w:val="21"/>
                <w:szCs w:val="21"/>
                <w:highlight w:val="none"/>
                <w:lang w:eastAsia="zh-CN"/>
              </w:rPr>
              <w:t>比选</w:t>
            </w:r>
            <w:r>
              <w:rPr>
                <w:rFonts w:hint="default" w:ascii="宋体" w:hAnsi="宋体" w:eastAsia="宋体" w:cs="Times New Roman"/>
                <w:bCs w:val="0"/>
                <w:color w:val="auto"/>
                <w:kern w:val="0"/>
                <w:sz w:val="21"/>
                <w:szCs w:val="21"/>
                <w:highlight w:val="none"/>
              </w:rPr>
              <w:t>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15141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DE23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644" w:type="dxa"/>
            <w:vAlign w:val="center"/>
          </w:tcPr>
          <w:p w14:paraId="23A5192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文件及澄清修改提出异议的</w:t>
            </w:r>
            <w:r>
              <w:rPr>
                <w:rFonts w:hint="eastAsia" w:ascii="宋体" w:hAnsi="宋体"/>
                <w:color w:val="auto"/>
                <w:kern w:val="0"/>
                <w:szCs w:val="21"/>
                <w:highlight w:val="none"/>
              </w:rPr>
              <w:t>形式和时间</w:t>
            </w:r>
          </w:p>
        </w:tc>
        <w:tc>
          <w:tcPr>
            <w:tcW w:w="6490" w:type="dxa"/>
            <w:vAlign w:val="center"/>
          </w:tcPr>
          <w:p w14:paraId="11CB4E3C">
            <w:pPr>
              <w:snapToGrid w:val="0"/>
              <w:spacing w:line="400" w:lineRule="exact"/>
              <w:ind w:firstLine="420" w:firstLineChars="200"/>
              <w:rPr>
                <w:rFonts w:ascii="宋体" w:hAnsi="宋体" w:eastAsia="宋体" w:cs="Times New Roman"/>
                <w:snapToGrid/>
                <w:color w:val="auto"/>
                <w:kern w:val="0"/>
                <w:szCs w:val="21"/>
                <w:highlight w:val="none"/>
              </w:rPr>
            </w:pPr>
            <w:r>
              <w:rPr>
                <w:rFonts w:hint="default" w:ascii="宋体" w:hAnsi="宋体" w:eastAsia="宋体" w:cs="Times New Roman"/>
                <w:snapToGrid/>
                <w:color w:val="auto"/>
                <w:kern w:val="0"/>
                <w:sz w:val="21"/>
                <w:szCs w:val="21"/>
                <w:highlight w:val="none"/>
              </w:rPr>
              <w:t>投标人对</w:t>
            </w:r>
            <w:r>
              <w:rPr>
                <w:rFonts w:hint="eastAsia" w:ascii="宋体" w:hAnsi="宋体" w:cs="Times New Roman"/>
                <w:snapToGrid/>
                <w:color w:val="auto"/>
                <w:kern w:val="0"/>
                <w:sz w:val="21"/>
                <w:szCs w:val="21"/>
                <w:highlight w:val="none"/>
                <w:lang w:eastAsia="zh-CN"/>
              </w:rPr>
              <w:t>比选</w:t>
            </w:r>
            <w:r>
              <w:rPr>
                <w:rFonts w:hint="default" w:ascii="宋体" w:hAnsi="宋体" w:eastAsia="宋体" w:cs="Times New Roman"/>
                <w:snapToGrid/>
                <w:color w:val="auto"/>
                <w:kern w:val="0"/>
                <w:sz w:val="21"/>
                <w:szCs w:val="21"/>
                <w:highlight w:val="none"/>
              </w:rPr>
              <w:t>文件和澄清修改有异议的，应当通过</w:t>
            </w:r>
            <w:r>
              <w:rPr>
                <w:rFonts w:hint="eastAsia" w:ascii="宋体" w:hAnsi="宋体" w:cs="Times New Roman"/>
                <w:snapToGrid/>
                <w:color w:val="auto"/>
                <w:kern w:val="0"/>
                <w:sz w:val="21"/>
                <w:szCs w:val="21"/>
                <w:highlight w:val="none"/>
                <w:lang w:val="en-US" w:eastAsia="zh-CN"/>
              </w:rPr>
              <w:t>书面形式</w:t>
            </w:r>
            <w:r>
              <w:rPr>
                <w:rFonts w:hint="default" w:ascii="宋体" w:hAnsi="宋体" w:eastAsia="宋体" w:cs="Times New Roman"/>
                <w:snapToGrid/>
                <w:color w:val="auto"/>
                <w:kern w:val="0"/>
                <w:sz w:val="21"/>
                <w:szCs w:val="21"/>
                <w:highlight w:val="none"/>
              </w:rPr>
              <w:t>提出。</w:t>
            </w:r>
            <w:r>
              <w:rPr>
                <w:rFonts w:hint="eastAsia" w:ascii="宋体" w:hAnsi="宋体" w:cs="Times New Roman"/>
                <w:snapToGrid/>
                <w:color w:val="auto"/>
                <w:kern w:val="0"/>
                <w:sz w:val="21"/>
                <w:szCs w:val="21"/>
                <w:highlight w:val="none"/>
                <w:lang w:eastAsia="zh-CN"/>
              </w:rPr>
              <w:t>比选</w:t>
            </w:r>
            <w:r>
              <w:rPr>
                <w:rFonts w:hint="default" w:ascii="宋体" w:hAnsi="宋体" w:eastAsia="宋体" w:cs="Times New Roman"/>
                <w:snapToGrid/>
                <w:color w:val="auto"/>
                <w:kern w:val="0"/>
                <w:sz w:val="21"/>
                <w:szCs w:val="21"/>
                <w:highlight w:val="none"/>
              </w:rPr>
              <w:t>人应当自收到异议之日起3日内做出答复，答复内容可能影响投标文件编制的，将以修改的形式于投标截止时间前</w:t>
            </w:r>
            <w:r>
              <w:rPr>
                <w:rFonts w:hint="eastAsia" w:ascii="宋体" w:hAnsi="宋体" w:cs="Times New Roman"/>
                <w:bCs w:val="0"/>
                <w:color w:val="auto"/>
                <w:kern w:val="0"/>
                <w:sz w:val="21"/>
                <w:szCs w:val="21"/>
                <w:highlight w:val="none"/>
                <w:lang w:val="en-US" w:eastAsia="zh-CN"/>
              </w:rPr>
              <w:t>发布</w:t>
            </w:r>
            <w:r>
              <w:rPr>
                <w:rFonts w:hint="default" w:ascii="宋体" w:hAnsi="宋体" w:eastAsia="宋体" w:cs="Times New Roman"/>
                <w:snapToGrid/>
                <w:color w:val="auto"/>
                <w:kern w:val="0"/>
                <w:sz w:val="21"/>
                <w:szCs w:val="21"/>
                <w:highlight w:val="none"/>
              </w:rPr>
              <w:t>澄清修改。</w:t>
            </w:r>
          </w:p>
        </w:tc>
      </w:tr>
      <w:tr w14:paraId="11D82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3A9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51190D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14:paraId="5E87CA2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6CC4E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1835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4681F6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14:paraId="61AC8B0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14:paraId="1AF33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4604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1A7989F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14:paraId="36D33A44">
            <w:pPr>
              <w:snapToGrid w:val="0"/>
              <w:spacing w:line="400" w:lineRule="exact"/>
              <w:ind w:firstLine="420" w:firstLineChars="200"/>
              <w:rPr>
                <w:color w:val="auto"/>
                <w:highlight w:val="none"/>
              </w:rPr>
            </w:pPr>
            <w:r>
              <w:rPr>
                <w:rFonts w:ascii="Times New Roman" w:eastAsia="宋体"/>
                <w:color w:val="auto"/>
                <w:kern w:val="0"/>
                <w:szCs w:val="21"/>
                <w:highlight w:val="none"/>
              </w:rPr>
              <w:t>本项目采用固定单价的方式，投标报价以本</w:t>
            </w:r>
            <w:r>
              <w:rPr>
                <w:rFonts w:hint="eastAsia"/>
                <w:color w:val="auto"/>
                <w:kern w:val="0"/>
                <w:szCs w:val="21"/>
                <w:highlight w:val="none"/>
                <w:lang w:eastAsia="zh-CN"/>
              </w:rPr>
              <w:t>比选</w:t>
            </w:r>
            <w:r>
              <w:rPr>
                <w:rFonts w:ascii="Times New Roman" w:eastAsia="宋体"/>
                <w:color w:val="auto"/>
                <w:kern w:val="0"/>
                <w:szCs w:val="21"/>
                <w:highlight w:val="none"/>
              </w:rPr>
              <w:t>文件第</w:t>
            </w:r>
            <w:r>
              <w:rPr>
                <w:rFonts w:hint="eastAsia" w:ascii="Times New Roman"/>
                <w:color w:val="auto"/>
                <w:kern w:val="0"/>
                <w:szCs w:val="21"/>
                <w:highlight w:val="none"/>
                <w:lang w:val="en-US" w:eastAsia="zh-CN"/>
              </w:rPr>
              <w:t>六</w:t>
            </w:r>
            <w:r>
              <w:rPr>
                <w:rFonts w:ascii="Times New Roman" w:eastAsia="宋体"/>
                <w:color w:val="auto"/>
                <w:kern w:val="0"/>
                <w:szCs w:val="21"/>
                <w:highlight w:val="none"/>
              </w:rPr>
              <w:t>章</w:t>
            </w:r>
            <w:r>
              <w:rPr>
                <w:rFonts w:hint="eastAsia"/>
                <w:color w:val="auto"/>
                <w:kern w:val="0"/>
                <w:szCs w:val="21"/>
                <w:highlight w:val="none"/>
                <w:lang w:val="en-US" w:eastAsia="zh-CN"/>
              </w:rPr>
              <w:t>报价</w:t>
            </w:r>
            <w:r>
              <w:rPr>
                <w:rFonts w:ascii="Times New Roman" w:eastAsia="宋体"/>
                <w:color w:val="auto"/>
                <w:kern w:val="0"/>
                <w:szCs w:val="21"/>
                <w:highlight w:val="none"/>
              </w:rPr>
              <w:t>清单</w:t>
            </w:r>
            <w:r>
              <w:rPr>
                <w:rFonts w:hint="eastAsia" w:ascii="Times New Roman"/>
                <w:color w:val="auto"/>
                <w:kern w:val="0"/>
                <w:szCs w:val="21"/>
                <w:highlight w:val="none"/>
                <w:lang w:val="en-US" w:eastAsia="zh-CN"/>
              </w:rPr>
              <w:t>进行报价</w:t>
            </w:r>
            <w:r>
              <w:rPr>
                <w:rFonts w:ascii="Times New Roman" w:eastAsia="宋体"/>
                <w:color w:val="auto"/>
                <w:kern w:val="0"/>
                <w:szCs w:val="21"/>
                <w:highlight w:val="none"/>
              </w:rPr>
              <w:t>。</w:t>
            </w:r>
          </w:p>
        </w:tc>
      </w:tr>
      <w:tr w14:paraId="452BE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2B345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7C0B029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14:paraId="09B99707">
            <w:pPr>
              <w:snapToGrid w:val="0"/>
              <w:spacing w:line="400" w:lineRule="exact"/>
              <w:ind w:firstLine="420" w:firstLineChars="200"/>
              <w:rPr>
                <w:rFonts w:hint="eastAsia"/>
                <w:color w:val="auto"/>
                <w:highlight w:val="none"/>
                <w:lang w:val="en-US" w:eastAsia="zh-CN"/>
              </w:rPr>
            </w:pPr>
            <w:r>
              <w:rPr>
                <w:rFonts w:hint="eastAsia"/>
                <w:color w:val="auto"/>
                <w:highlight w:val="none"/>
              </w:rPr>
              <w:t>本项目总报价最高限价为</w:t>
            </w:r>
            <w:r>
              <w:rPr>
                <w:rFonts w:hint="eastAsia"/>
                <w:color w:val="auto"/>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37027922.48</w:t>
            </w:r>
            <w:r>
              <w:rPr>
                <w:rFonts w:hint="eastAsia"/>
                <w:color w:val="auto"/>
                <w:highlight w:val="none"/>
                <w:lang w:val="en-US" w:eastAsia="zh-CN"/>
              </w:rPr>
              <w:t>元；</w:t>
            </w:r>
          </w:p>
          <w:tbl>
            <w:tblPr>
              <w:tblStyle w:val="50"/>
              <w:tblW w:w="6127"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553"/>
              <w:gridCol w:w="941"/>
              <w:gridCol w:w="1064"/>
              <w:gridCol w:w="736"/>
              <w:gridCol w:w="946"/>
              <w:gridCol w:w="1437"/>
            </w:tblGrid>
            <w:tr w14:paraId="37DB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5A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DB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93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需求物资</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53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物资数量（吨）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776">
                  <w:pPr>
                    <w:keepNext w:val="0"/>
                    <w:keepLines w:val="0"/>
                    <w:widowControl/>
                    <w:suppressLineNumbers w:val="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基准价（元/吨）</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3A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固定综合费用</w:t>
                  </w:r>
                  <w:r>
                    <w:rPr>
                      <w:rFonts w:hint="eastAsia" w:ascii="宋体" w:hAnsi="宋体" w:eastAsia="宋体" w:cs="宋体"/>
                      <w:b/>
                      <w:bCs/>
                      <w:i w:val="0"/>
                      <w:iCs w:val="0"/>
                      <w:color w:val="auto"/>
                      <w:kern w:val="0"/>
                      <w:sz w:val="21"/>
                      <w:szCs w:val="21"/>
                      <w:highlight w:val="none"/>
                      <w:u w:val="none"/>
                      <w:lang w:val="en-US" w:eastAsia="zh-CN" w:bidi="ar"/>
                    </w:rPr>
                    <w:t>（元/吨）</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238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最高限价（含税）（元）</w:t>
                  </w:r>
                </w:p>
              </w:tc>
            </w:tr>
            <w:tr w14:paraId="0488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0D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88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一环路南段项目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C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41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39015.72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911">
                  <w:pPr>
                    <w:pStyle w:val="28"/>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515.00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C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-162.00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B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13772549.16</w:t>
                  </w:r>
                </w:p>
              </w:tc>
            </w:tr>
            <w:tr w14:paraId="6FAC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149C">
                  <w:pPr>
                    <w:jc w:val="center"/>
                    <w:rPr>
                      <w:rFonts w:hint="eastAsia" w:ascii="宋体" w:hAnsi="宋体" w:eastAsia="宋体" w:cs="宋体"/>
                      <w:i w:val="0"/>
                      <w:iCs w:val="0"/>
                      <w:color w:val="auto"/>
                      <w:sz w:val="21"/>
                      <w:szCs w:val="21"/>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9968">
                  <w:pPr>
                    <w:jc w:val="center"/>
                    <w:rPr>
                      <w:rFonts w:hint="eastAsia" w:ascii="宋体" w:hAnsi="宋体" w:eastAsia="宋体" w:cs="宋体"/>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7D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4616.48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B16">
                  <w:pPr>
                    <w:pStyle w:val="28"/>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515.00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6B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-164.00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99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1620384.48</w:t>
                  </w:r>
                </w:p>
              </w:tc>
            </w:tr>
            <w:tr w14:paraId="3D11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20AC">
                  <w:pPr>
                    <w:jc w:val="center"/>
                    <w:rPr>
                      <w:rFonts w:hint="eastAsia" w:ascii="宋体" w:hAnsi="宋体" w:eastAsia="宋体" w:cs="宋体"/>
                      <w:i w:val="0"/>
                      <w:iCs w:val="0"/>
                      <w:color w:val="auto"/>
                      <w:sz w:val="21"/>
                      <w:szCs w:val="21"/>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4763">
                  <w:pPr>
                    <w:jc w:val="center"/>
                    <w:rPr>
                      <w:rFonts w:hint="eastAsia" w:ascii="宋体" w:hAnsi="宋体" w:eastAsia="宋体" w:cs="宋体"/>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1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P.O42.5袋装水泥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F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3516.85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14AA">
                  <w:pPr>
                    <w:pStyle w:val="28"/>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545.00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7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-161.00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0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1350470.4</w:t>
                  </w:r>
                </w:p>
              </w:tc>
            </w:tr>
            <w:tr w14:paraId="0158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A7F6">
                  <w:pPr>
                    <w:jc w:val="center"/>
                    <w:rPr>
                      <w:rFonts w:hint="eastAsia" w:ascii="宋体" w:hAnsi="宋体" w:eastAsia="宋体" w:cs="宋体"/>
                      <w:i w:val="0"/>
                      <w:iCs w:val="0"/>
                      <w:color w:val="auto"/>
                      <w:sz w:val="21"/>
                      <w:szCs w:val="21"/>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4797E">
                  <w:pPr>
                    <w:jc w:val="center"/>
                    <w:rPr>
                      <w:rFonts w:hint="eastAsia" w:ascii="宋体" w:hAnsi="宋体" w:eastAsia="宋体" w:cs="宋体"/>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35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P.O52.5散装水泥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4263.17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867D">
                  <w:pPr>
                    <w:pStyle w:val="28"/>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550.00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E3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-168.00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9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1628530.94</w:t>
                  </w:r>
                </w:p>
              </w:tc>
            </w:tr>
            <w:tr w14:paraId="1E12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2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D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渝赤叙4标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A55A96B">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P052.5散装水泥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7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40216.5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5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r>
                    <w:rPr>
                      <w:rFonts w:hint="eastAsia" w:ascii="宋体" w:hAnsi="宋体" w:eastAsia="宋体" w:cs="宋体"/>
                      <w:color w:val="auto"/>
                      <w:spacing w:val="0"/>
                      <w:sz w:val="18"/>
                      <w:szCs w:val="18"/>
                      <w:highlight w:val="none"/>
                      <w:vertAlign w:val="baseline"/>
                      <w:lang w:val="en-US" w:eastAsia="zh-CN" w:bidi="ar-SA"/>
                    </w:rPr>
                    <w:t>4</w:t>
                  </w:r>
                  <w:r>
                    <w:rPr>
                      <w:rFonts w:hint="eastAsia" w:cs="宋体"/>
                      <w:color w:val="auto"/>
                      <w:spacing w:val="0"/>
                      <w:sz w:val="18"/>
                      <w:szCs w:val="18"/>
                      <w:highlight w:val="none"/>
                      <w:vertAlign w:val="baseline"/>
                      <w:lang w:val="en-US" w:eastAsia="zh-CN" w:bidi="ar-SA"/>
                    </w:rPr>
                    <w:t>35</w:t>
                  </w:r>
                  <w:r>
                    <w:rPr>
                      <w:rFonts w:hint="eastAsia" w:ascii="宋体" w:hAnsi="宋体" w:eastAsia="宋体" w:cs="宋体"/>
                      <w:color w:val="auto"/>
                      <w:spacing w:val="0"/>
                      <w:sz w:val="18"/>
                      <w:szCs w:val="18"/>
                      <w:highlight w:val="none"/>
                      <w:vertAlign w:val="baseline"/>
                      <w:lang w:val="en-US" w:eastAsia="zh-CN" w:bidi="ar-SA"/>
                    </w:rPr>
                    <w:t>.00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B848">
                  <w:pPr>
                    <w:keepNext w:val="0"/>
                    <w:keepLines w:val="0"/>
                    <w:widowControl/>
                    <w:suppressLineNumbers w:val="0"/>
                    <w:ind w:left="0" w:leftChars="0" w:firstLine="180" w:firstLineChars="10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18"/>
                      <w:szCs w:val="18"/>
                      <w:highlight w:val="none"/>
                      <w:vertAlign w:val="baseline"/>
                      <w:lang w:val="en-US" w:eastAsia="zh-CN" w:bidi="ar-SA"/>
                    </w:rPr>
                    <w:t xml:space="preserve">-25.00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F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16488765</w:t>
                  </w:r>
                </w:p>
              </w:tc>
            </w:tr>
            <w:tr w14:paraId="4B51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7B51">
                  <w:pPr>
                    <w:jc w:val="center"/>
                    <w:rPr>
                      <w:rFonts w:hint="eastAsia" w:ascii="宋体" w:hAnsi="宋体" w:eastAsia="宋体" w:cs="宋体"/>
                      <w:i w:val="0"/>
                      <w:iCs w:val="0"/>
                      <w:color w:val="auto"/>
                      <w:sz w:val="21"/>
                      <w:szCs w:val="21"/>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29B0">
                  <w:pPr>
                    <w:jc w:val="center"/>
                    <w:rPr>
                      <w:rFonts w:hint="eastAsia" w:ascii="宋体" w:hAnsi="宋体" w:eastAsia="宋体" w:cs="宋体"/>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0294DD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P052.5(低碱)散装水泥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6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4468.5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F9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r>
                    <w:rPr>
                      <w:rFonts w:hint="eastAsia" w:ascii="宋体" w:hAnsi="宋体" w:eastAsia="宋体" w:cs="宋体"/>
                      <w:color w:val="auto"/>
                      <w:spacing w:val="0"/>
                      <w:sz w:val="18"/>
                      <w:szCs w:val="18"/>
                      <w:highlight w:val="none"/>
                      <w:vertAlign w:val="baseline"/>
                      <w:lang w:val="en-US" w:eastAsia="zh-CN" w:bidi="ar-SA"/>
                    </w:rPr>
                    <w:t>4</w:t>
                  </w:r>
                  <w:r>
                    <w:rPr>
                      <w:rFonts w:hint="eastAsia" w:cs="宋体"/>
                      <w:color w:val="auto"/>
                      <w:spacing w:val="0"/>
                      <w:sz w:val="18"/>
                      <w:szCs w:val="18"/>
                      <w:highlight w:val="none"/>
                      <w:vertAlign w:val="baseline"/>
                      <w:lang w:val="en-US" w:eastAsia="zh-CN" w:bidi="ar-SA"/>
                    </w:rPr>
                    <w:t>35</w:t>
                  </w:r>
                  <w:r>
                    <w:rPr>
                      <w:rFonts w:hint="eastAsia" w:ascii="宋体" w:hAnsi="宋体" w:eastAsia="宋体" w:cs="宋体"/>
                      <w:color w:val="auto"/>
                      <w:spacing w:val="0"/>
                      <w:sz w:val="18"/>
                      <w:szCs w:val="18"/>
                      <w:highlight w:val="none"/>
                      <w:vertAlign w:val="baseline"/>
                      <w:lang w:val="en-US" w:eastAsia="zh-CN" w:bidi="ar-SA"/>
                    </w:rPr>
                    <w:t>.00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594">
                  <w:pPr>
                    <w:keepNext w:val="0"/>
                    <w:keepLines w:val="0"/>
                    <w:widowControl/>
                    <w:suppressLineNumbers w:val="0"/>
                    <w:ind w:left="0" w:leftChars="0" w:firstLine="180" w:firstLineChars="10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18"/>
                      <w:szCs w:val="18"/>
                      <w:highlight w:val="none"/>
                      <w:vertAlign w:val="baseline"/>
                      <w:lang w:val="en-US" w:eastAsia="zh-CN" w:bidi="ar-SA"/>
                    </w:rPr>
                    <w:t xml:space="preserve">50.00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2167222.5</w:t>
                  </w:r>
                </w:p>
              </w:tc>
            </w:tr>
            <w:tr w14:paraId="55B5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219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835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E5F49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6003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023ACA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34E649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2568E3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C3C5">
                  <w:pPr>
                    <w:keepNext w:val="0"/>
                    <w:keepLines w:val="0"/>
                    <w:widowControl/>
                    <w:suppressLineNumbers w:val="0"/>
                    <w:jc w:val="righ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37027922.48</w:t>
                  </w:r>
                </w:p>
              </w:tc>
            </w:tr>
          </w:tbl>
          <w:p w14:paraId="2E44A8F6">
            <w:pPr>
              <w:snapToGrid w:val="0"/>
              <w:spacing w:line="400" w:lineRule="exact"/>
              <w:rPr>
                <w:color w:val="auto"/>
                <w:highlight w:val="none"/>
              </w:rPr>
            </w:pPr>
          </w:p>
        </w:tc>
      </w:tr>
      <w:tr w14:paraId="57468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29128D">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3</w:t>
            </w:r>
            <w:r>
              <w:rPr>
                <w:rFonts w:ascii="宋体" w:hAnsi="宋体"/>
                <w:color w:val="auto"/>
                <w:kern w:val="0"/>
                <w:szCs w:val="21"/>
                <w:highlight w:val="none"/>
              </w:rPr>
              <w:t>.2.</w:t>
            </w:r>
            <w:r>
              <w:rPr>
                <w:rFonts w:hint="eastAsia" w:ascii="宋体" w:hAnsi="宋体"/>
                <w:color w:val="auto"/>
                <w:kern w:val="0"/>
                <w:szCs w:val="21"/>
                <w:highlight w:val="none"/>
                <w:lang w:val="en-US" w:eastAsia="zh-CN"/>
              </w:rPr>
              <w:t>5</w:t>
            </w:r>
          </w:p>
        </w:tc>
        <w:tc>
          <w:tcPr>
            <w:tcW w:w="1644" w:type="dxa"/>
            <w:vAlign w:val="center"/>
          </w:tcPr>
          <w:p w14:paraId="686EFB63">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报价其他要求</w:t>
            </w:r>
          </w:p>
        </w:tc>
        <w:tc>
          <w:tcPr>
            <w:tcW w:w="6490" w:type="dxa"/>
            <w:vAlign w:val="center"/>
          </w:tcPr>
          <w:p w14:paraId="6BB4DAF6">
            <w:pPr>
              <w:pStyle w:val="44"/>
              <w:spacing w:line="380" w:lineRule="exact"/>
              <w:ind w:firstLine="420" w:firstLineChars="200"/>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投标人在报价表中填报的综合单价应是将满足</w:t>
            </w:r>
            <w:r>
              <w:rPr>
                <w:rFonts w:hint="eastAsia"/>
                <w:color w:val="auto"/>
                <w:sz w:val="21"/>
                <w:szCs w:val="21"/>
                <w:highlight w:val="none"/>
                <w:lang w:eastAsia="zh-CN"/>
              </w:rPr>
              <w:t>比选</w:t>
            </w:r>
            <w:r>
              <w:rPr>
                <w:rFonts w:hint="eastAsia"/>
                <w:color w:val="auto"/>
                <w:sz w:val="21"/>
                <w:szCs w:val="21"/>
                <w:highlight w:val="none"/>
              </w:rPr>
              <w:t>文件要求的产品运至</w:t>
            </w:r>
            <w:r>
              <w:rPr>
                <w:rFonts w:hint="eastAsia"/>
                <w:color w:val="auto"/>
                <w:sz w:val="21"/>
                <w:szCs w:val="21"/>
                <w:highlight w:val="none"/>
                <w:lang w:eastAsia="zh-CN"/>
              </w:rPr>
              <w:t>比选</w:t>
            </w:r>
            <w:r>
              <w:rPr>
                <w:rFonts w:hint="eastAsia"/>
                <w:color w:val="auto"/>
                <w:sz w:val="21"/>
                <w:szCs w:val="21"/>
                <w:highlight w:val="none"/>
              </w:rPr>
              <w:t>人指定施工现场交货地点的综合单价，应包含但不限于产品的出厂价（含所有规费等）、仓储费、加工费、运杂费（含包装</w:t>
            </w:r>
            <w:r>
              <w:rPr>
                <w:rFonts w:hint="eastAsia"/>
                <w:color w:val="auto"/>
                <w:sz w:val="21"/>
                <w:szCs w:val="21"/>
                <w:highlight w:val="none"/>
                <w:lang w:val="en-US" w:eastAsia="zh-CN"/>
              </w:rPr>
              <w:t>和</w:t>
            </w:r>
            <w:r>
              <w:rPr>
                <w:rFonts w:hint="eastAsia"/>
                <w:color w:val="auto"/>
                <w:sz w:val="21"/>
                <w:szCs w:val="21"/>
                <w:highlight w:val="none"/>
              </w:rPr>
              <w:t>运输至施工现场指定地点</w:t>
            </w:r>
            <w:r>
              <w:rPr>
                <w:rFonts w:hint="eastAsia"/>
                <w:color w:val="auto"/>
                <w:sz w:val="21"/>
                <w:szCs w:val="21"/>
                <w:highlight w:val="none"/>
                <w:lang w:val="en-US" w:eastAsia="zh-CN"/>
              </w:rPr>
              <w:t>等</w:t>
            </w:r>
            <w:r>
              <w:rPr>
                <w:rFonts w:hint="eastAsia"/>
                <w:color w:val="auto"/>
                <w:sz w:val="21"/>
                <w:szCs w:val="21"/>
                <w:highlight w:val="none"/>
              </w:rPr>
              <w:t>）、风险费、物价上涨、安全措施费、保险（交货验收前）、各种检测及检验、成品和半成品保护、水泥罐使用费、各种税费、所有检测、验收、办理中标产品所需要的各种许可证、提供中标产品所需的各种检测报告（自检及第三方检测）、各种规费、配合费（中标供应商提供的现场技术指导服务等的费用，</w:t>
            </w:r>
            <w:r>
              <w:rPr>
                <w:color w:val="auto"/>
                <w:sz w:val="21"/>
                <w:szCs w:val="21"/>
                <w:highlight w:val="none"/>
              </w:rPr>
              <w:t>满足现场施工要求，及时解答材料使用中的问题和注意事项等</w:t>
            </w:r>
            <w:r>
              <w:rPr>
                <w:rFonts w:hint="eastAsia"/>
                <w:color w:val="auto"/>
                <w:sz w:val="21"/>
                <w:szCs w:val="21"/>
                <w:highlight w:val="none"/>
              </w:rPr>
              <w:t>）、</w:t>
            </w:r>
            <w:r>
              <w:rPr>
                <w:color w:val="auto"/>
                <w:sz w:val="21"/>
                <w:szCs w:val="21"/>
                <w:highlight w:val="none"/>
              </w:rPr>
              <w:t>经验收合格且交付给</w:t>
            </w:r>
            <w:r>
              <w:rPr>
                <w:rFonts w:hint="eastAsia"/>
                <w:color w:val="auto"/>
                <w:sz w:val="21"/>
                <w:szCs w:val="21"/>
                <w:highlight w:val="none"/>
                <w:lang w:eastAsia="zh-CN"/>
              </w:rPr>
              <w:t>比选</w:t>
            </w:r>
            <w:r>
              <w:rPr>
                <w:color w:val="auto"/>
                <w:sz w:val="21"/>
                <w:szCs w:val="21"/>
                <w:highlight w:val="none"/>
              </w:rPr>
              <w:t>人正常使用的所有费用，以及合同明示或暗示的所有责任、义务和一般风险。</w:t>
            </w:r>
          </w:p>
          <w:p w14:paraId="17D6C99D">
            <w:pPr>
              <w:pStyle w:val="44"/>
              <w:spacing w:line="380" w:lineRule="exact"/>
              <w:ind w:firstLine="420" w:firstLineChars="20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在合同执行期间，投标人填写的</w:t>
            </w:r>
            <w:r>
              <w:rPr>
                <w:rFonts w:hint="eastAsia"/>
                <w:color w:val="auto"/>
                <w:sz w:val="21"/>
                <w:szCs w:val="21"/>
                <w:highlight w:val="none"/>
              </w:rPr>
              <w:t>综合单价按合同约定根据</w:t>
            </w:r>
            <w:r>
              <w:rPr>
                <w:rFonts w:hint="eastAsia" w:ascii="宋体" w:hAnsi="宋体" w:cs="宋体"/>
                <w:color w:val="auto"/>
                <w:sz w:val="21"/>
                <w:szCs w:val="21"/>
                <w:highlight w:val="none"/>
              </w:rPr>
              <w:t>“数字水泥网”约定标的物</w:t>
            </w:r>
            <w:r>
              <w:rPr>
                <w:rFonts w:hint="eastAsia"/>
                <w:color w:val="auto"/>
                <w:sz w:val="21"/>
                <w:szCs w:val="21"/>
                <w:highlight w:val="none"/>
              </w:rPr>
              <w:t>涨跌调差</w:t>
            </w:r>
            <w:r>
              <w:rPr>
                <w:color w:val="auto"/>
                <w:sz w:val="21"/>
                <w:szCs w:val="21"/>
                <w:highlight w:val="none"/>
              </w:rPr>
              <w:t>，投标人应充分考虑供货期间的价格风险。</w:t>
            </w:r>
          </w:p>
          <w:p w14:paraId="0C82472A">
            <w:pPr>
              <w:pStyle w:val="44"/>
              <w:spacing w:line="380" w:lineRule="exact"/>
              <w:ind w:firstLine="420" w:firstLineChars="200"/>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如投标人中标，则其因承包本合同需缴纳的一切税费均由投标人自行承担，并包含在所报的单价或总额价中，</w:t>
            </w:r>
            <w:r>
              <w:rPr>
                <w:rFonts w:hint="eastAsia"/>
                <w:color w:val="auto"/>
                <w:sz w:val="21"/>
                <w:szCs w:val="21"/>
                <w:highlight w:val="none"/>
                <w:lang w:eastAsia="zh-CN"/>
              </w:rPr>
              <w:t>比选</w:t>
            </w:r>
            <w:r>
              <w:rPr>
                <w:color w:val="auto"/>
                <w:sz w:val="21"/>
                <w:szCs w:val="21"/>
                <w:highlight w:val="none"/>
              </w:rPr>
              <w:t>人概不负责。</w:t>
            </w:r>
          </w:p>
          <w:p w14:paraId="2A402B0A">
            <w:pPr>
              <w:pStyle w:val="44"/>
              <w:spacing w:line="380" w:lineRule="exact"/>
              <w:ind w:firstLine="420" w:firstLineChars="200"/>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投标人应负责办理为执行本</w:t>
            </w:r>
            <w:r>
              <w:rPr>
                <w:rFonts w:hint="eastAsia"/>
                <w:color w:val="auto"/>
                <w:sz w:val="21"/>
                <w:szCs w:val="21"/>
                <w:highlight w:val="none"/>
                <w:lang w:eastAsia="zh-CN"/>
              </w:rPr>
              <w:t>比选</w:t>
            </w:r>
            <w:r>
              <w:rPr>
                <w:color w:val="auto"/>
                <w:sz w:val="21"/>
                <w:szCs w:val="21"/>
                <w:highlight w:val="none"/>
              </w:rPr>
              <w:t>文件规定义务而投入的机具设备、运输工具的财产保险和人身保险、产品运输险、包装物的保险、第三方责任险以及应投保的其他保险，保险费由投标人承担并支付，并包含在产品的综合单价之中，</w:t>
            </w:r>
            <w:r>
              <w:rPr>
                <w:rFonts w:hint="eastAsia"/>
                <w:color w:val="auto"/>
                <w:sz w:val="21"/>
                <w:szCs w:val="21"/>
                <w:highlight w:val="none"/>
                <w:lang w:eastAsia="zh-CN"/>
              </w:rPr>
              <w:t>比选</w:t>
            </w:r>
            <w:r>
              <w:rPr>
                <w:color w:val="auto"/>
                <w:sz w:val="21"/>
                <w:szCs w:val="21"/>
                <w:highlight w:val="none"/>
              </w:rPr>
              <w:t>人将不再单独支付。</w:t>
            </w:r>
          </w:p>
          <w:p w14:paraId="53797BC4">
            <w:pPr>
              <w:pStyle w:val="44"/>
              <w:spacing w:line="380" w:lineRule="exact"/>
              <w:ind w:firstLine="420" w:firstLineChars="200"/>
              <w:rPr>
                <w:rFonts w:ascii="宋体" w:hAnsi="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cs="宋体"/>
                <w:color w:val="auto"/>
                <w:sz w:val="21"/>
                <w:szCs w:val="21"/>
                <w:highlight w:val="none"/>
              </w:rPr>
              <w:t>本次</w:t>
            </w:r>
            <w:r>
              <w:rPr>
                <w:rFonts w:hint="eastAsia" w:cs="宋体"/>
                <w:color w:val="auto"/>
                <w:sz w:val="21"/>
                <w:szCs w:val="21"/>
                <w:highlight w:val="none"/>
                <w:lang w:eastAsia="zh-CN"/>
              </w:rPr>
              <w:t>比选</w:t>
            </w:r>
            <w:r>
              <w:rPr>
                <w:rFonts w:hint="eastAsia" w:ascii="宋体" w:hAnsi="宋体" w:cs="宋体"/>
                <w:color w:val="auto"/>
                <w:sz w:val="21"/>
                <w:szCs w:val="21"/>
                <w:highlight w:val="none"/>
              </w:rPr>
              <w:t>投标报价为每包件水泥到站一票制总价，包括投标基准价、固定费用。投标人应按采购文件要求完成物资报价表、物资报价成本分析表，表中各栏填写齐全。</w:t>
            </w:r>
          </w:p>
          <w:p w14:paraId="22760307">
            <w:pPr>
              <w:pStyle w:val="44"/>
              <w:spacing w:line="3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A、投标基准价指“数字水泥网”发布的</w:t>
            </w:r>
            <w:r>
              <w:rPr>
                <w:rFonts w:hint="eastAsia"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一环路南段项目</w:t>
            </w:r>
            <w:r>
              <w:rPr>
                <w:rFonts w:hint="eastAsia" w:cs="宋体"/>
                <w:i w:val="0"/>
                <w:iCs w:val="0"/>
                <w:color w:val="auto"/>
                <w:kern w:val="0"/>
                <w:sz w:val="21"/>
                <w:szCs w:val="21"/>
                <w:highlight w:val="none"/>
                <w:u w:val="none"/>
                <w:lang w:val="en-US" w:eastAsia="zh-CN" w:bidi="ar"/>
              </w:rPr>
              <w:t>-渝东北；</w:t>
            </w:r>
            <w:r>
              <w:rPr>
                <w:rFonts w:hint="eastAsia" w:ascii="宋体" w:hAnsi="宋体" w:eastAsia="宋体" w:cs="宋体"/>
                <w:i w:val="0"/>
                <w:iCs w:val="0"/>
                <w:color w:val="auto"/>
                <w:kern w:val="0"/>
                <w:sz w:val="21"/>
                <w:szCs w:val="21"/>
                <w:highlight w:val="none"/>
                <w:u w:val="none"/>
                <w:lang w:val="en-US" w:eastAsia="zh-CN" w:bidi="ar"/>
              </w:rPr>
              <w:t>渝赤叙4标</w:t>
            </w:r>
            <w:r>
              <w:rPr>
                <w:rFonts w:hint="eastAsia" w:cs="宋体"/>
                <w:i w:val="0"/>
                <w:iCs w:val="0"/>
                <w:color w:val="auto"/>
                <w:kern w:val="0"/>
                <w:sz w:val="21"/>
                <w:szCs w:val="21"/>
                <w:highlight w:val="none"/>
                <w:u w:val="none"/>
                <w:lang w:val="en-US" w:eastAsia="zh-CN" w:bidi="ar"/>
              </w:rPr>
              <w:t>-主城区</w:t>
            </w:r>
            <w:r>
              <w:rPr>
                <w:rFonts w:hint="eastAsia" w:cs="宋体"/>
                <w:color w:val="auto"/>
                <w:sz w:val="21"/>
                <w:szCs w:val="21"/>
                <w:highlight w:val="none"/>
                <w:lang w:eastAsia="zh-CN"/>
              </w:rPr>
              <w:t>）</w:t>
            </w:r>
            <w:r>
              <w:rPr>
                <w:rFonts w:hint="eastAsia" w:ascii="宋体" w:hAnsi="宋体" w:cs="宋体"/>
                <w:color w:val="auto"/>
                <w:sz w:val="21"/>
                <w:szCs w:val="21"/>
                <w:highlight w:val="none"/>
              </w:rPr>
              <w:t>地区水泥市场价格</w:t>
            </w:r>
            <w:r>
              <w:rPr>
                <w:rFonts w:hint="eastAsia" w:cs="宋体"/>
                <w:color w:val="auto"/>
                <w:sz w:val="21"/>
                <w:szCs w:val="21"/>
                <w:highlight w:val="none"/>
                <w:lang w:eastAsia="zh-CN"/>
              </w:rPr>
              <w:t>。</w:t>
            </w:r>
            <w:r>
              <w:rPr>
                <w:rFonts w:hint="eastAsia" w:ascii="宋体" w:hAnsi="宋体" w:cs="宋体"/>
                <w:color w:val="auto"/>
                <w:sz w:val="21"/>
                <w:szCs w:val="21"/>
                <w:highlight w:val="none"/>
              </w:rPr>
              <w:t>如使用袋装水泥，投标基准价在同规格散装水泥价格上增加30元/吨</w:t>
            </w:r>
            <w:r>
              <w:rPr>
                <w:rFonts w:hint="eastAsia" w:cs="宋体"/>
                <w:color w:val="auto"/>
                <w:sz w:val="21"/>
                <w:szCs w:val="21"/>
                <w:highlight w:val="none"/>
                <w:lang w:eastAsia="zh-CN"/>
              </w:rPr>
              <w:t>；</w:t>
            </w:r>
            <w:r>
              <w:rPr>
                <w:rFonts w:hint="eastAsia" w:ascii="宋体" w:hAnsi="宋体" w:cs="宋体"/>
                <w:color w:val="auto"/>
                <w:sz w:val="21"/>
                <w:szCs w:val="21"/>
                <w:highlight w:val="none"/>
              </w:rPr>
              <w:t>为限制不平衡报价</w:t>
            </w:r>
            <w:r>
              <w:rPr>
                <w:rFonts w:hint="eastAsia" w:cs="宋体"/>
                <w:color w:val="auto"/>
                <w:sz w:val="21"/>
                <w:szCs w:val="21"/>
                <w:highlight w:val="none"/>
                <w:lang w:eastAsia="zh-CN"/>
              </w:rPr>
              <w:t>，</w:t>
            </w:r>
            <w:r>
              <w:rPr>
                <w:rFonts w:hint="eastAsia" w:cs="宋体"/>
                <w:color w:val="auto"/>
                <w:sz w:val="21"/>
                <w:szCs w:val="21"/>
                <w:highlight w:val="none"/>
                <w:lang w:val="en-US" w:eastAsia="zh-CN"/>
              </w:rPr>
              <w:t>单个项目报价不得高于最高限价</w:t>
            </w:r>
            <w:r>
              <w:rPr>
                <w:rFonts w:hint="eastAsia" w:ascii="宋体" w:hAnsi="宋体" w:cs="宋体"/>
                <w:color w:val="auto"/>
                <w:sz w:val="21"/>
                <w:szCs w:val="21"/>
                <w:highlight w:val="none"/>
              </w:rPr>
              <w:t>。此价格为投标固定基准价，各投标人一致，仅作为评标依据。</w:t>
            </w:r>
          </w:p>
          <w:p w14:paraId="7039E92B">
            <w:pPr>
              <w:pStyle w:val="44"/>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固定费用指投标人把物资由生产所在地完好无损地运至采购人指定交货地点所发生的一切费用（含仓储费、加工费、运杂费、安全措施费、保险（交货验收前）、各种税费、资金占用费用等），并按采购文件要求提出详细具体的运输服务方案，此费用在合同有效期内必须保持固定不变。</w:t>
            </w:r>
          </w:p>
          <w:p w14:paraId="2D19C3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p w14:paraId="13181772">
            <w:pPr>
              <w:snapToGrid w:val="0"/>
              <w:spacing w:line="400" w:lineRule="exact"/>
              <w:ind w:firstLine="420" w:firstLineChars="200"/>
              <w:rPr>
                <w:rFonts w:hint="eastAsia" w:ascii="宋体" w:hAnsi="宋体"/>
                <w:color w:val="auto"/>
                <w:szCs w:val="21"/>
                <w:highlight w:val="none"/>
                <w:u w:val="single"/>
              </w:rPr>
            </w:pPr>
          </w:p>
        </w:tc>
      </w:tr>
      <w:tr w14:paraId="58592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AA7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7FD06E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40DFF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14:paraId="6E06D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C323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37C02C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5A0E9B26">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1、投标保证金的金额为人民币</w:t>
            </w:r>
            <w:r>
              <w:rPr>
                <w:rFonts w:hint="eastAsia"/>
                <w:color w:val="auto"/>
                <w:highlight w:val="none"/>
                <w:lang w:val="en-US" w:eastAsia="zh-CN"/>
              </w:rPr>
              <w:t xml:space="preserve"> </w:t>
            </w:r>
            <w:r>
              <w:rPr>
                <w:rFonts w:hint="eastAsia"/>
                <w:b/>
                <w:bCs/>
                <w:color w:val="auto"/>
                <w:highlight w:val="none"/>
                <w:u w:val="single"/>
                <w:lang w:val="en-US" w:eastAsia="zh-CN"/>
              </w:rPr>
              <w:t xml:space="preserve"> 10</w:t>
            </w:r>
            <w:r>
              <w:rPr>
                <w:rFonts w:hint="eastAsia"/>
                <w:color w:val="auto"/>
                <w:highlight w:val="none"/>
                <w:lang w:val="en-US" w:eastAsia="zh-CN"/>
              </w:rPr>
              <w:t xml:space="preserve"> </w:t>
            </w:r>
            <w:r>
              <w:rPr>
                <w:rFonts w:hint="eastAsia"/>
                <w:color w:val="auto"/>
                <w:highlight w:val="none"/>
              </w:rPr>
              <w:t>万元整。</w:t>
            </w:r>
          </w:p>
          <w:p w14:paraId="363E6196">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2、投标保证金提交方式：以银行转账或银行电汇形式提交，投标人可任选一种。</w:t>
            </w:r>
          </w:p>
          <w:p w14:paraId="5CFD8841">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3、提交时间和方式：由投标人基本账户转（汇）入重庆国际投资咨询集团有限公司的银行账户，其转（汇）款到账截止时间为</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12</w:t>
            </w:r>
            <w:r>
              <w:rPr>
                <w:rFonts w:hint="eastAsia"/>
                <w:color w:val="auto"/>
                <w:highlight w:val="none"/>
                <w:u w:val="single"/>
              </w:rPr>
              <w:t>时</w:t>
            </w:r>
            <w:r>
              <w:rPr>
                <w:rFonts w:hint="eastAsia"/>
                <w:color w:val="auto"/>
                <w:highlight w:val="none"/>
                <w:u w:val="single"/>
                <w:lang w:val="en-US" w:eastAsia="zh-CN"/>
              </w:rPr>
              <w:t>00</w:t>
            </w:r>
            <w:r>
              <w:rPr>
                <w:rFonts w:hint="eastAsia"/>
                <w:color w:val="auto"/>
                <w:highlight w:val="none"/>
                <w:u w:val="single"/>
              </w:rPr>
              <w:t>分前</w:t>
            </w:r>
            <w:r>
              <w:rPr>
                <w:rFonts w:hint="eastAsia"/>
                <w:color w:val="auto"/>
                <w:highlight w:val="none"/>
              </w:rPr>
              <w:t>。</w:t>
            </w:r>
          </w:p>
          <w:p w14:paraId="01E96BD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投标保证金指定账户如下：</w:t>
            </w:r>
          </w:p>
          <w:p w14:paraId="47A115B6">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单位全称：重庆国际投资咨询集团有限公司</w:t>
            </w:r>
          </w:p>
          <w:p w14:paraId="0607E533">
            <w:pPr>
              <w:tabs>
                <w:tab w:val="left" w:pos="480"/>
              </w:tabs>
              <w:adjustRightInd w:val="0"/>
              <w:snapToGrid w:val="0"/>
              <w:spacing w:line="380" w:lineRule="exact"/>
              <w:ind w:firstLine="411" w:firstLineChars="196"/>
              <w:rPr>
                <w:rFonts w:hint="default" w:eastAsia="宋体"/>
                <w:color w:val="auto"/>
                <w:highlight w:val="none"/>
                <w:lang w:val="en-US" w:eastAsia="zh-CN"/>
              </w:rPr>
            </w:pPr>
            <w:r>
              <w:rPr>
                <w:rFonts w:hint="eastAsia"/>
                <w:color w:val="auto"/>
                <w:highlight w:val="none"/>
              </w:rPr>
              <w:t>开户行：</w:t>
            </w:r>
            <w:r>
              <w:rPr>
                <w:rFonts w:hint="eastAsia"/>
                <w:color w:val="auto"/>
                <w:highlight w:val="none"/>
                <w:lang w:val="en-US" w:eastAsia="zh-CN"/>
              </w:rPr>
              <w:t>兴业银行重庆分行营业部</w:t>
            </w:r>
          </w:p>
          <w:p w14:paraId="1BBFA4BD">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账号：346010100105300879011137</w:t>
            </w:r>
          </w:p>
          <w:p w14:paraId="0DEE310F">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特别提示：请投标人务必详细阅读下列条款！！！</w:t>
            </w:r>
          </w:p>
          <w:p w14:paraId="01A9A18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 xml:space="preserve">（1）投标人必须在付款凭证备注栏中注明是“ </w:t>
            </w:r>
            <w:r>
              <w:rPr>
                <w:rFonts w:hint="eastAsia"/>
                <w:color w:val="auto"/>
                <w:highlight w:val="none"/>
                <w:lang w:eastAsia="zh-CN"/>
              </w:rPr>
              <w:t>重庆高速公路集团有限公司集采中心2024年度水泥</w:t>
            </w:r>
            <w:r>
              <w:rPr>
                <w:rFonts w:hint="eastAsia"/>
                <w:color w:val="auto"/>
                <w:highlight w:val="none"/>
                <w:lang w:val="en-US" w:eastAsia="zh-CN"/>
              </w:rPr>
              <w:t>集中</w:t>
            </w:r>
            <w:r>
              <w:rPr>
                <w:rFonts w:hint="eastAsia"/>
                <w:color w:val="auto"/>
                <w:highlight w:val="none"/>
                <w:lang w:eastAsia="zh-CN"/>
              </w:rPr>
              <w:t>采购</w:t>
            </w:r>
            <w:r>
              <w:rPr>
                <w:rFonts w:hint="eastAsia"/>
                <w:color w:val="auto"/>
                <w:highlight w:val="none"/>
              </w:rPr>
              <w:t>”（可简写为“</w:t>
            </w:r>
            <w:r>
              <w:rPr>
                <w:rFonts w:hint="eastAsia"/>
                <w:color w:val="auto"/>
                <w:highlight w:val="none"/>
                <w:lang w:eastAsia="zh-CN"/>
              </w:rPr>
              <w:t>集采中心水泥采购</w:t>
            </w:r>
            <w:r>
              <w:rPr>
                <w:rFonts w:hint="eastAsia"/>
                <w:color w:val="auto"/>
                <w:highlight w:val="none"/>
              </w:rPr>
              <w:t>”）；</w:t>
            </w:r>
          </w:p>
          <w:p w14:paraId="23F38FB9">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各投标人在银行转账（电汇）投标保证金时，须充分考虑银行转账（电汇）的时间差风险，如同城转账、异地转账或汇款、跨行转账或电汇的时间要求。各投标人的投标保证金具体到账情况均以重庆国际投资咨询集团有限公司财务查询的银行到账信息为准。未在本</w:t>
            </w:r>
            <w:r>
              <w:rPr>
                <w:rFonts w:hint="eastAsia"/>
                <w:color w:val="auto"/>
                <w:highlight w:val="none"/>
                <w:lang w:eastAsia="zh-CN"/>
              </w:rPr>
              <w:t>比选</w:t>
            </w:r>
            <w:r>
              <w:rPr>
                <w:rFonts w:hint="eastAsia"/>
                <w:color w:val="auto"/>
                <w:highlight w:val="none"/>
              </w:rPr>
              <w:t>文件规定的截止时间前到账的，其投标文件作否决投标处理；</w:t>
            </w:r>
          </w:p>
          <w:p w14:paraId="20F08F33">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（3）投标保证金有效期与投标有效期一致；</w:t>
            </w:r>
          </w:p>
          <w:p w14:paraId="2685744D">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5、投标保证金的退还：</w:t>
            </w:r>
          </w:p>
          <w:p w14:paraId="55F22778">
            <w:pPr>
              <w:tabs>
                <w:tab w:val="left" w:pos="480"/>
              </w:tabs>
              <w:adjustRightInd w:val="0"/>
              <w:snapToGrid w:val="0"/>
              <w:spacing w:line="380" w:lineRule="exact"/>
              <w:ind w:firstLine="411" w:firstLineChars="196"/>
              <w:rPr>
                <w:rFonts w:ascii="宋体" w:hAnsi="宋体" w:cs="宋体"/>
                <w:color w:val="auto"/>
                <w:kern w:val="0"/>
                <w:szCs w:val="21"/>
                <w:highlight w:val="none"/>
              </w:rPr>
            </w:pPr>
            <w:r>
              <w:rPr>
                <w:rFonts w:hint="eastAsia"/>
                <w:color w:val="auto"/>
                <w:highlight w:val="none"/>
                <w:lang w:val="en-US" w:eastAsia="zh-CN"/>
              </w:rPr>
              <w:t>比选</w:t>
            </w:r>
            <w:r>
              <w:rPr>
                <w:rFonts w:hint="eastAsia"/>
                <w:color w:val="auto"/>
                <w:highlight w:val="none"/>
              </w:rPr>
              <w:t>人应当在规定时间内确定中标人，并向中标人发出中标通知书，同时</w:t>
            </w:r>
            <w:r>
              <w:rPr>
                <w:rFonts w:hint="eastAsia"/>
                <w:color w:val="auto"/>
                <w:highlight w:val="none"/>
                <w:lang w:val="en-US" w:eastAsia="zh-CN"/>
              </w:rPr>
              <w:t>比选</w:t>
            </w:r>
            <w:r>
              <w:rPr>
                <w:rFonts w:hint="eastAsia"/>
                <w:color w:val="auto"/>
                <w:highlight w:val="none"/>
              </w:rPr>
              <w:t>代理机构将在中标通知书发出后5日内向中标候选人以外的投标人退还投标保证金，投标保证金退还至投标人银行基本账户。中标人和其他中标候选人在</w:t>
            </w:r>
            <w:r>
              <w:rPr>
                <w:rFonts w:hint="eastAsia"/>
                <w:color w:val="auto"/>
                <w:highlight w:val="none"/>
                <w:lang w:eastAsia="zh-CN"/>
              </w:rPr>
              <w:t>比选人</w:t>
            </w:r>
            <w:r>
              <w:rPr>
                <w:rFonts w:hint="eastAsia"/>
                <w:color w:val="auto"/>
                <w:highlight w:val="none"/>
              </w:rPr>
              <w:t>与中标人签订合同后，由</w:t>
            </w:r>
            <w:r>
              <w:rPr>
                <w:rFonts w:hint="eastAsia"/>
                <w:color w:val="auto"/>
                <w:highlight w:val="none"/>
                <w:lang w:val="en-US" w:eastAsia="zh-CN"/>
              </w:rPr>
              <w:t>比选</w:t>
            </w:r>
            <w:r>
              <w:rPr>
                <w:rFonts w:hint="eastAsia"/>
                <w:color w:val="auto"/>
                <w:highlight w:val="none"/>
              </w:rPr>
              <w:t>代理机构向其退还投标保证金，投标保证金退还至中标候选人银行基本账户。</w:t>
            </w:r>
          </w:p>
        </w:tc>
      </w:tr>
      <w:tr w14:paraId="6EE7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C704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0684E1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7FBD599B">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B0CBEE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A7E2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44098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669EF152">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6D1751D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14:paraId="6E36C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909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3032C0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992F1E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22028F9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7D0B0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A600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F91A9E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4E48B51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副本可以为正本的复印件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，电子版形式（光盘</w:t>
            </w:r>
            <w:r>
              <w:rPr>
                <w:rFonts w:hint="eastAsia" w:ascii="宋体" w:hAnsi="宋体"/>
                <w:color w:val="auto"/>
                <w:kern w:val="0"/>
                <w:szCs w:val="21"/>
                <w:highlight w:val="none"/>
                <w:lang w:val="en-US" w:eastAsia="zh-CN"/>
              </w:rPr>
              <w:t>或U盘</w:t>
            </w:r>
            <w:r>
              <w:rPr>
                <w:rFonts w:hint="eastAsia" w:ascii="宋体" w:hAnsi="宋体"/>
                <w:color w:val="auto"/>
                <w:kern w:val="0"/>
                <w:szCs w:val="21"/>
                <w:highlight w:val="none"/>
              </w:rPr>
              <w:t>）1份。当副本和正本不一致时，以正本为准。否则由评标委员会作否决投标处理。</w:t>
            </w:r>
          </w:p>
          <w:p w14:paraId="43B54EE7">
            <w:pPr>
              <w:autoSpaceDE w:val="0"/>
              <w:autoSpaceDN w:val="0"/>
              <w:adjustRightInd w:val="0"/>
              <w:snapToGrid w:val="0"/>
              <w:spacing w:after="72"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注：在核发中标通知书时，</w:t>
            </w:r>
            <w:r>
              <w:rPr>
                <w:rFonts w:hint="eastAsia" w:ascii="宋体" w:hAnsi="宋体"/>
                <w:color w:val="auto"/>
                <w:kern w:val="0"/>
                <w:szCs w:val="21"/>
                <w:highlight w:val="none"/>
                <w:lang w:val="en-US" w:eastAsia="zh-CN"/>
              </w:rPr>
              <w:t>比选人如有需要</w:t>
            </w:r>
            <w:r>
              <w:rPr>
                <w:rFonts w:hint="eastAsia" w:ascii="宋体" w:hAnsi="宋体"/>
                <w:color w:val="auto"/>
                <w:kern w:val="0"/>
                <w:szCs w:val="21"/>
                <w:highlight w:val="none"/>
              </w:rPr>
              <w:t>中标人应另外补充投标文件（内容必须与投标时提交的投标文件相一致）。</w:t>
            </w:r>
          </w:p>
        </w:tc>
      </w:tr>
      <w:tr w14:paraId="2A76E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1D06CE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69E6E01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0160356D">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应将投标函部分</w:t>
            </w:r>
            <w:r>
              <w:rPr>
                <w:rFonts w:hint="eastAsia" w:ascii="宋体" w:hAnsi="宋体"/>
                <w:color w:val="auto"/>
                <w:szCs w:val="21"/>
                <w:highlight w:val="none"/>
              </w:rPr>
              <w:t>资格审查部分</w:t>
            </w:r>
            <w:r>
              <w:rPr>
                <w:rFonts w:ascii="宋体" w:hAnsi="宋体"/>
                <w:color w:val="auto"/>
                <w:szCs w:val="21"/>
                <w:highlight w:val="none"/>
              </w:rPr>
              <w:t>各自分别装订成册。</w:t>
            </w:r>
          </w:p>
          <w:p w14:paraId="0405A7F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38A1C66E">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）投标函部分的装订要求</w:t>
            </w:r>
          </w:p>
          <w:p w14:paraId="274563B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6D4B515C">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79034D83">
            <w:pPr>
              <w:adjustRightInd w:val="0"/>
              <w:snapToGrid w:val="0"/>
              <w:spacing w:line="400" w:lineRule="exact"/>
              <w:ind w:firstLine="420" w:firstLineChars="200"/>
              <w:rPr>
                <w:rStyle w:val="64"/>
                <w:color w:val="auto"/>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w:t>
            </w:r>
            <w:r>
              <w:rPr>
                <w:rFonts w:ascii="宋体" w:hAnsi="宋体"/>
                <w:color w:val="auto"/>
                <w:kern w:val="0"/>
                <w:szCs w:val="21"/>
                <w:highlight w:val="none"/>
              </w:rPr>
              <w:t>码。</w:t>
            </w:r>
          </w:p>
        </w:tc>
      </w:tr>
      <w:tr w14:paraId="4418C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A352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61537056">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14:paraId="74458564">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14:paraId="03367DF6">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投标文件袋使用“投标保函部分”袋</w:t>
            </w:r>
            <w:r>
              <w:rPr>
                <w:rFonts w:hint="eastAsia" w:ascii="宋体" w:hAnsi="宋体"/>
                <w:color w:val="auto"/>
                <w:szCs w:val="21"/>
                <w:highlight w:val="none"/>
              </w:rPr>
              <w:t>（如有）</w:t>
            </w:r>
            <w:r>
              <w:rPr>
                <w:rFonts w:ascii="宋体" w:hAnsi="宋体"/>
                <w:color w:val="auto"/>
                <w:szCs w:val="21"/>
                <w:highlight w:val="none"/>
              </w:rPr>
              <w:t>、“投标函部分”袋、“</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14:paraId="76970E6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“投标保函部分”袋</w:t>
            </w:r>
            <w:r>
              <w:rPr>
                <w:rFonts w:hint="eastAsia" w:ascii="宋体" w:hAnsi="宋体"/>
                <w:color w:val="auto"/>
                <w:szCs w:val="21"/>
                <w:highlight w:val="none"/>
              </w:rPr>
              <w:t>，单独封装</w:t>
            </w:r>
            <w:r>
              <w:rPr>
                <w:rFonts w:ascii="宋体" w:hAnsi="宋体"/>
                <w:color w:val="auto"/>
                <w:szCs w:val="21"/>
                <w:highlight w:val="none"/>
              </w:rPr>
              <w:t>并在袋上加盖投标人单位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p>
          <w:p w14:paraId="267D83B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和电子版形式（光盘</w:t>
            </w:r>
            <w:r>
              <w:rPr>
                <w:rFonts w:hint="eastAsia" w:ascii="宋体" w:hAnsi="宋体"/>
                <w:color w:val="auto"/>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14:paraId="17E6D2D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资格审查部分装入“资格审查部分”袋中，密封并在袋上加盖投标人单位法人章。</w:t>
            </w:r>
          </w:p>
          <w:p w14:paraId="705593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、“资格审查部分”</w:t>
            </w:r>
            <w:r>
              <w:rPr>
                <w:rFonts w:ascii="宋体" w:hAnsi="宋体"/>
                <w:color w:val="auto"/>
                <w:szCs w:val="21"/>
                <w:highlight w:val="none"/>
              </w:rPr>
              <w:t>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一个大袋装不下的，可使用多个大袋分册封装。大袋未按要求密封的，</w:t>
            </w:r>
            <w:r>
              <w:rPr>
                <w:rFonts w:hint="eastAsia" w:ascii="宋体" w:hAnsi="宋体"/>
                <w:color w:val="auto"/>
                <w:szCs w:val="21"/>
                <w:highlight w:val="none"/>
                <w:lang w:eastAsia="zh-CN"/>
              </w:rPr>
              <w:t>比选</w:t>
            </w:r>
            <w:r>
              <w:rPr>
                <w:rFonts w:hint="eastAsia" w:ascii="宋体" w:hAnsi="宋体"/>
                <w:color w:val="auto"/>
                <w:szCs w:val="21"/>
                <w:highlight w:val="none"/>
              </w:rPr>
              <w:t>人或代理机构应该拒收。</w:t>
            </w:r>
          </w:p>
          <w:p w14:paraId="4E07C40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注：“投标函部分”袋、“资格审查部分”袋只为方便投标文件分装，不作为判定密封合格与否的条件。但为了方便开标，请各投标人主动配合，按要求分装。</w:t>
            </w:r>
          </w:p>
        </w:tc>
      </w:tr>
      <w:tr w14:paraId="1DD55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14E9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7E7805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14:paraId="03E72AF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72AE1CAA">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5D9D2548">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1A89A0C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78B29F8C">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15134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04ACB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3FCEC4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490A0CD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公告中规定的投标文件递交截止时间。</w:t>
            </w:r>
          </w:p>
        </w:tc>
      </w:tr>
      <w:tr w14:paraId="7B3AA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68E1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A4B9C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12A017F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auto"/>
                <w:szCs w:val="21"/>
                <w:highlight w:val="none"/>
              </w:rPr>
            </w:pPr>
            <w:r>
              <w:rPr>
                <w:rFonts w:hint="eastAsia" w:ascii="宋体" w:hAnsi="宋体"/>
                <w:snapToGrid w:val="0"/>
                <w:color w:val="auto"/>
                <w:kern w:val="0"/>
                <w:szCs w:val="21"/>
                <w:highlight w:val="none"/>
                <w:u w:val="single"/>
              </w:rPr>
              <w:t>重庆市江北区五简路2号重咨大厦A座负1楼开标厅</w:t>
            </w:r>
          </w:p>
        </w:tc>
      </w:tr>
      <w:tr w14:paraId="4D0AE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653D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38A02B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14:paraId="784CB07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4DC36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A3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E2C69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8A8F0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3FB4E39">
            <w:pPr>
              <w:snapToGrid w:val="0"/>
              <w:spacing w:line="400" w:lineRule="exact"/>
              <w:ind w:firstLine="420" w:firstLineChars="200"/>
              <w:rPr>
                <w:color w:val="auto"/>
                <w:highlight w:val="none"/>
              </w:rPr>
            </w:pPr>
            <w:r>
              <w:rPr>
                <w:color w:val="auto"/>
                <w:highlight w:val="none"/>
              </w:rPr>
              <w:t>开标时间：同投标截止时间</w:t>
            </w:r>
          </w:p>
          <w:p w14:paraId="76CA4658">
            <w:pPr>
              <w:snapToGrid w:val="0"/>
              <w:spacing w:line="400" w:lineRule="exact"/>
              <w:ind w:firstLine="420" w:firstLineChars="200"/>
              <w:rPr>
                <w:color w:val="auto"/>
                <w:highlight w:val="none"/>
              </w:rPr>
            </w:pPr>
            <w:r>
              <w:rPr>
                <w:color w:val="auto"/>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snapToGrid w:val="0"/>
                <w:color w:val="auto"/>
                <w:kern w:val="0"/>
                <w:szCs w:val="21"/>
                <w:highlight w:val="none"/>
              </w:rPr>
              <w:t>。</w:t>
            </w:r>
          </w:p>
        </w:tc>
      </w:tr>
      <w:tr w14:paraId="17F3A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481B9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50909C8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260DBF0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EEEA34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61DF683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宣布开标人、唱标人、记录人、监标人等有关人员姓名</w:t>
            </w:r>
            <w:r>
              <w:rPr>
                <w:rFonts w:hint="eastAsia" w:ascii="宋体" w:hAnsi="宋体"/>
                <w:color w:val="auto"/>
                <w:szCs w:val="21"/>
                <w:highlight w:val="none"/>
              </w:rPr>
              <w:t>。</w:t>
            </w:r>
          </w:p>
          <w:p w14:paraId="19DFAF0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公布在投标截止时间前递交投标文件的投标人名称</w:t>
            </w:r>
            <w:r>
              <w:rPr>
                <w:rFonts w:hint="eastAsia" w:ascii="宋体" w:hAnsi="宋体"/>
                <w:color w:val="auto"/>
                <w:szCs w:val="21"/>
                <w:highlight w:val="none"/>
              </w:rPr>
              <w:t>。</w:t>
            </w:r>
          </w:p>
          <w:p w14:paraId="383F687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投标文件的密封检查：投标人可对自己的投标文件封装情况进行检查，以确认其投标文件密封完好。</w:t>
            </w:r>
          </w:p>
          <w:p w14:paraId="4EAFF15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展示投标保证金</w:t>
            </w:r>
            <w:r>
              <w:rPr>
                <w:rFonts w:hint="eastAsia" w:ascii="宋体" w:hAnsi="宋体"/>
                <w:color w:val="auto"/>
                <w:szCs w:val="21"/>
                <w:highlight w:val="none"/>
                <w:lang w:eastAsia="zh-CN"/>
              </w:rPr>
              <w:t>缴纳</w:t>
            </w:r>
            <w:r>
              <w:rPr>
                <w:rFonts w:hint="eastAsia" w:ascii="宋体" w:hAnsi="宋体"/>
                <w:color w:val="auto"/>
                <w:szCs w:val="21"/>
                <w:highlight w:val="none"/>
              </w:rPr>
              <w:t>情况</w:t>
            </w:r>
          </w:p>
          <w:p w14:paraId="6F4565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 公布最高限价</w:t>
            </w:r>
            <w:r>
              <w:rPr>
                <w:rFonts w:hint="eastAsia" w:ascii="宋体" w:hAnsi="宋体"/>
                <w:color w:val="auto"/>
                <w:szCs w:val="21"/>
                <w:highlight w:val="none"/>
              </w:rPr>
              <w:t>。</w:t>
            </w:r>
          </w:p>
          <w:p w14:paraId="07093BC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逐单位随机开启投标文件。开启投标文件大袋及投标函部分袋</w:t>
            </w:r>
            <w:r>
              <w:rPr>
                <w:rFonts w:hint="eastAsia" w:ascii="宋体" w:hAnsi="宋体"/>
                <w:color w:val="auto"/>
                <w:szCs w:val="21"/>
                <w:highlight w:val="none"/>
              </w:rPr>
              <w:t>、资格审查部分袋</w:t>
            </w:r>
            <w:r>
              <w:rPr>
                <w:rFonts w:ascii="宋体" w:hAnsi="宋体"/>
                <w:color w:val="auto"/>
                <w:szCs w:val="21"/>
                <w:highlight w:val="none"/>
              </w:rPr>
              <w:t>；公布投标人名称、投标报价、质量要求、工期及其他内容并记录在案</w:t>
            </w:r>
            <w:r>
              <w:rPr>
                <w:rFonts w:hint="eastAsia" w:ascii="宋体" w:hAnsi="宋体"/>
                <w:color w:val="auto"/>
                <w:szCs w:val="21"/>
                <w:highlight w:val="none"/>
              </w:rPr>
              <w:t>。</w:t>
            </w:r>
          </w:p>
          <w:p w14:paraId="1DE0177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投标人对开标有异议的，应当场提出，由</w:t>
            </w:r>
            <w:r>
              <w:rPr>
                <w:rFonts w:hint="eastAsia" w:ascii="宋体" w:hAnsi="宋体"/>
                <w:color w:val="auto"/>
                <w:szCs w:val="21"/>
                <w:highlight w:val="none"/>
                <w:lang w:eastAsia="zh-CN"/>
              </w:rPr>
              <w:t>比选</w:t>
            </w:r>
            <w:r>
              <w:rPr>
                <w:rFonts w:hint="eastAsia" w:ascii="宋体" w:hAnsi="宋体"/>
                <w:color w:val="auto"/>
                <w:szCs w:val="21"/>
                <w:highlight w:val="none"/>
              </w:rPr>
              <w:t>人或代理机构当场答复，并记录到开标记录表中。异议处理完毕后，汇总开标情况，打印开标记录表。</w:t>
            </w:r>
          </w:p>
          <w:p w14:paraId="6551293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 投标人代表、</w:t>
            </w:r>
            <w:r>
              <w:rPr>
                <w:rFonts w:hint="eastAsia" w:ascii="宋体" w:hAnsi="宋体"/>
                <w:color w:val="auto"/>
                <w:szCs w:val="21"/>
                <w:highlight w:val="none"/>
                <w:lang w:eastAsia="zh-CN"/>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6873100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开标结束。</w:t>
            </w:r>
          </w:p>
        </w:tc>
      </w:tr>
      <w:tr w14:paraId="015FA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895D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DFF9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4926E072">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由</w:t>
            </w:r>
            <w:r>
              <w:rPr>
                <w:rFonts w:hint="eastAsia" w:ascii="宋体" w:hAnsi="宋体" w:cs="宋体"/>
                <w:color w:val="auto"/>
                <w:highlight w:val="none"/>
                <w:lang w:eastAsia="zh-CN"/>
              </w:rPr>
              <w:t>比选</w:t>
            </w:r>
            <w:r>
              <w:rPr>
                <w:rFonts w:hint="eastAsia" w:ascii="宋体" w:hAnsi="宋体" w:cs="宋体"/>
                <w:color w:val="auto"/>
                <w:highlight w:val="none"/>
              </w:rPr>
              <w:t>人按法律法规及相关规定依法组建评标委员会。</w:t>
            </w:r>
          </w:p>
        </w:tc>
      </w:tr>
      <w:tr w14:paraId="2F1C0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73D8138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48ABA9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14:paraId="4087CD8B">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lang w:val="en-US" w:eastAsia="zh-CN"/>
              </w:rPr>
            </w:pP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r>
              <w:rPr>
                <w:rFonts w:hint="eastAsia" w:ascii="宋体" w:hAnsi="宋体" w:cs="宋体"/>
                <w:color w:val="auto"/>
                <w:kern w:val="0"/>
                <w:szCs w:val="21"/>
                <w:highlight w:val="none"/>
                <w:lang w:val="en-US" w:eastAsia="zh-CN"/>
              </w:rPr>
              <w:t>若有效投标人少于三个的，按实际推荐。</w:t>
            </w:r>
          </w:p>
          <w:p w14:paraId="6703A1C1">
            <w:pPr>
              <w:autoSpaceDE w:val="0"/>
              <w:autoSpaceDN w:val="0"/>
              <w:adjustRightInd w:val="0"/>
              <w:snapToGrid w:val="0"/>
              <w:spacing w:line="400" w:lineRule="exact"/>
              <w:ind w:firstLine="0" w:firstLineChars="0"/>
              <w:rPr>
                <w:rFonts w:hint="default" w:ascii="宋体" w:hAnsi="宋体" w:cs="宋体"/>
                <w:b/>
                <w:bCs/>
                <w:color w:val="auto"/>
                <w:kern w:val="0"/>
                <w:szCs w:val="21"/>
                <w:highlight w:val="none"/>
                <w:lang w:val="en-US" w:eastAsia="zh-CN"/>
              </w:rPr>
            </w:pPr>
          </w:p>
        </w:tc>
      </w:tr>
      <w:tr w14:paraId="6EDBF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E20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68EACD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41E0F446">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rPr>
              <w:t>重庆高速公路集团有限公司官方网站（http://www.cegc.com.cn/）及重庆高速集团物资采购平台</w:t>
            </w:r>
            <w:r>
              <w:rPr>
                <w:rFonts w:hint="eastAsia" w:ascii="宋体" w:hAnsi="宋体"/>
                <w:snapToGrid w:val="0"/>
                <w:color w:val="auto"/>
                <w:kern w:val="0"/>
                <w:szCs w:val="21"/>
                <w:highlight w:val="none"/>
                <w:lang w:eastAsia="zh-CN"/>
              </w:rPr>
              <w:t>（http://113.250.85.222:8099/merchants/login?redirect=%2F）</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color w:val="auto"/>
                <w:spacing w:val="-57"/>
                <w:sz w:val="20"/>
                <w:szCs w:val="20"/>
                <w:highlight w:val="none"/>
                <w:u w:val="single" w:color="auto"/>
              </w:rPr>
              <w:t xml:space="preserve"> </w:t>
            </w:r>
            <w:r>
              <w:rPr>
                <w:rFonts w:hint="eastAsia" w:ascii="宋体" w:hAnsi="宋体" w:cs="宋体"/>
                <w:color w:val="auto"/>
                <w:szCs w:val="21"/>
                <w:highlight w:val="none"/>
                <w:u w:val="single"/>
              </w:rPr>
              <w:t xml:space="preserve"> </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w:t>
            </w:r>
            <w:r>
              <w:rPr>
                <w:rFonts w:ascii="宋体" w:hAnsi="宋体" w:cs="宋体"/>
                <w:color w:val="auto"/>
                <w:szCs w:val="21"/>
                <w:highlight w:val="none"/>
              </w:rPr>
              <w:t>3日</w:t>
            </w:r>
            <w:r>
              <w:rPr>
                <w:rFonts w:hint="eastAsia" w:ascii="宋体" w:hAnsi="宋体" w:cs="宋体"/>
                <w:color w:val="auto"/>
                <w:szCs w:val="21"/>
                <w:highlight w:val="none"/>
              </w:rPr>
              <w:t>。</w:t>
            </w:r>
          </w:p>
        </w:tc>
      </w:tr>
      <w:tr w14:paraId="7C7BD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6B51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6F88ABEC">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BC840C9">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23501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7EA3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06FBF8A1">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490" w:type="dxa"/>
            <w:vAlign w:val="center"/>
          </w:tcPr>
          <w:p w14:paraId="389B39BD">
            <w:pPr>
              <w:snapToGrid w:val="0"/>
              <w:spacing w:line="400" w:lineRule="exact"/>
              <w:ind w:firstLine="420" w:firstLineChars="200"/>
              <w:rPr>
                <w:color w:val="auto"/>
                <w:highlight w:val="none"/>
              </w:rPr>
            </w:pPr>
            <w:r>
              <w:rPr>
                <w:rFonts w:hint="eastAsia"/>
                <w:color w:val="auto"/>
                <w:highlight w:val="none"/>
              </w:rPr>
              <w:t>不补偿</w:t>
            </w:r>
          </w:p>
        </w:tc>
      </w:tr>
      <w:tr w14:paraId="60DE3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7746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0716A52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14:paraId="74AAEB0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1、中标人是否提供履约担保：提供。</w:t>
            </w:r>
          </w:p>
          <w:p w14:paraId="4C17575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7986280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（1）履约担保的形式：现金。 </w:t>
            </w:r>
          </w:p>
          <w:p w14:paraId="6F7E2B39">
            <w:pPr>
              <w:snapToGrid w:val="0"/>
              <w:spacing w:line="400" w:lineRule="exact"/>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lang w:val="en-US" w:eastAsia="zh-CN"/>
              </w:rPr>
              <w:t>每个子项目10万元，合计20万</w:t>
            </w:r>
            <w:r>
              <w:rPr>
                <w:rFonts w:hint="eastAsia" w:ascii="宋体" w:hAnsi="宋体"/>
                <w:color w:val="auto"/>
                <w:kern w:val="0"/>
                <w:szCs w:val="21"/>
                <w:highlight w:val="none"/>
                <w:lang w:val="en-US" w:eastAsia="zh-CN"/>
              </w:rPr>
              <w:t>元</w:t>
            </w:r>
            <w:r>
              <w:rPr>
                <w:rFonts w:hint="eastAsia" w:ascii="宋体" w:hAnsi="宋体" w:cs="宋体"/>
                <w:color w:val="auto"/>
                <w:kern w:val="0"/>
                <w:szCs w:val="21"/>
                <w:highlight w:val="none"/>
                <w:lang w:bidi="ar"/>
              </w:rPr>
              <w:t>。</w:t>
            </w:r>
          </w:p>
          <w:p w14:paraId="2A9B7A4A">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（3）履约担保的提交时间：</w:t>
            </w:r>
            <w:r>
              <w:rPr>
                <w:rFonts w:hint="eastAsia" w:cs="宋体"/>
                <w:color w:val="auto"/>
                <w:szCs w:val="21"/>
                <w:highlight w:val="none"/>
                <w:u w:val="single"/>
                <w:lang w:val="en-US" w:eastAsia="zh-CN" w:bidi="ar"/>
              </w:rPr>
              <w:t>合同签订前</w:t>
            </w:r>
            <w:r>
              <w:rPr>
                <w:rFonts w:hint="eastAsia" w:ascii="宋体" w:cs="宋体"/>
                <w:color w:val="auto"/>
                <w:kern w:val="0"/>
                <w:szCs w:val="21"/>
                <w:highlight w:val="none"/>
                <w:lang w:bidi="ar"/>
              </w:rPr>
              <w:t>；</w:t>
            </w:r>
          </w:p>
          <w:p w14:paraId="1B806A80">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（4）履约担保的期限：</w:t>
            </w:r>
            <w:r>
              <w:rPr>
                <w:rFonts w:hint="eastAsia" w:ascii="宋体" w:cs="宋体"/>
                <w:color w:val="auto"/>
                <w:kern w:val="0"/>
                <w:szCs w:val="21"/>
                <w:highlight w:val="none"/>
                <w:u w:val="single"/>
                <w:lang w:val="en-US" w:eastAsia="zh-CN" w:bidi="ar"/>
              </w:rPr>
              <w:t>合同签订之日起至项目履约完毕</w:t>
            </w:r>
            <w:r>
              <w:rPr>
                <w:rFonts w:hint="eastAsia" w:ascii="宋体" w:cs="宋体"/>
                <w:color w:val="auto"/>
                <w:kern w:val="0"/>
                <w:szCs w:val="21"/>
                <w:highlight w:val="none"/>
                <w:lang w:bidi="ar"/>
              </w:rPr>
              <w:t>。</w:t>
            </w:r>
          </w:p>
          <w:p w14:paraId="4948CD10">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（5）履约担保的退还时间：</w:t>
            </w:r>
            <w:r>
              <w:rPr>
                <w:rFonts w:hint="eastAsia" w:ascii="宋体" w:cs="宋体"/>
                <w:color w:val="auto"/>
                <w:kern w:val="0"/>
                <w:szCs w:val="21"/>
                <w:highlight w:val="none"/>
                <w:u w:val="single"/>
                <w:lang w:val="en-US" w:eastAsia="zh-CN" w:bidi="ar"/>
              </w:rPr>
              <w:t>项目履约完毕后无息退还</w:t>
            </w:r>
            <w:r>
              <w:rPr>
                <w:rFonts w:hint="eastAsia" w:ascii="宋体" w:cs="宋体"/>
                <w:color w:val="auto"/>
                <w:kern w:val="0"/>
                <w:szCs w:val="21"/>
                <w:highlight w:val="none"/>
                <w:lang w:bidi="ar"/>
              </w:rPr>
              <w:t>。</w:t>
            </w:r>
          </w:p>
          <w:p w14:paraId="4717041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 xml:space="preserve">）履约担保交款形式及要求：从企业的基本账户（开户行）通过转账支票直接划付或以电汇方式直接划付至合同约定的发包人账户。 </w:t>
            </w:r>
          </w:p>
          <w:p w14:paraId="351FD105">
            <w:pPr>
              <w:snapToGrid w:val="0"/>
              <w:spacing w:line="400" w:lineRule="exact"/>
              <w:ind w:firstLine="420" w:firstLineChars="200"/>
              <w:rPr>
                <w:rFonts w:ascii="宋体" w:hAnsi="宋体"/>
                <w:color w:val="auto"/>
                <w:kern w:val="0"/>
                <w:szCs w:val="21"/>
                <w:highlight w:val="none"/>
              </w:rPr>
            </w:pPr>
            <w:bookmarkStart w:id="693" w:name="_GoBack"/>
            <w:bookmarkEnd w:id="693"/>
            <w:r>
              <w:rPr>
                <w:rFonts w:hint="eastAsia" w:ascii="宋体" w:hAnsi="宋体"/>
                <w:color w:val="auto"/>
                <w:kern w:val="0"/>
                <w:szCs w:val="21"/>
                <w:highlight w:val="none"/>
                <w:lang w:val="en-US" w:eastAsia="zh-CN"/>
              </w:rPr>
              <w:t>注：重庆高速集团下属全资企业根据重庆高速集团文件规定，可以免缴本次履约担保。</w:t>
            </w:r>
          </w:p>
        </w:tc>
      </w:tr>
      <w:tr w14:paraId="7AAFF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99A17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644" w:type="dxa"/>
            <w:vAlign w:val="center"/>
          </w:tcPr>
          <w:p w14:paraId="11AFFBF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4CDA2757">
            <w:pPr>
              <w:pStyle w:val="13"/>
              <w:ind w:left="0" w:leftChars="0" w:firstLine="420" w:firstLineChars="200"/>
              <w:rPr>
                <w:rFonts w:hint="default" w:eastAsia="宋体"/>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本次</w:t>
            </w:r>
            <w:r>
              <w:rPr>
                <w:rFonts w:hint="eastAsia" w:ascii="宋体" w:hAnsi="宋体" w:cs="Times New Roman"/>
                <w:color w:val="auto"/>
                <w:kern w:val="0"/>
                <w:sz w:val="21"/>
                <w:szCs w:val="21"/>
                <w:highlight w:val="none"/>
                <w:lang w:val="en-US" w:eastAsia="zh-CN" w:bidi="ar-SA"/>
              </w:rPr>
              <w:t>比选</w:t>
            </w:r>
            <w:r>
              <w:rPr>
                <w:rFonts w:hint="eastAsia" w:ascii="宋体" w:hAnsi="宋体" w:eastAsia="宋体" w:cs="Times New Roman"/>
                <w:color w:val="auto"/>
                <w:kern w:val="0"/>
                <w:sz w:val="21"/>
                <w:szCs w:val="21"/>
                <w:highlight w:val="none"/>
                <w:lang w:val="en-US" w:eastAsia="zh-CN" w:bidi="ar-SA"/>
              </w:rPr>
              <w:t>公示期结束后，由各项目物资使用单位与中标人签订水泥采购合同</w:t>
            </w:r>
          </w:p>
        </w:tc>
      </w:tr>
      <w:tr w14:paraId="793A9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952C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422426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14:paraId="601BA1F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0A3E9E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3BF0C960">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EBBA7E3">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79ACB3D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w:t>
            </w:r>
          </w:p>
        </w:tc>
      </w:tr>
      <w:tr w14:paraId="79B2E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C45E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0ECC7F0">
            <w:pPr>
              <w:snapToGrid w:val="0"/>
              <w:spacing w:line="400" w:lineRule="exact"/>
              <w:jc w:val="center"/>
              <w:rPr>
                <w:rFonts w:hint="eastAsia" w:eastAsia="宋体"/>
                <w:color w:val="auto"/>
                <w:highlight w:val="none"/>
                <w:lang w:eastAsia="zh-CN"/>
              </w:rPr>
            </w:pPr>
            <w:bookmarkStart w:id="98" w:name="_Toc509218709"/>
            <w:bookmarkStart w:id="99" w:name="_Toc16930431"/>
            <w:bookmarkStart w:id="100" w:name="_Toc13210670"/>
            <w:bookmarkStart w:id="101" w:name="_Toc536628250"/>
            <w:bookmarkStart w:id="102" w:name="_Toc430530434"/>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bookmarkEnd w:id="98"/>
            <w:bookmarkEnd w:id="99"/>
            <w:bookmarkEnd w:id="100"/>
            <w:bookmarkEnd w:id="101"/>
            <w:bookmarkEnd w:id="102"/>
            <w:r>
              <w:rPr>
                <w:rFonts w:hint="eastAsia" w:ascii="宋体" w:hAnsi="宋体"/>
                <w:color w:val="auto"/>
                <w:kern w:val="0"/>
                <w:szCs w:val="21"/>
                <w:highlight w:val="none"/>
                <w:lang w:eastAsia="zh-CN"/>
              </w:rPr>
              <w:t>比选</w:t>
            </w:r>
          </w:p>
        </w:tc>
        <w:tc>
          <w:tcPr>
            <w:tcW w:w="6490" w:type="dxa"/>
            <w:vAlign w:val="center"/>
          </w:tcPr>
          <w:p w14:paraId="17AB5753">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的投标人仍然少于三个的，按照招标投标法律法规规定的程序开标和评标。重新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经评审有效投标人的，应当依法确定中标候选人；无有效投标人的，可以不再进行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tc>
      </w:tr>
      <w:tr w14:paraId="2A415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28D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6B21AAC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6D3AE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51D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11E09D4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3E377758">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w:t>
            </w:r>
            <w:r>
              <w:rPr>
                <w:rFonts w:ascii="宋体" w:hAnsi="宋体"/>
                <w:color w:val="auto"/>
                <w:kern w:val="0"/>
                <w:szCs w:val="21"/>
                <w:highlight w:val="none"/>
              </w:rPr>
              <w:t>人提出异议；</w:t>
            </w:r>
            <w:r>
              <w:rPr>
                <w:rFonts w:hint="eastAsia" w:ascii="宋体" w:hAnsi="宋体"/>
                <w:color w:val="auto"/>
                <w:kern w:val="0"/>
                <w:szCs w:val="21"/>
                <w:highlight w:val="none"/>
                <w:lang w:eastAsia="zh-CN"/>
              </w:rPr>
              <w:t>比选</w:t>
            </w:r>
            <w:r>
              <w:rPr>
                <w:rFonts w:ascii="宋体" w:hAnsi="宋体"/>
                <w:color w:val="auto"/>
                <w:kern w:val="0"/>
                <w:szCs w:val="21"/>
                <w:highlight w:val="none"/>
              </w:rPr>
              <w:t>人应当在规定时间内答复；对</w:t>
            </w:r>
            <w:r>
              <w:rPr>
                <w:rFonts w:hint="eastAsia" w:ascii="宋体" w:hAnsi="宋体"/>
                <w:color w:val="auto"/>
                <w:kern w:val="0"/>
                <w:szCs w:val="21"/>
                <w:highlight w:val="none"/>
                <w:lang w:eastAsia="zh-CN"/>
              </w:rPr>
              <w:t>比选</w:t>
            </w:r>
            <w:r>
              <w:rPr>
                <w:rFonts w:ascii="宋体" w:hAnsi="宋体"/>
                <w:color w:val="auto"/>
                <w:kern w:val="0"/>
                <w:szCs w:val="21"/>
                <w:highlight w:val="none"/>
              </w:rPr>
              <w:t>人的答复不满意，可向监督部门投诉。</w:t>
            </w:r>
          </w:p>
          <w:p w14:paraId="50D4511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540983F7">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56D084E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79D4C9A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E5E11E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69FC0A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0B8479DE">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1BE5311">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26F7EC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2D70167D">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重庆高速资产经营管理有限公司</w:t>
            </w:r>
          </w:p>
          <w:p w14:paraId="224FFF9A">
            <w:pPr>
              <w:widowControl/>
              <w:spacing w:line="400" w:lineRule="exact"/>
              <w:ind w:firstLine="420" w:firstLineChars="20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023-89138382</w:t>
            </w:r>
          </w:p>
          <w:p w14:paraId="078A956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重庆高速资产经营管理有限公司</w:t>
            </w:r>
          </w:p>
          <w:p w14:paraId="434C8936">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023-89138397   </w:t>
            </w:r>
          </w:p>
        </w:tc>
      </w:tr>
      <w:tr w14:paraId="5D3E4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63DD2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2</w:t>
            </w:r>
          </w:p>
        </w:tc>
        <w:tc>
          <w:tcPr>
            <w:tcW w:w="1644" w:type="dxa"/>
            <w:vAlign w:val="center"/>
          </w:tcPr>
          <w:p w14:paraId="0E53EF6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文件及投标争议的解释</w:t>
            </w:r>
          </w:p>
        </w:tc>
        <w:tc>
          <w:tcPr>
            <w:tcW w:w="6490" w:type="dxa"/>
            <w:vAlign w:val="center"/>
          </w:tcPr>
          <w:p w14:paraId="430B951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文件的评标标准和方法，以及资格审查和否决投标条款理解有争议的，应当作出不利于</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人的解释，但违背国家利益、社会公共利益的除外。</w:t>
            </w:r>
          </w:p>
          <w:p w14:paraId="2C24D28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3B47B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DA5029">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3</w:t>
            </w:r>
          </w:p>
        </w:tc>
        <w:tc>
          <w:tcPr>
            <w:tcW w:w="1644" w:type="dxa"/>
            <w:vAlign w:val="center"/>
          </w:tcPr>
          <w:p w14:paraId="477B635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14:paraId="1A231143">
            <w:pPr>
              <w:snapToGrid w:val="0"/>
              <w:spacing w:line="400" w:lineRule="exact"/>
              <w:jc w:val="center"/>
              <w:rPr>
                <w:rFonts w:hint="eastAsia" w:ascii="宋体" w:hAnsi="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490" w:type="dxa"/>
            <w:vAlign w:val="center"/>
          </w:tcPr>
          <w:p w14:paraId="69D1440D">
            <w:pPr>
              <w:widowControl/>
              <w:spacing w:line="400" w:lineRule="exact"/>
              <w:ind w:firstLine="420" w:firstLineChars="200"/>
              <w:rPr>
                <w:rFonts w:hint="eastAsia"/>
                <w:color w:val="auto"/>
                <w:highlight w:val="none"/>
              </w:rPr>
            </w:pPr>
            <w:r>
              <w:rPr>
                <w:rFonts w:hint="eastAsia"/>
                <w:color w:val="auto"/>
                <w:highlight w:val="none"/>
              </w:rPr>
              <w:t>1、低价风险担保：中标价低于最高限价的85%时提供，如不按时足额提供，视为中标人放弃中标，</w:t>
            </w:r>
            <w:r>
              <w:rPr>
                <w:rFonts w:hint="eastAsia"/>
                <w:color w:val="auto"/>
                <w:highlight w:val="none"/>
                <w:lang w:eastAsia="zh-CN"/>
              </w:rPr>
              <w:t>比选</w:t>
            </w:r>
            <w:r>
              <w:rPr>
                <w:rFonts w:hint="eastAsia"/>
                <w:color w:val="auto"/>
                <w:highlight w:val="none"/>
              </w:rPr>
              <w:t>人有权不退还其投标保证金。</w:t>
            </w:r>
          </w:p>
          <w:p w14:paraId="207EF567">
            <w:pPr>
              <w:widowControl/>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14:paraId="76D8301F">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的独立保函，保函格式详见第四章合同条款及格式附件，中标人出具保函时，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否则视为不符合比选文件规定</w:t>
            </w:r>
            <w:r>
              <w:rPr>
                <w:rFonts w:hint="eastAsia"/>
                <w:color w:val="auto"/>
                <w:highlight w:val="none"/>
                <w:u w:val="none"/>
              </w:rPr>
              <w:t>。</w:t>
            </w:r>
          </w:p>
          <w:p w14:paraId="3A0EA3EC">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rPr>
              <w:sym w:font="Wingdings 2" w:char="0052"/>
            </w:r>
            <w:r>
              <w:rPr>
                <w:rFonts w:hint="eastAsia"/>
                <w:color w:val="auto"/>
                <w:highlight w:val="none"/>
              </w:rPr>
              <w:t>3，</w:t>
            </w:r>
            <w:r>
              <w:rPr>
                <w:color w:val="auto"/>
                <w:highlight w:val="none"/>
              </w:rPr>
              <w:t>且最高不超过最高限价的85%</w:t>
            </w:r>
            <w:r>
              <w:rPr>
                <w:rFonts w:hint="eastAsia"/>
                <w:color w:val="auto"/>
                <w:highlight w:val="none"/>
                <w:lang w:eastAsia="zh-CN"/>
              </w:rPr>
              <w:t>。</w:t>
            </w:r>
          </w:p>
          <w:p w14:paraId="42C4DE96">
            <w:pPr>
              <w:widowControl/>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比选</w:t>
            </w:r>
            <w:r>
              <w:rPr>
                <w:rFonts w:hint="eastAsia"/>
                <w:color w:val="auto"/>
                <w:highlight w:val="none"/>
              </w:rPr>
              <w:t>人的时间：从</w:t>
            </w:r>
            <w:r>
              <w:rPr>
                <w:rFonts w:hint="eastAsia"/>
                <w:color w:val="auto"/>
                <w:highlight w:val="none"/>
                <w:lang w:eastAsia="zh-CN"/>
              </w:rPr>
              <w:t>比选</w:t>
            </w:r>
            <w:r>
              <w:rPr>
                <w:rFonts w:hint="eastAsia"/>
                <w:color w:val="auto"/>
                <w:highlight w:val="none"/>
              </w:rPr>
              <w:t>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14</w:t>
            </w:r>
            <w:r>
              <w:rPr>
                <w:rFonts w:hint="eastAsia"/>
                <w:color w:val="auto"/>
                <w:highlight w:val="none"/>
                <w:u w:val="single"/>
              </w:rPr>
              <w:t xml:space="preserve">  </w:t>
            </w:r>
            <w:r>
              <w:rPr>
                <w:rFonts w:hint="eastAsia"/>
                <w:color w:val="auto"/>
                <w:highlight w:val="none"/>
              </w:rPr>
              <w:t>工作日内；</w:t>
            </w:r>
          </w:p>
          <w:p w14:paraId="03D302B4">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比选</w:t>
            </w:r>
            <w:r>
              <w:rPr>
                <w:rFonts w:hint="eastAsia"/>
                <w:color w:val="auto"/>
                <w:highlight w:val="none"/>
              </w:rPr>
              <w:t>人签订合同的，</w:t>
            </w:r>
            <w:r>
              <w:rPr>
                <w:rFonts w:hint="eastAsia"/>
                <w:color w:val="auto"/>
                <w:highlight w:val="none"/>
                <w:lang w:eastAsia="zh-CN"/>
              </w:rPr>
              <w:t>比选</w:t>
            </w:r>
            <w:r>
              <w:rPr>
                <w:rFonts w:hint="eastAsia"/>
                <w:color w:val="auto"/>
                <w:highlight w:val="none"/>
              </w:rPr>
              <w:t>人有权扣除其低价风险担保并取消中标资格。</w:t>
            </w:r>
          </w:p>
          <w:p w14:paraId="28EC67C3">
            <w:pPr>
              <w:widowControl/>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w:t>
            </w:r>
            <w:r>
              <w:rPr>
                <w:rFonts w:hint="eastAsia"/>
                <w:color w:val="auto"/>
                <w:highlight w:val="none"/>
                <w:u w:val="single"/>
                <w:lang w:val="en-US" w:eastAsia="zh-CN"/>
              </w:rPr>
              <w:t>项目履行完毕</w:t>
            </w:r>
            <w:r>
              <w:rPr>
                <w:rFonts w:hint="eastAsia"/>
                <w:color w:val="auto"/>
                <w:highlight w:val="none"/>
              </w:rPr>
              <w:t>。</w:t>
            </w:r>
          </w:p>
          <w:p w14:paraId="3A4123B8">
            <w:pPr>
              <w:widowControl/>
              <w:spacing w:line="400" w:lineRule="exact"/>
              <w:ind w:firstLine="420" w:firstLineChars="200"/>
              <w:rPr>
                <w:rFonts w:hint="eastAsia"/>
                <w:color w:val="auto"/>
                <w:highlight w:val="none"/>
              </w:rPr>
            </w:pPr>
            <w:r>
              <w:rPr>
                <w:rFonts w:hint="eastAsia"/>
                <w:color w:val="auto"/>
                <w:highlight w:val="none"/>
              </w:rPr>
              <w:t>3、低价风险担保的退还时间：</w:t>
            </w:r>
            <w:r>
              <w:rPr>
                <w:rFonts w:hint="eastAsia" w:ascii="宋体" w:cs="宋体"/>
                <w:color w:val="auto"/>
                <w:kern w:val="0"/>
                <w:szCs w:val="21"/>
                <w:highlight w:val="none"/>
                <w:u w:val="single"/>
                <w:lang w:val="en-US" w:eastAsia="zh-CN" w:bidi="ar"/>
              </w:rPr>
              <w:t>项目履约完毕后无息退还</w:t>
            </w:r>
            <w:r>
              <w:rPr>
                <w:rFonts w:hint="eastAsia"/>
                <w:color w:val="auto"/>
                <w:highlight w:val="none"/>
              </w:rPr>
              <w:t>。</w:t>
            </w:r>
          </w:p>
          <w:p w14:paraId="2DA2B7C0">
            <w:pPr>
              <w:widowControl/>
              <w:spacing w:line="400" w:lineRule="exact"/>
              <w:ind w:firstLine="420" w:firstLineChars="200"/>
              <w:rPr>
                <w:rFonts w:hint="eastAsia"/>
                <w:color w:val="auto"/>
                <w:highlight w:val="none"/>
              </w:rPr>
            </w:pPr>
            <w:r>
              <w:rPr>
                <w:rFonts w:hint="eastAsia"/>
                <w:color w:val="auto"/>
                <w:highlight w:val="none"/>
              </w:rPr>
              <w:t>4、采用经评审最低投标价法的项目，拟中标人或者中标人放弃中标项目，无正当理由不与</w:t>
            </w:r>
            <w:r>
              <w:rPr>
                <w:rFonts w:hint="eastAsia"/>
                <w:color w:val="auto"/>
                <w:highlight w:val="none"/>
                <w:lang w:eastAsia="zh-CN"/>
              </w:rPr>
              <w:t>比选</w:t>
            </w:r>
            <w:r>
              <w:rPr>
                <w:rFonts w:hint="eastAsia"/>
                <w:color w:val="auto"/>
                <w:highlight w:val="none"/>
              </w:rPr>
              <w:t>人签订合同，在签订合同时向</w:t>
            </w:r>
            <w:r>
              <w:rPr>
                <w:rFonts w:hint="eastAsia"/>
                <w:color w:val="auto"/>
                <w:highlight w:val="none"/>
                <w:lang w:eastAsia="zh-CN"/>
              </w:rPr>
              <w:t>比选</w:t>
            </w:r>
            <w:r>
              <w:rPr>
                <w:rFonts w:hint="eastAsia"/>
                <w:color w:val="auto"/>
                <w:highlight w:val="none"/>
              </w:rPr>
              <w:t>人提出附加条件或者更改合同实质性内容，或者拒不按照</w:t>
            </w:r>
            <w:r>
              <w:rPr>
                <w:rFonts w:hint="eastAsia"/>
                <w:color w:val="auto"/>
                <w:highlight w:val="none"/>
                <w:lang w:eastAsia="zh-CN"/>
              </w:rPr>
              <w:t>比选</w:t>
            </w:r>
            <w:r>
              <w:rPr>
                <w:rFonts w:hint="eastAsia"/>
                <w:color w:val="auto"/>
                <w:highlight w:val="none"/>
              </w:rPr>
              <w:t>文件规定提交低价风险担保或履约担保的，取消其中标资格，投标保证金不予退还，给</w:t>
            </w:r>
            <w:r>
              <w:rPr>
                <w:rFonts w:hint="eastAsia"/>
                <w:color w:val="auto"/>
                <w:highlight w:val="none"/>
                <w:lang w:eastAsia="zh-CN"/>
              </w:rPr>
              <w:t>比选</w:t>
            </w:r>
            <w:r>
              <w:rPr>
                <w:rFonts w:hint="eastAsia"/>
                <w:color w:val="auto"/>
                <w:highlight w:val="none"/>
              </w:rPr>
              <w:t>人造成的损失超过投标保证金数额的，拟中标人或中标人应对超过部分予以赔偿。</w:t>
            </w:r>
          </w:p>
          <w:p w14:paraId="19A3BB6A">
            <w:pPr>
              <w:widowControl/>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w:t>
            </w:r>
            <w:r>
              <w:rPr>
                <w:rFonts w:hint="eastAsia"/>
                <w:color w:val="auto"/>
                <w:highlight w:val="none"/>
                <w:lang w:eastAsia="zh-CN"/>
              </w:rPr>
              <w:t>比选</w:t>
            </w:r>
            <w:r>
              <w:rPr>
                <w:rFonts w:hint="eastAsia"/>
                <w:color w:val="auto"/>
                <w:highlight w:val="none"/>
              </w:rPr>
              <w:t>人同意，可适当延长低价风险担保的提交期限。</w:t>
            </w:r>
          </w:p>
          <w:p w14:paraId="0886AA85">
            <w:pPr>
              <w:widowControl/>
              <w:spacing w:line="400" w:lineRule="exact"/>
              <w:ind w:firstLine="420" w:firstLineChars="200"/>
              <w:rPr>
                <w:rFonts w:hint="eastAsia" w:ascii="宋体" w:hAnsi="宋体" w:eastAsia="宋体" w:cs="Times New Roman"/>
                <w:color w:val="auto"/>
                <w:kern w:val="0"/>
                <w:szCs w:val="21"/>
                <w:highlight w:val="none"/>
                <w:lang w:val="en-US" w:eastAsia="zh-CN"/>
              </w:rPr>
            </w:pPr>
            <w:r>
              <w:rPr>
                <w:rFonts w:hint="eastAsia"/>
                <w:color w:val="auto"/>
                <w:highlight w:val="none"/>
              </w:rPr>
              <w:t>5、投标总报价低于最高限价85%的，投标人应在编制投标文件时，在投标函部分中递交低价风险担保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章投标文件格式。</w:t>
            </w:r>
          </w:p>
        </w:tc>
      </w:tr>
      <w:tr w14:paraId="39AB7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717DD6">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7BEA97F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73C56A07">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代理服务费：由中标人在领取中标通知书前向</w:t>
            </w:r>
            <w:r>
              <w:rPr>
                <w:rFonts w:hint="eastAsia" w:ascii="宋体" w:hAnsi="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代理机构缴纳代理服务费，本次项目</w:t>
            </w:r>
            <w:r>
              <w:rPr>
                <w:rFonts w:hint="eastAsia" w:ascii="宋体" w:hAnsi="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代理服务费</w:t>
            </w:r>
            <w:r>
              <w:rPr>
                <w:rFonts w:hint="eastAsia" w:ascii="宋体" w:hAnsi="宋体" w:cs="Times New Roman"/>
                <w:color w:val="auto"/>
                <w:kern w:val="0"/>
                <w:szCs w:val="21"/>
                <w:highlight w:val="none"/>
                <w:u w:val="none"/>
                <w:lang w:val="en-US" w:eastAsia="zh-CN"/>
              </w:rPr>
              <w:t>根据比选人及比选代理机构签订的代理合同确定</w:t>
            </w:r>
            <w:r>
              <w:rPr>
                <w:rFonts w:hint="eastAsia" w:ascii="宋体" w:hAnsi="宋体" w:eastAsia="宋体" w:cs="Times New Roman"/>
                <w:color w:val="auto"/>
                <w:kern w:val="0"/>
                <w:szCs w:val="21"/>
                <w:highlight w:val="none"/>
                <w:lang w:eastAsia="zh-CN"/>
              </w:rPr>
              <w:t>，</w:t>
            </w:r>
            <w:r>
              <w:rPr>
                <w:rFonts w:hint="eastAsia" w:ascii="宋体" w:hAnsi="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代理服务费</w:t>
            </w:r>
            <w:r>
              <w:rPr>
                <w:rFonts w:hint="eastAsia" w:ascii="宋体" w:hAnsi="宋体" w:eastAsia="宋体" w:cs="Times New Roman"/>
                <w:color w:val="auto"/>
                <w:kern w:val="0"/>
                <w:szCs w:val="21"/>
                <w:highlight w:val="none"/>
                <w:lang w:val="en-US" w:eastAsia="zh-CN"/>
              </w:rPr>
              <w:t>包含在投标报价中，不单列</w:t>
            </w:r>
            <w:r>
              <w:rPr>
                <w:rFonts w:hint="eastAsia" w:ascii="宋体" w:hAnsi="宋体" w:eastAsia="宋体" w:cs="Times New Roman"/>
                <w:color w:val="auto"/>
                <w:kern w:val="0"/>
                <w:szCs w:val="21"/>
                <w:highlight w:val="none"/>
              </w:rPr>
              <w:t>。</w:t>
            </w:r>
          </w:p>
          <w:p w14:paraId="5C562910">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开标一览表为投标文件的组成部分，如开标一览表中的内容与投标文件（除开标一览表外）中的内容不一致时，以开标一览表中的内容为准。请投标人制作电子投标文件开标一览表时自行核对投标文件内容。</w:t>
            </w:r>
          </w:p>
          <w:p w14:paraId="0233AF7A">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eastAsia="宋体" w:cs="Times New Roman"/>
                <w:color w:val="auto"/>
                <w:kern w:val="0"/>
                <w:szCs w:val="21"/>
                <w:highlight w:val="none"/>
                <w:lang w:val="en-US" w:eastAsia="zh-CN"/>
              </w:rPr>
              <w:t>3、如本前附表与投标人须知及</w:t>
            </w:r>
            <w:r>
              <w:rPr>
                <w:rFonts w:hint="eastAsia" w:ascii="宋体" w:hAnsi="宋体" w:cs="Times New Roman"/>
                <w:color w:val="auto"/>
                <w:kern w:val="0"/>
                <w:szCs w:val="21"/>
                <w:highlight w:val="none"/>
                <w:lang w:val="en-US" w:eastAsia="zh-CN"/>
              </w:rPr>
              <w:t>比选</w:t>
            </w:r>
            <w:r>
              <w:rPr>
                <w:rFonts w:hint="eastAsia" w:ascii="宋体" w:hAnsi="宋体" w:eastAsia="宋体" w:cs="Times New Roman"/>
                <w:color w:val="auto"/>
                <w:kern w:val="0"/>
                <w:szCs w:val="21"/>
                <w:highlight w:val="none"/>
                <w:lang w:val="en-US" w:eastAsia="zh-CN"/>
              </w:rPr>
              <w:t>文件有矛盾或不一致的，若有补遗澄清说明的，将以补遗澄清说明为准，如没有澄清说明的，均以本前附表为准。</w:t>
            </w:r>
          </w:p>
        </w:tc>
      </w:tr>
    </w:tbl>
    <w:p w14:paraId="3D22A2AA">
      <w:pPr>
        <w:pStyle w:val="3"/>
        <w:spacing w:before="0" w:after="0" w:line="20" w:lineRule="exact"/>
        <w:outlineLvl w:val="9"/>
        <w:rPr>
          <w:rFonts w:ascii="宋体" w:hAnsi="宋体"/>
          <w:b w:val="0"/>
          <w:snapToGrid w:val="0"/>
          <w:color w:val="auto"/>
          <w:highlight w:val="none"/>
        </w:rPr>
      </w:pPr>
      <w:bookmarkStart w:id="103" w:name="_Toc287620685"/>
      <w:bookmarkStart w:id="104" w:name="_Toc287607746"/>
      <w:bookmarkStart w:id="105" w:name="_Toc430530435"/>
      <w:bookmarkStart w:id="106" w:name="_Toc200513126"/>
      <w:bookmarkStart w:id="107" w:name="_Toc224103317"/>
      <w:bookmarkStart w:id="108" w:name="_Toc277082552"/>
    </w:p>
    <w:p w14:paraId="3919F461">
      <w:pPr>
        <w:pStyle w:val="3"/>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0BC9B239">
      <w:pPr>
        <w:pStyle w:val="3"/>
        <w:spacing w:before="0" w:after="0" w:line="360" w:lineRule="auto"/>
        <w:rPr>
          <w:rFonts w:ascii="宋体" w:hAnsi="宋体"/>
          <w:b w:val="0"/>
          <w:snapToGrid w:val="0"/>
          <w:color w:val="auto"/>
          <w:highlight w:val="none"/>
        </w:rPr>
      </w:pPr>
      <w:bookmarkStart w:id="109" w:name="_Toc26332"/>
      <w:bookmarkStart w:id="110" w:name="_Toc509218710"/>
      <w:r>
        <w:rPr>
          <w:rFonts w:ascii="宋体" w:hAnsi="宋体"/>
          <w:b w:val="0"/>
          <w:snapToGrid w:val="0"/>
          <w:color w:val="auto"/>
          <w:highlight w:val="none"/>
        </w:rPr>
        <w:t>1.  总则</w:t>
      </w:r>
      <w:bookmarkEnd w:id="103"/>
      <w:bookmarkEnd w:id="104"/>
      <w:bookmarkEnd w:id="105"/>
      <w:bookmarkEnd w:id="106"/>
      <w:bookmarkEnd w:id="107"/>
      <w:bookmarkEnd w:id="108"/>
      <w:bookmarkEnd w:id="109"/>
      <w:bookmarkEnd w:id="110"/>
    </w:p>
    <w:p w14:paraId="1D064B9E">
      <w:pPr>
        <w:pStyle w:val="4"/>
        <w:snapToGrid w:val="0"/>
        <w:spacing w:before="0" w:after="0" w:line="360" w:lineRule="auto"/>
        <w:rPr>
          <w:rFonts w:ascii="宋体" w:hAnsi="宋体"/>
          <w:b w:val="0"/>
          <w:snapToGrid w:val="0"/>
          <w:color w:val="auto"/>
          <w:sz w:val="24"/>
          <w:szCs w:val="24"/>
          <w:highlight w:val="none"/>
        </w:rPr>
      </w:pPr>
      <w:bookmarkStart w:id="111" w:name="_Toc3712"/>
      <w:bookmarkStart w:id="112" w:name="_Toc430530436"/>
      <w:bookmarkStart w:id="113" w:name="_Toc224103318"/>
      <w:bookmarkStart w:id="114" w:name="_Toc287620686"/>
      <w:bookmarkStart w:id="115" w:name="_Toc509218711"/>
      <w:bookmarkStart w:id="116" w:name="_Toc200513127"/>
      <w:bookmarkStart w:id="117" w:name="_Toc277082553"/>
      <w:bookmarkStart w:id="118" w:name="_Toc287607747"/>
      <w:r>
        <w:rPr>
          <w:rFonts w:ascii="宋体" w:hAnsi="宋体"/>
          <w:b w:val="0"/>
          <w:snapToGrid w:val="0"/>
          <w:color w:val="auto"/>
          <w:sz w:val="24"/>
          <w:szCs w:val="24"/>
          <w:highlight w:val="none"/>
        </w:rPr>
        <w:t>1.1  项目概况</w:t>
      </w:r>
      <w:bookmarkEnd w:id="111"/>
      <w:bookmarkEnd w:id="112"/>
      <w:bookmarkEnd w:id="113"/>
      <w:bookmarkEnd w:id="114"/>
      <w:bookmarkEnd w:id="115"/>
      <w:bookmarkEnd w:id="116"/>
      <w:bookmarkEnd w:id="117"/>
      <w:bookmarkEnd w:id="118"/>
    </w:p>
    <w:p w14:paraId="569C72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7E6841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人：见投标人须知前附表。</w:t>
      </w:r>
    </w:p>
    <w:p w14:paraId="7C2A2C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代理机构：见投标人须知前附表。</w:t>
      </w:r>
    </w:p>
    <w:p w14:paraId="7513F1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项目名称：见投标人须知前附表。</w:t>
      </w:r>
    </w:p>
    <w:p w14:paraId="6FD665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项目建设地点：见投标人须知前附表。</w:t>
      </w:r>
    </w:p>
    <w:p w14:paraId="0F1C879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项目建设规模：见投标人须知前附表。</w:t>
      </w:r>
    </w:p>
    <w:p w14:paraId="03EDB78F">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：见投标人须知前附表。</w:t>
      </w:r>
    </w:p>
    <w:p w14:paraId="1982F200">
      <w:pPr>
        <w:pStyle w:val="4"/>
        <w:snapToGrid w:val="0"/>
        <w:spacing w:before="0" w:after="0" w:line="360" w:lineRule="auto"/>
        <w:rPr>
          <w:rFonts w:ascii="宋体" w:hAnsi="宋体"/>
          <w:b w:val="0"/>
          <w:snapToGrid w:val="0"/>
          <w:color w:val="auto"/>
          <w:sz w:val="24"/>
          <w:szCs w:val="24"/>
          <w:highlight w:val="none"/>
        </w:rPr>
      </w:pPr>
      <w:bookmarkStart w:id="119" w:name="_Toc277082554"/>
      <w:bookmarkStart w:id="120" w:name="_Toc27222"/>
      <w:bookmarkStart w:id="121" w:name="_Toc430530437"/>
      <w:bookmarkStart w:id="122" w:name="_Toc287607748"/>
      <w:bookmarkStart w:id="123" w:name="_Toc287620687"/>
      <w:bookmarkStart w:id="124" w:name="_Toc224103319"/>
      <w:bookmarkStart w:id="125" w:name="_Toc509218712"/>
      <w:bookmarkStart w:id="126" w:name="_Toc200513128"/>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比选</w:t>
      </w:r>
      <w:r>
        <w:rPr>
          <w:rFonts w:hint="eastAsia" w:ascii="宋体" w:hAnsi="宋体"/>
          <w:b w:val="0"/>
          <w:snapToGrid w:val="0"/>
          <w:color w:val="auto"/>
          <w:sz w:val="24"/>
          <w:szCs w:val="24"/>
          <w:highlight w:val="none"/>
        </w:rPr>
        <w:t>项目的</w:t>
      </w:r>
      <w:r>
        <w:rPr>
          <w:rFonts w:ascii="宋体" w:hAnsi="宋体"/>
          <w:b w:val="0"/>
          <w:snapToGrid w:val="0"/>
          <w:color w:val="auto"/>
          <w:sz w:val="24"/>
          <w:szCs w:val="24"/>
          <w:highlight w:val="none"/>
        </w:rPr>
        <w:t>资金来源和落实情况</w:t>
      </w:r>
      <w:bookmarkEnd w:id="119"/>
      <w:bookmarkEnd w:id="120"/>
      <w:bookmarkEnd w:id="121"/>
      <w:bookmarkEnd w:id="122"/>
      <w:bookmarkEnd w:id="123"/>
      <w:bookmarkEnd w:id="124"/>
      <w:bookmarkEnd w:id="125"/>
      <w:bookmarkEnd w:id="126"/>
    </w:p>
    <w:p w14:paraId="39F67A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14:paraId="59A985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14:paraId="1E1F7A98">
      <w:pPr>
        <w:pStyle w:val="4"/>
        <w:snapToGrid w:val="0"/>
        <w:spacing w:before="0" w:after="0" w:line="360" w:lineRule="auto"/>
        <w:rPr>
          <w:rFonts w:ascii="宋体" w:hAnsi="宋体"/>
          <w:b w:val="0"/>
          <w:snapToGrid w:val="0"/>
          <w:color w:val="auto"/>
          <w:sz w:val="24"/>
          <w:szCs w:val="24"/>
          <w:highlight w:val="none"/>
        </w:rPr>
      </w:pPr>
      <w:bookmarkStart w:id="127" w:name="_Toc430530438"/>
      <w:bookmarkStart w:id="128" w:name="_Toc509218713"/>
      <w:bookmarkStart w:id="129" w:name="_Toc200513129"/>
      <w:bookmarkStart w:id="130" w:name="_Toc287607749"/>
      <w:bookmarkStart w:id="131" w:name="_Toc224103320"/>
      <w:bookmarkStart w:id="132" w:name="_Toc287620688"/>
      <w:bookmarkStart w:id="133" w:name="_Toc277082555"/>
      <w:bookmarkStart w:id="134" w:name="_Toc2175"/>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w:t>
      </w:r>
      <w:r>
        <w:rPr>
          <w:rFonts w:hint="eastAsia" w:ascii="宋体" w:hAnsi="宋体"/>
          <w:b w:val="0"/>
          <w:snapToGrid w:val="0"/>
          <w:color w:val="auto"/>
          <w:sz w:val="24"/>
          <w:szCs w:val="24"/>
          <w:highlight w:val="none"/>
        </w:rPr>
        <w:t>服务期限</w:t>
      </w:r>
      <w:r>
        <w:rPr>
          <w:rFonts w:ascii="宋体" w:hAnsi="宋体"/>
          <w:b w:val="0"/>
          <w:snapToGrid w:val="0"/>
          <w:color w:val="auto"/>
          <w:sz w:val="24"/>
          <w:szCs w:val="24"/>
          <w:highlight w:val="none"/>
        </w:rPr>
        <w:t>和质量</w:t>
      </w:r>
      <w:bookmarkEnd w:id="127"/>
      <w:bookmarkEnd w:id="128"/>
      <w:bookmarkEnd w:id="129"/>
      <w:bookmarkEnd w:id="130"/>
      <w:bookmarkEnd w:id="131"/>
      <w:bookmarkEnd w:id="132"/>
      <w:bookmarkEnd w:id="133"/>
      <w:r>
        <w:rPr>
          <w:rFonts w:hint="eastAsia" w:ascii="宋体" w:hAnsi="宋体"/>
          <w:b w:val="0"/>
          <w:snapToGrid w:val="0"/>
          <w:color w:val="auto"/>
          <w:sz w:val="24"/>
          <w:szCs w:val="24"/>
          <w:highlight w:val="none"/>
        </w:rPr>
        <w:t>标准</w:t>
      </w:r>
      <w:bookmarkEnd w:id="134"/>
    </w:p>
    <w:p w14:paraId="60F55A9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096CBD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：见投标人须知前附表。</w:t>
      </w:r>
    </w:p>
    <w:p w14:paraId="3F1C3D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：见投标人须知前附表。</w:t>
      </w:r>
    </w:p>
    <w:p w14:paraId="2BDBDE67">
      <w:pPr>
        <w:pStyle w:val="4"/>
        <w:snapToGrid w:val="0"/>
        <w:spacing w:before="0" w:after="0" w:line="360" w:lineRule="auto"/>
        <w:rPr>
          <w:rFonts w:ascii="宋体" w:hAnsi="宋体"/>
          <w:b w:val="0"/>
          <w:snapToGrid w:val="0"/>
          <w:color w:val="auto"/>
          <w:sz w:val="24"/>
          <w:szCs w:val="24"/>
          <w:highlight w:val="none"/>
        </w:rPr>
      </w:pPr>
      <w:bookmarkStart w:id="135" w:name="_Toc200513131"/>
      <w:bookmarkStart w:id="136" w:name="_Toc224103322"/>
      <w:bookmarkStart w:id="137" w:name="_Toc430530440"/>
      <w:bookmarkStart w:id="138" w:name="_Toc287620690"/>
      <w:bookmarkStart w:id="139" w:name="_Toc23348"/>
      <w:bookmarkStart w:id="140" w:name="_Toc277082557"/>
      <w:bookmarkStart w:id="141" w:name="_Toc509218715"/>
      <w:bookmarkStart w:id="142" w:name="_Toc287607751"/>
      <w:r>
        <w:rPr>
          <w:rFonts w:ascii="宋体" w:hAnsi="宋体"/>
          <w:b w:val="0"/>
          <w:snapToGrid w:val="0"/>
          <w:color w:val="auto"/>
          <w:sz w:val="24"/>
          <w:szCs w:val="24"/>
          <w:highlight w:val="none"/>
        </w:rPr>
        <w:t>1.4  投标人资格要求</w:t>
      </w:r>
      <w:bookmarkEnd w:id="135"/>
      <w:bookmarkEnd w:id="136"/>
      <w:bookmarkEnd w:id="137"/>
      <w:bookmarkEnd w:id="138"/>
      <w:bookmarkEnd w:id="139"/>
      <w:bookmarkEnd w:id="140"/>
      <w:bookmarkEnd w:id="141"/>
      <w:bookmarkEnd w:id="142"/>
    </w:p>
    <w:p w14:paraId="61E7A0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7E753F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w:t>
      </w:r>
      <w:r>
        <w:rPr>
          <w:rFonts w:hint="eastAsia" w:ascii="宋体" w:hAnsi="宋体"/>
          <w:color w:val="auto"/>
          <w:szCs w:val="21"/>
          <w:highlight w:val="none"/>
        </w:rPr>
        <w:t>要求及营业执照</w:t>
      </w:r>
      <w:r>
        <w:rPr>
          <w:rFonts w:ascii="宋体" w:hAnsi="宋体"/>
          <w:snapToGrid w:val="0"/>
          <w:color w:val="auto"/>
          <w:kern w:val="0"/>
          <w:szCs w:val="21"/>
          <w:highlight w:val="none"/>
        </w:rPr>
        <w:t>：见投标人须知前附表；</w:t>
      </w:r>
    </w:p>
    <w:p w14:paraId="7EAD52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072981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25B081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123DDE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w:t>
      </w:r>
      <w:r>
        <w:rPr>
          <w:rFonts w:hint="eastAsia" w:ascii="宋体" w:hAnsi="宋体"/>
          <w:snapToGrid w:val="0"/>
          <w:color w:val="auto"/>
          <w:kern w:val="0"/>
          <w:szCs w:val="21"/>
          <w:highlight w:val="none"/>
        </w:rPr>
        <w:t>负责人的</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16D4C2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00F9BE2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14:paraId="7C3ED7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人承担连带责任；</w:t>
      </w:r>
    </w:p>
    <w:p w14:paraId="1F676D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0B38D7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5F82B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572B7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人不具有独立法人资格的附属机构（单位）；</w:t>
      </w:r>
    </w:p>
    <w:p w14:paraId="54E631C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人存在利害关系且可能影响</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4705EC61">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w:t>
      </w:r>
      <w:r>
        <w:rPr>
          <w:rFonts w:hint="eastAsia"/>
          <w:color w:val="auto"/>
          <w:highlight w:val="none"/>
          <w:lang w:eastAsia="zh-CN"/>
        </w:rPr>
        <w:t>比选</w:t>
      </w:r>
      <w:r>
        <w:rPr>
          <w:color w:val="auto"/>
          <w:highlight w:val="none"/>
        </w:rPr>
        <w:t>项目的其他投标人为同一个单位负责人；</w:t>
      </w:r>
    </w:p>
    <w:p w14:paraId="3BE627C8">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w:t>
      </w:r>
      <w:r>
        <w:rPr>
          <w:rFonts w:hint="eastAsia"/>
          <w:color w:val="auto"/>
          <w:highlight w:val="none"/>
          <w:lang w:eastAsia="zh-CN"/>
        </w:rPr>
        <w:t>比选</w:t>
      </w:r>
      <w:r>
        <w:rPr>
          <w:color w:val="auto"/>
          <w:highlight w:val="none"/>
        </w:rPr>
        <w:t>项目的其他投标人存在控股、管理关系；</w:t>
      </w:r>
    </w:p>
    <w:p w14:paraId="007C83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的代建人；</w:t>
      </w:r>
    </w:p>
    <w:p w14:paraId="11AA12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48C757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代理机构同为一个法定代表人；</w:t>
      </w:r>
    </w:p>
    <w:p w14:paraId="5EC3EE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490028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41985D7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3" w:name="_Hlk66280425"/>
      <w:r>
        <w:rPr>
          <w:rFonts w:ascii="宋体" w:hAnsi="宋体"/>
          <w:snapToGrid w:val="0"/>
          <w:color w:val="auto"/>
          <w:kern w:val="0"/>
          <w:szCs w:val="21"/>
          <w:highlight w:val="none"/>
        </w:rPr>
        <w:t>被责令停产停业、暂扣或者吊销许可证、暂扣或者吊销执照；</w:t>
      </w:r>
      <w:bookmarkEnd w:id="143"/>
    </w:p>
    <w:p w14:paraId="435085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4" w:name="_Hlk66280433"/>
      <w:r>
        <w:rPr>
          <w:rFonts w:ascii="宋体" w:hAnsi="宋体"/>
          <w:snapToGrid w:val="0"/>
          <w:color w:val="auto"/>
          <w:kern w:val="0"/>
          <w:szCs w:val="21"/>
          <w:highlight w:val="none"/>
        </w:rPr>
        <w:t>进入清算程序，或被宣告破产，或其他丧失履约能力的情形；</w:t>
      </w:r>
      <w:bookmarkEnd w:id="144"/>
    </w:p>
    <w:p w14:paraId="56F23AE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（12）法律法规或投标人须知前附表规定的其他情形。</w:t>
      </w:r>
    </w:p>
    <w:p w14:paraId="1F46446A">
      <w:pPr>
        <w:pStyle w:val="4"/>
        <w:snapToGrid w:val="0"/>
        <w:spacing w:before="0" w:after="0" w:line="360" w:lineRule="auto"/>
        <w:rPr>
          <w:rFonts w:ascii="宋体" w:hAnsi="宋体"/>
          <w:b w:val="0"/>
          <w:snapToGrid w:val="0"/>
          <w:color w:val="auto"/>
          <w:sz w:val="24"/>
          <w:szCs w:val="24"/>
          <w:highlight w:val="none"/>
        </w:rPr>
      </w:pPr>
      <w:bookmarkStart w:id="145" w:name="_Toc509218716"/>
      <w:bookmarkStart w:id="146" w:name="_Toc224103323"/>
      <w:bookmarkStart w:id="147" w:name="_Toc21751"/>
      <w:bookmarkStart w:id="148" w:name="_Toc277082558"/>
      <w:bookmarkStart w:id="149" w:name="_Toc200513132"/>
      <w:bookmarkStart w:id="150" w:name="_Toc287620691"/>
      <w:bookmarkStart w:id="151" w:name="_Toc287607752"/>
      <w:bookmarkStart w:id="152" w:name="_Toc430530441"/>
      <w:r>
        <w:rPr>
          <w:rFonts w:ascii="宋体" w:hAnsi="宋体"/>
          <w:b w:val="0"/>
          <w:snapToGrid w:val="0"/>
          <w:color w:val="auto"/>
          <w:sz w:val="24"/>
          <w:szCs w:val="24"/>
          <w:highlight w:val="none"/>
        </w:rPr>
        <w:t>1.5  费用承担</w:t>
      </w:r>
      <w:bookmarkEnd w:id="145"/>
      <w:bookmarkEnd w:id="146"/>
      <w:bookmarkEnd w:id="147"/>
      <w:bookmarkEnd w:id="148"/>
      <w:bookmarkEnd w:id="149"/>
      <w:bookmarkEnd w:id="150"/>
      <w:bookmarkEnd w:id="151"/>
      <w:bookmarkEnd w:id="152"/>
    </w:p>
    <w:p w14:paraId="6F83F9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0BD62F5C">
      <w:pPr>
        <w:pStyle w:val="4"/>
        <w:snapToGrid w:val="0"/>
        <w:spacing w:before="0" w:after="0" w:line="360" w:lineRule="auto"/>
        <w:rPr>
          <w:rFonts w:ascii="宋体" w:hAnsi="宋体"/>
          <w:b w:val="0"/>
          <w:snapToGrid w:val="0"/>
          <w:color w:val="auto"/>
          <w:sz w:val="24"/>
          <w:szCs w:val="24"/>
          <w:highlight w:val="none"/>
        </w:rPr>
      </w:pPr>
      <w:bookmarkStart w:id="153" w:name="_Toc430530442"/>
      <w:bookmarkStart w:id="154" w:name="_Toc509218717"/>
      <w:bookmarkStart w:id="155" w:name="_Toc26043"/>
      <w:bookmarkStart w:id="156" w:name="_Toc200513133"/>
      <w:bookmarkStart w:id="157" w:name="_Toc224103324"/>
      <w:bookmarkStart w:id="158" w:name="_Toc277082559"/>
      <w:bookmarkStart w:id="159" w:name="_Toc287607753"/>
      <w:bookmarkStart w:id="160" w:name="_Toc287620692"/>
      <w:r>
        <w:rPr>
          <w:rFonts w:ascii="宋体" w:hAnsi="宋体"/>
          <w:b w:val="0"/>
          <w:snapToGrid w:val="0"/>
          <w:color w:val="auto"/>
          <w:sz w:val="24"/>
          <w:szCs w:val="24"/>
          <w:highlight w:val="none"/>
        </w:rPr>
        <w:t>1.6  保密</w:t>
      </w:r>
      <w:bookmarkEnd w:id="153"/>
      <w:bookmarkEnd w:id="154"/>
      <w:bookmarkEnd w:id="155"/>
      <w:bookmarkEnd w:id="156"/>
      <w:bookmarkEnd w:id="157"/>
      <w:bookmarkEnd w:id="158"/>
      <w:bookmarkEnd w:id="159"/>
      <w:bookmarkEnd w:id="160"/>
    </w:p>
    <w:p w14:paraId="4821774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投标活动的各方应对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文件和投标文件中的商业和技术等秘密保密，否则应承担相应的法律责任。</w:t>
      </w:r>
    </w:p>
    <w:p w14:paraId="040D2414">
      <w:pPr>
        <w:pStyle w:val="4"/>
        <w:snapToGrid w:val="0"/>
        <w:spacing w:before="0" w:after="0" w:line="360" w:lineRule="auto"/>
        <w:rPr>
          <w:rFonts w:ascii="宋体" w:hAnsi="宋体"/>
          <w:b w:val="0"/>
          <w:snapToGrid w:val="0"/>
          <w:color w:val="auto"/>
          <w:sz w:val="24"/>
          <w:szCs w:val="24"/>
          <w:highlight w:val="none"/>
        </w:rPr>
      </w:pPr>
      <w:bookmarkStart w:id="161" w:name="_Toc200513134"/>
      <w:bookmarkStart w:id="162" w:name="_Toc509218718"/>
      <w:bookmarkStart w:id="163" w:name="_Toc224103325"/>
      <w:bookmarkStart w:id="164" w:name="_Toc32313"/>
      <w:bookmarkStart w:id="165" w:name="_Toc287620693"/>
      <w:bookmarkStart w:id="166" w:name="_Toc287607754"/>
      <w:bookmarkStart w:id="167" w:name="_Toc430530443"/>
      <w:bookmarkStart w:id="168" w:name="_Toc277082560"/>
      <w:r>
        <w:rPr>
          <w:rFonts w:ascii="宋体" w:hAnsi="宋体"/>
          <w:b w:val="0"/>
          <w:snapToGrid w:val="0"/>
          <w:color w:val="auto"/>
          <w:sz w:val="24"/>
          <w:szCs w:val="24"/>
          <w:highlight w:val="none"/>
        </w:rPr>
        <w:t>1.7  语言文字</w:t>
      </w:r>
      <w:bookmarkEnd w:id="161"/>
      <w:bookmarkEnd w:id="162"/>
      <w:bookmarkEnd w:id="163"/>
      <w:bookmarkEnd w:id="164"/>
      <w:bookmarkEnd w:id="165"/>
      <w:bookmarkEnd w:id="166"/>
      <w:bookmarkEnd w:id="167"/>
      <w:bookmarkEnd w:id="168"/>
    </w:p>
    <w:p w14:paraId="1AD515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投标文件使用的语言文字为中文。专用术语使用外文的，应附有中文注释。</w:t>
      </w:r>
    </w:p>
    <w:p w14:paraId="317BAEE4">
      <w:pPr>
        <w:pStyle w:val="4"/>
        <w:snapToGrid w:val="0"/>
        <w:spacing w:before="0" w:after="0" w:line="360" w:lineRule="auto"/>
        <w:rPr>
          <w:rFonts w:ascii="宋体" w:hAnsi="宋体"/>
          <w:b w:val="0"/>
          <w:snapToGrid w:val="0"/>
          <w:color w:val="auto"/>
          <w:sz w:val="24"/>
          <w:szCs w:val="24"/>
          <w:highlight w:val="none"/>
        </w:rPr>
      </w:pPr>
      <w:bookmarkStart w:id="169" w:name="_Toc277082561"/>
      <w:bookmarkStart w:id="170" w:name="_Toc287607755"/>
      <w:bookmarkStart w:id="171" w:name="_Toc430530444"/>
      <w:bookmarkStart w:id="172" w:name="_Toc17808"/>
      <w:bookmarkStart w:id="173" w:name="_Toc224103326"/>
      <w:bookmarkStart w:id="174" w:name="_Toc200513135"/>
      <w:bookmarkStart w:id="175" w:name="_Toc287620694"/>
      <w:bookmarkStart w:id="176" w:name="_Toc509218719"/>
      <w:r>
        <w:rPr>
          <w:rFonts w:ascii="宋体" w:hAnsi="宋体"/>
          <w:b w:val="0"/>
          <w:snapToGrid w:val="0"/>
          <w:color w:val="auto"/>
          <w:sz w:val="24"/>
          <w:szCs w:val="24"/>
          <w:highlight w:val="none"/>
        </w:rPr>
        <w:t>1.8  计量单位</w:t>
      </w:r>
      <w:bookmarkEnd w:id="169"/>
      <w:bookmarkEnd w:id="170"/>
      <w:bookmarkEnd w:id="171"/>
      <w:bookmarkEnd w:id="172"/>
      <w:bookmarkEnd w:id="173"/>
      <w:bookmarkEnd w:id="174"/>
      <w:bookmarkEnd w:id="175"/>
      <w:bookmarkEnd w:id="176"/>
    </w:p>
    <w:p w14:paraId="2CA0B86D">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2BB58AF9">
      <w:pPr>
        <w:pStyle w:val="4"/>
        <w:snapToGrid w:val="0"/>
        <w:spacing w:before="0" w:after="0" w:line="360" w:lineRule="auto"/>
        <w:rPr>
          <w:rFonts w:ascii="宋体" w:hAnsi="宋体"/>
          <w:b w:val="0"/>
          <w:snapToGrid w:val="0"/>
          <w:color w:val="auto"/>
          <w:sz w:val="24"/>
          <w:szCs w:val="24"/>
          <w:highlight w:val="none"/>
        </w:rPr>
      </w:pPr>
      <w:bookmarkStart w:id="177" w:name="_Toc200513136"/>
      <w:bookmarkStart w:id="178" w:name="_Toc509218720"/>
      <w:bookmarkStart w:id="179" w:name="_Toc224103327"/>
      <w:bookmarkStart w:id="180" w:name="_Toc277082562"/>
      <w:bookmarkStart w:id="181" w:name="_Toc287620695"/>
      <w:bookmarkStart w:id="182" w:name="_Toc287607756"/>
      <w:bookmarkStart w:id="183" w:name="_Toc430530445"/>
      <w:bookmarkStart w:id="184" w:name="_Toc10634"/>
      <w:r>
        <w:rPr>
          <w:rFonts w:ascii="宋体" w:hAnsi="宋体"/>
          <w:b w:val="0"/>
          <w:snapToGrid w:val="0"/>
          <w:color w:val="auto"/>
          <w:sz w:val="24"/>
          <w:szCs w:val="24"/>
          <w:highlight w:val="none"/>
        </w:rPr>
        <w:t>1.9  踏勘现场</w:t>
      </w:r>
      <w:bookmarkEnd w:id="177"/>
      <w:bookmarkEnd w:id="178"/>
      <w:bookmarkEnd w:id="179"/>
      <w:bookmarkEnd w:id="180"/>
      <w:bookmarkEnd w:id="181"/>
      <w:bookmarkEnd w:id="182"/>
      <w:bookmarkEnd w:id="183"/>
      <w:bookmarkEnd w:id="184"/>
    </w:p>
    <w:p w14:paraId="26AF0E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人按投标人须知前附表规定的时间、 地点组织投标人踏勘项目现场。部分投标人未按时参加踏勘现场的，不影响踏勘现场的正常进行。</w:t>
      </w:r>
    </w:p>
    <w:p w14:paraId="57821A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DD4F6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人的原因外，投标人自行负责在踏勘现场中所发生的人员伤亡和财产损失。</w:t>
      </w:r>
    </w:p>
    <w:p w14:paraId="6A0C7C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供投标人在编制投标文件时参考，</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人不对投标人据此做出的判断和决策负责。</w:t>
      </w:r>
    </w:p>
    <w:p w14:paraId="228D9F46">
      <w:pPr>
        <w:pStyle w:val="4"/>
        <w:snapToGrid w:val="0"/>
        <w:spacing w:before="0" w:after="0" w:line="360" w:lineRule="auto"/>
        <w:rPr>
          <w:rFonts w:ascii="宋体" w:hAnsi="宋体"/>
          <w:b w:val="0"/>
          <w:snapToGrid w:val="0"/>
          <w:color w:val="auto"/>
          <w:sz w:val="24"/>
          <w:szCs w:val="24"/>
          <w:highlight w:val="none"/>
        </w:rPr>
      </w:pPr>
      <w:bookmarkStart w:id="185" w:name="_Toc224103328"/>
      <w:bookmarkStart w:id="186" w:name="_Toc19021"/>
      <w:bookmarkStart w:id="187" w:name="_Toc200513137"/>
      <w:bookmarkStart w:id="188" w:name="_Toc287607757"/>
      <w:bookmarkStart w:id="189" w:name="_Toc287620696"/>
      <w:bookmarkStart w:id="190" w:name="_Toc277082563"/>
      <w:bookmarkStart w:id="191" w:name="_Toc430530446"/>
      <w:bookmarkStart w:id="192" w:name="_Toc509218721"/>
      <w:r>
        <w:rPr>
          <w:rFonts w:ascii="宋体" w:hAnsi="宋体"/>
          <w:b w:val="0"/>
          <w:snapToGrid w:val="0"/>
          <w:color w:val="auto"/>
          <w:sz w:val="24"/>
          <w:szCs w:val="24"/>
          <w:highlight w:val="none"/>
        </w:rPr>
        <w:t>1.10  投标预备会</w:t>
      </w:r>
      <w:bookmarkEnd w:id="185"/>
      <w:bookmarkEnd w:id="186"/>
      <w:bookmarkEnd w:id="187"/>
      <w:bookmarkEnd w:id="188"/>
      <w:bookmarkEnd w:id="189"/>
      <w:bookmarkEnd w:id="190"/>
      <w:bookmarkEnd w:id="191"/>
      <w:bookmarkEnd w:id="192"/>
    </w:p>
    <w:p w14:paraId="10088CF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人按投标人须知前附表规定的时间和地点召开投标预备会，澄清投标人提出的问题。</w:t>
      </w:r>
    </w:p>
    <w:p w14:paraId="3A2E098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投标人应按投标人须知前附表规定的时间和形式将提出的问题送达</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人，以便</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人在会议期间澄清</w:t>
      </w:r>
      <w:r>
        <w:rPr>
          <w:rFonts w:hint="eastAsia" w:ascii="宋体" w:hAnsi="宋体"/>
          <w:snapToGrid w:val="0"/>
          <w:color w:val="auto"/>
          <w:kern w:val="0"/>
          <w:szCs w:val="21"/>
          <w:highlight w:val="none"/>
        </w:rPr>
        <w:t>。</w:t>
      </w:r>
    </w:p>
    <w:p w14:paraId="0C60B1E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文件的组成部分。</w:t>
      </w:r>
    </w:p>
    <w:p w14:paraId="4ECEE251">
      <w:pPr>
        <w:pStyle w:val="4"/>
        <w:snapToGrid w:val="0"/>
        <w:spacing w:before="0" w:after="0" w:line="360" w:lineRule="auto"/>
        <w:rPr>
          <w:rFonts w:ascii="宋体" w:hAnsi="宋体"/>
          <w:b w:val="0"/>
          <w:snapToGrid w:val="0"/>
          <w:color w:val="auto"/>
          <w:sz w:val="24"/>
          <w:szCs w:val="24"/>
          <w:highlight w:val="none"/>
        </w:rPr>
      </w:pPr>
      <w:bookmarkStart w:id="193" w:name="_Toc287607758"/>
      <w:bookmarkStart w:id="194" w:name="_Toc224103329"/>
      <w:bookmarkStart w:id="195" w:name="_Toc287620697"/>
      <w:bookmarkStart w:id="196" w:name="_Toc277082564"/>
      <w:bookmarkStart w:id="197" w:name="_Toc430530447"/>
      <w:bookmarkStart w:id="198" w:name="_Toc20955"/>
      <w:bookmarkStart w:id="199" w:name="_Toc509218722"/>
      <w:bookmarkStart w:id="200" w:name="_Toc200513138"/>
      <w:r>
        <w:rPr>
          <w:rFonts w:ascii="宋体" w:hAnsi="宋体"/>
          <w:b w:val="0"/>
          <w:snapToGrid w:val="0"/>
          <w:color w:val="auto"/>
          <w:sz w:val="24"/>
          <w:szCs w:val="24"/>
          <w:highlight w:val="none"/>
        </w:rPr>
        <w:t>1.11  分包</w:t>
      </w:r>
      <w:bookmarkEnd w:id="193"/>
      <w:bookmarkEnd w:id="194"/>
      <w:bookmarkEnd w:id="195"/>
      <w:bookmarkEnd w:id="196"/>
      <w:bookmarkEnd w:id="197"/>
      <w:bookmarkEnd w:id="198"/>
      <w:bookmarkEnd w:id="199"/>
      <w:bookmarkEnd w:id="200"/>
    </w:p>
    <w:p w14:paraId="34A3F200">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66083EBB">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w:t>
      </w:r>
      <w:r>
        <w:rPr>
          <w:color w:val="auto"/>
          <w:highlight w:val="none"/>
        </w:rPr>
        <w:t>人负责，接受分包的人就分包项目承担连带责任。</w:t>
      </w:r>
    </w:p>
    <w:p w14:paraId="6498AE7B">
      <w:pPr>
        <w:pStyle w:val="4"/>
        <w:snapToGrid w:val="0"/>
        <w:spacing w:before="0" w:after="0" w:line="360" w:lineRule="auto"/>
        <w:rPr>
          <w:rFonts w:ascii="宋体" w:hAnsi="宋体"/>
          <w:b w:val="0"/>
          <w:snapToGrid w:val="0"/>
          <w:color w:val="auto"/>
          <w:sz w:val="24"/>
          <w:szCs w:val="24"/>
          <w:highlight w:val="none"/>
        </w:rPr>
      </w:pPr>
      <w:bookmarkStart w:id="201" w:name="_Toc287620698"/>
      <w:bookmarkStart w:id="202" w:name="_Toc224103330"/>
      <w:bookmarkStart w:id="203" w:name="_Toc277082565"/>
      <w:bookmarkStart w:id="204" w:name="_Toc200513139"/>
      <w:bookmarkStart w:id="205" w:name="_Toc430530448"/>
      <w:bookmarkStart w:id="206" w:name="_Toc509218723"/>
      <w:bookmarkStart w:id="207" w:name="_Toc287607759"/>
      <w:bookmarkStart w:id="208" w:name="_Toc19936"/>
      <w:r>
        <w:rPr>
          <w:rFonts w:ascii="宋体" w:hAnsi="宋体"/>
          <w:b w:val="0"/>
          <w:snapToGrid w:val="0"/>
          <w:color w:val="auto"/>
          <w:sz w:val="24"/>
          <w:szCs w:val="24"/>
          <w:highlight w:val="none"/>
        </w:rPr>
        <w:t xml:space="preserve">1.12  </w:t>
      </w:r>
      <w:bookmarkEnd w:id="201"/>
      <w:bookmarkEnd w:id="202"/>
      <w:bookmarkEnd w:id="203"/>
      <w:bookmarkEnd w:id="204"/>
      <w:bookmarkEnd w:id="205"/>
      <w:bookmarkEnd w:id="206"/>
      <w:bookmarkEnd w:id="207"/>
      <w:r>
        <w:rPr>
          <w:rFonts w:hint="eastAsia" w:ascii="宋体" w:hAnsi="宋体"/>
          <w:b w:val="0"/>
          <w:snapToGrid w:val="0"/>
          <w:color w:val="auto"/>
          <w:sz w:val="24"/>
          <w:szCs w:val="24"/>
          <w:highlight w:val="none"/>
        </w:rPr>
        <w:t>响应和偏离</w:t>
      </w:r>
      <w:bookmarkEnd w:id="208"/>
    </w:p>
    <w:p w14:paraId="3150E8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.12.1  投标文件应当对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的响应，否则，投标人的投标将被否决。</w:t>
      </w:r>
    </w:p>
    <w:p w14:paraId="4FB0CD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1.12.2  投标人应根据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的要求提供投标方案等内容以对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201095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.12.3  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0337442B">
      <w:pPr>
        <w:pStyle w:val="3"/>
        <w:spacing w:before="0" w:after="0" w:line="360" w:lineRule="auto"/>
        <w:rPr>
          <w:rFonts w:hint="eastAsia" w:ascii="宋体" w:hAnsi="宋体" w:eastAsia="宋体"/>
          <w:b w:val="0"/>
          <w:snapToGrid w:val="0"/>
          <w:color w:val="auto"/>
          <w:highlight w:val="none"/>
          <w:lang w:eastAsia="zh-CN"/>
        </w:rPr>
      </w:pPr>
      <w:bookmarkStart w:id="209" w:name="_Toc28984"/>
      <w:bookmarkStart w:id="210" w:name="_Toc509218724"/>
      <w:bookmarkStart w:id="211" w:name="_Toc224103331"/>
      <w:bookmarkStart w:id="212" w:name="_Toc287620699"/>
      <w:bookmarkStart w:id="213" w:name="_Toc287607760"/>
      <w:bookmarkStart w:id="214" w:name="_Toc200513140"/>
      <w:bookmarkStart w:id="215" w:name="_Toc430530449"/>
      <w:bookmarkStart w:id="216" w:name="_Toc277082566"/>
      <w:r>
        <w:rPr>
          <w:rFonts w:ascii="宋体" w:hAnsi="宋体"/>
          <w:b w:val="0"/>
          <w:snapToGrid w:val="0"/>
          <w:color w:val="auto"/>
          <w:highlight w:val="none"/>
        </w:rPr>
        <w:t xml:space="preserve">2.  </w:t>
      </w:r>
      <w:bookmarkEnd w:id="209"/>
      <w:bookmarkEnd w:id="210"/>
      <w:bookmarkEnd w:id="211"/>
      <w:bookmarkEnd w:id="212"/>
      <w:bookmarkEnd w:id="213"/>
      <w:bookmarkEnd w:id="214"/>
      <w:bookmarkEnd w:id="215"/>
      <w:bookmarkEnd w:id="216"/>
      <w:r>
        <w:rPr>
          <w:rFonts w:hint="eastAsia" w:ascii="宋体" w:hAnsi="宋体"/>
          <w:b w:val="0"/>
          <w:snapToGrid w:val="0"/>
          <w:color w:val="auto"/>
          <w:highlight w:val="none"/>
          <w:lang w:eastAsia="zh-CN"/>
        </w:rPr>
        <w:t>比选文件</w:t>
      </w:r>
    </w:p>
    <w:p w14:paraId="461650AB">
      <w:pPr>
        <w:pStyle w:val="4"/>
        <w:snapToGrid w:val="0"/>
        <w:spacing w:before="0" w:after="0" w:line="360" w:lineRule="auto"/>
        <w:rPr>
          <w:rFonts w:ascii="宋体" w:hAnsi="宋体"/>
          <w:b w:val="0"/>
          <w:snapToGrid w:val="0"/>
          <w:color w:val="auto"/>
          <w:sz w:val="24"/>
          <w:szCs w:val="24"/>
          <w:highlight w:val="none"/>
        </w:rPr>
      </w:pPr>
      <w:bookmarkStart w:id="217" w:name="_Toc224103332"/>
      <w:bookmarkStart w:id="218" w:name="_Toc430530450"/>
      <w:bookmarkStart w:id="219" w:name="_Toc4774"/>
      <w:bookmarkStart w:id="220" w:name="_Toc287607761"/>
      <w:bookmarkStart w:id="221" w:name="_Toc509218725"/>
      <w:bookmarkStart w:id="222" w:name="_Toc200513141"/>
      <w:bookmarkStart w:id="223" w:name="_Toc277082567"/>
      <w:bookmarkStart w:id="224"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17"/>
      <w:bookmarkEnd w:id="218"/>
      <w:bookmarkEnd w:id="219"/>
      <w:bookmarkEnd w:id="220"/>
      <w:bookmarkEnd w:id="221"/>
      <w:bookmarkEnd w:id="222"/>
      <w:bookmarkEnd w:id="223"/>
      <w:bookmarkEnd w:id="224"/>
    </w:p>
    <w:p w14:paraId="37961B0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4084E53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（或投标邀请书）；</w:t>
      </w:r>
    </w:p>
    <w:p w14:paraId="004B637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425DF93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4AB73D1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7612493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60F7BBA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14:paraId="24C5504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14:paraId="6C5E76D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E53A5E6">
      <w:pPr>
        <w:pStyle w:val="4"/>
        <w:snapToGrid w:val="0"/>
        <w:spacing w:before="0" w:after="0" w:line="360" w:lineRule="auto"/>
        <w:rPr>
          <w:rFonts w:ascii="宋体" w:hAnsi="宋体"/>
          <w:b w:val="0"/>
          <w:snapToGrid w:val="0"/>
          <w:color w:val="auto"/>
          <w:sz w:val="24"/>
          <w:szCs w:val="24"/>
          <w:highlight w:val="none"/>
        </w:rPr>
      </w:pPr>
      <w:bookmarkStart w:id="225" w:name="_Toc22251"/>
      <w:bookmarkStart w:id="226" w:name="_Toc430530451"/>
      <w:bookmarkStart w:id="227"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5"/>
      <w:bookmarkEnd w:id="226"/>
      <w:bookmarkEnd w:id="227"/>
    </w:p>
    <w:p w14:paraId="5EB29F7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5BFD8D1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14:paraId="7D87BA6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比选人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采用网络媒介公开发布澄清的，无论投标人是否查看，均视为所有潜在投标人清楚知晓澄清全部内容。投标人应在投标截止时间前密切关注澄清发布媒介发出的相关内容。</w:t>
      </w:r>
    </w:p>
    <w:p w14:paraId="00D7EBC5">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有权拒绝回复投标人在本章第2.2.1项规定的时间后的任何澄清要求。</w:t>
      </w:r>
    </w:p>
    <w:p w14:paraId="17FDB300">
      <w:pPr>
        <w:pStyle w:val="4"/>
        <w:snapToGrid w:val="0"/>
        <w:spacing w:before="0" w:after="0" w:line="360" w:lineRule="auto"/>
        <w:rPr>
          <w:rFonts w:ascii="宋体" w:hAnsi="宋体"/>
          <w:b w:val="0"/>
          <w:snapToGrid w:val="0"/>
          <w:color w:val="auto"/>
          <w:sz w:val="24"/>
          <w:szCs w:val="24"/>
          <w:highlight w:val="none"/>
        </w:rPr>
      </w:pPr>
      <w:bookmarkStart w:id="228" w:name="_Toc277082569"/>
      <w:bookmarkStart w:id="229" w:name="_Toc200513143"/>
      <w:bookmarkStart w:id="230" w:name="_Toc287607763"/>
      <w:bookmarkStart w:id="231" w:name="_Toc287620702"/>
      <w:bookmarkStart w:id="232" w:name="_Toc509218727"/>
      <w:bookmarkStart w:id="233" w:name="_Toc430530452"/>
      <w:bookmarkStart w:id="234" w:name="_Toc28579"/>
      <w:bookmarkStart w:id="235"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28"/>
      <w:bookmarkEnd w:id="229"/>
      <w:bookmarkEnd w:id="230"/>
      <w:bookmarkEnd w:id="231"/>
      <w:bookmarkEnd w:id="232"/>
      <w:bookmarkEnd w:id="233"/>
      <w:bookmarkEnd w:id="234"/>
      <w:bookmarkEnd w:id="235"/>
    </w:p>
    <w:p w14:paraId="55AE769E">
      <w:pPr>
        <w:autoSpaceDE w:val="0"/>
        <w:autoSpaceDN w:val="0"/>
        <w:adjustRightInd w:val="0"/>
        <w:snapToGrid w:val="0"/>
        <w:spacing w:line="360" w:lineRule="auto"/>
        <w:ind w:firstLine="420"/>
        <w:rPr>
          <w:rFonts w:ascii="宋体" w:hAnsi="宋体"/>
          <w:snapToGrid w:val="0"/>
          <w:color w:val="auto"/>
          <w:highlight w:val="none"/>
        </w:rPr>
      </w:pPr>
      <w:bookmarkStart w:id="236" w:name="_Toc287620703"/>
      <w:bookmarkStart w:id="237" w:name="_Toc277082570"/>
      <w:bookmarkStart w:id="238" w:name="_Toc287607764"/>
      <w:bookmarkStart w:id="239" w:name="_Toc200513144"/>
      <w:bookmarkStart w:id="240" w:name="_Toc224103335"/>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的时间距本章第4.2.1项规定的投标截止时间不足15日的，并且修改内容可能影响投标文件编制的，将相应延长投标截止时间。</w:t>
      </w:r>
    </w:p>
    <w:p w14:paraId="4A935C14">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采用网络媒介公开发布修改内容的，无论投标人是否查看，均视为所有潜在投标人清楚知晓修改全部内容。投标人应在投标截止时间前密切关注修改发布媒介发出的相关内容。</w:t>
      </w:r>
    </w:p>
    <w:p w14:paraId="078BBDBB">
      <w:pPr>
        <w:pStyle w:val="4"/>
        <w:snapToGrid w:val="0"/>
        <w:spacing w:before="0" w:after="0" w:line="360" w:lineRule="auto"/>
        <w:rPr>
          <w:rFonts w:ascii="宋体" w:hAnsi="宋体"/>
          <w:b w:val="0"/>
          <w:snapToGrid w:val="0"/>
          <w:color w:val="auto"/>
          <w:sz w:val="24"/>
          <w:szCs w:val="24"/>
          <w:highlight w:val="none"/>
        </w:rPr>
      </w:pPr>
      <w:bookmarkStart w:id="241" w:name="_Toc5977"/>
      <w:r>
        <w:rPr>
          <w:rFonts w:ascii="宋体" w:hAnsi="宋体"/>
          <w:b w:val="0"/>
          <w:snapToGrid w:val="0"/>
          <w:color w:val="auto"/>
          <w:sz w:val="24"/>
          <w:szCs w:val="24"/>
          <w:highlight w:val="none"/>
        </w:rPr>
        <w:t xml:space="preserve">2.4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w:t>
      </w:r>
      <w:r>
        <w:rPr>
          <w:rFonts w:hint="eastAsia" w:ascii="宋体" w:hAnsi="宋体"/>
          <w:b w:val="0"/>
          <w:snapToGrid w:val="0"/>
          <w:color w:val="auto"/>
          <w:sz w:val="24"/>
          <w:szCs w:val="24"/>
          <w:highlight w:val="none"/>
        </w:rPr>
        <w:t>异议</w:t>
      </w:r>
      <w:bookmarkEnd w:id="241"/>
    </w:p>
    <w:p w14:paraId="47A0DB4E">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w:t>
      </w:r>
      <w:r>
        <w:rPr>
          <w:rFonts w:hint="eastAsia" w:ascii="宋体" w:hAnsi="宋体"/>
          <w:snapToGrid w:val="0"/>
          <w:color w:val="auto"/>
          <w:highlight w:val="none"/>
          <w:lang w:eastAsia="zh-CN"/>
        </w:rPr>
        <w:t>比选文件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比选人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w:t>
      </w:r>
      <w:r>
        <w:rPr>
          <w:rFonts w:hint="eastAsia" w:ascii="宋体" w:hAnsi="宋体"/>
          <w:snapToGrid w:val="0"/>
          <w:color w:val="auto"/>
          <w:highlight w:val="none"/>
          <w:lang w:eastAsia="zh-CN"/>
        </w:rPr>
        <w:t>比选</w:t>
      </w:r>
      <w:r>
        <w:rPr>
          <w:rFonts w:ascii="宋体" w:hAnsi="宋体"/>
          <w:snapToGrid w:val="0"/>
          <w:color w:val="auto"/>
          <w:highlight w:val="none"/>
        </w:rPr>
        <w:t>投标活动。</w:t>
      </w:r>
    </w:p>
    <w:p w14:paraId="1075BC37">
      <w:pPr>
        <w:pStyle w:val="3"/>
        <w:spacing w:before="0" w:after="0" w:line="360" w:lineRule="auto"/>
        <w:rPr>
          <w:rFonts w:ascii="宋体" w:hAnsi="宋体"/>
          <w:b w:val="0"/>
          <w:snapToGrid w:val="0"/>
          <w:color w:val="auto"/>
          <w:highlight w:val="none"/>
        </w:rPr>
      </w:pPr>
      <w:bookmarkStart w:id="242" w:name="_Toc509218728"/>
      <w:bookmarkStart w:id="243" w:name="_Toc430530453"/>
      <w:bookmarkStart w:id="244" w:name="_Toc9036"/>
      <w:r>
        <w:rPr>
          <w:rFonts w:ascii="宋体" w:hAnsi="宋体"/>
          <w:b w:val="0"/>
          <w:snapToGrid w:val="0"/>
          <w:color w:val="auto"/>
          <w:highlight w:val="none"/>
        </w:rPr>
        <w:t>3.  投标文件</w:t>
      </w:r>
      <w:bookmarkEnd w:id="236"/>
      <w:bookmarkEnd w:id="237"/>
      <w:bookmarkEnd w:id="238"/>
      <w:bookmarkEnd w:id="239"/>
      <w:bookmarkEnd w:id="240"/>
      <w:bookmarkEnd w:id="242"/>
      <w:bookmarkEnd w:id="243"/>
      <w:bookmarkEnd w:id="244"/>
    </w:p>
    <w:p w14:paraId="02524038">
      <w:pPr>
        <w:pStyle w:val="4"/>
        <w:snapToGrid w:val="0"/>
        <w:spacing w:before="0" w:after="0" w:line="360" w:lineRule="auto"/>
        <w:rPr>
          <w:rFonts w:ascii="宋体" w:hAnsi="宋体"/>
          <w:b w:val="0"/>
          <w:snapToGrid w:val="0"/>
          <w:color w:val="auto"/>
          <w:sz w:val="24"/>
          <w:szCs w:val="24"/>
          <w:highlight w:val="none"/>
        </w:rPr>
      </w:pPr>
      <w:bookmarkStart w:id="245" w:name="_Toc200513145"/>
      <w:bookmarkStart w:id="246" w:name="_Toc287620704"/>
      <w:bookmarkStart w:id="247" w:name="_Toc277082571"/>
      <w:bookmarkStart w:id="248" w:name="_Toc287607765"/>
      <w:bookmarkStart w:id="249" w:name="_Toc11300"/>
      <w:bookmarkStart w:id="250" w:name="_Toc509218729"/>
      <w:bookmarkStart w:id="251" w:name="_Toc430530454"/>
      <w:bookmarkStart w:id="252" w:name="_Toc224103336"/>
      <w:r>
        <w:rPr>
          <w:rFonts w:ascii="宋体" w:hAnsi="宋体"/>
          <w:b w:val="0"/>
          <w:snapToGrid w:val="0"/>
          <w:color w:val="auto"/>
          <w:sz w:val="24"/>
          <w:szCs w:val="24"/>
          <w:highlight w:val="none"/>
        </w:rPr>
        <w:t>3.1  投标文件的组成</w:t>
      </w:r>
      <w:bookmarkEnd w:id="245"/>
      <w:bookmarkEnd w:id="246"/>
      <w:bookmarkEnd w:id="247"/>
      <w:bookmarkEnd w:id="248"/>
      <w:bookmarkEnd w:id="249"/>
      <w:bookmarkEnd w:id="250"/>
      <w:bookmarkEnd w:id="251"/>
      <w:bookmarkEnd w:id="252"/>
    </w:p>
    <w:p w14:paraId="79FBEA19">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14:paraId="271B7694">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14:paraId="3F561B92">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14:paraId="57ADEE2C">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（2）投标函附录；</w:t>
      </w:r>
    </w:p>
    <w:p w14:paraId="50089EE2">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14:paraId="791586F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ascii="宋体" w:hAnsi="宋体"/>
          <w:snapToGrid w:val="0"/>
          <w:color w:val="auto"/>
          <w:highlight w:val="none"/>
        </w:rPr>
        <w:t>费用清单</w:t>
      </w:r>
      <w:r>
        <w:rPr>
          <w:rFonts w:hint="eastAsia" w:ascii="宋体" w:hAnsi="宋体"/>
          <w:snapToGrid w:val="0"/>
          <w:color w:val="auto"/>
          <w:highlight w:val="none"/>
        </w:rPr>
        <w:t>（如有）</w:t>
      </w:r>
      <w:r>
        <w:rPr>
          <w:rFonts w:ascii="宋体" w:hAnsi="宋体"/>
          <w:snapToGrid w:val="0"/>
          <w:color w:val="auto"/>
          <w:highlight w:val="none"/>
        </w:rPr>
        <w:t>；</w:t>
      </w:r>
    </w:p>
    <w:p w14:paraId="731D8EB3">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14:paraId="19A9FBE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技术部分（不设置技术方案评审的不设此部分）</w:t>
      </w:r>
    </w:p>
    <w:p w14:paraId="29DDE05C">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7858290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（1）法定代表人身份证明或附有法定代表人身份证明的授权委托书</w:t>
      </w:r>
    </w:p>
    <w:p w14:paraId="7704A3F2">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）投标人基本情况表</w:t>
      </w:r>
    </w:p>
    <w:p w14:paraId="711EF364">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w:t>
      </w:r>
      <w:r>
        <w:rPr>
          <w:rFonts w:ascii="宋体" w:hAnsi="宋体"/>
          <w:snapToGrid w:val="0"/>
          <w:color w:val="auto"/>
          <w:highlight w:val="none"/>
        </w:rPr>
        <w:t>主要人员汇总表</w:t>
      </w:r>
    </w:p>
    <w:p w14:paraId="2DEBFFE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ascii="宋体" w:hAnsi="宋体"/>
          <w:snapToGrid w:val="0"/>
          <w:color w:val="auto"/>
          <w:highlight w:val="none"/>
        </w:rPr>
        <w:t>主要人员</w:t>
      </w:r>
      <w:r>
        <w:rPr>
          <w:rFonts w:hint="eastAsia" w:ascii="宋体" w:hAnsi="宋体"/>
          <w:snapToGrid w:val="0"/>
          <w:color w:val="auto"/>
          <w:highlight w:val="none"/>
        </w:rPr>
        <w:t>简历</w:t>
      </w:r>
      <w:r>
        <w:rPr>
          <w:rFonts w:ascii="宋体" w:hAnsi="宋体"/>
          <w:snapToGrid w:val="0"/>
          <w:color w:val="auto"/>
          <w:highlight w:val="none"/>
        </w:rPr>
        <w:t>表</w:t>
      </w:r>
    </w:p>
    <w:p w14:paraId="091A5BD7">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p>
    <w:p w14:paraId="591D772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p>
    <w:p w14:paraId="60AE5504">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p>
    <w:p w14:paraId="7AB6B62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p>
    <w:p w14:paraId="04CF6330">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规定的澄清确认，构成投标文件的组成部分。</w:t>
      </w:r>
    </w:p>
    <w:p w14:paraId="7FA30808">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14:paraId="74B17725">
      <w:pPr>
        <w:pStyle w:val="4"/>
        <w:snapToGrid w:val="0"/>
        <w:spacing w:before="0" w:after="0" w:line="360" w:lineRule="auto"/>
        <w:rPr>
          <w:rFonts w:ascii="宋体" w:hAnsi="宋体"/>
          <w:b w:val="0"/>
          <w:snapToGrid w:val="0"/>
          <w:color w:val="auto"/>
          <w:sz w:val="24"/>
          <w:szCs w:val="24"/>
          <w:highlight w:val="none"/>
        </w:rPr>
      </w:pPr>
      <w:bookmarkStart w:id="253" w:name="_Toc287620705"/>
      <w:bookmarkStart w:id="254" w:name="_Toc200513146"/>
      <w:bookmarkStart w:id="255" w:name="_Toc509218730"/>
      <w:bookmarkStart w:id="256" w:name="_Toc287607766"/>
      <w:bookmarkStart w:id="257" w:name="_Toc10677"/>
      <w:bookmarkStart w:id="258" w:name="_Toc224103337"/>
      <w:bookmarkStart w:id="259" w:name="_Toc430530455"/>
      <w:bookmarkStart w:id="260" w:name="_Toc277082572"/>
      <w:r>
        <w:rPr>
          <w:rFonts w:ascii="宋体" w:hAnsi="宋体"/>
          <w:b w:val="0"/>
          <w:snapToGrid w:val="0"/>
          <w:color w:val="auto"/>
          <w:sz w:val="24"/>
          <w:szCs w:val="24"/>
          <w:highlight w:val="none"/>
        </w:rPr>
        <w:t>3.2  投标报价</w:t>
      </w:r>
      <w:bookmarkEnd w:id="253"/>
      <w:bookmarkEnd w:id="254"/>
      <w:bookmarkEnd w:id="255"/>
      <w:bookmarkEnd w:id="256"/>
      <w:bookmarkEnd w:id="257"/>
      <w:bookmarkEnd w:id="258"/>
      <w:bookmarkEnd w:id="259"/>
      <w:bookmarkEnd w:id="260"/>
    </w:p>
    <w:p w14:paraId="2A33077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p>
    <w:p w14:paraId="1B48AC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14:paraId="638059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本项目的报价方式见投标人须知前附表。投标人在投标截止时间前修改投标函中的投标报价总额。此修改须符合本章第 4.3 款的有关要求。</w:t>
      </w:r>
    </w:p>
    <w:p w14:paraId="1D13BD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设有最高投标限价的，投标人的投标报价不得超过最高投标限价，最高投标限价在投标人须知前附表中载明。</w:t>
      </w:r>
    </w:p>
    <w:p w14:paraId="3CF087EA">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14:paraId="1F6942BE">
      <w:pPr>
        <w:pStyle w:val="4"/>
        <w:snapToGrid w:val="0"/>
        <w:spacing w:before="0" w:after="0" w:line="360" w:lineRule="auto"/>
        <w:rPr>
          <w:rFonts w:ascii="宋体" w:hAnsi="宋体"/>
          <w:b w:val="0"/>
          <w:snapToGrid w:val="0"/>
          <w:color w:val="auto"/>
          <w:sz w:val="24"/>
          <w:szCs w:val="24"/>
          <w:highlight w:val="none"/>
        </w:rPr>
      </w:pPr>
      <w:bookmarkStart w:id="261" w:name="_Toc430530456"/>
      <w:bookmarkStart w:id="262" w:name="_Toc277082573"/>
      <w:bookmarkStart w:id="263" w:name="_Toc20003"/>
      <w:bookmarkStart w:id="264" w:name="_Toc224103338"/>
      <w:bookmarkStart w:id="265" w:name="_Toc509218731"/>
      <w:bookmarkStart w:id="266" w:name="_Toc287607767"/>
      <w:bookmarkStart w:id="267" w:name="_Toc287620706"/>
      <w:bookmarkStart w:id="268" w:name="_Toc200513147"/>
      <w:r>
        <w:rPr>
          <w:rFonts w:ascii="宋体" w:hAnsi="宋体"/>
          <w:b w:val="0"/>
          <w:snapToGrid w:val="0"/>
          <w:color w:val="auto"/>
          <w:sz w:val="24"/>
          <w:szCs w:val="24"/>
          <w:highlight w:val="none"/>
        </w:rPr>
        <w:t>3.3  投标有效期</w:t>
      </w:r>
      <w:bookmarkEnd w:id="261"/>
      <w:bookmarkEnd w:id="262"/>
      <w:bookmarkEnd w:id="263"/>
      <w:bookmarkEnd w:id="264"/>
      <w:bookmarkEnd w:id="265"/>
      <w:bookmarkEnd w:id="266"/>
      <w:bookmarkEnd w:id="267"/>
      <w:bookmarkEnd w:id="268"/>
    </w:p>
    <w:p w14:paraId="7FE5F0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14:paraId="0261AEBA">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0BE9D2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01D200C0">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4EFC6B8">
      <w:pPr>
        <w:pStyle w:val="4"/>
        <w:keepNext w:val="0"/>
        <w:keepLines w:val="0"/>
        <w:snapToGrid w:val="0"/>
        <w:spacing w:before="0" w:after="0" w:line="360" w:lineRule="auto"/>
        <w:rPr>
          <w:rFonts w:ascii="宋体" w:hAnsi="宋体"/>
          <w:b w:val="0"/>
          <w:snapToGrid w:val="0"/>
          <w:color w:val="auto"/>
          <w:sz w:val="24"/>
          <w:szCs w:val="24"/>
          <w:highlight w:val="none"/>
        </w:rPr>
      </w:pPr>
      <w:bookmarkStart w:id="269" w:name="_Toc287620707"/>
      <w:bookmarkStart w:id="270" w:name="_Toc509218732"/>
      <w:bookmarkStart w:id="271" w:name="_Toc224103339"/>
      <w:bookmarkStart w:id="272" w:name="_Toc277082574"/>
      <w:bookmarkStart w:id="273" w:name="_Toc200513148"/>
      <w:bookmarkStart w:id="274" w:name="_Toc430530457"/>
      <w:bookmarkStart w:id="275" w:name="_Toc287607768"/>
      <w:bookmarkStart w:id="276" w:name="_Toc6439"/>
      <w:r>
        <w:rPr>
          <w:rFonts w:ascii="宋体" w:hAnsi="宋体"/>
          <w:b w:val="0"/>
          <w:snapToGrid w:val="0"/>
          <w:color w:val="auto"/>
          <w:sz w:val="24"/>
          <w:szCs w:val="24"/>
          <w:highlight w:val="none"/>
        </w:rPr>
        <w:t>3.4  投标</w:t>
      </w:r>
      <w:bookmarkEnd w:id="269"/>
      <w:bookmarkEnd w:id="270"/>
      <w:bookmarkEnd w:id="271"/>
      <w:bookmarkEnd w:id="272"/>
      <w:bookmarkEnd w:id="273"/>
      <w:bookmarkEnd w:id="274"/>
      <w:bookmarkEnd w:id="275"/>
      <w:r>
        <w:rPr>
          <w:rFonts w:hint="eastAsia" w:ascii="宋体" w:hAnsi="宋体"/>
          <w:b w:val="0"/>
          <w:snapToGrid w:val="0"/>
          <w:color w:val="auto"/>
          <w:sz w:val="24"/>
          <w:szCs w:val="24"/>
          <w:highlight w:val="none"/>
        </w:rPr>
        <w:t>保证金</w:t>
      </w:r>
      <w:bookmarkEnd w:id="276"/>
    </w:p>
    <w:p w14:paraId="429995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20065BD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投标人不按本章第3.4.1项要求提交投标保证金的，其投标文件作否决投标处理。</w:t>
      </w:r>
    </w:p>
    <w:p w14:paraId="1BA70DE1">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14:paraId="57AB98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6A8CAB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239FAB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401D27C5">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4F5E94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6004898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37C89561">
      <w:pPr>
        <w:pStyle w:val="4"/>
        <w:keepNext w:val="0"/>
        <w:keepLines w:val="0"/>
        <w:snapToGrid w:val="0"/>
        <w:spacing w:before="0" w:after="0" w:line="360" w:lineRule="auto"/>
        <w:rPr>
          <w:rFonts w:ascii="宋体" w:hAnsi="宋体"/>
          <w:b w:val="0"/>
          <w:snapToGrid w:val="0"/>
          <w:color w:val="auto"/>
          <w:sz w:val="24"/>
          <w:szCs w:val="24"/>
          <w:highlight w:val="none"/>
        </w:rPr>
      </w:pPr>
      <w:bookmarkStart w:id="277" w:name="_Toc287620709"/>
      <w:bookmarkStart w:id="278" w:name="_Toc430530459"/>
      <w:bookmarkStart w:id="279" w:name="_Toc224103341"/>
      <w:bookmarkStart w:id="280" w:name="_Toc200513150"/>
      <w:bookmarkStart w:id="281" w:name="_Toc287607770"/>
      <w:bookmarkStart w:id="282" w:name="_Toc509218734"/>
      <w:bookmarkStart w:id="283" w:name="_Toc277082576"/>
      <w:bookmarkStart w:id="284" w:name="_Toc8221"/>
      <w:r>
        <w:rPr>
          <w:rFonts w:ascii="宋体" w:hAnsi="宋体"/>
          <w:b w:val="0"/>
          <w:snapToGrid w:val="0"/>
          <w:color w:val="auto"/>
          <w:sz w:val="24"/>
          <w:szCs w:val="24"/>
          <w:highlight w:val="none"/>
        </w:rPr>
        <w:t>3.5  资格审查资料</w:t>
      </w:r>
      <w:bookmarkEnd w:id="277"/>
      <w:bookmarkEnd w:id="278"/>
      <w:bookmarkEnd w:id="279"/>
      <w:bookmarkEnd w:id="280"/>
      <w:bookmarkEnd w:id="281"/>
      <w:bookmarkEnd w:id="282"/>
      <w:bookmarkEnd w:id="283"/>
      <w:bookmarkEnd w:id="284"/>
    </w:p>
    <w:p w14:paraId="31BA24F9">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1DA20E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D6407C8">
      <w:pPr>
        <w:pStyle w:val="4"/>
        <w:snapToGrid w:val="0"/>
        <w:spacing w:before="0" w:after="0" w:line="360" w:lineRule="auto"/>
        <w:rPr>
          <w:rFonts w:ascii="宋体" w:hAnsi="宋体"/>
          <w:b w:val="0"/>
          <w:snapToGrid w:val="0"/>
          <w:color w:val="auto"/>
          <w:sz w:val="24"/>
          <w:szCs w:val="24"/>
          <w:highlight w:val="none"/>
        </w:rPr>
      </w:pPr>
      <w:bookmarkStart w:id="285" w:name="_Toc277082577"/>
      <w:bookmarkStart w:id="286" w:name="_Toc509218735"/>
      <w:bookmarkStart w:id="287" w:name="_Toc287620710"/>
      <w:bookmarkStart w:id="288" w:name="_Toc224103342"/>
      <w:bookmarkStart w:id="289" w:name="_Toc200513151"/>
      <w:bookmarkStart w:id="290" w:name="_Toc287607771"/>
      <w:bookmarkStart w:id="291" w:name="_Toc24680"/>
      <w:bookmarkStart w:id="292" w:name="_Toc430530460"/>
      <w:r>
        <w:rPr>
          <w:rFonts w:ascii="宋体" w:hAnsi="宋体"/>
          <w:b w:val="0"/>
          <w:snapToGrid w:val="0"/>
          <w:color w:val="auto"/>
          <w:sz w:val="24"/>
          <w:szCs w:val="24"/>
          <w:highlight w:val="none"/>
        </w:rPr>
        <w:t>3.6  备选投标方案</w:t>
      </w:r>
      <w:bookmarkEnd w:id="285"/>
      <w:bookmarkEnd w:id="286"/>
      <w:bookmarkEnd w:id="287"/>
      <w:bookmarkEnd w:id="288"/>
      <w:bookmarkEnd w:id="289"/>
      <w:bookmarkEnd w:id="290"/>
      <w:bookmarkEnd w:id="291"/>
      <w:bookmarkEnd w:id="292"/>
    </w:p>
    <w:p w14:paraId="64BCA6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14:paraId="7E29B4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767A53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投标人提供两个或两个以上投标报价，或者在投标文件中提供一个报价，但同时提供两个或两个以上方案的，视为提供备选方案。</w:t>
      </w:r>
    </w:p>
    <w:p w14:paraId="1AB1448C">
      <w:pPr>
        <w:pStyle w:val="4"/>
        <w:snapToGrid w:val="0"/>
        <w:spacing w:before="0" w:after="0" w:line="360" w:lineRule="auto"/>
        <w:rPr>
          <w:rFonts w:ascii="宋体" w:hAnsi="宋体"/>
          <w:b w:val="0"/>
          <w:snapToGrid w:val="0"/>
          <w:color w:val="auto"/>
          <w:sz w:val="24"/>
          <w:szCs w:val="24"/>
          <w:highlight w:val="none"/>
        </w:rPr>
      </w:pPr>
      <w:bookmarkStart w:id="293" w:name="_Toc430530461"/>
      <w:bookmarkStart w:id="294" w:name="_Toc224103343"/>
      <w:bookmarkStart w:id="295" w:name="_Toc14451"/>
      <w:bookmarkStart w:id="296" w:name="_Toc277082578"/>
      <w:bookmarkStart w:id="297" w:name="_Toc509218736"/>
      <w:bookmarkStart w:id="298" w:name="_Toc287620711"/>
      <w:bookmarkStart w:id="299" w:name="_Toc287607772"/>
      <w:bookmarkStart w:id="300" w:name="_Toc200513152"/>
      <w:r>
        <w:rPr>
          <w:rFonts w:ascii="宋体" w:hAnsi="宋体"/>
          <w:b w:val="0"/>
          <w:snapToGrid w:val="0"/>
          <w:color w:val="auto"/>
          <w:sz w:val="24"/>
          <w:szCs w:val="24"/>
          <w:highlight w:val="none"/>
        </w:rPr>
        <w:t>3.7  投标文件的编制</w:t>
      </w:r>
      <w:bookmarkEnd w:id="293"/>
      <w:bookmarkEnd w:id="294"/>
      <w:bookmarkEnd w:id="295"/>
      <w:bookmarkEnd w:id="296"/>
      <w:bookmarkEnd w:id="297"/>
      <w:bookmarkEnd w:id="298"/>
      <w:bookmarkEnd w:id="299"/>
      <w:bookmarkEnd w:id="300"/>
    </w:p>
    <w:p w14:paraId="3DB0A5B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54FAD0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6767A84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D0B52A1">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A2F068F">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7F2BF5F0">
      <w:pPr>
        <w:pStyle w:val="3"/>
        <w:keepNext w:val="0"/>
        <w:keepLines w:val="0"/>
        <w:spacing w:before="0" w:after="0" w:line="360" w:lineRule="auto"/>
        <w:rPr>
          <w:rFonts w:ascii="宋体" w:hAnsi="宋体"/>
          <w:b w:val="0"/>
          <w:snapToGrid w:val="0"/>
          <w:color w:val="auto"/>
          <w:highlight w:val="none"/>
        </w:rPr>
      </w:pPr>
      <w:bookmarkStart w:id="301" w:name="_Toc23609"/>
      <w:bookmarkStart w:id="302" w:name="_Toc287620712"/>
      <w:bookmarkStart w:id="303" w:name="_Toc430530462"/>
      <w:bookmarkStart w:id="304" w:name="_Toc200513153"/>
      <w:bookmarkStart w:id="305" w:name="_Toc287607773"/>
      <w:bookmarkStart w:id="306" w:name="_Toc509218737"/>
      <w:bookmarkStart w:id="307" w:name="_Toc224103344"/>
      <w:bookmarkStart w:id="308" w:name="_Toc277082579"/>
      <w:r>
        <w:rPr>
          <w:rFonts w:ascii="宋体" w:hAnsi="宋体"/>
          <w:b w:val="0"/>
          <w:snapToGrid w:val="0"/>
          <w:color w:val="auto"/>
          <w:highlight w:val="none"/>
        </w:rPr>
        <w:t>4.  投标</w:t>
      </w:r>
      <w:bookmarkEnd w:id="301"/>
      <w:bookmarkEnd w:id="302"/>
      <w:bookmarkEnd w:id="303"/>
      <w:bookmarkEnd w:id="304"/>
      <w:bookmarkEnd w:id="305"/>
      <w:bookmarkEnd w:id="306"/>
      <w:bookmarkEnd w:id="307"/>
      <w:bookmarkEnd w:id="308"/>
    </w:p>
    <w:p w14:paraId="579B206F">
      <w:pPr>
        <w:pStyle w:val="4"/>
        <w:keepNext w:val="0"/>
        <w:keepLines w:val="0"/>
        <w:snapToGrid w:val="0"/>
        <w:spacing w:before="0" w:after="0" w:line="360" w:lineRule="auto"/>
        <w:rPr>
          <w:rFonts w:ascii="宋体" w:hAnsi="宋体"/>
          <w:b w:val="0"/>
          <w:snapToGrid w:val="0"/>
          <w:color w:val="auto"/>
          <w:sz w:val="24"/>
          <w:szCs w:val="24"/>
          <w:highlight w:val="none"/>
        </w:rPr>
      </w:pPr>
      <w:bookmarkStart w:id="309" w:name="_Toc509218738"/>
      <w:bookmarkStart w:id="310" w:name="_Toc224103345"/>
      <w:bookmarkStart w:id="311" w:name="_Toc18726"/>
      <w:bookmarkStart w:id="312" w:name="_Toc287607774"/>
      <w:bookmarkStart w:id="313" w:name="_Toc277082580"/>
      <w:bookmarkStart w:id="314" w:name="_Toc200513154"/>
      <w:bookmarkStart w:id="315" w:name="_Toc430530463"/>
      <w:bookmarkStart w:id="316" w:name="_Toc287620713"/>
      <w:r>
        <w:rPr>
          <w:rFonts w:ascii="宋体" w:hAnsi="宋体"/>
          <w:b w:val="0"/>
          <w:snapToGrid w:val="0"/>
          <w:color w:val="auto"/>
          <w:sz w:val="24"/>
          <w:szCs w:val="24"/>
          <w:highlight w:val="none"/>
        </w:rPr>
        <w:t>4.1  投标文件的密封和标记</w:t>
      </w:r>
      <w:bookmarkEnd w:id="309"/>
      <w:bookmarkEnd w:id="310"/>
      <w:bookmarkEnd w:id="311"/>
      <w:bookmarkEnd w:id="312"/>
      <w:bookmarkEnd w:id="313"/>
      <w:bookmarkEnd w:id="314"/>
      <w:bookmarkEnd w:id="315"/>
      <w:bookmarkEnd w:id="316"/>
    </w:p>
    <w:p w14:paraId="18EC6FE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7"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14:paraId="76CF2D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14:paraId="0F8F8B05">
      <w:pPr>
        <w:pStyle w:val="4"/>
        <w:keepNext w:val="0"/>
        <w:keepLines w:val="0"/>
        <w:snapToGrid w:val="0"/>
        <w:spacing w:before="0" w:after="0" w:line="360" w:lineRule="auto"/>
        <w:rPr>
          <w:rFonts w:ascii="宋体" w:hAnsi="宋体"/>
          <w:b w:val="0"/>
          <w:snapToGrid w:val="0"/>
          <w:color w:val="auto"/>
          <w:sz w:val="24"/>
          <w:szCs w:val="24"/>
          <w:highlight w:val="none"/>
        </w:rPr>
      </w:pPr>
      <w:bookmarkStart w:id="318" w:name="_Toc9687"/>
      <w:bookmarkStart w:id="319" w:name="_Toc430530464"/>
      <w:bookmarkStart w:id="320" w:name="_Toc287620714"/>
      <w:bookmarkStart w:id="321" w:name="_Toc287607775"/>
      <w:bookmarkStart w:id="322" w:name="_Toc224103346"/>
      <w:bookmarkStart w:id="323" w:name="_Toc509218739"/>
      <w:bookmarkStart w:id="324" w:name="_Toc277082581"/>
      <w:r>
        <w:rPr>
          <w:rFonts w:ascii="宋体" w:hAnsi="宋体"/>
          <w:b w:val="0"/>
          <w:snapToGrid w:val="0"/>
          <w:color w:val="auto"/>
          <w:sz w:val="24"/>
          <w:szCs w:val="24"/>
          <w:highlight w:val="none"/>
        </w:rPr>
        <w:t>4.2  投标文件的递交</w:t>
      </w:r>
      <w:bookmarkEnd w:id="317"/>
      <w:bookmarkEnd w:id="318"/>
      <w:bookmarkEnd w:id="319"/>
      <w:bookmarkEnd w:id="320"/>
      <w:bookmarkEnd w:id="321"/>
      <w:bookmarkEnd w:id="322"/>
      <w:bookmarkEnd w:id="323"/>
      <w:bookmarkEnd w:id="324"/>
    </w:p>
    <w:p w14:paraId="57020C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5" w:name="_Toc287620715"/>
      <w:bookmarkStart w:id="326" w:name="_Toc277082582"/>
      <w:bookmarkStart w:id="327" w:name="_Toc224103347"/>
      <w:bookmarkStart w:id="328" w:name="_Toc200513156"/>
      <w:bookmarkStart w:id="329" w:name="_Toc287607776"/>
      <w:bookmarkStart w:id="330" w:name="_Toc24779"/>
      <w:bookmarkStart w:id="331" w:name="_Toc430530465"/>
      <w:bookmarkStart w:id="332" w:name="_Toc509218740"/>
      <w:r>
        <w:rPr>
          <w:rFonts w:ascii="宋体" w:hAnsi="宋体"/>
          <w:snapToGrid w:val="0"/>
          <w:color w:val="auto"/>
          <w:kern w:val="0"/>
          <w:szCs w:val="21"/>
          <w:highlight w:val="none"/>
        </w:rPr>
        <w:t>4.2.1  投标人应在投标人须知前附表第 2.2.2 项规定的投标截止时间前递交投标文件。</w:t>
      </w:r>
    </w:p>
    <w:p w14:paraId="16B6AB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34F033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F925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791E85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151067D0">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4.3  投标文件的修改与撤回</w:t>
      </w:r>
      <w:bookmarkEnd w:id="325"/>
      <w:bookmarkEnd w:id="326"/>
      <w:bookmarkEnd w:id="327"/>
      <w:bookmarkEnd w:id="328"/>
      <w:bookmarkEnd w:id="329"/>
      <w:bookmarkEnd w:id="330"/>
      <w:bookmarkEnd w:id="331"/>
      <w:bookmarkEnd w:id="332"/>
    </w:p>
    <w:p w14:paraId="12AC33D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3" w:name="_Toc277082583"/>
      <w:bookmarkStart w:id="334" w:name="_Toc287620716"/>
      <w:bookmarkStart w:id="335" w:name="_Toc509218741"/>
      <w:bookmarkStart w:id="336" w:name="_Toc430530466"/>
      <w:bookmarkStart w:id="337" w:name="_Toc287607777"/>
      <w:bookmarkStart w:id="338" w:name="_Toc224103348"/>
      <w:bookmarkStart w:id="339" w:name="_Toc200513157"/>
      <w:bookmarkStart w:id="340" w:name="_Toc19081"/>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4CAAB4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F0DD0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459A4B39">
      <w:pPr>
        <w:pStyle w:val="3"/>
        <w:keepNext w:val="0"/>
        <w:keepLines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3"/>
      <w:bookmarkEnd w:id="334"/>
      <w:bookmarkEnd w:id="335"/>
      <w:bookmarkEnd w:id="336"/>
      <w:bookmarkEnd w:id="337"/>
      <w:bookmarkEnd w:id="338"/>
      <w:bookmarkEnd w:id="339"/>
      <w:bookmarkEnd w:id="340"/>
    </w:p>
    <w:p w14:paraId="5942EB1A">
      <w:pPr>
        <w:pStyle w:val="4"/>
        <w:keepNext w:val="0"/>
        <w:keepLines w:val="0"/>
        <w:snapToGrid w:val="0"/>
        <w:spacing w:before="0" w:after="0" w:line="360" w:lineRule="auto"/>
        <w:rPr>
          <w:rFonts w:ascii="宋体" w:hAnsi="宋体"/>
          <w:b w:val="0"/>
          <w:snapToGrid w:val="0"/>
          <w:color w:val="auto"/>
          <w:sz w:val="24"/>
          <w:szCs w:val="24"/>
          <w:highlight w:val="none"/>
        </w:rPr>
      </w:pPr>
      <w:bookmarkStart w:id="341" w:name="_Toc277082584"/>
      <w:bookmarkStart w:id="342" w:name="_Toc509218742"/>
      <w:bookmarkStart w:id="343" w:name="_Toc430530467"/>
      <w:bookmarkStart w:id="344" w:name="_Toc200513158"/>
      <w:bookmarkStart w:id="345" w:name="_Toc287607778"/>
      <w:bookmarkStart w:id="346" w:name="_Toc224103349"/>
      <w:bookmarkStart w:id="347" w:name="_Toc21618"/>
      <w:bookmarkStart w:id="348" w:name="_Toc287620717"/>
      <w:r>
        <w:rPr>
          <w:rFonts w:ascii="宋体" w:hAnsi="宋体"/>
          <w:b w:val="0"/>
          <w:snapToGrid w:val="0"/>
          <w:color w:val="auto"/>
          <w:sz w:val="24"/>
          <w:szCs w:val="24"/>
          <w:highlight w:val="none"/>
        </w:rPr>
        <w:t>5.1  开标时间和地点</w:t>
      </w:r>
      <w:bookmarkEnd w:id="341"/>
      <w:bookmarkEnd w:id="342"/>
      <w:bookmarkEnd w:id="343"/>
      <w:bookmarkEnd w:id="344"/>
      <w:bookmarkEnd w:id="345"/>
      <w:bookmarkEnd w:id="346"/>
      <w:bookmarkEnd w:id="347"/>
      <w:bookmarkEnd w:id="348"/>
    </w:p>
    <w:p w14:paraId="106573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9" w:name="_Toc287607779"/>
      <w:bookmarkStart w:id="350" w:name="_Toc277082585"/>
      <w:bookmarkStart w:id="351" w:name="_Toc287620718"/>
      <w:bookmarkStart w:id="352" w:name="_Toc23671"/>
      <w:bookmarkStart w:id="353" w:name="_Toc200513159"/>
      <w:bookmarkStart w:id="354" w:name="_Toc224103350"/>
      <w:bookmarkStart w:id="355" w:name="_Toc430530468"/>
      <w:bookmarkStart w:id="356" w:name="_Toc509218743"/>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5D824D4A">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49"/>
      <w:bookmarkEnd w:id="350"/>
      <w:bookmarkEnd w:id="351"/>
      <w:bookmarkEnd w:id="352"/>
      <w:bookmarkEnd w:id="353"/>
      <w:bookmarkEnd w:id="354"/>
      <w:bookmarkEnd w:id="355"/>
      <w:bookmarkEnd w:id="356"/>
    </w:p>
    <w:p w14:paraId="1E63192D">
      <w:pPr>
        <w:autoSpaceDE w:val="0"/>
        <w:autoSpaceDN w:val="0"/>
        <w:adjustRightInd w:val="0"/>
        <w:snapToGrid w:val="0"/>
        <w:spacing w:line="360" w:lineRule="auto"/>
        <w:ind w:firstLine="420" w:firstLineChars="200"/>
        <w:rPr>
          <w:rFonts w:ascii="宋体" w:hAnsi="宋体"/>
          <w:color w:val="auto"/>
          <w:szCs w:val="21"/>
          <w:highlight w:val="none"/>
        </w:rPr>
      </w:pPr>
      <w:bookmarkStart w:id="357" w:name="_Toc287620719"/>
      <w:bookmarkStart w:id="358" w:name="_Toc224103351"/>
      <w:bookmarkStart w:id="359" w:name="_Toc200513160"/>
      <w:bookmarkStart w:id="360" w:name="_Toc277082586"/>
      <w:bookmarkStart w:id="361" w:name="_Toc287607780"/>
      <w:r>
        <w:rPr>
          <w:rFonts w:ascii="宋体" w:hAnsi="宋体"/>
          <w:color w:val="auto"/>
          <w:szCs w:val="21"/>
          <w:highlight w:val="none"/>
        </w:rPr>
        <w:t>详见投标人须知前附表第5.2款开标程序。</w:t>
      </w:r>
    </w:p>
    <w:p w14:paraId="1D6DB56B">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2"/>
    </w:p>
    <w:p w14:paraId="029593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18BAA63F">
      <w:pPr>
        <w:pStyle w:val="3"/>
        <w:keepNext w:val="0"/>
        <w:keepLines w:val="0"/>
        <w:spacing w:before="0" w:after="0" w:line="360" w:lineRule="auto"/>
        <w:rPr>
          <w:rFonts w:ascii="宋体" w:hAnsi="宋体"/>
          <w:b w:val="0"/>
          <w:snapToGrid w:val="0"/>
          <w:color w:val="auto"/>
          <w:highlight w:val="none"/>
        </w:rPr>
      </w:pPr>
      <w:bookmarkStart w:id="363" w:name="_Toc509218744"/>
      <w:bookmarkStart w:id="364" w:name="_Toc3936"/>
      <w:bookmarkStart w:id="365" w:name="_Toc430530469"/>
      <w:r>
        <w:rPr>
          <w:rFonts w:ascii="宋体" w:hAnsi="宋体"/>
          <w:b w:val="0"/>
          <w:snapToGrid w:val="0"/>
          <w:color w:val="auto"/>
          <w:highlight w:val="none"/>
        </w:rPr>
        <w:t>6.  评标</w:t>
      </w:r>
      <w:bookmarkEnd w:id="357"/>
      <w:bookmarkEnd w:id="358"/>
      <w:bookmarkEnd w:id="359"/>
      <w:bookmarkEnd w:id="360"/>
      <w:bookmarkEnd w:id="361"/>
      <w:bookmarkEnd w:id="363"/>
      <w:bookmarkEnd w:id="364"/>
      <w:bookmarkEnd w:id="365"/>
    </w:p>
    <w:p w14:paraId="35C79C26">
      <w:pPr>
        <w:pStyle w:val="4"/>
        <w:keepNext w:val="0"/>
        <w:keepLines w:val="0"/>
        <w:snapToGrid w:val="0"/>
        <w:spacing w:before="0" w:after="0" w:line="360" w:lineRule="auto"/>
        <w:rPr>
          <w:rFonts w:ascii="宋体" w:hAnsi="宋体"/>
          <w:b w:val="0"/>
          <w:snapToGrid w:val="0"/>
          <w:color w:val="auto"/>
          <w:sz w:val="24"/>
          <w:szCs w:val="24"/>
          <w:highlight w:val="none"/>
        </w:rPr>
      </w:pPr>
      <w:bookmarkStart w:id="366" w:name="_Toc277082587"/>
      <w:bookmarkStart w:id="367" w:name="_Toc200513161"/>
      <w:bookmarkStart w:id="368" w:name="_Toc20604"/>
      <w:bookmarkStart w:id="369" w:name="_Toc287620720"/>
      <w:bookmarkStart w:id="370" w:name="_Toc430530470"/>
      <w:bookmarkStart w:id="371" w:name="_Toc509218745"/>
      <w:bookmarkStart w:id="372" w:name="_Toc224103352"/>
      <w:bookmarkStart w:id="373" w:name="_Toc287607781"/>
      <w:r>
        <w:rPr>
          <w:rFonts w:ascii="宋体" w:hAnsi="宋体"/>
          <w:b w:val="0"/>
          <w:snapToGrid w:val="0"/>
          <w:color w:val="auto"/>
          <w:sz w:val="24"/>
          <w:szCs w:val="24"/>
          <w:highlight w:val="none"/>
        </w:rPr>
        <w:t>6.1  评标委员会</w:t>
      </w:r>
      <w:bookmarkEnd w:id="366"/>
      <w:bookmarkEnd w:id="367"/>
      <w:bookmarkEnd w:id="368"/>
      <w:bookmarkEnd w:id="369"/>
      <w:bookmarkEnd w:id="370"/>
      <w:bookmarkEnd w:id="371"/>
      <w:bookmarkEnd w:id="372"/>
      <w:bookmarkEnd w:id="373"/>
    </w:p>
    <w:p w14:paraId="4B929FC5">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1155F7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0E6B29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14:paraId="600BD04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151B3A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24290DB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15EEBB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39332477">
      <w:pPr>
        <w:pStyle w:val="14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28FD229B">
      <w:pPr>
        <w:pStyle w:val="4"/>
        <w:snapToGrid w:val="0"/>
        <w:spacing w:before="0" w:after="0" w:line="360" w:lineRule="auto"/>
        <w:rPr>
          <w:rFonts w:ascii="宋体" w:hAnsi="宋体"/>
          <w:b w:val="0"/>
          <w:snapToGrid w:val="0"/>
          <w:color w:val="auto"/>
          <w:sz w:val="24"/>
          <w:szCs w:val="24"/>
          <w:highlight w:val="none"/>
        </w:rPr>
      </w:pPr>
      <w:bookmarkStart w:id="374" w:name="_Toc287607782"/>
      <w:bookmarkStart w:id="375" w:name="_Toc200513162"/>
      <w:bookmarkStart w:id="376" w:name="_Toc26607"/>
      <w:bookmarkStart w:id="377" w:name="_Toc287620721"/>
      <w:bookmarkStart w:id="378" w:name="_Toc224103353"/>
      <w:bookmarkStart w:id="379" w:name="_Toc277082588"/>
      <w:bookmarkStart w:id="380" w:name="_Toc509218746"/>
      <w:bookmarkStart w:id="381" w:name="_Toc430530471"/>
      <w:r>
        <w:rPr>
          <w:rFonts w:ascii="宋体" w:hAnsi="宋体"/>
          <w:b w:val="0"/>
          <w:snapToGrid w:val="0"/>
          <w:color w:val="auto"/>
          <w:sz w:val="24"/>
          <w:szCs w:val="24"/>
          <w:highlight w:val="none"/>
        </w:rPr>
        <w:t>6.2  评标原则</w:t>
      </w:r>
      <w:bookmarkEnd w:id="374"/>
      <w:bookmarkEnd w:id="375"/>
      <w:bookmarkEnd w:id="376"/>
      <w:bookmarkEnd w:id="377"/>
      <w:bookmarkEnd w:id="378"/>
      <w:bookmarkEnd w:id="379"/>
      <w:bookmarkEnd w:id="380"/>
      <w:bookmarkEnd w:id="381"/>
    </w:p>
    <w:p w14:paraId="567689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2337BC29">
      <w:pPr>
        <w:pStyle w:val="4"/>
        <w:snapToGrid w:val="0"/>
        <w:spacing w:before="0" w:after="0" w:line="360" w:lineRule="auto"/>
        <w:rPr>
          <w:rFonts w:ascii="宋体" w:hAnsi="宋体"/>
          <w:b w:val="0"/>
          <w:snapToGrid w:val="0"/>
          <w:color w:val="auto"/>
          <w:sz w:val="24"/>
          <w:szCs w:val="24"/>
          <w:highlight w:val="none"/>
        </w:rPr>
      </w:pPr>
      <w:bookmarkStart w:id="382" w:name="_Toc287620722"/>
      <w:bookmarkStart w:id="383" w:name="_Toc200513163"/>
      <w:bookmarkStart w:id="384" w:name="_Toc277082589"/>
      <w:bookmarkStart w:id="385" w:name="_Toc224103354"/>
      <w:bookmarkStart w:id="386" w:name="_Toc25268"/>
      <w:bookmarkStart w:id="387" w:name="_Toc430530472"/>
      <w:bookmarkStart w:id="388" w:name="_Toc509218747"/>
      <w:bookmarkStart w:id="389" w:name="_Toc287607783"/>
      <w:r>
        <w:rPr>
          <w:rFonts w:ascii="宋体" w:hAnsi="宋体"/>
          <w:b w:val="0"/>
          <w:snapToGrid w:val="0"/>
          <w:color w:val="auto"/>
          <w:sz w:val="24"/>
          <w:szCs w:val="24"/>
          <w:highlight w:val="none"/>
        </w:rPr>
        <w:t>6.3  评标</w:t>
      </w:r>
      <w:bookmarkEnd w:id="382"/>
      <w:bookmarkEnd w:id="383"/>
      <w:bookmarkEnd w:id="384"/>
      <w:bookmarkEnd w:id="385"/>
      <w:bookmarkEnd w:id="386"/>
      <w:bookmarkEnd w:id="387"/>
      <w:bookmarkEnd w:id="388"/>
      <w:bookmarkEnd w:id="389"/>
    </w:p>
    <w:p w14:paraId="5BF535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14:paraId="1BA7FC83">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见投标人须知前附表。</w:t>
      </w:r>
    </w:p>
    <w:p w14:paraId="4E881B63">
      <w:pPr>
        <w:pStyle w:val="3"/>
        <w:spacing w:before="0" w:after="0" w:line="360" w:lineRule="auto"/>
        <w:rPr>
          <w:rFonts w:ascii="宋体" w:hAnsi="宋体"/>
          <w:b w:val="0"/>
          <w:snapToGrid w:val="0"/>
          <w:color w:val="auto"/>
          <w:highlight w:val="none"/>
        </w:rPr>
      </w:pPr>
      <w:bookmarkStart w:id="390" w:name="_Toc31416"/>
      <w:bookmarkStart w:id="391" w:name="_Toc277082590"/>
      <w:bookmarkStart w:id="392" w:name="_Toc509218748"/>
      <w:bookmarkStart w:id="393" w:name="_Toc224103355"/>
      <w:bookmarkStart w:id="394" w:name="_Toc430530473"/>
      <w:bookmarkStart w:id="395" w:name="_Toc200513164"/>
      <w:bookmarkStart w:id="396" w:name="_Toc287607784"/>
      <w:bookmarkStart w:id="397" w:name="_Toc287620723"/>
      <w:r>
        <w:rPr>
          <w:rFonts w:ascii="宋体" w:hAnsi="宋体"/>
          <w:b w:val="0"/>
          <w:snapToGrid w:val="0"/>
          <w:color w:val="auto"/>
          <w:highlight w:val="none"/>
        </w:rPr>
        <w:t>7.  合同授予</w:t>
      </w:r>
      <w:bookmarkEnd w:id="390"/>
      <w:bookmarkEnd w:id="391"/>
      <w:bookmarkEnd w:id="392"/>
      <w:bookmarkEnd w:id="393"/>
      <w:bookmarkEnd w:id="394"/>
      <w:bookmarkEnd w:id="395"/>
      <w:bookmarkEnd w:id="396"/>
      <w:bookmarkEnd w:id="397"/>
    </w:p>
    <w:p w14:paraId="6B639D57">
      <w:pPr>
        <w:pStyle w:val="4"/>
        <w:snapToGrid w:val="0"/>
        <w:spacing w:before="0" w:after="0" w:line="360" w:lineRule="auto"/>
        <w:rPr>
          <w:rFonts w:ascii="宋体" w:hAnsi="宋体"/>
          <w:b w:val="0"/>
          <w:snapToGrid w:val="0"/>
          <w:color w:val="auto"/>
          <w:sz w:val="24"/>
          <w:szCs w:val="24"/>
          <w:highlight w:val="none"/>
        </w:rPr>
      </w:pPr>
      <w:bookmarkStart w:id="398" w:name="_Toc277082591"/>
      <w:bookmarkStart w:id="399" w:name="_Toc430530474"/>
      <w:bookmarkStart w:id="400" w:name="_Toc287620724"/>
      <w:bookmarkStart w:id="401" w:name="_Toc224103356"/>
      <w:bookmarkStart w:id="402" w:name="_Toc200513165"/>
      <w:bookmarkStart w:id="403" w:name="_Toc287607785"/>
      <w:bookmarkStart w:id="404" w:name="_Toc509218749"/>
      <w:bookmarkStart w:id="405" w:name="_Toc30371"/>
      <w:r>
        <w:rPr>
          <w:rFonts w:ascii="宋体" w:hAnsi="宋体"/>
          <w:b w:val="0"/>
          <w:snapToGrid w:val="0"/>
          <w:color w:val="auto"/>
          <w:sz w:val="24"/>
          <w:szCs w:val="24"/>
          <w:highlight w:val="none"/>
        </w:rPr>
        <w:t xml:space="preserve">7.1  </w:t>
      </w:r>
      <w:bookmarkEnd w:id="398"/>
      <w:bookmarkEnd w:id="399"/>
      <w:bookmarkEnd w:id="400"/>
      <w:bookmarkEnd w:id="401"/>
      <w:bookmarkEnd w:id="402"/>
      <w:bookmarkEnd w:id="403"/>
      <w:bookmarkEnd w:id="404"/>
      <w:r>
        <w:rPr>
          <w:rFonts w:hint="eastAsia" w:ascii="宋体" w:hAnsi="宋体"/>
          <w:b w:val="0"/>
          <w:snapToGrid w:val="0"/>
          <w:color w:val="auto"/>
          <w:sz w:val="24"/>
          <w:szCs w:val="24"/>
          <w:highlight w:val="none"/>
        </w:rPr>
        <w:t>中标候选人公示</w:t>
      </w:r>
      <w:bookmarkEnd w:id="405"/>
    </w:p>
    <w:p w14:paraId="60780A4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在收到评标报告之日起3日内，按照投标人须知前附表规定的公示媒介和期限公示中标候选人，公示期不得少于3天。</w:t>
      </w:r>
    </w:p>
    <w:p w14:paraId="307BB2CE">
      <w:pPr>
        <w:pStyle w:val="4"/>
        <w:snapToGrid w:val="0"/>
        <w:spacing w:before="0" w:after="0" w:line="360" w:lineRule="auto"/>
        <w:rPr>
          <w:rFonts w:ascii="宋体" w:hAnsi="宋体"/>
          <w:b w:val="0"/>
          <w:snapToGrid w:val="0"/>
          <w:color w:val="auto"/>
          <w:sz w:val="24"/>
          <w:szCs w:val="24"/>
          <w:highlight w:val="none"/>
        </w:rPr>
      </w:pPr>
      <w:bookmarkStart w:id="406"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06"/>
    </w:p>
    <w:p w14:paraId="58F8E4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w:t>
      </w:r>
    </w:p>
    <w:p w14:paraId="36B549EE">
      <w:pPr>
        <w:pStyle w:val="4"/>
        <w:snapToGrid w:val="0"/>
        <w:spacing w:before="0" w:after="0" w:line="360" w:lineRule="auto"/>
        <w:rPr>
          <w:rFonts w:ascii="宋体" w:hAnsi="宋体"/>
          <w:b w:val="0"/>
          <w:snapToGrid w:val="0"/>
          <w:color w:val="auto"/>
          <w:sz w:val="24"/>
          <w:szCs w:val="24"/>
          <w:highlight w:val="none"/>
        </w:rPr>
      </w:pPr>
      <w:bookmarkStart w:id="407"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07"/>
    </w:p>
    <w:p w14:paraId="64CBB2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666E146E">
      <w:pPr>
        <w:pStyle w:val="4"/>
        <w:snapToGrid w:val="0"/>
        <w:spacing w:before="0" w:after="0" w:line="360" w:lineRule="auto"/>
        <w:rPr>
          <w:rFonts w:ascii="宋体" w:hAnsi="宋体"/>
          <w:b w:val="0"/>
          <w:snapToGrid w:val="0"/>
          <w:color w:val="auto"/>
          <w:sz w:val="24"/>
          <w:szCs w:val="24"/>
          <w:highlight w:val="none"/>
        </w:rPr>
      </w:pPr>
      <w:bookmarkStart w:id="408"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08"/>
    </w:p>
    <w:p w14:paraId="67F826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6BB5FA16">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w:t>
      </w:r>
      <w:r>
        <w:rPr>
          <w:rFonts w:hint="eastAsia"/>
          <w:color w:val="auto"/>
          <w:highlight w:val="none"/>
          <w:lang w:eastAsia="zh-CN"/>
        </w:rPr>
        <w:t>比选</w:t>
      </w:r>
      <w:r>
        <w:rPr>
          <w:color w:val="auto"/>
          <w:highlight w:val="none"/>
        </w:rPr>
        <w:t>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w:t>
      </w:r>
      <w:r>
        <w:rPr>
          <w:rFonts w:hint="eastAsia"/>
          <w:color w:val="auto"/>
          <w:highlight w:val="none"/>
          <w:lang w:eastAsia="zh-CN"/>
        </w:rPr>
        <w:t>比选</w:t>
      </w:r>
      <w:r>
        <w:rPr>
          <w:color w:val="auto"/>
          <w:highlight w:val="none"/>
        </w:rPr>
        <w:t>。</w:t>
      </w:r>
    </w:p>
    <w:p w14:paraId="2F94DD4E">
      <w:pPr>
        <w:pStyle w:val="4"/>
        <w:snapToGrid w:val="0"/>
        <w:spacing w:before="0" w:after="0" w:line="360" w:lineRule="auto"/>
        <w:rPr>
          <w:rFonts w:ascii="宋体" w:hAnsi="宋体"/>
          <w:b w:val="0"/>
          <w:snapToGrid w:val="0"/>
          <w:color w:val="auto"/>
          <w:sz w:val="24"/>
          <w:szCs w:val="24"/>
          <w:highlight w:val="none"/>
        </w:rPr>
      </w:pPr>
      <w:bookmarkStart w:id="409" w:name="_Toc430530475"/>
      <w:bookmarkStart w:id="410" w:name="_Toc14359"/>
      <w:bookmarkStart w:id="411" w:name="_Toc509218750"/>
      <w:r>
        <w:rPr>
          <w:rFonts w:ascii="宋体" w:hAnsi="宋体"/>
          <w:b w:val="0"/>
          <w:snapToGrid w:val="0"/>
          <w:color w:val="auto"/>
          <w:sz w:val="24"/>
          <w:szCs w:val="24"/>
          <w:highlight w:val="none"/>
        </w:rPr>
        <w:t>7.5  中标通知</w:t>
      </w:r>
      <w:bookmarkEnd w:id="409"/>
      <w:bookmarkEnd w:id="410"/>
      <w:bookmarkEnd w:id="411"/>
    </w:p>
    <w:p w14:paraId="3F9826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14:paraId="223F5737">
      <w:pPr>
        <w:pStyle w:val="4"/>
        <w:snapToGrid w:val="0"/>
        <w:spacing w:before="0" w:after="0" w:line="360" w:lineRule="auto"/>
        <w:rPr>
          <w:rFonts w:ascii="宋体" w:hAnsi="宋体"/>
          <w:b w:val="0"/>
          <w:snapToGrid w:val="0"/>
          <w:color w:val="auto"/>
          <w:sz w:val="24"/>
          <w:szCs w:val="24"/>
          <w:highlight w:val="none"/>
        </w:rPr>
      </w:pPr>
      <w:bookmarkStart w:id="412"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2"/>
    </w:p>
    <w:p w14:paraId="094D5B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将按投标人须知前附表规定的标准给予经济补偿，未中标人在投标文件中声明放弃技术成果经济补偿费的除外。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25E68430">
      <w:pPr>
        <w:pStyle w:val="4"/>
        <w:snapToGrid w:val="0"/>
        <w:spacing w:before="0" w:after="0" w:line="360" w:lineRule="auto"/>
        <w:rPr>
          <w:rFonts w:ascii="宋体" w:hAnsi="宋体"/>
          <w:b w:val="0"/>
          <w:snapToGrid w:val="0"/>
          <w:color w:val="auto"/>
          <w:sz w:val="24"/>
          <w:szCs w:val="24"/>
          <w:highlight w:val="none"/>
        </w:rPr>
      </w:pPr>
      <w:bookmarkStart w:id="413" w:name="_Toc430530476"/>
      <w:bookmarkStart w:id="414" w:name="_Toc277082593"/>
      <w:bookmarkStart w:id="415" w:name="_Toc287620726"/>
      <w:bookmarkStart w:id="416" w:name="_Toc28249"/>
      <w:bookmarkStart w:id="417" w:name="_Toc200513167"/>
      <w:bookmarkStart w:id="418" w:name="_Toc287607787"/>
      <w:bookmarkStart w:id="419" w:name="_Toc509218751"/>
      <w:bookmarkStart w:id="420" w:name="_Toc224103358"/>
      <w:r>
        <w:rPr>
          <w:rFonts w:ascii="宋体" w:hAnsi="宋体"/>
          <w:b w:val="0"/>
          <w:snapToGrid w:val="0"/>
          <w:color w:val="auto"/>
          <w:sz w:val="24"/>
          <w:szCs w:val="24"/>
          <w:highlight w:val="none"/>
        </w:rPr>
        <w:t>7.7  履约担保</w:t>
      </w:r>
      <w:bookmarkEnd w:id="413"/>
      <w:bookmarkEnd w:id="414"/>
      <w:bookmarkEnd w:id="415"/>
      <w:bookmarkEnd w:id="416"/>
      <w:bookmarkEnd w:id="417"/>
      <w:bookmarkEnd w:id="418"/>
      <w:bookmarkEnd w:id="419"/>
      <w:bookmarkEnd w:id="420"/>
    </w:p>
    <w:p w14:paraId="2956A3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第四章“合同条款及格式”规定的或者事先经过</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提交履约担保。除投标人须知前附表另有规定外，履约</w:t>
      </w:r>
      <w:r>
        <w:rPr>
          <w:rFonts w:hint="eastAsia" w:ascii="宋体" w:hAnsi="宋体"/>
          <w:snapToGrid w:val="0"/>
          <w:color w:val="auto"/>
          <w:kern w:val="0"/>
          <w:szCs w:val="21"/>
          <w:highlight w:val="none"/>
        </w:rPr>
        <w:t>担保金额</w:t>
      </w:r>
      <w:r>
        <w:rPr>
          <w:rFonts w:ascii="宋体" w:hAnsi="宋体"/>
          <w:snapToGrid w:val="0"/>
          <w:color w:val="auto"/>
          <w:kern w:val="0"/>
          <w:szCs w:val="21"/>
          <w:highlight w:val="none"/>
        </w:rPr>
        <w:t>为中标合同金额的10%。联合体中标的，其履约</w:t>
      </w:r>
      <w:r>
        <w:rPr>
          <w:rFonts w:hint="eastAsia" w:ascii="宋体" w:hAnsi="宋体"/>
          <w:snapToGrid w:val="0"/>
          <w:color w:val="auto"/>
          <w:kern w:val="0"/>
          <w:szCs w:val="21"/>
          <w:highlight w:val="none"/>
        </w:rPr>
        <w:t>担保由联合体牵头人或按照联合体协议的约定</w:t>
      </w:r>
      <w:r>
        <w:rPr>
          <w:rFonts w:ascii="宋体" w:hAnsi="宋体"/>
          <w:snapToGrid w:val="0"/>
          <w:color w:val="auto"/>
          <w:kern w:val="0"/>
          <w:szCs w:val="21"/>
          <w:highlight w:val="none"/>
        </w:rPr>
        <w:t>提交。</w:t>
      </w:r>
    </w:p>
    <w:p w14:paraId="7A4363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7.7.2  中标人不能按本章第7.7.1项要求提交履约担保的，视为放弃中标，其投标保证金不予退还，给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6DA61B9C">
      <w:pPr>
        <w:pStyle w:val="4"/>
        <w:snapToGrid w:val="0"/>
        <w:spacing w:before="0" w:after="0" w:line="360" w:lineRule="auto"/>
        <w:rPr>
          <w:rFonts w:ascii="宋体" w:hAnsi="宋体"/>
          <w:b w:val="0"/>
          <w:snapToGrid w:val="0"/>
          <w:color w:val="auto"/>
          <w:sz w:val="24"/>
          <w:szCs w:val="24"/>
          <w:highlight w:val="none"/>
        </w:rPr>
      </w:pPr>
      <w:bookmarkStart w:id="421" w:name="_Toc200513168"/>
      <w:bookmarkStart w:id="422" w:name="_Toc277082594"/>
      <w:bookmarkStart w:id="423" w:name="_Toc509218752"/>
      <w:bookmarkStart w:id="424" w:name="_Toc430530477"/>
      <w:bookmarkStart w:id="425" w:name="_Toc10951"/>
      <w:bookmarkStart w:id="426" w:name="_Toc287607788"/>
      <w:bookmarkStart w:id="427" w:name="_Toc224103359"/>
      <w:bookmarkStart w:id="428" w:name="_Toc287620727"/>
      <w:r>
        <w:rPr>
          <w:rFonts w:ascii="宋体" w:hAnsi="宋体"/>
          <w:b w:val="0"/>
          <w:snapToGrid w:val="0"/>
          <w:color w:val="auto"/>
          <w:sz w:val="24"/>
          <w:szCs w:val="24"/>
          <w:highlight w:val="none"/>
        </w:rPr>
        <w:t>7.8  签订合同</w:t>
      </w:r>
      <w:bookmarkEnd w:id="421"/>
      <w:bookmarkEnd w:id="422"/>
      <w:bookmarkEnd w:id="423"/>
      <w:bookmarkEnd w:id="424"/>
      <w:bookmarkEnd w:id="425"/>
      <w:bookmarkEnd w:id="426"/>
      <w:bookmarkEnd w:id="427"/>
      <w:bookmarkEnd w:id="428"/>
    </w:p>
    <w:p w14:paraId="312B5D6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49D6582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0AD4B6F">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5177BEB2">
      <w:pPr>
        <w:pStyle w:val="3"/>
        <w:spacing w:before="0" w:after="0" w:line="360" w:lineRule="auto"/>
        <w:rPr>
          <w:rFonts w:hint="eastAsia" w:ascii="宋体" w:hAnsi="宋体" w:eastAsia="宋体"/>
          <w:b w:val="0"/>
          <w:snapToGrid w:val="0"/>
          <w:color w:val="auto"/>
          <w:highlight w:val="none"/>
          <w:lang w:eastAsia="zh-CN"/>
        </w:rPr>
      </w:pPr>
      <w:bookmarkStart w:id="429" w:name="_Toc287607789"/>
      <w:bookmarkStart w:id="430" w:name="_Toc509218753"/>
      <w:bookmarkStart w:id="431" w:name="_Toc287620728"/>
      <w:bookmarkStart w:id="432" w:name="_Toc4601"/>
      <w:bookmarkStart w:id="433" w:name="_Toc430530478"/>
      <w:bookmarkStart w:id="434" w:name="_Toc200513169"/>
      <w:bookmarkStart w:id="435" w:name="_Toc224103360"/>
      <w:bookmarkStart w:id="436" w:name="_Toc277082595"/>
      <w:r>
        <w:rPr>
          <w:rFonts w:ascii="宋体" w:hAnsi="宋体"/>
          <w:b w:val="0"/>
          <w:snapToGrid w:val="0"/>
          <w:color w:val="auto"/>
          <w:highlight w:val="none"/>
        </w:rPr>
        <w:t>8.  重新</w:t>
      </w:r>
      <w:r>
        <w:rPr>
          <w:rFonts w:hint="eastAsia" w:ascii="宋体" w:hAnsi="宋体"/>
          <w:b w:val="0"/>
          <w:snapToGrid w:val="0"/>
          <w:color w:val="auto"/>
          <w:highlight w:val="none"/>
          <w:lang w:eastAsia="zh-CN"/>
        </w:rPr>
        <w:t>比选</w:t>
      </w:r>
      <w:r>
        <w:rPr>
          <w:rFonts w:ascii="宋体" w:hAnsi="宋体"/>
          <w:b w:val="0"/>
          <w:snapToGrid w:val="0"/>
          <w:color w:val="auto"/>
          <w:highlight w:val="none"/>
        </w:rPr>
        <w:t>和不再</w:t>
      </w:r>
      <w:bookmarkEnd w:id="429"/>
      <w:bookmarkEnd w:id="430"/>
      <w:bookmarkEnd w:id="431"/>
      <w:bookmarkEnd w:id="432"/>
      <w:bookmarkEnd w:id="433"/>
      <w:bookmarkEnd w:id="434"/>
      <w:bookmarkEnd w:id="435"/>
      <w:bookmarkEnd w:id="436"/>
      <w:r>
        <w:rPr>
          <w:rFonts w:hint="eastAsia" w:ascii="宋体" w:hAnsi="宋体"/>
          <w:b w:val="0"/>
          <w:snapToGrid w:val="0"/>
          <w:color w:val="auto"/>
          <w:highlight w:val="none"/>
          <w:lang w:eastAsia="zh-CN"/>
        </w:rPr>
        <w:t>比选</w:t>
      </w:r>
    </w:p>
    <w:p w14:paraId="1E996906">
      <w:pPr>
        <w:pStyle w:val="4"/>
        <w:snapToGrid w:val="0"/>
        <w:spacing w:before="0" w:after="0" w:line="360" w:lineRule="auto"/>
        <w:rPr>
          <w:rFonts w:ascii="宋体" w:hAnsi="宋体"/>
          <w:b w:val="0"/>
          <w:snapToGrid w:val="0"/>
          <w:color w:val="auto"/>
          <w:sz w:val="24"/>
          <w:szCs w:val="24"/>
          <w:highlight w:val="none"/>
        </w:rPr>
      </w:pPr>
      <w:bookmarkStart w:id="437" w:name="_Toc430530479"/>
      <w:bookmarkStart w:id="438" w:name="_Toc224103361"/>
      <w:bookmarkStart w:id="439" w:name="_Toc287620729"/>
      <w:bookmarkStart w:id="440" w:name="_Toc509218754"/>
      <w:bookmarkStart w:id="441" w:name="_Toc277082596"/>
      <w:bookmarkStart w:id="442" w:name="_Toc287607790"/>
      <w:bookmarkStart w:id="443" w:name="_Toc200513170"/>
      <w:bookmarkStart w:id="444" w:name="_Toc7711"/>
      <w:r>
        <w:rPr>
          <w:rFonts w:ascii="宋体" w:hAnsi="宋体"/>
          <w:b w:val="0"/>
          <w:snapToGrid w:val="0"/>
          <w:color w:val="auto"/>
          <w:sz w:val="24"/>
          <w:szCs w:val="24"/>
          <w:highlight w:val="none"/>
        </w:rPr>
        <w:t>8.1  重新</w:t>
      </w:r>
      <w:bookmarkEnd w:id="437"/>
      <w:bookmarkEnd w:id="438"/>
      <w:bookmarkEnd w:id="439"/>
      <w:bookmarkEnd w:id="440"/>
      <w:bookmarkEnd w:id="441"/>
      <w:bookmarkEnd w:id="442"/>
      <w:bookmarkEnd w:id="443"/>
      <w:r>
        <w:rPr>
          <w:rFonts w:hint="eastAsia" w:ascii="宋体" w:hAnsi="宋体"/>
          <w:b w:val="0"/>
          <w:snapToGrid w:val="0"/>
          <w:color w:val="auto"/>
          <w:sz w:val="24"/>
          <w:szCs w:val="24"/>
          <w:highlight w:val="none"/>
          <w:lang w:eastAsia="zh-CN"/>
        </w:rPr>
        <w:t>比选</w:t>
      </w:r>
      <w:r>
        <w:rPr>
          <w:rFonts w:hint="eastAsia" w:ascii="宋体" w:hAnsi="宋体"/>
          <w:b w:val="0"/>
          <w:snapToGrid w:val="0"/>
          <w:color w:val="auto"/>
          <w:sz w:val="24"/>
          <w:szCs w:val="24"/>
          <w:highlight w:val="none"/>
        </w:rPr>
        <w:t>的情形</w:t>
      </w:r>
      <w:bookmarkEnd w:id="444"/>
    </w:p>
    <w:p w14:paraId="216A7E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623362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700E64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ACD36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3B4FEF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E944B83">
      <w:pPr>
        <w:pStyle w:val="4"/>
        <w:snapToGrid w:val="0"/>
        <w:spacing w:before="0" w:after="0" w:line="360" w:lineRule="auto"/>
        <w:rPr>
          <w:rFonts w:hint="eastAsia" w:ascii="宋体" w:hAnsi="宋体" w:eastAsia="宋体"/>
          <w:b w:val="0"/>
          <w:snapToGrid w:val="0"/>
          <w:color w:val="auto"/>
          <w:sz w:val="24"/>
          <w:szCs w:val="24"/>
          <w:highlight w:val="none"/>
          <w:lang w:eastAsia="zh-CN"/>
        </w:rPr>
      </w:pPr>
      <w:bookmarkStart w:id="445" w:name="_Toc200513171"/>
      <w:bookmarkStart w:id="446" w:name="_Toc430530480"/>
      <w:bookmarkStart w:id="447" w:name="_Toc224103362"/>
      <w:bookmarkStart w:id="448" w:name="_Toc12011"/>
      <w:bookmarkStart w:id="449" w:name="_Toc277082597"/>
      <w:bookmarkStart w:id="450" w:name="_Toc287620730"/>
      <w:bookmarkStart w:id="451" w:name="_Toc287607791"/>
      <w:bookmarkStart w:id="452"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和不再</w:t>
      </w:r>
      <w:bookmarkEnd w:id="445"/>
      <w:bookmarkEnd w:id="446"/>
      <w:bookmarkEnd w:id="447"/>
      <w:bookmarkEnd w:id="448"/>
      <w:bookmarkEnd w:id="449"/>
      <w:bookmarkEnd w:id="450"/>
      <w:bookmarkEnd w:id="451"/>
      <w:bookmarkEnd w:id="452"/>
      <w:r>
        <w:rPr>
          <w:rFonts w:hint="eastAsia" w:ascii="宋体" w:hAnsi="宋体"/>
          <w:b w:val="0"/>
          <w:snapToGrid w:val="0"/>
          <w:color w:val="auto"/>
          <w:sz w:val="24"/>
          <w:szCs w:val="24"/>
          <w:highlight w:val="none"/>
          <w:lang w:eastAsia="zh-CN"/>
        </w:rPr>
        <w:t>比选</w:t>
      </w:r>
    </w:p>
    <w:p w14:paraId="4D8A6FA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的投标人仍然少于三个的，按照招标投标法律法规规定的程序开标和评标。重新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经评审有有效投标人的，应当依法确定中标候选人；无有效投标人的，可以不再进行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092FCE25">
      <w:pPr>
        <w:pStyle w:val="3"/>
        <w:spacing w:before="0" w:after="0" w:line="360" w:lineRule="auto"/>
        <w:rPr>
          <w:rFonts w:ascii="宋体" w:hAnsi="宋体"/>
          <w:b w:val="0"/>
          <w:snapToGrid w:val="0"/>
          <w:color w:val="auto"/>
          <w:highlight w:val="none"/>
        </w:rPr>
      </w:pPr>
      <w:bookmarkStart w:id="453" w:name="_Toc200513172"/>
      <w:bookmarkStart w:id="454" w:name="_Toc509218756"/>
      <w:bookmarkStart w:id="455" w:name="_Toc287607792"/>
      <w:bookmarkStart w:id="456" w:name="_Toc287620731"/>
      <w:bookmarkStart w:id="457" w:name="_Toc277082598"/>
      <w:bookmarkStart w:id="458" w:name="_Toc430530481"/>
      <w:bookmarkStart w:id="459" w:name="_Toc11649"/>
      <w:bookmarkStart w:id="460" w:name="_Toc224103363"/>
      <w:r>
        <w:rPr>
          <w:rFonts w:ascii="宋体" w:hAnsi="宋体"/>
          <w:b w:val="0"/>
          <w:snapToGrid w:val="0"/>
          <w:color w:val="auto"/>
          <w:highlight w:val="none"/>
        </w:rPr>
        <w:t>9.  纪律和监督</w:t>
      </w:r>
      <w:bookmarkEnd w:id="453"/>
      <w:bookmarkEnd w:id="454"/>
      <w:bookmarkEnd w:id="455"/>
      <w:bookmarkEnd w:id="456"/>
      <w:bookmarkEnd w:id="457"/>
      <w:bookmarkEnd w:id="458"/>
      <w:bookmarkEnd w:id="459"/>
      <w:bookmarkEnd w:id="460"/>
    </w:p>
    <w:p w14:paraId="7F6AE961">
      <w:pPr>
        <w:pStyle w:val="4"/>
        <w:snapToGrid w:val="0"/>
        <w:spacing w:before="0" w:after="0" w:line="360" w:lineRule="auto"/>
        <w:rPr>
          <w:rFonts w:ascii="宋体" w:hAnsi="宋体"/>
          <w:b w:val="0"/>
          <w:snapToGrid w:val="0"/>
          <w:color w:val="auto"/>
          <w:sz w:val="24"/>
          <w:szCs w:val="24"/>
          <w:highlight w:val="none"/>
        </w:rPr>
      </w:pPr>
      <w:bookmarkStart w:id="461" w:name="_Toc224103364"/>
      <w:bookmarkStart w:id="462" w:name="_Toc277082599"/>
      <w:bookmarkStart w:id="463" w:name="_Toc287607793"/>
      <w:bookmarkStart w:id="464" w:name="_Toc200513173"/>
      <w:bookmarkStart w:id="465" w:name="_Toc509218757"/>
      <w:bookmarkStart w:id="466" w:name="_Toc27838"/>
      <w:bookmarkStart w:id="467" w:name="_Toc430530482"/>
      <w:bookmarkStart w:id="468" w:name="_Toc28762073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61"/>
      <w:bookmarkEnd w:id="462"/>
      <w:bookmarkEnd w:id="463"/>
      <w:bookmarkEnd w:id="464"/>
      <w:bookmarkEnd w:id="465"/>
      <w:bookmarkEnd w:id="466"/>
      <w:bookmarkEnd w:id="467"/>
      <w:bookmarkEnd w:id="468"/>
    </w:p>
    <w:p w14:paraId="0684B444">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投标活动中应当保密的情况和资料，不得与投标人串通损害国家利益、社会公共利益或者他人合法权益，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50050D9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7C02D471">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2C69544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6355731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29F8652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4080FAC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1C56E63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49505A7B">
      <w:pPr>
        <w:pStyle w:val="4"/>
        <w:snapToGrid w:val="0"/>
        <w:spacing w:before="0" w:after="0" w:line="360" w:lineRule="auto"/>
        <w:ind w:firstLine="480" w:firstLineChars="200"/>
        <w:rPr>
          <w:rFonts w:ascii="宋体" w:hAnsi="宋体"/>
          <w:b w:val="0"/>
          <w:snapToGrid w:val="0"/>
          <w:color w:val="auto"/>
          <w:sz w:val="24"/>
          <w:szCs w:val="24"/>
          <w:highlight w:val="none"/>
        </w:rPr>
      </w:pPr>
      <w:bookmarkStart w:id="469" w:name="_Toc224103365"/>
      <w:bookmarkStart w:id="470" w:name="_Toc287620733"/>
      <w:bookmarkStart w:id="471" w:name="_Toc277082600"/>
      <w:bookmarkStart w:id="472" w:name="_Toc430530483"/>
      <w:bookmarkStart w:id="473" w:name="_Toc509218758"/>
      <w:bookmarkStart w:id="474" w:name="_Toc200513174"/>
      <w:bookmarkStart w:id="475" w:name="_Toc21560"/>
      <w:bookmarkStart w:id="476" w:name="_Toc287607794"/>
      <w:r>
        <w:rPr>
          <w:rFonts w:ascii="宋体" w:hAnsi="宋体"/>
          <w:b w:val="0"/>
          <w:snapToGrid w:val="0"/>
          <w:color w:val="auto"/>
          <w:sz w:val="24"/>
          <w:szCs w:val="24"/>
          <w:highlight w:val="none"/>
        </w:rPr>
        <w:t>9.2  对投标人的纪律要求</w:t>
      </w:r>
      <w:bookmarkEnd w:id="469"/>
      <w:bookmarkEnd w:id="470"/>
      <w:bookmarkEnd w:id="471"/>
      <w:bookmarkEnd w:id="472"/>
      <w:bookmarkEnd w:id="473"/>
      <w:bookmarkEnd w:id="474"/>
      <w:bookmarkEnd w:id="475"/>
      <w:bookmarkEnd w:id="476"/>
    </w:p>
    <w:p w14:paraId="2E5748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p>
    <w:p w14:paraId="31C2197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3A3733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D44D5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99B194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1F5E3B8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251CE53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96082E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2F5FA49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2A1C2A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49B17A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1FED83C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72C453C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7A6239B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1D9CCD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5F72E27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7B1E0EE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41F170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3CFC32A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27B7E3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B7966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55352CD">
      <w:pPr>
        <w:pStyle w:val="4"/>
        <w:snapToGrid w:val="0"/>
        <w:spacing w:before="0" w:after="0" w:line="360" w:lineRule="auto"/>
        <w:rPr>
          <w:rFonts w:ascii="宋体" w:hAnsi="宋体"/>
          <w:b w:val="0"/>
          <w:snapToGrid w:val="0"/>
          <w:color w:val="auto"/>
          <w:sz w:val="24"/>
          <w:szCs w:val="24"/>
          <w:highlight w:val="none"/>
        </w:rPr>
      </w:pPr>
      <w:bookmarkStart w:id="477" w:name="_Toc509218759"/>
      <w:bookmarkStart w:id="478" w:name="_Toc287607795"/>
      <w:bookmarkStart w:id="479" w:name="_Toc27561"/>
      <w:bookmarkStart w:id="480" w:name="_Toc200513175"/>
      <w:bookmarkStart w:id="481" w:name="_Toc430530484"/>
      <w:bookmarkStart w:id="482" w:name="_Toc224103366"/>
      <w:bookmarkStart w:id="483" w:name="_Toc287620734"/>
      <w:bookmarkStart w:id="484" w:name="_Toc277082601"/>
      <w:r>
        <w:rPr>
          <w:rFonts w:ascii="宋体" w:hAnsi="宋体"/>
          <w:b w:val="0"/>
          <w:snapToGrid w:val="0"/>
          <w:color w:val="auto"/>
          <w:sz w:val="24"/>
          <w:szCs w:val="24"/>
          <w:highlight w:val="none"/>
        </w:rPr>
        <w:t>9.3  对评标委员会成员的纪律要求</w:t>
      </w:r>
      <w:bookmarkEnd w:id="477"/>
      <w:bookmarkEnd w:id="478"/>
      <w:bookmarkEnd w:id="479"/>
      <w:bookmarkEnd w:id="480"/>
      <w:bookmarkEnd w:id="481"/>
      <w:bookmarkEnd w:id="482"/>
      <w:bookmarkEnd w:id="483"/>
      <w:bookmarkEnd w:id="484"/>
    </w:p>
    <w:p w14:paraId="2D2187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38CDC308">
      <w:pPr>
        <w:pStyle w:val="4"/>
        <w:snapToGrid w:val="0"/>
        <w:spacing w:before="0" w:after="0" w:line="360" w:lineRule="auto"/>
        <w:rPr>
          <w:rFonts w:ascii="宋体" w:hAnsi="宋体"/>
          <w:b w:val="0"/>
          <w:snapToGrid w:val="0"/>
          <w:color w:val="auto"/>
          <w:sz w:val="24"/>
          <w:szCs w:val="24"/>
          <w:highlight w:val="none"/>
        </w:rPr>
      </w:pPr>
      <w:bookmarkStart w:id="485" w:name="_Toc224103367"/>
      <w:bookmarkStart w:id="486" w:name="_Toc430530485"/>
      <w:bookmarkStart w:id="487" w:name="_Toc277082602"/>
      <w:bookmarkStart w:id="488" w:name="_Toc287620735"/>
      <w:bookmarkStart w:id="489" w:name="_Toc287607796"/>
      <w:bookmarkStart w:id="490" w:name="_Toc17259"/>
      <w:bookmarkStart w:id="491" w:name="_Toc509218760"/>
      <w:bookmarkStart w:id="492" w:name="_Toc200513176"/>
      <w:r>
        <w:rPr>
          <w:rFonts w:ascii="宋体" w:hAnsi="宋体"/>
          <w:b w:val="0"/>
          <w:snapToGrid w:val="0"/>
          <w:color w:val="auto"/>
          <w:sz w:val="24"/>
          <w:szCs w:val="24"/>
          <w:highlight w:val="none"/>
        </w:rPr>
        <w:t>9.4  对与评标活动有关的工作人员的纪律要求</w:t>
      </w:r>
      <w:bookmarkEnd w:id="485"/>
      <w:bookmarkEnd w:id="486"/>
      <w:bookmarkEnd w:id="487"/>
      <w:bookmarkEnd w:id="488"/>
      <w:bookmarkEnd w:id="489"/>
      <w:bookmarkEnd w:id="490"/>
      <w:bookmarkEnd w:id="491"/>
      <w:bookmarkEnd w:id="492"/>
    </w:p>
    <w:p w14:paraId="617473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14:paraId="0EA256A0">
      <w:pPr>
        <w:pStyle w:val="4"/>
        <w:snapToGrid w:val="0"/>
        <w:spacing w:before="0" w:after="0" w:line="360" w:lineRule="auto"/>
        <w:rPr>
          <w:rFonts w:ascii="宋体" w:hAnsi="宋体"/>
          <w:b w:val="0"/>
          <w:snapToGrid w:val="0"/>
          <w:color w:val="auto"/>
          <w:sz w:val="24"/>
          <w:szCs w:val="24"/>
          <w:highlight w:val="none"/>
        </w:rPr>
      </w:pPr>
      <w:bookmarkStart w:id="493" w:name="_Toc287620736"/>
      <w:bookmarkStart w:id="494" w:name="_Toc2773"/>
      <w:bookmarkStart w:id="495" w:name="_Toc200513177"/>
      <w:bookmarkStart w:id="496" w:name="_Toc277082603"/>
      <w:bookmarkStart w:id="497" w:name="_Toc224103368"/>
      <w:bookmarkStart w:id="498" w:name="_Toc287607797"/>
      <w:bookmarkStart w:id="499" w:name="_Toc509218761"/>
      <w:bookmarkStart w:id="500" w:name="_Toc430530486"/>
      <w:r>
        <w:rPr>
          <w:rFonts w:ascii="宋体" w:hAnsi="宋体"/>
          <w:b w:val="0"/>
          <w:snapToGrid w:val="0"/>
          <w:color w:val="auto"/>
          <w:sz w:val="24"/>
          <w:szCs w:val="24"/>
          <w:highlight w:val="none"/>
        </w:rPr>
        <w:t>9.5  投诉</w:t>
      </w:r>
      <w:bookmarkEnd w:id="493"/>
      <w:bookmarkEnd w:id="494"/>
      <w:bookmarkEnd w:id="495"/>
      <w:bookmarkEnd w:id="496"/>
      <w:bookmarkEnd w:id="497"/>
      <w:bookmarkEnd w:id="498"/>
      <w:bookmarkEnd w:id="499"/>
      <w:bookmarkEnd w:id="500"/>
    </w:p>
    <w:p w14:paraId="12FD41E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投标活动不符合法律、行政法规规定的，可以自知道或者应当知道之日起 10 日内向有关行政监督部门投诉。投诉应当有明确的请求和必要的证明材料。</w:t>
      </w:r>
    </w:p>
    <w:p w14:paraId="72493E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.5.2  投标人或者其他利害关系人对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、开标和评标结果提出投诉的，应当按照投标人须知第 2.4 款、第 5.3 款和第 7.2 款的规定先向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提出异议。异议答复期间不计算在第 8.5.1 项规定的期限内。</w:t>
      </w:r>
    </w:p>
    <w:p w14:paraId="682FC597">
      <w:pPr>
        <w:pStyle w:val="3"/>
        <w:spacing w:before="0" w:after="0" w:line="360" w:lineRule="auto"/>
        <w:rPr>
          <w:rFonts w:ascii="宋体" w:hAnsi="宋体"/>
          <w:b w:val="0"/>
          <w:snapToGrid w:val="0"/>
          <w:color w:val="auto"/>
          <w:highlight w:val="none"/>
        </w:rPr>
      </w:pPr>
      <w:bookmarkStart w:id="501" w:name="_Toc3513"/>
      <w:bookmarkStart w:id="502" w:name="_Toc509218762"/>
      <w:bookmarkStart w:id="503" w:name="_Toc224103369"/>
      <w:bookmarkStart w:id="504" w:name="_Toc430530487"/>
      <w:bookmarkStart w:id="505" w:name="_Toc277082604"/>
      <w:bookmarkStart w:id="506" w:name="_Toc200513178"/>
      <w:bookmarkStart w:id="507" w:name="_Toc287620737"/>
      <w:bookmarkStart w:id="508" w:name="_Toc287607798"/>
      <w:r>
        <w:rPr>
          <w:rFonts w:ascii="宋体" w:hAnsi="宋体"/>
          <w:b w:val="0"/>
          <w:snapToGrid w:val="0"/>
          <w:color w:val="auto"/>
          <w:highlight w:val="none"/>
        </w:rPr>
        <w:t>10. 需要补充的其他内容</w:t>
      </w:r>
      <w:bookmarkEnd w:id="501"/>
      <w:bookmarkEnd w:id="502"/>
      <w:bookmarkEnd w:id="503"/>
      <w:bookmarkEnd w:id="504"/>
      <w:bookmarkEnd w:id="505"/>
      <w:bookmarkEnd w:id="506"/>
      <w:bookmarkEnd w:id="507"/>
      <w:bookmarkEnd w:id="508"/>
    </w:p>
    <w:p w14:paraId="78248B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14:paraId="523E0F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7F771742">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6528D834">
      <w:pPr>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1125B4E7">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4493D027">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4502A6ED">
      <w:pPr>
        <w:autoSpaceDE w:val="0"/>
        <w:autoSpaceDN w:val="0"/>
        <w:adjustRightInd w:val="0"/>
        <w:snapToGrid w:val="0"/>
        <w:spacing w:line="360" w:lineRule="auto"/>
        <w:jc w:val="left"/>
        <w:rPr>
          <w:rFonts w:ascii="宋体" w:hAnsi="宋体"/>
          <w:b/>
          <w:snapToGrid w:val="0"/>
          <w:color w:val="auto"/>
          <w:kern w:val="0"/>
          <w:sz w:val="24"/>
          <w:highlight w:val="none"/>
        </w:rPr>
      </w:pPr>
    </w:p>
    <w:p w14:paraId="2B85BA0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134CCA0">
      <w:pPr>
        <w:autoSpaceDE w:val="0"/>
        <w:autoSpaceDN w:val="0"/>
        <w:adjustRightInd w:val="0"/>
        <w:snapToGrid w:val="0"/>
        <w:spacing w:line="360" w:lineRule="auto"/>
        <w:jc w:val="left"/>
        <w:rPr>
          <w:rFonts w:ascii="宋体" w:hAnsi="宋体"/>
          <w:b/>
          <w:snapToGrid w:val="0"/>
          <w:color w:val="auto"/>
          <w:kern w:val="0"/>
          <w:sz w:val="24"/>
          <w:highlight w:val="none"/>
        </w:rPr>
      </w:pPr>
    </w:p>
    <w:p w14:paraId="3196C94D">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23F86B1B">
      <w:pPr>
        <w:autoSpaceDE w:val="0"/>
        <w:autoSpaceDN w:val="0"/>
        <w:adjustRightInd w:val="0"/>
        <w:snapToGrid w:val="0"/>
        <w:spacing w:line="360" w:lineRule="auto"/>
        <w:jc w:val="left"/>
        <w:rPr>
          <w:rFonts w:ascii="宋体" w:hAnsi="宋体"/>
          <w:b/>
          <w:snapToGrid w:val="0"/>
          <w:color w:val="auto"/>
          <w:kern w:val="0"/>
          <w:sz w:val="24"/>
          <w:highlight w:val="none"/>
        </w:rPr>
      </w:pPr>
    </w:p>
    <w:p w14:paraId="739F9E6F">
      <w:pPr>
        <w:autoSpaceDE w:val="0"/>
        <w:autoSpaceDN w:val="0"/>
        <w:adjustRightInd w:val="0"/>
        <w:snapToGrid w:val="0"/>
        <w:spacing w:line="360" w:lineRule="auto"/>
        <w:rPr>
          <w:rFonts w:ascii="宋体" w:hAnsi="宋体"/>
          <w:snapToGrid w:val="0"/>
          <w:color w:val="auto"/>
          <w:kern w:val="0"/>
          <w:sz w:val="28"/>
          <w:szCs w:val="28"/>
          <w:highlight w:val="none"/>
        </w:rPr>
      </w:pPr>
    </w:p>
    <w:p w14:paraId="27BEC634">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195051E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966A143">
      <w:pPr>
        <w:autoSpaceDE w:val="0"/>
        <w:autoSpaceDN w:val="0"/>
        <w:adjustRightInd w:val="0"/>
        <w:snapToGrid w:val="0"/>
        <w:spacing w:line="360" w:lineRule="auto"/>
        <w:jc w:val="left"/>
        <w:rPr>
          <w:rFonts w:ascii="宋体" w:hAnsi="宋体"/>
          <w:snapToGrid w:val="0"/>
          <w:color w:val="auto"/>
          <w:kern w:val="0"/>
          <w:sz w:val="24"/>
          <w:highlight w:val="none"/>
        </w:rPr>
      </w:pPr>
    </w:p>
    <w:p w14:paraId="2BF9128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5A76C7">
      <w:pPr>
        <w:autoSpaceDE w:val="0"/>
        <w:autoSpaceDN w:val="0"/>
        <w:adjustRightInd w:val="0"/>
        <w:snapToGrid w:val="0"/>
        <w:spacing w:line="360" w:lineRule="auto"/>
        <w:jc w:val="left"/>
        <w:rPr>
          <w:rFonts w:ascii="宋体" w:hAnsi="宋体"/>
          <w:snapToGrid w:val="0"/>
          <w:color w:val="auto"/>
          <w:kern w:val="0"/>
          <w:szCs w:val="21"/>
          <w:highlight w:val="none"/>
        </w:rPr>
      </w:pPr>
    </w:p>
    <w:p w14:paraId="6A545F9C">
      <w:pPr>
        <w:autoSpaceDE w:val="0"/>
        <w:autoSpaceDN w:val="0"/>
        <w:adjustRightInd w:val="0"/>
        <w:snapToGrid w:val="0"/>
        <w:spacing w:line="360" w:lineRule="auto"/>
        <w:jc w:val="left"/>
        <w:rPr>
          <w:rFonts w:ascii="宋体" w:hAnsi="宋体"/>
          <w:snapToGrid w:val="0"/>
          <w:color w:val="auto"/>
          <w:kern w:val="0"/>
          <w:szCs w:val="21"/>
          <w:highlight w:val="none"/>
        </w:rPr>
      </w:pPr>
    </w:p>
    <w:p w14:paraId="7992430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B91A22D">
      <w:pPr>
        <w:autoSpaceDE w:val="0"/>
        <w:autoSpaceDN w:val="0"/>
        <w:adjustRightInd w:val="0"/>
        <w:snapToGrid w:val="0"/>
        <w:spacing w:line="360" w:lineRule="auto"/>
        <w:jc w:val="left"/>
        <w:rPr>
          <w:rFonts w:ascii="宋体" w:hAnsi="宋体"/>
          <w:snapToGrid w:val="0"/>
          <w:color w:val="auto"/>
          <w:kern w:val="0"/>
          <w:szCs w:val="21"/>
          <w:highlight w:val="none"/>
        </w:rPr>
      </w:pPr>
    </w:p>
    <w:p w14:paraId="5C2E895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3AA5A8D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38885FD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9562F9E">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14:paraId="6EFE444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8289392">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175D1B8">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39ACD2E9">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83AD221">
      <w:pPr>
        <w:autoSpaceDE w:val="0"/>
        <w:autoSpaceDN w:val="0"/>
        <w:adjustRightInd w:val="0"/>
        <w:snapToGrid w:val="0"/>
        <w:spacing w:line="360" w:lineRule="auto"/>
        <w:jc w:val="left"/>
        <w:rPr>
          <w:rFonts w:ascii="宋体" w:hAnsi="宋体"/>
          <w:b/>
          <w:snapToGrid w:val="0"/>
          <w:color w:val="auto"/>
          <w:kern w:val="0"/>
          <w:highlight w:val="none"/>
        </w:rPr>
      </w:pPr>
    </w:p>
    <w:p w14:paraId="18D88DC5">
      <w:pPr>
        <w:autoSpaceDE w:val="0"/>
        <w:autoSpaceDN w:val="0"/>
        <w:adjustRightInd w:val="0"/>
        <w:snapToGrid w:val="0"/>
        <w:spacing w:line="360" w:lineRule="auto"/>
        <w:jc w:val="left"/>
        <w:rPr>
          <w:rFonts w:ascii="宋体" w:hAnsi="宋体"/>
          <w:b/>
          <w:snapToGrid w:val="0"/>
          <w:color w:val="auto"/>
          <w:kern w:val="0"/>
          <w:highlight w:val="none"/>
        </w:rPr>
      </w:pPr>
    </w:p>
    <w:p w14:paraId="7D3F60EB">
      <w:pPr>
        <w:autoSpaceDE w:val="0"/>
        <w:autoSpaceDN w:val="0"/>
        <w:adjustRightInd w:val="0"/>
        <w:snapToGrid w:val="0"/>
        <w:spacing w:line="360" w:lineRule="auto"/>
        <w:jc w:val="left"/>
        <w:rPr>
          <w:rFonts w:ascii="宋体" w:hAnsi="宋体"/>
          <w:b/>
          <w:snapToGrid w:val="0"/>
          <w:color w:val="auto"/>
          <w:kern w:val="0"/>
          <w:highlight w:val="none"/>
        </w:rPr>
      </w:pPr>
    </w:p>
    <w:p w14:paraId="1C86A2E0">
      <w:pPr>
        <w:autoSpaceDE w:val="0"/>
        <w:autoSpaceDN w:val="0"/>
        <w:adjustRightInd w:val="0"/>
        <w:snapToGrid w:val="0"/>
        <w:spacing w:line="360" w:lineRule="auto"/>
        <w:jc w:val="left"/>
        <w:rPr>
          <w:rFonts w:ascii="宋体" w:hAnsi="宋体"/>
          <w:b/>
          <w:snapToGrid w:val="0"/>
          <w:color w:val="auto"/>
          <w:kern w:val="0"/>
          <w:highlight w:val="none"/>
        </w:rPr>
      </w:pPr>
    </w:p>
    <w:p w14:paraId="00749FC1">
      <w:pPr>
        <w:autoSpaceDE w:val="0"/>
        <w:autoSpaceDN w:val="0"/>
        <w:adjustRightInd w:val="0"/>
        <w:snapToGrid w:val="0"/>
        <w:spacing w:line="360" w:lineRule="auto"/>
        <w:jc w:val="left"/>
        <w:rPr>
          <w:rFonts w:ascii="宋体" w:hAnsi="宋体"/>
          <w:b/>
          <w:snapToGrid w:val="0"/>
          <w:color w:val="auto"/>
          <w:kern w:val="0"/>
          <w:highlight w:val="none"/>
        </w:rPr>
      </w:pPr>
    </w:p>
    <w:p w14:paraId="0D44F762">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1DA11310">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31C80F04">
      <w:pPr>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09" w:name="_Toc682"/>
      <w:r>
        <w:rPr>
          <w:rFonts w:ascii="宋体" w:hAnsi="宋体"/>
          <w:b/>
          <w:snapToGrid w:val="0"/>
          <w:color w:val="auto"/>
          <w:w w:val="99"/>
          <w:kern w:val="0"/>
          <w:sz w:val="32"/>
          <w:szCs w:val="32"/>
          <w:highlight w:val="none"/>
        </w:rPr>
        <w:t>问题的澄清</w:t>
      </w:r>
      <w:bookmarkEnd w:id="509"/>
    </w:p>
    <w:p w14:paraId="75397C72">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557B544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768CD2E7">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E081D09">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64311C7E">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评标委员会：</w:t>
      </w:r>
    </w:p>
    <w:p w14:paraId="5EB9A148">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26C45C6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436558E">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01E1831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606C9C7D">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E1A5D9D">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C142C5C">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D461DF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F2F597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E4BBDA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98A9862">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889FA3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FEF6DA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EC77884">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25440C1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040BACFD">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1253086">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14:paraId="57D0BB7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7C333F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AF52CF8">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51483ADE">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156F066">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2EF23D50">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3BFBCA9">
      <w:pPr>
        <w:autoSpaceDE w:val="0"/>
        <w:autoSpaceDN w:val="0"/>
        <w:adjustRightInd w:val="0"/>
        <w:snapToGrid w:val="0"/>
        <w:spacing w:line="360" w:lineRule="auto"/>
        <w:jc w:val="left"/>
        <w:rPr>
          <w:rFonts w:ascii="宋体" w:hAnsi="宋体"/>
          <w:b/>
          <w:snapToGrid w:val="0"/>
          <w:color w:val="auto"/>
          <w:kern w:val="0"/>
          <w:sz w:val="24"/>
          <w:highlight w:val="none"/>
        </w:rPr>
      </w:pPr>
    </w:p>
    <w:p w14:paraId="21421055">
      <w:pPr>
        <w:pStyle w:val="13"/>
        <w:rPr>
          <w:color w:val="auto"/>
          <w:highlight w:val="none"/>
        </w:rPr>
      </w:pPr>
    </w:p>
    <w:p w14:paraId="26E88E3C">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66C45770">
      <w:pPr>
        <w:autoSpaceDE w:val="0"/>
        <w:autoSpaceDN w:val="0"/>
        <w:adjustRightInd w:val="0"/>
        <w:spacing w:line="360" w:lineRule="auto"/>
        <w:jc w:val="left"/>
        <w:rPr>
          <w:rFonts w:ascii="宋体" w:hAnsi="宋体"/>
          <w:snapToGrid w:val="0"/>
          <w:color w:val="auto"/>
          <w:kern w:val="0"/>
          <w:sz w:val="20"/>
          <w:szCs w:val="20"/>
          <w:highlight w:val="none"/>
        </w:rPr>
      </w:pPr>
    </w:p>
    <w:p w14:paraId="37DA272E">
      <w:pPr>
        <w:autoSpaceDE w:val="0"/>
        <w:autoSpaceDN w:val="0"/>
        <w:adjustRightInd w:val="0"/>
        <w:spacing w:line="360" w:lineRule="auto"/>
        <w:jc w:val="left"/>
        <w:rPr>
          <w:rFonts w:ascii="宋体" w:hAnsi="宋体"/>
          <w:snapToGrid w:val="0"/>
          <w:color w:val="auto"/>
          <w:kern w:val="0"/>
          <w:sz w:val="20"/>
          <w:szCs w:val="20"/>
          <w:highlight w:val="none"/>
        </w:rPr>
      </w:pPr>
    </w:p>
    <w:p w14:paraId="4189B1DD">
      <w:pPr>
        <w:autoSpaceDE w:val="0"/>
        <w:autoSpaceDN w:val="0"/>
        <w:adjustRightInd w:val="0"/>
        <w:spacing w:line="360" w:lineRule="auto"/>
        <w:jc w:val="left"/>
        <w:rPr>
          <w:rFonts w:ascii="宋体" w:hAnsi="宋体"/>
          <w:snapToGrid w:val="0"/>
          <w:color w:val="auto"/>
          <w:kern w:val="0"/>
          <w:sz w:val="20"/>
          <w:szCs w:val="20"/>
          <w:highlight w:val="none"/>
        </w:rPr>
      </w:pPr>
    </w:p>
    <w:p w14:paraId="66215BCD">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11DBBB47">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72C171E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lang w:eastAsia="zh-CN"/>
        </w:rPr>
        <w:t>比选</w:t>
      </w:r>
      <w:r>
        <w:rPr>
          <w:rFonts w:ascii="宋体" w:hAnsi="宋体"/>
          <w:color w:val="auto"/>
          <w:kern w:val="0"/>
          <w:szCs w:val="21"/>
          <w:highlight w:val="none"/>
        </w:rPr>
        <w:t>的投标文件已被我方接受，经评标委员会评定，被确定为中标人。</w:t>
      </w:r>
    </w:p>
    <w:p w14:paraId="5667D32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36C3A06B">
      <w:pPr>
        <w:spacing w:line="360" w:lineRule="auto"/>
        <w:ind w:firstLine="420" w:firstLineChars="200"/>
        <w:rPr>
          <w:color w:val="auto"/>
          <w:highlight w:val="none"/>
        </w:rPr>
      </w:pPr>
      <w:r>
        <w:rPr>
          <w:color w:val="auto"/>
          <w:highlight w:val="none"/>
        </w:rPr>
        <w:t>服务期限：</w:t>
      </w:r>
      <w:r>
        <w:rPr>
          <w:color w:val="auto"/>
          <w:highlight w:val="none"/>
          <w:u w:val="single"/>
        </w:rPr>
        <w:t xml:space="preserve">   </w:t>
      </w:r>
      <w:r>
        <w:rPr>
          <w:color w:val="auto"/>
          <w:highlight w:val="none"/>
          <w:u w:val="single"/>
        </w:rPr>
        <w:tab/>
      </w:r>
      <w:r>
        <w:rPr>
          <w:color w:val="auto"/>
          <w:highlight w:val="none"/>
        </w:rPr>
        <w:t>日历天。</w:t>
      </w:r>
    </w:p>
    <w:p w14:paraId="6F4B0D6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第7.7款规定向我方提交履约担保。</w:t>
      </w:r>
    </w:p>
    <w:p w14:paraId="7AC65558">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2B777051">
      <w:pPr>
        <w:spacing w:line="480" w:lineRule="auto"/>
        <w:rPr>
          <w:rFonts w:ascii="宋体" w:hAnsi="宋体"/>
          <w:color w:val="auto"/>
          <w:kern w:val="0"/>
          <w:sz w:val="24"/>
          <w:highlight w:val="none"/>
        </w:rPr>
      </w:pPr>
    </w:p>
    <w:p w14:paraId="026DDC30">
      <w:pPr>
        <w:spacing w:line="480" w:lineRule="auto"/>
        <w:rPr>
          <w:rFonts w:ascii="宋体" w:hAnsi="宋体"/>
          <w:color w:val="auto"/>
          <w:kern w:val="0"/>
          <w:sz w:val="24"/>
          <w:highlight w:val="none"/>
        </w:rPr>
      </w:pPr>
    </w:p>
    <w:p w14:paraId="61837F51">
      <w:pPr>
        <w:spacing w:line="480" w:lineRule="auto"/>
        <w:rPr>
          <w:rFonts w:ascii="宋体" w:hAnsi="宋体"/>
          <w:color w:val="auto"/>
          <w:kern w:val="0"/>
          <w:sz w:val="24"/>
          <w:highlight w:val="none"/>
        </w:rPr>
      </w:pPr>
    </w:p>
    <w:p w14:paraId="193A143D">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77D47A79">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FD18ACD">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7E01D030">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146C02A">
      <w:pPr>
        <w:spacing w:line="480" w:lineRule="auto"/>
        <w:jc w:val="right"/>
        <w:rPr>
          <w:rFonts w:ascii="宋体" w:hAnsi="宋体"/>
          <w:color w:val="auto"/>
          <w:kern w:val="0"/>
          <w:szCs w:val="21"/>
          <w:highlight w:val="none"/>
        </w:rPr>
      </w:pPr>
    </w:p>
    <w:p w14:paraId="518B5D7F">
      <w:pPr>
        <w:spacing w:line="480" w:lineRule="auto"/>
        <w:jc w:val="right"/>
        <w:rPr>
          <w:rFonts w:ascii="宋体" w:hAnsi="宋体"/>
          <w:color w:val="auto"/>
          <w:kern w:val="0"/>
          <w:szCs w:val="21"/>
          <w:highlight w:val="none"/>
        </w:rPr>
      </w:pPr>
    </w:p>
    <w:p w14:paraId="38CFBD88">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720422E">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0" w:name="招标文件03章02评标办法综合评估法"/>
      <w:bookmarkEnd w:id="510"/>
      <w:bookmarkStart w:id="511" w:name="招标文件03章02评标办法综合评估法00"/>
      <w:bookmarkEnd w:id="511"/>
      <w:bookmarkStart w:id="512" w:name="_Toc430530500"/>
      <w:bookmarkStart w:id="513" w:name="_Toc224103384"/>
      <w:bookmarkStart w:id="514" w:name="_Toc200513198"/>
      <w:bookmarkStart w:id="515" w:name="_Toc287620751"/>
      <w:bookmarkStart w:id="516" w:name="_Toc277082618"/>
      <w:bookmarkStart w:id="517" w:name="_Toc287607812"/>
    </w:p>
    <w:bookmarkEnd w:id="512"/>
    <w:bookmarkEnd w:id="513"/>
    <w:bookmarkEnd w:id="514"/>
    <w:bookmarkEnd w:id="515"/>
    <w:bookmarkEnd w:id="516"/>
    <w:bookmarkEnd w:id="517"/>
    <w:p w14:paraId="196E3CB4">
      <w:pPr>
        <w:pStyle w:val="2"/>
        <w:spacing w:line="360" w:lineRule="auto"/>
        <w:jc w:val="left"/>
        <w:rPr>
          <w:rFonts w:ascii="宋体" w:hAnsi="宋体"/>
          <w:snapToGrid w:val="0"/>
          <w:color w:val="auto"/>
          <w:kern w:val="0"/>
          <w:highlight w:val="none"/>
        </w:rPr>
      </w:pPr>
      <w:bookmarkStart w:id="518" w:name="_Toc26140"/>
      <w:bookmarkStart w:id="519" w:name="_Toc2520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18"/>
      <w:bookmarkEnd w:id="519"/>
    </w:p>
    <w:p w14:paraId="5D372478">
      <w:pPr>
        <w:keepNext/>
        <w:keepLines/>
        <w:spacing w:before="100" w:after="100" w:line="360" w:lineRule="auto"/>
        <w:outlineLvl w:val="1"/>
        <w:rPr>
          <w:rFonts w:ascii="宋体" w:hAnsi="宋体"/>
          <w:b/>
          <w:color w:val="auto"/>
          <w:sz w:val="32"/>
          <w:szCs w:val="32"/>
          <w:highlight w:val="none"/>
        </w:rPr>
      </w:pPr>
      <w:bookmarkStart w:id="520" w:name="_Toc28568"/>
      <w:r>
        <w:rPr>
          <w:rFonts w:hint="eastAsia" w:ascii="宋体" w:hAnsi="宋体"/>
          <w:b/>
          <w:color w:val="auto"/>
          <w:sz w:val="32"/>
          <w:szCs w:val="32"/>
          <w:highlight w:val="none"/>
        </w:rPr>
        <w:t>评标办法前附表</w:t>
      </w:r>
      <w:bookmarkEnd w:id="520"/>
    </w:p>
    <w:p w14:paraId="42F984D8">
      <w:pPr>
        <w:spacing w:line="400" w:lineRule="exact"/>
        <w:ind w:firstLine="427" w:firstLineChars="196"/>
        <w:rPr>
          <w:rFonts w:ascii="宋体" w:hAnsi="宋体"/>
          <w:color w:val="auto"/>
          <w:spacing w:val="4"/>
          <w:kern w:val="0"/>
          <w:szCs w:val="21"/>
          <w:highlight w:val="none"/>
        </w:rPr>
      </w:pPr>
      <w:bookmarkStart w:id="521" w:name="_Toc13210726"/>
      <w:r>
        <w:rPr>
          <w:rFonts w:ascii="宋体" w:hAnsi="宋体"/>
          <w:color w:val="auto"/>
          <w:spacing w:val="4"/>
          <w:kern w:val="0"/>
          <w:szCs w:val="21"/>
          <w:highlight w:val="none"/>
        </w:rPr>
        <w:t>评标办法前附表中的评审内容必须和</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须知前附表中未作要求的内容，不得列入评标办法前附表作为评定依据。</w:t>
      </w:r>
      <w:bookmarkEnd w:id="521"/>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24FD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5DBC7556">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14:paraId="79E31D49">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052" w:type="dxa"/>
            <w:gridSpan w:val="2"/>
            <w:noWrap w:val="0"/>
            <w:vAlign w:val="center"/>
          </w:tcPr>
          <w:p w14:paraId="008288C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AAE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3AF49B52">
            <w:pPr>
              <w:pStyle w:val="14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14:paraId="644FDB6E">
            <w:pPr>
              <w:pStyle w:val="14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052" w:type="dxa"/>
            <w:gridSpan w:val="2"/>
            <w:noWrap w:val="0"/>
            <w:vAlign w:val="center"/>
          </w:tcPr>
          <w:p w14:paraId="5A7C3D80">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中标候选人</w:t>
            </w:r>
            <w:r>
              <w:rPr>
                <w:rFonts w:hint="eastAsia" w:ascii="宋体" w:hAnsi="宋体"/>
                <w:color w:val="auto"/>
                <w:spacing w:val="4"/>
                <w:kern w:val="0"/>
                <w:szCs w:val="21"/>
                <w:highlight w:val="none"/>
              </w:rPr>
              <w:t>，或根据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w:t>
            </w:r>
            <w:r>
              <w:rPr>
                <w:rFonts w:hint="eastAsia" w:ascii="宋体" w:hAnsi="宋体"/>
                <w:color w:val="auto"/>
                <w:spacing w:val="4"/>
                <w:kern w:val="0"/>
                <w:szCs w:val="21"/>
                <w:highlight w:val="none"/>
                <w:lang w:eastAsia="zh-CN"/>
              </w:rPr>
              <w:t>中标人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spacing w:val="4"/>
                <w:kern w:val="0"/>
                <w:szCs w:val="21"/>
                <w:highlight w:val="none"/>
              </w:rPr>
              <w:t>相同的，</w:t>
            </w:r>
            <w:r>
              <w:rPr>
                <w:rFonts w:hint="eastAsia" w:ascii="宋体" w:hAnsi="宋体"/>
                <w:color w:val="auto"/>
                <w:spacing w:val="4"/>
                <w:kern w:val="0"/>
                <w:szCs w:val="21"/>
                <w:highlight w:val="none"/>
                <w:u w:val="single"/>
                <w:lang w:val="en-US" w:eastAsia="zh-CN"/>
              </w:rPr>
              <w:t>按照资格审查3个业绩供货量合计大小排序</w:t>
            </w:r>
            <w:r>
              <w:rPr>
                <w:rFonts w:hint="eastAsia" w:ascii="宋体" w:hAnsi="宋体"/>
                <w:color w:val="auto"/>
                <w:spacing w:val="4"/>
                <w:kern w:val="0"/>
                <w:szCs w:val="21"/>
                <w:highlight w:val="none"/>
                <w:lang w:val="en-US" w:eastAsia="zh-CN"/>
              </w:rPr>
              <w:t>，业绩供货量也相等的，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1AE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F047533">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14:paraId="312747F3">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052" w:type="dxa"/>
            <w:gridSpan w:val="2"/>
            <w:tcBorders>
              <w:left w:val="single" w:color="auto" w:sz="4" w:space="0"/>
            </w:tcBorders>
            <w:noWrap w:val="0"/>
            <w:vAlign w:val="center"/>
          </w:tcPr>
          <w:p w14:paraId="6F6F13D8">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highlight w:val="none"/>
              </w:rPr>
              <w:t>，按照报价由低到高的顺序排序。</w:t>
            </w:r>
          </w:p>
        </w:tc>
      </w:tr>
      <w:tr w14:paraId="5A49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90B5368">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noWrap w:val="0"/>
            <w:vAlign w:val="center"/>
          </w:tcPr>
          <w:p w14:paraId="7201421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052" w:type="dxa"/>
            <w:gridSpan w:val="2"/>
            <w:tcBorders>
              <w:left w:val="single" w:color="auto" w:sz="4" w:space="0"/>
            </w:tcBorders>
            <w:noWrap w:val="0"/>
            <w:vAlign w:val="center"/>
          </w:tcPr>
          <w:p w14:paraId="67019BBB">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中标候选人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中标候选人</w:t>
            </w:r>
            <w:r>
              <w:rPr>
                <w:rFonts w:hint="eastAsia" w:ascii="宋体" w:hAnsi="宋体"/>
                <w:color w:val="auto"/>
                <w:kern w:val="0"/>
                <w:highlight w:val="none"/>
              </w:rPr>
              <w:t>，依次类推。</w:t>
            </w:r>
          </w:p>
          <w:p w14:paraId="739BAF61">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w:t>
            </w:r>
            <w:r>
              <w:rPr>
                <w:rFonts w:hint="eastAsia" w:ascii="宋体" w:hAnsi="宋体"/>
                <w:color w:val="auto"/>
                <w:kern w:val="0"/>
                <w:highlight w:val="none"/>
                <w:lang w:eastAsia="zh-CN"/>
              </w:rPr>
              <w:t>否决投标</w:t>
            </w:r>
            <w:r>
              <w:rPr>
                <w:rFonts w:hint="eastAsia" w:ascii="宋体" w:hAnsi="宋体"/>
                <w:color w:val="auto"/>
                <w:kern w:val="0"/>
                <w:highlight w:val="none"/>
              </w:rPr>
              <w:t>处理。</w:t>
            </w:r>
          </w:p>
        </w:tc>
      </w:tr>
      <w:tr w14:paraId="6021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3833DC9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noWrap w:val="0"/>
            <w:vAlign w:val="center"/>
          </w:tcPr>
          <w:p w14:paraId="0A0E3F21">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noWrap w:val="0"/>
            <w:vAlign w:val="center"/>
          </w:tcPr>
          <w:p w14:paraId="25EC2ED5">
            <w:pPr>
              <w:autoSpaceDE w:val="0"/>
              <w:autoSpaceDN w:val="0"/>
              <w:adjustRightInd w:val="0"/>
              <w:snapToGrid w:val="0"/>
              <w:spacing w:line="400" w:lineRule="exact"/>
              <w:rPr>
                <w:rFonts w:ascii="宋体" w:hAnsi="宋体" w:cs="宋体"/>
                <w:b w:val="0"/>
                <w:bCs/>
                <w:color w:val="auto"/>
                <w:kern w:val="0"/>
                <w:highlight w:val="none"/>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p>
        </w:tc>
        <w:tc>
          <w:tcPr>
            <w:tcW w:w="3785" w:type="dxa"/>
            <w:tcBorders>
              <w:top w:val="single" w:color="auto" w:sz="4" w:space="0"/>
              <w:left w:val="single" w:color="auto" w:sz="4" w:space="0"/>
            </w:tcBorders>
            <w:noWrap w:val="0"/>
            <w:vAlign w:val="center"/>
          </w:tcPr>
          <w:p w14:paraId="2295C5F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7BA6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3D76AD3">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7D569047">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0837066B">
            <w:pPr>
              <w:snapToGrid w:val="0"/>
              <w:spacing w:line="400" w:lineRule="exact"/>
              <w:jc w:val="left"/>
              <w:rPr>
                <w:rFonts w:ascii="宋体" w:hAnsi="宋体" w:cs="宋体"/>
                <w:b w:val="0"/>
                <w:bCs/>
                <w:color w:val="auto"/>
                <w:kern w:val="0"/>
                <w:highlight w:val="none"/>
              </w:rPr>
            </w:pPr>
            <w:r>
              <w:rPr>
                <w:rFonts w:hint="eastAsia" w:ascii="宋体" w:hAnsi="宋体"/>
                <w:snapToGrid w:val="0"/>
                <w:color w:val="auto"/>
                <w:kern w:val="0"/>
                <w:szCs w:val="21"/>
                <w:highlight w:val="none"/>
                <w:lang w:val="en-US" w:eastAsia="zh-CN"/>
              </w:rPr>
              <w:t>保供</w:t>
            </w:r>
            <w:r>
              <w:rPr>
                <w:rFonts w:hint="eastAsia" w:ascii="宋体" w:hAnsi="宋体"/>
                <w:snapToGrid w:val="0"/>
                <w:color w:val="auto"/>
                <w:kern w:val="0"/>
                <w:szCs w:val="21"/>
                <w:highlight w:val="none"/>
              </w:rPr>
              <w:t>能力要求</w:t>
            </w:r>
          </w:p>
        </w:tc>
        <w:tc>
          <w:tcPr>
            <w:tcW w:w="3785" w:type="dxa"/>
            <w:tcBorders>
              <w:top w:val="single" w:color="auto" w:sz="4" w:space="0"/>
              <w:left w:val="single" w:color="auto" w:sz="4" w:space="0"/>
            </w:tcBorders>
            <w:noWrap w:val="0"/>
            <w:vAlign w:val="center"/>
          </w:tcPr>
          <w:p w14:paraId="2B091D2A">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olor w:val="auto"/>
                <w:kern w:val="0"/>
                <w:highlight w:val="none"/>
                <w:lang w:eastAsia="zh-CN"/>
              </w:rPr>
              <w:t>符合第二章“</w:t>
            </w:r>
            <w:r>
              <w:rPr>
                <w:rFonts w:hint="eastAsia" w:ascii="宋体" w:hAnsi="宋体"/>
                <w:color w:val="auto"/>
                <w:kern w:val="0"/>
                <w:highlight w:val="none"/>
                <w:lang w:val="en-US" w:eastAsia="zh-CN"/>
              </w:rPr>
              <w:t>投标人</w:t>
            </w:r>
            <w:r>
              <w:rPr>
                <w:rFonts w:hint="eastAsia" w:ascii="宋体" w:hAnsi="宋体"/>
                <w:color w:val="auto"/>
                <w:kern w:val="0"/>
                <w:highlight w:val="none"/>
                <w:lang w:eastAsia="zh-CN"/>
              </w:rPr>
              <w:t>须知”第1.4.1项规定。</w:t>
            </w:r>
          </w:p>
        </w:tc>
      </w:tr>
      <w:tr w14:paraId="0583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2512365C">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758F4A8A">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00381F25">
            <w:pPr>
              <w:snapToGrid w:val="0"/>
              <w:spacing w:line="400" w:lineRule="exact"/>
              <w:jc w:val="left"/>
              <w:rPr>
                <w:rFonts w:ascii="宋体" w:hAnsi="宋体" w:cs="宋体"/>
                <w:b w:val="0"/>
                <w:bCs/>
                <w:color w:val="auto"/>
                <w:kern w:val="0"/>
                <w:highlight w:val="none"/>
              </w:rPr>
            </w:pP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p>
        </w:tc>
        <w:tc>
          <w:tcPr>
            <w:tcW w:w="3785" w:type="dxa"/>
            <w:tcBorders>
              <w:top w:val="single" w:color="auto" w:sz="4" w:space="0"/>
              <w:left w:val="single" w:color="auto" w:sz="4" w:space="0"/>
            </w:tcBorders>
            <w:noWrap w:val="0"/>
            <w:vAlign w:val="center"/>
          </w:tcPr>
          <w:p w14:paraId="7740BFC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3EA1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86F8C9D">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3FA1A2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174000DB">
            <w:pPr>
              <w:snapToGrid w:val="0"/>
              <w:spacing w:line="400" w:lineRule="exact"/>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p>
        </w:tc>
        <w:tc>
          <w:tcPr>
            <w:tcW w:w="3785" w:type="dxa"/>
            <w:tcBorders>
              <w:top w:val="single" w:color="auto" w:sz="4" w:space="0"/>
              <w:left w:val="single" w:color="auto" w:sz="4" w:space="0"/>
            </w:tcBorders>
            <w:noWrap w:val="0"/>
            <w:vAlign w:val="center"/>
          </w:tcPr>
          <w:p w14:paraId="33798EA3">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5D92F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CBA2486">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6BE1744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6ABE54E0">
            <w:pPr>
              <w:snapToGrid w:val="0"/>
              <w:spacing w:line="400" w:lineRule="exact"/>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质量能力要求</w:t>
            </w:r>
          </w:p>
        </w:tc>
        <w:tc>
          <w:tcPr>
            <w:tcW w:w="3785" w:type="dxa"/>
            <w:tcBorders>
              <w:top w:val="single" w:color="auto" w:sz="4" w:space="0"/>
              <w:left w:val="single" w:color="auto" w:sz="4" w:space="0"/>
            </w:tcBorders>
            <w:noWrap w:val="0"/>
            <w:vAlign w:val="center"/>
          </w:tcPr>
          <w:p w14:paraId="03A0A5A7">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2830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C9218F6">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E704877">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51CCF7D9">
            <w:pPr>
              <w:snapToGrid w:val="0"/>
              <w:spacing w:after="78" w:afterLines="25"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日投标资格情况</w:t>
            </w:r>
          </w:p>
        </w:tc>
        <w:tc>
          <w:tcPr>
            <w:tcW w:w="3785" w:type="dxa"/>
            <w:tcBorders>
              <w:top w:val="single" w:color="auto" w:sz="4" w:space="0"/>
              <w:left w:val="single" w:color="auto" w:sz="4" w:space="0"/>
            </w:tcBorders>
            <w:noWrap w:val="0"/>
            <w:vAlign w:val="center"/>
          </w:tcPr>
          <w:p w14:paraId="0E6FE4B1">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3E0B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243" w:type="dxa"/>
            <w:vMerge w:val="continue"/>
            <w:tcBorders>
              <w:right w:val="single" w:color="auto" w:sz="4" w:space="0"/>
            </w:tcBorders>
            <w:noWrap w:val="0"/>
            <w:vAlign w:val="center"/>
          </w:tcPr>
          <w:p w14:paraId="63244209">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2E2B80C">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0EE1FEC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3785" w:type="dxa"/>
            <w:tcBorders>
              <w:top w:val="single" w:color="auto" w:sz="4" w:space="0"/>
              <w:left w:val="single" w:color="auto" w:sz="4" w:space="0"/>
            </w:tcBorders>
            <w:noWrap w:val="0"/>
            <w:vAlign w:val="center"/>
          </w:tcPr>
          <w:p w14:paraId="3309496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4230B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17743702">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14:paraId="012F5950">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noWrap w:val="0"/>
            <w:vAlign w:val="center"/>
          </w:tcPr>
          <w:p w14:paraId="4D52C629">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名称</w:t>
            </w:r>
          </w:p>
        </w:tc>
        <w:tc>
          <w:tcPr>
            <w:tcW w:w="3785" w:type="dxa"/>
            <w:tcBorders>
              <w:left w:val="single" w:color="auto" w:sz="4" w:space="0"/>
            </w:tcBorders>
            <w:noWrap w:val="0"/>
            <w:vAlign w:val="center"/>
          </w:tcPr>
          <w:p w14:paraId="499BFDC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14:paraId="4176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20C3E40">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14:paraId="47C41B3F">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55B930D7">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投标函</w:t>
            </w:r>
            <w:r>
              <w:rPr>
                <w:rFonts w:hint="eastAsia" w:ascii="宋体" w:hAnsi="宋体" w:cs="宋体"/>
                <w:color w:val="auto"/>
                <w:kern w:val="0"/>
                <w:highlight w:val="none"/>
              </w:rPr>
              <w:t>签字盖章</w:t>
            </w:r>
          </w:p>
        </w:tc>
        <w:tc>
          <w:tcPr>
            <w:tcW w:w="3785" w:type="dxa"/>
            <w:tcBorders>
              <w:left w:val="single" w:color="auto" w:sz="4" w:space="0"/>
            </w:tcBorders>
            <w:noWrap w:val="0"/>
            <w:vAlign w:val="center"/>
          </w:tcPr>
          <w:p w14:paraId="201F4B9B">
            <w:pPr>
              <w:snapToGrid w:val="0"/>
              <w:spacing w:line="400" w:lineRule="exact"/>
              <w:rPr>
                <w:rFonts w:hint="eastAsia" w:ascii="宋体" w:hAnsi="宋体" w:cs="宋体"/>
                <w:color w:val="auto"/>
                <w:kern w:val="0"/>
                <w:highlight w:val="none"/>
              </w:rPr>
            </w:pPr>
            <w:r>
              <w:rPr>
                <w:rFonts w:hint="eastAsia" w:ascii="宋体" w:hAnsi="宋体" w:cs="宋体"/>
                <w:color w:val="auto"/>
                <w:kern w:val="0"/>
                <w:highlight w:val="none"/>
              </w:rPr>
              <w:t>有法定代表人或其委托代理人签字（或盖章）、加盖单位公章。</w:t>
            </w:r>
          </w:p>
        </w:tc>
      </w:tr>
      <w:tr w14:paraId="30EE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72346E1">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51A43119">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53767B2F">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w:t>
            </w:r>
          </w:p>
        </w:tc>
        <w:tc>
          <w:tcPr>
            <w:tcW w:w="3785" w:type="dxa"/>
            <w:tcBorders>
              <w:left w:val="single" w:color="auto" w:sz="4" w:space="0"/>
            </w:tcBorders>
            <w:noWrap w:val="0"/>
            <w:vAlign w:val="center"/>
          </w:tcPr>
          <w:p w14:paraId="47FAB13E">
            <w:pPr>
              <w:snapToGrid w:val="0"/>
              <w:spacing w:line="400" w:lineRule="exact"/>
              <w:ind w:firstLine="380" w:firstLineChars="181"/>
              <w:rPr>
                <w:rFonts w:hint="eastAsia" w:ascii="宋体" w:hAnsi="宋体" w:cs="宋体"/>
                <w:color w:val="auto"/>
                <w:kern w:val="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格式”的要求。</w:t>
            </w:r>
          </w:p>
          <w:p w14:paraId="503A2164">
            <w:pPr>
              <w:snapToGrid w:val="0"/>
              <w:spacing w:line="400" w:lineRule="exact"/>
              <w:ind w:firstLine="380" w:firstLineChars="181"/>
              <w:rPr>
                <w:rFonts w:hint="eastAsia" w:ascii="宋体" w:hAnsi="宋体" w:cs="宋体"/>
                <w:color w:val="auto"/>
                <w:kern w:val="0"/>
                <w:highlight w:val="none"/>
              </w:rPr>
            </w:pPr>
          </w:p>
        </w:tc>
      </w:tr>
      <w:tr w14:paraId="7A02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033CCAC">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789B39DC">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7E70E4A">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3785" w:type="dxa"/>
            <w:tcBorders>
              <w:left w:val="single" w:color="auto" w:sz="4" w:space="0"/>
            </w:tcBorders>
            <w:noWrap w:val="0"/>
            <w:vAlign w:val="center"/>
          </w:tcPr>
          <w:p w14:paraId="7BA32B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0F6B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CC156F2">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45704AF">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6F1DE2A8">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的签署</w:t>
            </w:r>
          </w:p>
        </w:tc>
        <w:tc>
          <w:tcPr>
            <w:tcW w:w="3785" w:type="dxa"/>
            <w:tcBorders>
              <w:left w:val="single" w:color="auto" w:sz="4" w:space="0"/>
            </w:tcBorders>
            <w:noWrap w:val="0"/>
            <w:vAlign w:val="center"/>
          </w:tcPr>
          <w:p w14:paraId="267F0AD8">
            <w:pPr>
              <w:autoSpaceDE w:val="0"/>
              <w:autoSpaceDN w:val="0"/>
              <w:adjustRightInd w:val="0"/>
              <w:snapToGrid w:val="0"/>
              <w:spacing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上法定代表人或其委托代理人的签字（或盖章）齐全。</w:t>
            </w:r>
          </w:p>
        </w:tc>
      </w:tr>
      <w:tr w14:paraId="693D0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53BA394">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3A4E3E08">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206844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3785" w:type="dxa"/>
            <w:tcBorders>
              <w:left w:val="single" w:color="auto" w:sz="4" w:space="0"/>
            </w:tcBorders>
            <w:noWrap w:val="0"/>
            <w:vAlign w:val="center"/>
          </w:tcPr>
          <w:p w14:paraId="5E878EBB">
            <w:pPr>
              <w:snapToGrid w:val="0"/>
              <w:spacing w:after="78" w:afterLines="25"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法定代表人的委托代理人有法定代表人签署的授权委托书和养老保险。</w:t>
            </w:r>
          </w:p>
        </w:tc>
      </w:tr>
      <w:tr w14:paraId="6AE2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3F8DC1B8">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noWrap w:val="0"/>
            <w:vAlign w:val="center"/>
          </w:tcPr>
          <w:p w14:paraId="24E7D1C0">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noWrap w:val="0"/>
            <w:vAlign w:val="center"/>
          </w:tcPr>
          <w:p w14:paraId="652F67A0">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投标总报价</w:t>
            </w:r>
          </w:p>
        </w:tc>
        <w:tc>
          <w:tcPr>
            <w:tcW w:w="3785" w:type="dxa"/>
            <w:tcBorders>
              <w:left w:val="single" w:color="auto" w:sz="4" w:space="0"/>
            </w:tcBorders>
            <w:noWrap w:val="0"/>
            <w:vAlign w:val="center"/>
          </w:tcPr>
          <w:p w14:paraId="170886B5">
            <w:pPr>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及综合单价不得高于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最高限价及综合单价限价。</w:t>
            </w:r>
          </w:p>
          <w:p w14:paraId="5DE0B2CB">
            <w:pPr>
              <w:spacing w:line="400" w:lineRule="exact"/>
              <w:ind w:firstLine="420" w:firstLineChars="200"/>
              <w:jc w:val="left"/>
              <w:rPr>
                <w:rFonts w:hint="eastAsia" w:ascii="宋体" w:hAnsi="宋体" w:cs="宋体"/>
                <w:color w:val="auto"/>
                <w:kern w:val="0"/>
                <w:highlight w:val="none"/>
              </w:rPr>
            </w:pPr>
            <w:r>
              <w:rPr>
                <w:rFonts w:hint="eastAsia" w:ascii="宋体" w:hAnsi="宋体" w:cs="宋体"/>
                <w:color w:val="auto"/>
                <w:szCs w:val="21"/>
                <w:highlight w:val="none"/>
              </w:rPr>
              <w:t>2.</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低于最高限价85%的，</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应在编制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时，在</w:t>
            </w:r>
            <w:r>
              <w:rPr>
                <w:rFonts w:hint="eastAsia" w:ascii="宋体" w:hAnsi="宋体"/>
                <w:color w:val="auto"/>
                <w:spacing w:val="4"/>
                <w:kern w:val="0"/>
                <w:szCs w:val="21"/>
                <w:highlight w:val="none"/>
                <w:lang w:val="en-US" w:eastAsia="zh-CN"/>
              </w:rPr>
              <w:t>投标函部分</w:t>
            </w:r>
            <w:r>
              <w:rPr>
                <w:rFonts w:hint="eastAsia" w:ascii="宋体" w:hAnsi="宋体" w:cs="宋体"/>
                <w:color w:val="auto"/>
                <w:szCs w:val="21"/>
                <w:highlight w:val="none"/>
              </w:rPr>
              <w:t>中递交低价风险担保缴纳承诺书。</w:t>
            </w:r>
          </w:p>
        </w:tc>
      </w:tr>
      <w:tr w14:paraId="7DC50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423A217">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603E639">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1F7FF602">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投标内容</w:t>
            </w:r>
          </w:p>
        </w:tc>
        <w:tc>
          <w:tcPr>
            <w:tcW w:w="3785" w:type="dxa"/>
            <w:tcBorders>
              <w:left w:val="single" w:color="auto" w:sz="4" w:space="0"/>
            </w:tcBorders>
            <w:noWrap w:val="0"/>
            <w:vAlign w:val="center"/>
          </w:tcPr>
          <w:p w14:paraId="1F3609C5">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须知”第1.3.1项规定</w:t>
            </w:r>
          </w:p>
        </w:tc>
      </w:tr>
      <w:tr w14:paraId="66CA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1F69A6B">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558EC637">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304AA45">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服务期限</w:t>
            </w:r>
          </w:p>
        </w:tc>
        <w:tc>
          <w:tcPr>
            <w:tcW w:w="3785" w:type="dxa"/>
            <w:tcBorders>
              <w:left w:val="single" w:color="auto" w:sz="4" w:space="0"/>
            </w:tcBorders>
            <w:noWrap w:val="0"/>
            <w:vAlign w:val="center"/>
          </w:tcPr>
          <w:p w14:paraId="05C8CDCA">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须知”第1.3.2项规定</w:t>
            </w:r>
          </w:p>
        </w:tc>
      </w:tr>
      <w:tr w14:paraId="4413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E8431C5">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78035450">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57E4B617">
            <w:pPr>
              <w:snapToGrid w:val="0"/>
              <w:spacing w:line="400" w:lineRule="exact"/>
              <w:jc w:val="left"/>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质量</w:t>
            </w:r>
            <w:r>
              <w:rPr>
                <w:rFonts w:hint="eastAsia" w:ascii="宋体" w:hAnsi="宋体" w:cs="宋体"/>
                <w:color w:val="auto"/>
                <w:kern w:val="0"/>
                <w:highlight w:val="none"/>
                <w:lang w:val="en-US" w:eastAsia="zh-CN"/>
              </w:rPr>
              <w:t>要求</w:t>
            </w:r>
          </w:p>
        </w:tc>
        <w:tc>
          <w:tcPr>
            <w:tcW w:w="3785" w:type="dxa"/>
            <w:tcBorders>
              <w:left w:val="single" w:color="auto" w:sz="4" w:space="0"/>
            </w:tcBorders>
            <w:noWrap w:val="0"/>
            <w:vAlign w:val="center"/>
          </w:tcPr>
          <w:p w14:paraId="78D5FD4C">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须知”第1.3.3项规定</w:t>
            </w:r>
          </w:p>
        </w:tc>
      </w:tr>
      <w:tr w14:paraId="367E2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D1E08AB">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41C98DE">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9B37450">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投标有效期</w:t>
            </w:r>
          </w:p>
        </w:tc>
        <w:tc>
          <w:tcPr>
            <w:tcW w:w="3785" w:type="dxa"/>
            <w:tcBorders>
              <w:left w:val="single" w:color="auto" w:sz="4" w:space="0"/>
            </w:tcBorders>
            <w:noWrap w:val="0"/>
            <w:vAlign w:val="center"/>
          </w:tcPr>
          <w:p w14:paraId="7E8B5D3E">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须知”第3.3.1项规定</w:t>
            </w:r>
          </w:p>
        </w:tc>
      </w:tr>
      <w:tr w14:paraId="63746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9FF80A7">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286FBCCA">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811AA99">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投标保证金</w:t>
            </w:r>
          </w:p>
        </w:tc>
        <w:tc>
          <w:tcPr>
            <w:tcW w:w="3785" w:type="dxa"/>
            <w:tcBorders>
              <w:left w:val="single" w:color="auto" w:sz="4" w:space="0"/>
            </w:tcBorders>
            <w:noWrap w:val="0"/>
            <w:vAlign w:val="center"/>
          </w:tcPr>
          <w:p w14:paraId="6D7D4AE6">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须知前附表”第3.4款规定。</w:t>
            </w:r>
          </w:p>
        </w:tc>
      </w:tr>
      <w:tr w14:paraId="4D537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CBA1931">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A175E4B">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5E1C7F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3785" w:type="dxa"/>
            <w:tcBorders>
              <w:left w:val="single" w:color="auto" w:sz="4" w:space="0"/>
            </w:tcBorders>
            <w:noWrap w:val="0"/>
            <w:vAlign w:val="center"/>
          </w:tcPr>
          <w:p w14:paraId="0528C309">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w:t>
            </w:r>
          </w:p>
        </w:tc>
      </w:tr>
      <w:tr w14:paraId="578E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8004ED0">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77D83B55">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C21517F">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投标报价</w:t>
            </w:r>
            <w:r>
              <w:rPr>
                <w:rFonts w:hint="eastAsia" w:ascii="宋体" w:hAnsi="宋体" w:cs="宋体"/>
                <w:color w:val="auto"/>
                <w:kern w:val="0"/>
                <w:highlight w:val="none"/>
              </w:rPr>
              <w:t>算术错误修正</w:t>
            </w:r>
          </w:p>
        </w:tc>
        <w:tc>
          <w:tcPr>
            <w:tcW w:w="3785" w:type="dxa"/>
            <w:tcBorders>
              <w:left w:val="single" w:color="auto" w:sz="4" w:space="0"/>
            </w:tcBorders>
            <w:noWrap w:val="0"/>
            <w:vAlign w:val="center"/>
          </w:tcPr>
          <w:p w14:paraId="7196DFB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符合第三章3.评标程序第3.1项规定。</w:t>
            </w:r>
          </w:p>
        </w:tc>
      </w:tr>
      <w:tr w14:paraId="5D77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5D3F2014">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noWrap w:val="0"/>
            <w:vAlign w:val="center"/>
          </w:tcPr>
          <w:p w14:paraId="0AB3F746">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23091C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3785" w:type="dxa"/>
            <w:tcBorders>
              <w:left w:val="single" w:color="auto" w:sz="4" w:space="0"/>
            </w:tcBorders>
            <w:noWrap w:val="0"/>
            <w:vAlign w:val="center"/>
          </w:tcPr>
          <w:p w14:paraId="4831F534">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项规定。</w:t>
            </w:r>
          </w:p>
          <w:p w14:paraId="2BAAB02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不得有涉嫌串通投标、弄虚作假等其他违反招投标相关法律、法规行为。</w:t>
            </w:r>
          </w:p>
        </w:tc>
      </w:tr>
      <w:tr w14:paraId="4B5C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010EE84">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14:paraId="7D03FDF1">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052" w:type="dxa"/>
            <w:gridSpan w:val="2"/>
            <w:tcBorders>
              <w:left w:val="single" w:color="auto" w:sz="4" w:space="0"/>
            </w:tcBorders>
            <w:noWrap w:val="0"/>
            <w:vAlign w:val="center"/>
          </w:tcPr>
          <w:p w14:paraId="5188B453">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，按照报价由低到高的顺序排序</w:t>
            </w:r>
          </w:p>
          <w:p w14:paraId="2BB3EF4E">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2.取报价排序前</w:t>
            </w:r>
            <w:r>
              <w:rPr>
                <w:rFonts w:hint="eastAsia" w:ascii="宋体" w:hAnsi="宋体"/>
                <w:color w:val="auto"/>
                <w:kern w:val="0"/>
                <w:szCs w:val="21"/>
                <w:highlight w:val="none"/>
                <w:lang w:eastAsia="zh-CN"/>
              </w:rPr>
              <w:sym w:font="Wingdings 2" w:char="0052"/>
            </w:r>
            <w:r>
              <w:rPr>
                <w:rFonts w:hint="eastAsia" w:ascii="宋体" w:hAnsi="宋体"/>
                <w:color w:val="auto"/>
                <w:kern w:val="0"/>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szCs w:val="21"/>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，依次类推。</w:t>
            </w:r>
          </w:p>
          <w:p w14:paraId="694B454C">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中标候选人</w:t>
            </w:r>
            <w:r>
              <w:rPr>
                <w:rFonts w:hint="eastAsia" w:ascii="宋体" w:hAnsi="宋体"/>
                <w:color w:val="auto"/>
                <w:kern w:val="0"/>
                <w:szCs w:val="21"/>
                <w:highlight w:val="none"/>
              </w:rPr>
              <w:t>，则评标委员会对剩余</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，或者评审完所有</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w:t>
            </w:r>
          </w:p>
          <w:p w14:paraId="5D80B7C8">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w:t>
            </w:r>
            <w:r>
              <w:rPr>
                <w:rFonts w:hint="eastAsia" w:ascii="宋体" w:hAnsi="宋体"/>
                <w:color w:val="auto"/>
                <w:kern w:val="0"/>
                <w:szCs w:val="21"/>
                <w:highlight w:val="none"/>
                <w:lang w:eastAsia="zh-CN"/>
              </w:rPr>
              <w:t>否决投标</w:t>
            </w:r>
            <w:r>
              <w:rPr>
                <w:rFonts w:hint="eastAsia" w:ascii="宋体" w:hAnsi="宋体"/>
                <w:color w:val="auto"/>
                <w:kern w:val="0"/>
                <w:szCs w:val="21"/>
                <w:highlight w:val="none"/>
              </w:rPr>
              <w:t>处理，导致有效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不足三个的，评标委员会应当否决</w:t>
            </w:r>
            <w:r>
              <w:rPr>
                <w:rFonts w:hint="eastAsia" w:ascii="宋体" w:hAnsi="宋体"/>
                <w:color w:val="auto"/>
                <w:kern w:val="0"/>
                <w:szCs w:val="21"/>
                <w:highlight w:val="none"/>
                <w:lang w:eastAsia="zh-CN"/>
              </w:rPr>
              <w:t>所有投标</w:t>
            </w:r>
            <w:r>
              <w:rPr>
                <w:rFonts w:hint="eastAsia" w:ascii="宋体" w:hAnsi="宋体"/>
                <w:color w:val="auto"/>
                <w:kern w:val="0"/>
                <w:szCs w:val="21"/>
                <w:highlight w:val="none"/>
              </w:rPr>
              <w:t>。但是有效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8EFD394">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kern w:val="0"/>
                <w:szCs w:val="21"/>
                <w:highlight w:val="none"/>
              </w:rPr>
              <w:t>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rPr>
              <w:t>原则排序。</w:t>
            </w:r>
          </w:p>
        </w:tc>
      </w:tr>
      <w:tr w14:paraId="28E0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0C1BD1E7">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14:paraId="33BC4869">
            <w:pPr>
              <w:spacing w:line="400" w:lineRule="exact"/>
              <w:jc w:val="center"/>
              <w:rPr>
                <w:rFonts w:ascii="宋体" w:hAnsi="宋体"/>
                <w:color w:val="auto"/>
                <w:highlight w:val="none"/>
              </w:rPr>
            </w:pPr>
            <w:r>
              <w:rPr>
                <w:rFonts w:ascii="宋体" w:hAnsi="宋体"/>
                <w:color w:val="auto"/>
                <w:highlight w:val="none"/>
              </w:rPr>
              <w:t>评标结果</w:t>
            </w:r>
          </w:p>
        </w:tc>
        <w:tc>
          <w:tcPr>
            <w:tcW w:w="6052" w:type="dxa"/>
            <w:gridSpan w:val="2"/>
            <w:tcBorders>
              <w:left w:val="single" w:color="auto" w:sz="4" w:space="0"/>
            </w:tcBorders>
            <w:noWrap w:val="0"/>
            <w:vAlign w:val="center"/>
          </w:tcPr>
          <w:p w14:paraId="4ED60217">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中标人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中标候选人</w:t>
            </w:r>
            <w:r>
              <w:rPr>
                <w:rFonts w:ascii="宋体" w:hAnsi="宋体"/>
                <w:color w:val="auto"/>
                <w:kern w:val="0"/>
                <w:szCs w:val="21"/>
                <w:highlight w:val="none"/>
              </w:rPr>
              <w:t>。</w:t>
            </w:r>
          </w:p>
          <w:p w14:paraId="45BF507F">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05668C3">
      <w:pPr>
        <w:pStyle w:val="3"/>
        <w:spacing w:before="0" w:after="0" w:line="360" w:lineRule="auto"/>
        <w:outlineLvl w:val="9"/>
        <w:rPr>
          <w:rFonts w:ascii="宋体" w:hAnsi="宋体" w:cs="宋体"/>
          <w:color w:val="auto"/>
          <w:szCs w:val="21"/>
          <w:highlight w:val="none"/>
        </w:rPr>
      </w:pPr>
      <w:r>
        <w:rPr>
          <w:rFonts w:ascii="宋体" w:hAnsi="宋体"/>
          <w:bCs w:val="0"/>
          <w:snapToGrid w:val="0"/>
          <w:color w:val="auto"/>
          <w:highlight w:val="none"/>
        </w:rPr>
        <w:br w:type="page"/>
      </w:r>
    </w:p>
    <w:p w14:paraId="3962EDBD">
      <w:pPr>
        <w:pStyle w:val="3"/>
        <w:spacing w:before="0" w:after="0" w:line="360" w:lineRule="auto"/>
        <w:rPr>
          <w:rFonts w:ascii="宋体" w:hAnsi="宋体"/>
          <w:bCs w:val="0"/>
          <w:snapToGrid w:val="0"/>
          <w:color w:val="auto"/>
          <w:highlight w:val="none"/>
        </w:rPr>
      </w:pPr>
      <w:bookmarkStart w:id="522" w:name="_Toc9223"/>
      <w:bookmarkStart w:id="523" w:name="_Toc27983289"/>
      <w:bookmarkStart w:id="524" w:name="_Toc30775"/>
      <w:r>
        <w:rPr>
          <w:rFonts w:ascii="宋体" w:hAnsi="宋体"/>
          <w:b w:val="0"/>
          <w:snapToGrid w:val="0"/>
          <w:color w:val="auto"/>
          <w:highlight w:val="none"/>
        </w:rPr>
        <w:t>1.  评标方法</w:t>
      </w:r>
      <w:bookmarkEnd w:id="522"/>
      <w:bookmarkEnd w:id="523"/>
      <w:bookmarkEnd w:id="524"/>
    </w:p>
    <w:p w14:paraId="47C7F4BF">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highlight w:val="none"/>
        </w:rPr>
        <w:t>中按报价由低到高推荐</w:t>
      </w:r>
      <w:r>
        <w:rPr>
          <w:rFonts w:hint="eastAsia" w:ascii="宋体" w:hAnsi="宋体"/>
          <w:color w:val="auto"/>
          <w:highlight w:val="none"/>
          <w:lang w:eastAsia="zh-CN"/>
        </w:rPr>
        <w:t>中标候选人</w:t>
      </w:r>
      <w:r>
        <w:rPr>
          <w:rFonts w:hint="eastAsia" w:ascii="宋体" w:hAnsi="宋体"/>
          <w:color w:val="auto"/>
          <w:highlight w:val="none"/>
        </w:rPr>
        <w:t>，或根据</w:t>
      </w:r>
      <w:r>
        <w:rPr>
          <w:rFonts w:hint="eastAsia" w:ascii="宋体" w:hAnsi="宋体"/>
          <w:color w:val="auto"/>
          <w:highlight w:val="none"/>
          <w:lang w:eastAsia="zh-CN"/>
        </w:rPr>
        <w:t>比选人</w:t>
      </w:r>
      <w:r>
        <w:rPr>
          <w:rFonts w:hint="eastAsia" w:ascii="宋体" w:hAnsi="宋体"/>
          <w:color w:val="auto"/>
          <w:highlight w:val="none"/>
        </w:rPr>
        <w:t>授权直接确定</w:t>
      </w:r>
      <w:r>
        <w:rPr>
          <w:rFonts w:hint="eastAsia" w:ascii="宋体" w:hAnsi="宋体"/>
          <w:color w:val="auto"/>
          <w:highlight w:val="none"/>
          <w:lang w:eastAsia="zh-CN"/>
        </w:rPr>
        <w:t>中标人</w:t>
      </w:r>
      <w:r>
        <w:rPr>
          <w:rFonts w:hint="eastAsia" w:ascii="宋体" w:hAnsi="宋体"/>
          <w:color w:val="auto"/>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highlight w:val="none"/>
        </w:rPr>
        <w:t>相同的，以评标办法前附表约定的原则确定排序。</w:t>
      </w:r>
    </w:p>
    <w:p w14:paraId="2FED06BF">
      <w:pPr>
        <w:pStyle w:val="3"/>
        <w:spacing w:before="0" w:after="0" w:line="360" w:lineRule="auto"/>
        <w:rPr>
          <w:rFonts w:ascii="宋体" w:hAnsi="宋体"/>
          <w:b w:val="0"/>
          <w:snapToGrid w:val="0"/>
          <w:color w:val="auto"/>
          <w:highlight w:val="none"/>
        </w:rPr>
      </w:pPr>
      <w:bookmarkStart w:id="525" w:name="_Toc31441"/>
      <w:bookmarkStart w:id="526" w:name="_Toc27983290"/>
      <w:bookmarkStart w:id="527" w:name="_Toc13704"/>
      <w:r>
        <w:rPr>
          <w:rFonts w:ascii="宋体" w:hAnsi="宋体"/>
          <w:b w:val="0"/>
          <w:snapToGrid w:val="0"/>
          <w:color w:val="auto"/>
          <w:highlight w:val="none"/>
        </w:rPr>
        <w:t>2.  评审标准</w:t>
      </w:r>
      <w:bookmarkEnd w:id="525"/>
      <w:bookmarkEnd w:id="526"/>
      <w:bookmarkEnd w:id="527"/>
    </w:p>
    <w:p w14:paraId="232A28F0">
      <w:pPr>
        <w:pStyle w:val="4"/>
        <w:spacing w:before="0" w:after="0" w:line="360" w:lineRule="auto"/>
        <w:rPr>
          <w:rFonts w:ascii="宋体" w:hAnsi="宋体" w:cs="宋体"/>
          <w:color w:val="auto"/>
          <w:sz w:val="21"/>
          <w:szCs w:val="21"/>
          <w:highlight w:val="none"/>
        </w:rPr>
      </w:pPr>
      <w:bookmarkStart w:id="528" w:name="_Toc17188"/>
      <w:bookmarkStart w:id="529" w:name="_Toc27983291"/>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28"/>
      <w:bookmarkEnd w:id="529"/>
    </w:p>
    <w:p w14:paraId="072CC22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69342ACC">
      <w:pPr>
        <w:pStyle w:val="4"/>
        <w:spacing w:before="0" w:after="0" w:line="360" w:lineRule="auto"/>
        <w:rPr>
          <w:rFonts w:ascii="宋体" w:hAnsi="宋体" w:cs="宋体"/>
          <w:color w:val="auto"/>
          <w:sz w:val="21"/>
          <w:szCs w:val="21"/>
          <w:highlight w:val="none"/>
        </w:rPr>
      </w:pPr>
      <w:bookmarkStart w:id="530" w:name="_Toc18763"/>
      <w:bookmarkStart w:id="531" w:name="_Toc27983292"/>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30"/>
      <w:bookmarkEnd w:id="531"/>
    </w:p>
    <w:p w14:paraId="7AC272E1">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取报价排序前</w:t>
      </w:r>
      <w:r>
        <w:rPr>
          <w:rFonts w:hint="eastAsia" w:ascii="宋体" w:hAnsi="宋体" w:cs="宋体"/>
          <w:color w:val="auto"/>
          <w:szCs w:val="21"/>
          <w:highlight w:val="none"/>
          <w:lang w:eastAsia="zh-CN"/>
        </w:rPr>
        <w:t>☑</w:t>
      </w:r>
      <w:r>
        <w:rPr>
          <w:rFonts w:hint="eastAsia" w:ascii="宋体" w:hAnsi="宋体" w:cs="宋体"/>
          <w:color w:val="auto"/>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w:t>
      </w:r>
    </w:p>
    <w:p w14:paraId="5FEA5289">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23C52C1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F5C73A2">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7A516E0F">
      <w:pPr>
        <w:pStyle w:val="3"/>
        <w:spacing w:before="0" w:after="0" w:line="360" w:lineRule="auto"/>
        <w:rPr>
          <w:rFonts w:ascii="宋体" w:hAnsi="宋体"/>
          <w:b w:val="0"/>
          <w:snapToGrid w:val="0"/>
          <w:color w:val="auto"/>
          <w:highlight w:val="none"/>
        </w:rPr>
      </w:pPr>
      <w:bookmarkStart w:id="532" w:name="_Toc27983293"/>
      <w:bookmarkStart w:id="533" w:name="_Toc2529"/>
      <w:bookmarkStart w:id="534" w:name="_Toc17371"/>
      <w:r>
        <w:rPr>
          <w:rFonts w:ascii="宋体" w:hAnsi="宋体"/>
          <w:b w:val="0"/>
          <w:snapToGrid w:val="0"/>
          <w:color w:val="auto"/>
          <w:highlight w:val="none"/>
        </w:rPr>
        <w:t>3.  评标程序</w:t>
      </w:r>
      <w:bookmarkEnd w:id="532"/>
      <w:bookmarkEnd w:id="533"/>
      <w:bookmarkEnd w:id="534"/>
    </w:p>
    <w:p w14:paraId="13D37775">
      <w:pPr>
        <w:pStyle w:val="4"/>
        <w:spacing w:before="0" w:after="0" w:line="360" w:lineRule="auto"/>
        <w:rPr>
          <w:rFonts w:ascii="宋体" w:hAnsi="宋体" w:cs="宋体"/>
          <w:color w:val="auto"/>
          <w:sz w:val="21"/>
          <w:szCs w:val="21"/>
          <w:highlight w:val="none"/>
        </w:rPr>
      </w:pPr>
      <w:bookmarkStart w:id="535" w:name="_Toc15789"/>
      <w:bookmarkStart w:id="536" w:name="_Toc27983294"/>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35"/>
      <w:bookmarkEnd w:id="536"/>
    </w:p>
    <w:p w14:paraId="67E68C79">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的投标文件，按照报价由低到高的顺序排序。</w:t>
      </w:r>
    </w:p>
    <w:p w14:paraId="014544D5">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当投标报价有算术错误时，评标委员会按以下原则对</w:t>
      </w:r>
      <w:r>
        <w:rPr>
          <w:rFonts w:hint="eastAsia" w:ascii="宋体" w:hAnsi="宋体"/>
          <w:color w:val="auto"/>
          <w:spacing w:val="4"/>
          <w:kern w:val="0"/>
          <w:szCs w:val="21"/>
          <w:highlight w:val="none"/>
          <w:lang w:val="en-US" w:eastAsia="zh-CN"/>
        </w:rPr>
        <w:t>投标报价</w:t>
      </w:r>
      <w:r>
        <w:rPr>
          <w:rFonts w:hint="eastAsia" w:ascii="宋体" w:hAnsi="宋体" w:cs="宋体"/>
          <w:color w:val="auto"/>
          <w:szCs w:val="21"/>
          <w:highlight w:val="none"/>
        </w:rPr>
        <w:t>进行修正，修正的价格经</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书面确认后具有约束力，修正原则如下：</w:t>
      </w:r>
    </w:p>
    <w:p w14:paraId="3B470AD5">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中的大写金额与小写金额不一致的，以大写金额为准；</w:t>
      </w:r>
    </w:p>
    <w:p w14:paraId="335997D4">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②总价金额与依据单价计算出的结果不一致的，以单价金额为准修正总价（但单价金额小数点有明显错误的除外）；单价金额小数点有明显错误的，以总价为准，对单价予以修正；</w:t>
      </w:r>
    </w:p>
    <w:p w14:paraId="56402BA1">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规定的其他关于修正的要求。</w:t>
      </w:r>
    </w:p>
    <w:p w14:paraId="6189D95C">
      <w:pPr>
        <w:pStyle w:val="4"/>
        <w:spacing w:before="0" w:after="0" w:line="360" w:lineRule="auto"/>
        <w:rPr>
          <w:rFonts w:ascii="宋体" w:hAnsi="宋体" w:cs="宋体"/>
          <w:color w:val="auto"/>
          <w:sz w:val="21"/>
          <w:szCs w:val="21"/>
          <w:highlight w:val="none"/>
        </w:rPr>
      </w:pPr>
      <w:bookmarkStart w:id="537" w:name="_Toc13714"/>
      <w:bookmarkStart w:id="538" w:name="_Toc27983295"/>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37"/>
      <w:bookmarkEnd w:id="538"/>
    </w:p>
    <w:p w14:paraId="33A23B8C">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进行符合性审查。符合性审查顺序：资格评审、形式评审、响应性评审。</w:t>
      </w:r>
    </w:p>
    <w:p w14:paraId="10E56349">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w:t>
      </w:r>
      <w:r>
        <w:rPr>
          <w:rFonts w:hint="eastAsia" w:ascii="宋体" w:hAnsi="宋体" w:cs="宋体"/>
          <w:color w:val="auto"/>
          <w:szCs w:val="21"/>
          <w:highlight w:val="none"/>
          <w:lang w:eastAsia="zh-CN"/>
        </w:rPr>
        <w:t>否决投标</w:t>
      </w:r>
      <w:r>
        <w:rPr>
          <w:rFonts w:hint="eastAsia" w:ascii="宋体" w:hAnsi="宋体" w:cs="宋体"/>
          <w:color w:val="auto"/>
          <w:szCs w:val="21"/>
          <w:highlight w:val="none"/>
        </w:rPr>
        <w:t>处理。</w:t>
      </w:r>
    </w:p>
    <w:p w14:paraId="6AEC8F0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将被否决：</w:t>
      </w:r>
    </w:p>
    <w:p w14:paraId="140EE2F3">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须知”第1.4.</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75606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）串通投标或弄虚作假或有其他违法行为的</w:t>
      </w:r>
      <w:r>
        <w:rPr>
          <w:rFonts w:hint="eastAsia" w:ascii="宋体" w:hAnsi="宋体" w:cs="宋体"/>
          <w:color w:val="auto"/>
          <w:szCs w:val="21"/>
          <w:highlight w:val="none"/>
        </w:rPr>
        <w:t>。</w:t>
      </w:r>
    </w:p>
    <w:p w14:paraId="1EF95BFC">
      <w:pPr>
        <w:pStyle w:val="4"/>
        <w:spacing w:before="0" w:after="0" w:line="360" w:lineRule="auto"/>
        <w:rPr>
          <w:rFonts w:ascii="宋体" w:hAnsi="宋体" w:cs="宋体"/>
          <w:color w:val="auto"/>
          <w:sz w:val="21"/>
          <w:szCs w:val="21"/>
          <w:highlight w:val="none"/>
        </w:rPr>
      </w:pPr>
      <w:bookmarkStart w:id="539" w:name="_Toc30770"/>
      <w:bookmarkStart w:id="540" w:name="_Toc2798329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的澄清和补正</w:t>
      </w:r>
      <w:bookmarkEnd w:id="539"/>
      <w:bookmarkEnd w:id="540"/>
    </w:p>
    <w:p w14:paraId="748B3DD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对所提交</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主动提出的澄清、说明或补正。</w:t>
      </w:r>
    </w:p>
    <w:p w14:paraId="47674C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的书面澄清、说明和补正属于投标文件的组成部分。</w:t>
      </w:r>
    </w:p>
    <w:p w14:paraId="58EE58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提交的澄清、说明或补正有疑问的，可以要求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进一步澄清、说明或补正，直至满足评标委员会的要求。</w:t>
      </w:r>
    </w:p>
    <w:p w14:paraId="2D6CF60E">
      <w:pPr>
        <w:pStyle w:val="4"/>
        <w:spacing w:before="0" w:after="0" w:line="360" w:lineRule="auto"/>
        <w:rPr>
          <w:rFonts w:ascii="宋体" w:hAnsi="宋体" w:cs="宋体"/>
          <w:color w:val="auto"/>
          <w:sz w:val="21"/>
          <w:szCs w:val="21"/>
          <w:highlight w:val="none"/>
        </w:rPr>
      </w:pPr>
      <w:bookmarkStart w:id="541" w:name="_Toc479262406"/>
      <w:bookmarkStart w:id="542" w:name="_Toc17623"/>
      <w:bookmarkStart w:id="543" w:name="_Toc27983297"/>
      <w:bookmarkStart w:id="544"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41"/>
      <w:bookmarkEnd w:id="542"/>
      <w:bookmarkEnd w:id="543"/>
      <w:bookmarkEnd w:id="544"/>
    </w:p>
    <w:p w14:paraId="6501F138">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外，评标委员会按经评审的最低投标价法推荐</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w:t>
      </w:r>
    </w:p>
    <w:p w14:paraId="33AC4ECE">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名单。</w:t>
      </w:r>
    </w:p>
    <w:p w14:paraId="549F9959">
      <w:pPr>
        <w:spacing w:before="0" w:after="0" w:line="240" w:lineRule="auto"/>
        <w:jc w:val="left"/>
        <w:outlineLvl w:val="9"/>
        <w:rPr>
          <w:rFonts w:ascii="宋体" w:hAnsi="宋体"/>
          <w:b/>
          <w:bCs/>
          <w:color w:val="auto"/>
          <w:kern w:val="28"/>
          <w:sz w:val="28"/>
          <w:szCs w:val="28"/>
          <w:highlight w:val="none"/>
        </w:rPr>
      </w:pPr>
      <w:r>
        <w:rPr>
          <w:rFonts w:hint="eastAsia" w:ascii="宋体"/>
          <w:color w:val="auto"/>
          <w:kern w:val="0"/>
          <w:highlight w:val="none"/>
        </w:rPr>
        <w:br w:type="page"/>
      </w:r>
      <w:r>
        <w:rPr>
          <w:rFonts w:hint="eastAsia" w:ascii="宋体"/>
          <w:color w:val="auto"/>
          <w:kern w:val="0"/>
          <w:highlight w:val="none"/>
          <w:lang w:val="en-US" w:eastAsia="zh-CN"/>
        </w:rPr>
        <w:t xml:space="preserve">                               </w:t>
      </w:r>
      <w:r>
        <w:rPr>
          <w:rFonts w:hint="eastAsia" w:ascii="宋体" w:hAnsi="宋体"/>
          <w:b/>
          <w:bCs/>
          <w:color w:val="auto"/>
          <w:kern w:val="28"/>
          <w:sz w:val="28"/>
          <w:szCs w:val="28"/>
          <w:highlight w:val="none"/>
        </w:rPr>
        <w:t>否决投标情况一览表</w:t>
      </w:r>
    </w:p>
    <w:p w14:paraId="08068C91">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w:t>
      </w:r>
      <w:r>
        <w:rPr>
          <w:rFonts w:hint="eastAsia" w:ascii="宋体" w:hAnsi="宋体"/>
          <w:bCs/>
          <w:color w:val="auto"/>
          <w:kern w:val="28"/>
          <w:sz w:val="24"/>
          <w:szCs w:val="32"/>
          <w:highlight w:val="none"/>
          <w:lang w:eastAsia="zh-CN"/>
        </w:rPr>
        <w:t>比选</w:t>
      </w:r>
      <w:r>
        <w:rPr>
          <w:rFonts w:hint="eastAsia" w:ascii="宋体" w:hAnsi="宋体"/>
          <w:bCs/>
          <w:color w:val="auto"/>
          <w:kern w:val="28"/>
          <w:sz w:val="24"/>
          <w:szCs w:val="32"/>
          <w:highlight w:val="none"/>
        </w:rPr>
        <w:t>将所有资格审查标准以及评标标准（或方法）等在此集中，未集中的其他内容均不得作为评标依据或</w:t>
      </w:r>
      <w:r>
        <w:rPr>
          <w:rFonts w:ascii="宋体" w:hAnsi="宋体"/>
          <w:bCs/>
          <w:color w:val="auto"/>
          <w:kern w:val="28"/>
          <w:sz w:val="24"/>
          <w:szCs w:val="32"/>
          <w:highlight w:val="none"/>
        </w:rPr>
        <w:t>否决投标依据</w:t>
      </w:r>
      <w:r>
        <w:rPr>
          <w:rFonts w:hint="eastAsia" w:ascii="宋体" w:hAnsi="宋体"/>
          <w:bCs/>
          <w:color w:val="auto"/>
          <w:kern w:val="28"/>
          <w:sz w:val="24"/>
          <w:szCs w:val="32"/>
          <w:highlight w:val="none"/>
        </w:rPr>
        <w:t>。</w:t>
      </w:r>
    </w:p>
    <w:tbl>
      <w:tblPr>
        <w:tblStyle w:val="50"/>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2164"/>
        <w:gridCol w:w="5983"/>
      </w:tblGrid>
      <w:tr w14:paraId="52658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29" w:type="dxa"/>
            <w:vAlign w:val="center"/>
          </w:tcPr>
          <w:p w14:paraId="5DDFDEEB">
            <w:pPr>
              <w:spacing w:line="276" w:lineRule="auto"/>
              <w:jc w:val="center"/>
              <w:rPr>
                <w:rFonts w:ascii="宋体" w:hAnsi="宋体"/>
                <w:b/>
                <w:color w:val="auto"/>
                <w:szCs w:val="21"/>
                <w:highlight w:val="none"/>
              </w:rPr>
            </w:pPr>
            <w:r>
              <w:rPr>
                <w:rFonts w:hint="eastAsia" w:ascii="宋体" w:hAnsi="宋体"/>
                <w:b/>
                <w:color w:val="auto"/>
                <w:szCs w:val="21"/>
                <w:highlight w:val="none"/>
                <w:lang w:eastAsia="zh-CN"/>
              </w:rPr>
              <w:t>比选文件</w:t>
            </w:r>
            <w:r>
              <w:rPr>
                <w:rFonts w:hint="eastAsia" w:ascii="宋体" w:hAnsi="宋体"/>
                <w:b/>
                <w:color w:val="auto"/>
                <w:szCs w:val="21"/>
                <w:highlight w:val="none"/>
              </w:rPr>
              <w:t>章节号</w:t>
            </w:r>
          </w:p>
        </w:tc>
        <w:tc>
          <w:tcPr>
            <w:tcW w:w="2164" w:type="dxa"/>
            <w:vAlign w:val="center"/>
          </w:tcPr>
          <w:p w14:paraId="253A9D0C">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5983" w:type="dxa"/>
            <w:vAlign w:val="center"/>
          </w:tcPr>
          <w:p w14:paraId="641B67ED">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14:paraId="50199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2" w:hRule="atLeast"/>
        </w:trPr>
        <w:tc>
          <w:tcPr>
            <w:tcW w:w="1429" w:type="dxa"/>
            <w:vAlign w:val="center"/>
          </w:tcPr>
          <w:p w14:paraId="637CDCB3">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2164" w:type="dxa"/>
            <w:vAlign w:val="center"/>
          </w:tcPr>
          <w:p w14:paraId="3095E4E1">
            <w:pPr>
              <w:snapToGrid w:val="0"/>
              <w:spacing w:line="276" w:lineRule="auto"/>
              <w:jc w:val="center"/>
              <w:rPr>
                <w:rFonts w:hint="eastAsia" w:ascii="宋体" w:hAnsi="宋体" w:eastAsia="宋体" w:cs="宋体"/>
                <w:color w:val="auto"/>
                <w:kern w:val="0"/>
                <w:szCs w:val="21"/>
                <w:highlight w:val="none"/>
                <w:lang w:eastAsia="zh-CN"/>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r>
              <w:rPr>
                <w:rFonts w:hint="eastAsia" w:ascii="宋体" w:hAnsi="宋体"/>
                <w:b w:val="0"/>
                <w:bCs/>
                <w:color w:val="auto"/>
                <w:szCs w:val="21"/>
                <w:highlight w:val="none"/>
                <w:lang w:eastAsia="zh-CN"/>
              </w:rPr>
              <w:t>、</w:t>
            </w:r>
            <w:r>
              <w:rPr>
                <w:rFonts w:hint="eastAsia" w:ascii="宋体" w:hAnsi="宋体"/>
                <w:snapToGrid w:val="0"/>
                <w:color w:val="auto"/>
                <w:kern w:val="0"/>
                <w:szCs w:val="21"/>
                <w:highlight w:val="none"/>
                <w:lang w:val="en-US" w:eastAsia="zh-CN"/>
              </w:rPr>
              <w:t>保供</w:t>
            </w:r>
            <w:r>
              <w:rPr>
                <w:rFonts w:hint="eastAsia" w:ascii="宋体" w:hAnsi="宋体"/>
                <w:snapToGrid w:val="0"/>
                <w:color w:val="auto"/>
                <w:kern w:val="0"/>
                <w:szCs w:val="21"/>
                <w:highlight w:val="none"/>
              </w:rPr>
              <w:t>能力要求</w:t>
            </w:r>
            <w:r>
              <w:rPr>
                <w:rFonts w:hint="eastAsia" w:ascii="宋体" w:hAnsi="宋体"/>
                <w:snapToGrid w:val="0"/>
                <w:color w:val="auto"/>
                <w:kern w:val="0"/>
                <w:szCs w:val="21"/>
                <w:highlight w:val="none"/>
                <w:lang w:eastAsia="zh-CN"/>
              </w:rPr>
              <w:t>、</w:t>
            </w: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质量能力要求、</w:t>
            </w: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w:t>
            </w:r>
            <w:r>
              <w:rPr>
                <w:rFonts w:hint="eastAsia" w:ascii="宋体" w:hAnsi="宋体" w:cs="宋体"/>
                <w:color w:val="auto"/>
                <w:szCs w:val="21"/>
                <w:highlight w:val="none"/>
                <w:lang w:eastAsia="zh-CN"/>
              </w:rPr>
              <w:t>、</w:t>
            </w:r>
            <w:r>
              <w:rPr>
                <w:rFonts w:hint="eastAsia" w:ascii="宋体" w:hAnsi="宋体" w:cs="宋体"/>
                <w:color w:val="auto"/>
                <w:kern w:val="0"/>
                <w:highlight w:val="none"/>
              </w:rPr>
              <w:t>其他要求</w:t>
            </w:r>
          </w:p>
        </w:tc>
        <w:tc>
          <w:tcPr>
            <w:tcW w:w="5983" w:type="dxa"/>
            <w:vAlign w:val="center"/>
          </w:tcPr>
          <w:p w14:paraId="2DED65A0">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w:t>
            </w:r>
            <w:r>
              <w:rPr>
                <w:rFonts w:hint="eastAsia" w:ascii="宋体" w:hAnsi="宋体"/>
                <w:color w:val="auto"/>
                <w:szCs w:val="21"/>
                <w:highlight w:val="none"/>
                <w:lang w:eastAsia="zh-CN"/>
              </w:rPr>
              <w:t>比选文件</w:t>
            </w:r>
            <w:r>
              <w:rPr>
                <w:rFonts w:hint="eastAsia" w:ascii="宋体" w:hAnsi="宋体"/>
                <w:color w:val="auto"/>
                <w:szCs w:val="21"/>
                <w:highlight w:val="none"/>
              </w:rPr>
              <w:t>第二章投标人须知前附表1.4.1要求，否则投标文件按否决投标处理。</w:t>
            </w:r>
          </w:p>
        </w:tc>
      </w:tr>
      <w:tr w14:paraId="4951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29" w:type="dxa"/>
            <w:vAlign w:val="center"/>
          </w:tcPr>
          <w:p w14:paraId="57244D37">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0DAD75FC">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2164" w:type="dxa"/>
            <w:vAlign w:val="center"/>
          </w:tcPr>
          <w:p w14:paraId="1641748C">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5983" w:type="dxa"/>
            <w:tcBorders>
              <w:top w:val="single" w:color="auto" w:sz="4" w:space="0"/>
            </w:tcBorders>
            <w:vAlign w:val="center"/>
          </w:tcPr>
          <w:p w14:paraId="1F0DCD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14:paraId="5E54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29" w:type="dxa"/>
            <w:vAlign w:val="center"/>
          </w:tcPr>
          <w:p w14:paraId="30661B95">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4684DBD1">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2164" w:type="dxa"/>
            <w:vAlign w:val="center"/>
          </w:tcPr>
          <w:p w14:paraId="1E162F52">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983" w:type="dxa"/>
            <w:tcBorders>
              <w:top w:val="single" w:color="auto" w:sz="4" w:space="0"/>
            </w:tcBorders>
            <w:vAlign w:val="center"/>
          </w:tcPr>
          <w:p w14:paraId="68335B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投标人的投标报价不得超过本项目相应的</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最高限价，否则投标文件按否决投标处理。</w:t>
            </w:r>
          </w:p>
          <w:p w14:paraId="7689E49F">
            <w:pPr>
              <w:spacing w:line="360" w:lineRule="auto"/>
              <w:ind w:firstLine="420" w:firstLineChars="200"/>
              <w:rPr>
                <w:rFonts w:hint="eastAsia" w:ascii="宋体" w:hAnsi="宋体" w:cs="宋体"/>
                <w:color w:val="auto"/>
                <w:szCs w:val="21"/>
                <w:highlight w:val="none"/>
                <w:u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p w14:paraId="4D69C734">
            <w:pPr>
              <w:spacing w:line="360" w:lineRule="auto"/>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为限制不平衡报价，单个项目报价不得高于最高限价</w:t>
            </w:r>
            <w:r>
              <w:rPr>
                <w:rFonts w:hint="eastAsia" w:ascii="宋体" w:hAnsi="宋体" w:cs="宋体"/>
                <w:color w:val="auto"/>
                <w:szCs w:val="21"/>
                <w:highlight w:val="none"/>
                <w:u w:val="none"/>
                <w:lang w:eastAsia="zh-CN"/>
              </w:rPr>
              <w:t>，</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tc>
      </w:tr>
      <w:tr w14:paraId="283FA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429" w:type="dxa"/>
            <w:vAlign w:val="center"/>
          </w:tcPr>
          <w:p w14:paraId="03429F39">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2164" w:type="dxa"/>
            <w:vAlign w:val="center"/>
          </w:tcPr>
          <w:p w14:paraId="72A0E01C">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5983" w:type="dxa"/>
            <w:vAlign w:val="center"/>
          </w:tcPr>
          <w:p w14:paraId="7DBCB5B6">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14:paraId="12AB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1429" w:type="dxa"/>
            <w:vAlign w:val="center"/>
          </w:tcPr>
          <w:p w14:paraId="415480EB">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64980343">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2164" w:type="dxa"/>
            <w:vAlign w:val="center"/>
          </w:tcPr>
          <w:p w14:paraId="7E0E2DAD">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5983" w:type="dxa"/>
            <w:vAlign w:val="center"/>
          </w:tcPr>
          <w:p w14:paraId="4D5DF5DC">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14:paraId="2DF1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9" w:type="dxa"/>
            <w:vMerge w:val="restart"/>
            <w:vAlign w:val="center"/>
          </w:tcPr>
          <w:p w14:paraId="40D889C4">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14:paraId="15D9156E">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2164" w:type="dxa"/>
            <w:vAlign w:val="center"/>
          </w:tcPr>
          <w:p w14:paraId="7549B495">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5983" w:type="dxa"/>
            <w:vAlign w:val="center"/>
          </w:tcPr>
          <w:p w14:paraId="5C740AD3">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2</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14:paraId="44FB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1429" w:type="dxa"/>
            <w:vMerge w:val="continue"/>
            <w:vAlign w:val="center"/>
          </w:tcPr>
          <w:p w14:paraId="3FEFB748">
            <w:pPr>
              <w:spacing w:line="360" w:lineRule="auto"/>
              <w:jc w:val="center"/>
              <w:rPr>
                <w:rFonts w:ascii="宋体" w:hAnsi="宋体"/>
                <w:color w:val="auto"/>
                <w:szCs w:val="21"/>
                <w:highlight w:val="none"/>
              </w:rPr>
            </w:pPr>
          </w:p>
        </w:tc>
        <w:tc>
          <w:tcPr>
            <w:tcW w:w="2164" w:type="dxa"/>
            <w:vAlign w:val="center"/>
          </w:tcPr>
          <w:p w14:paraId="6A64B505">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5983" w:type="dxa"/>
            <w:vAlign w:val="center"/>
          </w:tcPr>
          <w:p w14:paraId="5B4C16A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投标报价有算术错误的，评标委员会按</w:t>
            </w:r>
            <w:r>
              <w:rPr>
                <w:rFonts w:hint="eastAsia" w:ascii="宋体" w:hAnsi="宋体" w:cs="MingLiU"/>
                <w:color w:val="auto"/>
                <w:kern w:val="0"/>
                <w:szCs w:val="21"/>
                <w:highlight w:val="none"/>
                <w:lang w:eastAsia="zh-CN"/>
              </w:rPr>
              <w:t>比选文件</w:t>
            </w:r>
            <w:r>
              <w:rPr>
                <w:rFonts w:hint="eastAsia" w:ascii="宋体" w:hAnsi="宋体" w:cs="MingLiU"/>
                <w:color w:val="auto"/>
                <w:kern w:val="0"/>
                <w:szCs w:val="21"/>
                <w:highlight w:val="none"/>
              </w:rPr>
              <w:t>规定的</w:t>
            </w:r>
            <w:r>
              <w:rPr>
                <w:rFonts w:ascii="宋体" w:hAnsi="宋体"/>
                <w:color w:val="auto"/>
                <w:kern w:val="0"/>
                <w:szCs w:val="21"/>
                <w:highlight w:val="none"/>
              </w:rPr>
              <w:t>原则对投标报价进行修正，修正的价格经投标人书面确认后具有约束力。投标人</w:t>
            </w:r>
            <w:r>
              <w:rPr>
                <w:rFonts w:hint="eastAsia" w:ascii="宋体" w:hAnsi="宋体"/>
                <w:color w:val="auto"/>
                <w:kern w:val="0"/>
                <w:szCs w:val="21"/>
                <w:highlight w:val="none"/>
              </w:rPr>
              <w:t>拒绝</w:t>
            </w:r>
            <w:r>
              <w:rPr>
                <w:rFonts w:ascii="宋体" w:hAnsi="宋体"/>
                <w:color w:val="auto"/>
                <w:kern w:val="0"/>
                <w:szCs w:val="21"/>
                <w:highlight w:val="none"/>
              </w:rPr>
              <w:t>确认算术性修正后的报价或</w:t>
            </w:r>
            <w:r>
              <w:rPr>
                <w:rFonts w:hint="eastAsia" w:ascii="宋体" w:hAnsi="宋体"/>
                <w:color w:val="auto"/>
                <w:kern w:val="0"/>
                <w:szCs w:val="21"/>
                <w:highlight w:val="none"/>
              </w:rPr>
              <w:t>修正后的最终投标报价超过相应的项目最高限价和最高总限价</w:t>
            </w:r>
            <w:r>
              <w:rPr>
                <w:rFonts w:ascii="宋体" w:hAnsi="宋体"/>
                <w:color w:val="auto"/>
                <w:kern w:val="0"/>
                <w:szCs w:val="21"/>
                <w:highlight w:val="none"/>
              </w:rPr>
              <w:t>，</w:t>
            </w:r>
            <w:r>
              <w:rPr>
                <w:rFonts w:hint="eastAsia" w:ascii="宋体" w:hAnsi="宋体"/>
                <w:color w:val="auto"/>
                <w:kern w:val="0"/>
                <w:szCs w:val="21"/>
                <w:highlight w:val="none"/>
              </w:rPr>
              <w:t>评标委员会应否决其投标。</w:t>
            </w:r>
          </w:p>
        </w:tc>
      </w:tr>
      <w:tr w14:paraId="0F4D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1429" w:type="dxa"/>
            <w:vAlign w:val="center"/>
          </w:tcPr>
          <w:p w14:paraId="0C874408">
            <w:pPr>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8147" w:type="dxa"/>
            <w:gridSpan w:val="2"/>
            <w:vAlign w:val="center"/>
          </w:tcPr>
          <w:p w14:paraId="3918F6A6">
            <w:pPr>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bl>
    <w:p w14:paraId="33B34B83">
      <w:pPr>
        <w:pStyle w:val="3"/>
        <w:rPr>
          <w:rFonts w:hint="eastAsia"/>
          <w:color w:val="auto"/>
          <w:highlight w:val="none"/>
        </w:rPr>
      </w:pPr>
    </w:p>
    <w:p w14:paraId="43F5EDD4">
      <w:pPr>
        <w:rPr>
          <w:color w:val="auto"/>
          <w:highlight w:val="none"/>
        </w:rPr>
      </w:pPr>
    </w:p>
    <w:p w14:paraId="0DDD381A">
      <w:pPr>
        <w:pStyle w:val="2"/>
        <w:spacing w:line="360" w:lineRule="auto"/>
        <w:jc w:val="center"/>
        <w:rPr>
          <w:rFonts w:ascii="宋体" w:hAnsi="宋体"/>
          <w:color w:val="auto"/>
          <w:kern w:val="0"/>
          <w:highlight w:val="none"/>
        </w:rPr>
      </w:pPr>
      <w:bookmarkStart w:id="545" w:name="_Toc430530509"/>
      <w:bookmarkStart w:id="546" w:name="_Toc6468"/>
      <w:bookmarkStart w:id="547" w:name="_Toc20627"/>
      <w:bookmarkStart w:id="548" w:name="_Toc509218785"/>
      <w:r>
        <w:rPr>
          <w:rFonts w:hint="eastAsia" w:ascii="宋体" w:hAnsi="宋体"/>
          <w:color w:val="auto"/>
          <w:kern w:val="0"/>
          <w:highlight w:val="none"/>
        </w:rPr>
        <w:t>第四章  合同条款及格式</w:t>
      </w:r>
      <w:bookmarkEnd w:id="545"/>
      <w:bookmarkEnd w:id="546"/>
      <w:bookmarkEnd w:id="547"/>
      <w:bookmarkEnd w:id="548"/>
    </w:p>
    <w:p w14:paraId="5619C490">
      <w:pPr>
        <w:rPr>
          <w:rFonts w:ascii="宋体" w:hAnsi="宋体"/>
          <w:color w:val="auto"/>
          <w:sz w:val="44"/>
          <w:szCs w:val="44"/>
          <w:highlight w:val="none"/>
        </w:rPr>
      </w:pPr>
      <w:r>
        <w:rPr>
          <w:rFonts w:ascii="宋体" w:hAnsi="宋体"/>
          <w:color w:val="auto"/>
          <w:highlight w:val="none"/>
        </w:rPr>
        <w:br w:type="page"/>
      </w:r>
      <w:bookmarkStart w:id="549" w:name="_Toc296890982"/>
      <w:bookmarkStart w:id="550" w:name="_Toc351203480"/>
      <w:bookmarkStart w:id="551" w:name="_Toc296503025"/>
    </w:p>
    <w:p w14:paraId="7AF2AFF9">
      <w:pPr>
        <w:pStyle w:val="2"/>
        <w:jc w:val="center"/>
        <w:rPr>
          <w:rFonts w:hint="eastAsia"/>
          <w:color w:val="auto"/>
          <w:sz w:val="40"/>
          <w:szCs w:val="52"/>
          <w:highlight w:val="none"/>
        </w:rPr>
      </w:pPr>
      <w:bookmarkStart w:id="552" w:name="_Toc479852869"/>
      <w:bookmarkStart w:id="553" w:name="_Toc5384"/>
      <w:bookmarkStart w:id="554" w:name="_Toc17462"/>
      <w:bookmarkStart w:id="555" w:name="_Toc5094"/>
      <w:bookmarkStart w:id="556" w:name="_Toc6126"/>
      <w:bookmarkStart w:id="557" w:name="_Toc351203632"/>
      <w:bookmarkStart w:id="558" w:name="_Toc4652"/>
      <w:bookmarkStart w:id="559" w:name="_Toc7044"/>
      <w:bookmarkStart w:id="560" w:name="_Toc32184"/>
      <w:r>
        <w:rPr>
          <w:rFonts w:hint="eastAsia"/>
          <w:color w:val="auto"/>
          <w:sz w:val="40"/>
          <w:szCs w:val="52"/>
          <w:highlight w:val="none"/>
          <w:lang w:val="en-US" w:eastAsia="zh-CN"/>
        </w:rPr>
        <w:t>水泥</w:t>
      </w:r>
      <w:r>
        <w:rPr>
          <w:rFonts w:hint="eastAsia"/>
          <w:color w:val="auto"/>
          <w:sz w:val="40"/>
          <w:szCs w:val="52"/>
          <w:highlight w:val="none"/>
        </w:rPr>
        <w:t>采购合同</w:t>
      </w:r>
      <w:bookmarkEnd w:id="552"/>
    </w:p>
    <w:p w14:paraId="5ECE93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u w:val="single"/>
          <w:lang w:val="en-US" w:eastAsia="zh-CN"/>
        </w:rPr>
      </w:pPr>
      <w:r>
        <w:rPr>
          <w:rFonts w:hint="eastAsia"/>
          <w:color w:val="auto"/>
          <w:sz w:val="24"/>
          <w:szCs w:val="24"/>
          <w:highlight w:val="none"/>
          <w:lang w:val="en-US" w:eastAsia="zh-CN"/>
        </w:rPr>
        <w:t>买方</w:t>
      </w:r>
      <w:r>
        <w:rPr>
          <w:rFonts w:hint="eastAsia"/>
          <w:color w:val="auto"/>
          <w:sz w:val="24"/>
          <w:szCs w:val="24"/>
          <w:highlight w:val="none"/>
        </w:rPr>
        <w:t>（以下简称甲方）：</w:t>
      </w:r>
      <w:r>
        <w:rPr>
          <w:rFonts w:hint="eastAsia"/>
          <w:color w:val="auto"/>
          <w:sz w:val="24"/>
          <w:szCs w:val="24"/>
          <w:highlight w:val="none"/>
          <w:lang w:val="en-US" w:eastAsia="zh-CN"/>
        </w:rPr>
        <w:t xml:space="preserve">___________________ </w:t>
      </w:r>
    </w:p>
    <w:p w14:paraId="02B770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卖方</w:t>
      </w:r>
      <w:r>
        <w:rPr>
          <w:rFonts w:hint="eastAsia"/>
          <w:color w:val="auto"/>
          <w:sz w:val="24"/>
          <w:szCs w:val="24"/>
          <w:highlight w:val="none"/>
        </w:rPr>
        <w:t>（以下简称乙方）：</w:t>
      </w:r>
      <w:r>
        <w:rPr>
          <w:rFonts w:hint="eastAsia"/>
          <w:color w:val="auto"/>
          <w:sz w:val="24"/>
          <w:szCs w:val="24"/>
          <w:highlight w:val="none"/>
          <w:lang w:val="en-US" w:eastAsia="zh-CN"/>
        </w:rPr>
        <w:t xml:space="preserve"> ___________________        </w:t>
      </w:r>
    </w:p>
    <w:p w14:paraId="0306FF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签订日期：</w:t>
      </w:r>
      <w:r>
        <w:rPr>
          <w:rFonts w:hint="eastAsia"/>
          <w:color w:val="auto"/>
          <w:sz w:val="24"/>
          <w:szCs w:val="24"/>
          <w:highlight w:val="none"/>
          <w:lang w:val="en-US" w:eastAsia="zh-CN"/>
        </w:rPr>
        <w:t>____</w:t>
      </w:r>
      <w:r>
        <w:rPr>
          <w:rFonts w:hint="eastAsia"/>
          <w:color w:val="auto"/>
          <w:sz w:val="24"/>
          <w:szCs w:val="24"/>
          <w:highlight w:val="none"/>
        </w:rPr>
        <w:t>年</w:t>
      </w:r>
      <w:r>
        <w:rPr>
          <w:rFonts w:hint="eastAsia"/>
          <w:color w:val="auto"/>
          <w:sz w:val="24"/>
          <w:szCs w:val="24"/>
          <w:highlight w:val="none"/>
          <w:lang w:val="en-US" w:eastAsia="zh-CN"/>
        </w:rPr>
        <w:t>____</w:t>
      </w:r>
      <w:r>
        <w:rPr>
          <w:rFonts w:hint="eastAsia"/>
          <w:color w:val="auto"/>
          <w:sz w:val="24"/>
          <w:szCs w:val="24"/>
          <w:highlight w:val="none"/>
        </w:rPr>
        <w:t>月</w:t>
      </w:r>
      <w:r>
        <w:rPr>
          <w:rFonts w:hint="eastAsia"/>
          <w:color w:val="auto"/>
          <w:sz w:val="24"/>
          <w:szCs w:val="24"/>
          <w:highlight w:val="none"/>
          <w:lang w:val="en-US" w:eastAsia="zh-CN"/>
        </w:rPr>
        <w:t>____</w:t>
      </w:r>
      <w:r>
        <w:rPr>
          <w:rFonts w:hint="eastAsia"/>
          <w:color w:val="auto"/>
          <w:sz w:val="24"/>
          <w:szCs w:val="24"/>
          <w:highlight w:val="none"/>
        </w:rPr>
        <w:t xml:space="preserve">日         </w:t>
      </w:r>
      <w:r>
        <w:rPr>
          <w:rFonts w:hint="eastAsia"/>
          <w:color w:val="auto"/>
          <w:sz w:val="24"/>
          <w:szCs w:val="24"/>
          <w:highlight w:val="none"/>
          <w:lang w:val="en-US" w:eastAsia="zh-CN"/>
        </w:rPr>
        <w:t xml:space="preserve">               合同编号：____</w:t>
      </w:r>
      <w:r>
        <w:rPr>
          <w:rFonts w:hint="eastAsia"/>
          <w:color w:val="auto"/>
          <w:sz w:val="24"/>
          <w:szCs w:val="24"/>
          <w:highlight w:val="none"/>
        </w:rPr>
        <w:t xml:space="preserve">     </w:t>
      </w:r>
    </w:p>
    <w:p w14:paraId="5B22ED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 xml:space="preserve">签订地点：重庆市渝北区 </w:t>
      </w:r>
    </w:p>
    <w:p w14:paraId="462C889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lang w:val="en-US" w:eastAsia="zh-CN"/>
        </w:rPr>
        <w:t xml:space="preserve">                                    </w:t>
      </w:r>
    </w:p>
    <w:p w14:paraId="7E7FCF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根据《中华人民共和国</w:t>
      </w:r>
      <w:r>
        <w:rPr>
          <w:rFonts w:hint="eastAsia"/>
          <w:color w:val="auto"/>
          <w:sz w:val="24"/>
          <w:szCs w:val="24"/>
          <w:highlight w:val="none"/>
          <w:lang w:val="en-US" w:eastAsia="zh-CN"/>
        </w:rPr>
        <w:t>民法典</w:t>
      </w:r>
      <w:r>
        <w:rPr>
          <w:rFonts w:hint="eastAsia"/>
          <w:color w:val="auto"/>
          <w:sz w:val="24"/>
          <w:szCs w:val="24"/>
          <w:highlight w:val="none"/>
        </w:rPr>
        <w:t>》、《中华人民共和国产品质量法》以及相关规定，遵循平等自愿、公平和诚实信用原则，为明确甲方和乙方的权利和义务，双方就甲方</w:t>
      </w:r>
      <w:r>
        <w:rPr>
          <w:rFonts w:hint="eastAsia"/>
          <w:color w:val="auto"/>
          <w:sz w:val="24"/>
          <w:szCs w:val="24"/>
          <w:highlight w:val="none"/>
          <w:lang w:val="en-US" w:eastAsia="zh-CN"/>
        </w:rPr>
        <w:t>____________________</w:t>
      </w:r>
      <w:r>
        <w:rPr>
          <w:rFonts w:hint="eastAsia"/>
          <w:color w:val="auto"/>
          <w:sz w:val="24"/>
          <w:szCs w:val="24"/>
          <w:highlight w:val="none"/>
        </w:rPr>
        <w:t>所需</w:t>
      </w:r>
      <w:r>
        <w:rPr>
          <w:rFonts w:hint="eastAsia"/>
          <w:color w:val="auto"/>
          <w:sz w:val="24"/>
          <w:szCs w:val="24"/>
          <w:highlight w:val="none"/>
          <w:lang w:val="en-US" w:eastAsia="zh-CN"/>
        </w:rPr>
        <w:t>水泥</w:t>
      </w:r>
      <w:r>
        <w:rPr>
          <w:rFonts w:hint="eastAsia"/>
          <w:color w:val="auto"/>
          <w:sz w:val="24"/>
          <w:szCs w:val="24"/>
          <w:highlight w:val="none"/>
        </w:rPr>
        <w:t>的订货事宜，本着合作、互惠互利、协商一致、规范供货的原则，双方签订本合同，以便共同遵守。</w:t>
      </w:r>
    </w:p>
    <w:p w14:paraId="3387F6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一、工程概况</w:t>
      </w:r>
    </w:p>
    <w:p w14:paraId="68241D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工程名称</w:t>
      </w:r>
      <w:r>
        <w:rPr>
          <w:rFonts w:hint="eastAsia"/>
          <w:color w:val="auto"/>
          <w:sz w:val="24"/>
          <w:szCs w:val="24"/>
          <w:highlight w:val="none"/>
          <w:lang w:eastAsia="zh-CN"/>
        </w:rPr>
        <w:t>：</w:t>
      </w:r>
      <w:r>
        <w:rPr>
          <w:rFonts w:hint="eastAsia"/>
          <w:color w:val="auto"/>
          <w:sz w:val="24"/>
          <w:szCs w:val="24"/>
          <w:highlight w:val="none"/>
          <w:u w:val="none"/>
          <w:lang w:val="en-US" w:eastAsia="zh-CN"/>
        </w:rPr>
        <w:t>_______________</w:t>
      </w:r>
      <w:r>
        <w:rPr>
          <w:rFonts w:hint="eastAsia"/>
          <w:color w:val="auto"/>
          <w:sz w:val="24"/>
          <w:szCs w:val="24"/>
          <w:highlight w:val="none"/>
          <w:u w:val="single"/>
          <w:lang w:val="en-US" w:eastAsia="zh-CN"/>
        </w:rPr>
        <w:t>项目</w:t>
      </w:r>
    </w:p>
    <w:p w14:paraId="405DB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工程地点：</w:t>
      </w:r>
      <w:r>
        <w:rPr>
          <w:rFonts w:hint="eastAsia"/>
          <w:color w:val="auto"/>
          <w:sz w:val="24"/>
          <w:szCs w:val="24"/>
          <w:highlight w:val="none"/>
          <w:lang w:val="en-US" w:eastAsia="zh-CN"/>
        </w:rPr>
        <w:t>重庆市</w:t>
      </w:r>
    </w:p>
    <w:p w14:paraId="4D5456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3、交货地点：项目部指定地点</w:t>
      </w:r>
    </w:p>
    <w:p w14:paraId="0C0934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4、水泥品牌：</w:t>
      </w:r>
    </w:p>
    <w:p w14:paraId="2902DB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b/>
          <w:bCs/>
          <w:color w:val="auto"/>
          <w:sz w:val="24"/>
          <w:szCs w:val="24"/>
          <w:highlight w:val="none"/>
          <w:lang w:val="en-US" w:eastAsia="zh-CN"/>
        </w:rPr>
        <w:t>二</w:t>
      </w:r>
      <w:r>
        <w:rPr>
          <w:rFonts w:hint="eastAsia"/>
          <w:b/>
          <w:bCs/>
          <w:color w:val="auto"/>
          <w:sz w:val="24"/>
          <w:szCs w:val="24"/>
          <w:highlight w:val="none"/>
        </w:rPr>
        <w:t>、订购货物</w:t>
      </w:r>
      <w:r>
        <w:rPr>
          <w:rFonts w:hint="eastAsia"/>
          <w:b/>
          <w:bCs/>
          <w:color w:val="auto"/>
          <w:sz w:val="24"/>
          <w:szCs w:val="24"/>
          <w:highlight w:val="none"/>
          <w:lang w:val="en-US" w:eastAsia="zh-CN"/>
        </w:rPr>
        <w:t>数量清单</w:t>
      </w:r>
      <w:r>
        <w:rPr>
          <w:rFonts w:hint="eastAsia"/>
          <w:b/>
          <w:bCs/>
          <w:color w:val="auto"/>
          <w:sz w:val="24"/>
          <w:szCs w:val="24"/>
          <w:highlight w:val="none"/>
        </w:rPr>
        <w:t>：</w:t>
      </w:r>
    </w:p>
    <w:tbl>
      <w:tblPr>
        <w:tblStyle w:val="50"/>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084"/>
        <w:gridCol w:w="443"/>
        <w:gridCol w:w="766"/>
        <w:gridCol w:w="766"/>
        <w:gridCol w:w="1052"/>
        <w:gridCol w:w="905"/>
        <w:gridCol w:w="1620"/>
        <w:gridCol w:w="1330"/>
      </w:tblGrid>
      <w:tr w14:paraId="240D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5" w:type="dxa"/>
            <w:vMerge w:val="restart"/>
            <w:vAlign w:val="center"/>
          </w:tcPr>
          <w:p w14:paraId="70F21F5F">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物资名称</w:t>
            </w:r>
          </w:p>
        </w:tc>
        <w:tc>
          <w:tcPr>
            <w:tcW w:w="1084" w:type="dxa"/>
            <w:vMerge w:val="restart"/>
            <w:vAlign w:val="center"/>
          </w:tcPr>
          <w:p w14:paraId="4A86EE8D">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规格型号</w:t>
            </w:r>
          </w:p>
        </w:tc>
        <w:tc>
          <w:tcPr>
            <w:tcW w:w="443" w:type="dxa"/>
            <w:vMerge w:val="restart"/>
            <w:vAlign w:val="center"/>
          </w:tcPr>
          <w:p w14:paraId="4A831847">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计量单位</w:t>
            </w:r>
          </w:p>
        </w:tc>
        <w:tc>
          <w:tcPr>
            <w:tcW w:w="766" w:type="dxa"/>
            <w:vAlign w:val="center"/>
          </w:tcPr>
          <w:p w14:paraId="0E836370">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暂定数量</w:t>
            </w:r>
          </w:p>
        </w:tc>
        <w:tc>
          <w:tcPr>
            <w:tcW w:w="766" w:type="dxa"/>
            <w:vAlign w:val="center"/>
          </w:tcPr>
          <w:p w14:paraId="116E5AD9">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基准价（元）</w:t>
            </w:r>
          </w:p>
        </w:tc>
        <w:tc>
          <w:tcPr>
            <w:tcW w:w="1052" w:type="dxa"/>
            <w:vAlign w:val="center"/>
          </w:tcPr>
          <w:p w14:paraId="49C9BA15">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固定</w:t>
            </w:r>
            <w:r>
              <w:rPr>
                <w:rFonts w:hint="eastAsia" w:ascii="宋体" w:hAnsi="宋体" w:eastAsia="宋体" w:cs="宋体"/>
                <w:b w:val="0"/>
                <w:bCs/>
                <w:color w:val="auto"/>
                <w:sz w:val="21"/>
                <w:szCs w:val="21"/>
                <w:highlight w:val="none"/>
              </w:rPr>
              <w:t>综合费用（元）</w:t>
            </w:r>
          </w:p>
        </w:tc>
        <w:tc>
          <w:tcPr>
            <w:tcW w:w="905" w:type="dxa"/>
            <w:vAlign w:val="center"/>
          </w:tcPr>
          <w:p w14:paraId="1E4DBDD6">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含税到站单价（元）</w:t>
            </w:r>
          </w:p>
        </w:tc>
        <w:tc>
          <w:tcPr>
            <w:tcW w:w="1620" w:type="dxa"/>
            <w:vAlign w:val="center"/>
          </w:tcPr>
          <w:p w14:paraId="14AAF9CE">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含税总价（元）</w:t>
            </w:r>
          </w:p>
        </w:tc>
        <w:tc>
          <w:tcPr>
            <w:tcW w:w="1330" w:type="dxa"/>
            <w:vMerge w:val="restart"/>
            <w:vAlign w:val="center"/>
          </w:tcPr>
          <w:p w14:paraId="3D7A58E3">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14:paraId="2DED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5" w:type="dxa"/>
            <w:vMerge w:val="continue"/>
            <w:tcBorders>
              <w:top w:val="nil"/>
            </w:tcBorders>
            <w:vAlign w:val="center"/>
          </w:tcPr>
          <w:p w14:paraId="2B1B224B">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1084" w:type="dxa"/>
            <w:vMerge w:val="continue"/>
            <w:tcBorders>
              <w:top w:val="nil"/>
            </w:tcBorders>
            <w:vAlign w:val="center"/>
          </w:tcPr>
          <w:p w14:paraId="39665F26">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443" w:type="dxa"/>
            <w:vMerge w:val="continue"/>
            <w:tcBorders>
              <w:top w:val="nil"/>
            </w:tcBorders>
            <w:vAlign w:val="center"/>
          </w:tcPr>
          <w:p w14:paraId="43692FE8">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766" w:type="dxa"/>
            <w:vAlign w:val="center"/>
          </w:tcPr>
          <w:p w14:paraId="74E863FE">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w:t>
            </w:r>
          </w:p>
        </w:tc>
        <w:tc>
          <w:tcPr>
            <w:tcW w:w="766" w:type="dxa"/>
            <w:vAlign w:val="center"/>
          </w:tcPr>
          <w:p w14:paraId="04A36536">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J</w:t>
            </w:r>
          </w:p>
        </w:tc>
        <w:tc>
          <w:tcPr>
            <w:tcW w:w="1052" w:type="dxa"/>
            <w:vAlign w:val="center"/>
          </w:tcPr>
          <w:p w14:paraId="2DB1334F">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B</w:t>
            </w:r>
          </w:p>
        </w:tc>
        <w:tc>
          <w:tcPr>
            <w:tcW w:w="905" w:type="dxa"/>
            <w:vAlign w:val="center"/>
          </w:tcPr>
          <w:p w14:paraId="427C69A9">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M</w:t>
            </w:r>
          </w:p>
        </w:tc>
        <w:tc>
          <w:tcPr>
            <w:tcW w:w="1620" w:type="dxa"/>
            <w:vAlign w:val="center"/>
          </w:tcPr>
          <w:p w14:paraId="6E72F73D">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H</w:t>
            </w:r>
          </w:p>
        </w:tc>
        <w:tc>
          <w:tcPr>
            <w:tcW w:w="1330" w:type="dxa"/>
            <w:vMerge w:val="continue"/>
            <w:tcBorders>
              <w:top w:val="nil"/>
            </w:tcBorders>
            <w:vAlign w:val="center"/>
          </w:tcPr>
          <w:p w14:paraId="475BF590">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r>
      <w:tr w14:paraId="0782F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5" w:type="dxa"/>
            <w:vAlign w:val="center"/>
          </w:tcPr>
          <w:p w14:paraId="7AB169E5">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1084" w:type="dxa"/>
            <w:vAlign w:val="center"/>
          </w:tcPr>
          <w:p w14:paraId="10748900">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color w:val="auto"/>
                <w:sz w:val="21"/>
                <w:szCs w:val="21"/>
                <w:highlight w:val="none"/>
              </w:rPr>
            </w:pPr>
          </w:p>
        </w:tc>
        <w:tc>
          <w:tcPr>
            <w:tcW w:w="443" w:type="dxa"/>
            <w:vAlign w:val="center"/>
          </w:tcPr>
          <w:p w14:paraId="43748C32">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766" w:type="dxa"/>
            <w:vAlign w:val="center"/>
          </w:tcPr>
          <w:p w14:paraId="3765AC13">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766" w:type="dxa"/>
            <w:vAlign w:val="center"/>
          </w:tcPr>
          <w:p w14:paraId="2AA81EEC">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1052" w:type="dxa"/>
            <w:shd w:val="clear" w:color="auto" w:fill="auto"/>
            <w:vAlign w:val="center"/>
          </w:tcPr>
          <w:p w14:paraId="2B904E00">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p>
        </w:tc>
        <w:tc>
          <w:tcPr>
            <w:tcW w:w="905" w:type="dxa"/>
            <w:shd w:val="clear" w:color="auto" w:fill="auto"/>
            <w:vAlign w:val="center"/>
          </w:tcPr>
          <w:p w14:paraId="1C9A1D65">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1620" w:type="dxa"/>
            <w:shd w:val="clear" w:color="auto" w:fill="auto"/>
            <w:vAlign w:val="center"/>
          </w:tcPr>
          <w:p w14:paraId="6797FFAE">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1330" w:type="dxa"/>
            <w:vMerge w:val="restart"/>
            <w:vAlign w:val="center"/>
          </w:tcPr>
          <w:p w14:paraId="40DB7C7F">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r>
      <w:tr w14:paraId="47F61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65" w:type="dxa"/>
            <w:vAlign w:val="center"/>
          </w:tcPr>
          <w:p w14:paraId="54E61E34">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总计</w:t>
            </w:r>
          </w:p>
        </w:tc>
        <w:tc>
          <w:tcPr>
            <w:tcW w:w="1084" w:type="dxa"/>
            <w:vAlign w:val="center"/>
          </w:tcPr>
          <w:p w14:paraId="1C9E31F3">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443" w:type="dxa"/>
            <w:vAlign w:val="center"/>
          </w:tcPr>
          <w:p w14:paraId="7C62DC71">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c>
          <w:tcPr>
            <w:tcW w:w="766" w:type="dxa"/>
            <w:vAlign w:val="center"/>
          </w:tcPr>
          <w:p w14:paraId="1CA86205">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766" w:type="dxa"/>
            <w:vAlign w:val="center"/>
          </w:tcPr>
          <w:p w14:paraId="473710CE">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p>
        </w:tc>
        <w:tc>
          <w:tcPr>
            <w:tcW w:w="1052" w:type="dxa"/>
            <w:shd w:val="clear" w:color="auto" w:fill="auto"/>
            <w:vAlign w:val="bottom"/>
          </w:tcPr>
          <w:p w14:paraId="5AB85B96">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p>
        </w:tc>
        <w:tc>
          <w:tcPr>
            <w:tcW w:w="905" w:type="dxa"/>
            <w:shd w:val="clear" w:color="auto" w:fill="auto"/>
            <w:vAlign w:val="bottom"/>
          </w:tcPr>
          <w:p w14:paraId="3AD2E04C">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p>
        </w:tc>
        <w:tc>
          <w:tcPr>
            <w:tcW w:w="1620" w:type="dxa"/>
            <w:shd w:val="clear" w:color="auto" w:fill="auto"/>
            <w:vAlign w:val="bottom"/>
          </w:tcPr>
          <w:p w14:paraId="0ABB1AC3">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val="0"/>
                <w:bCs/>
                <w:color w:val="auto"/>
                <w:sz w:val="21"/>
                <w:szCs w:val="21"/>
                <w:highlight w:val="none"/>
                <w:lang w:val="en-US" w:eastAsia="zh-CN"/>
              </w:rPr>
            </w:pPr>
          </w:p>
        </w:tc>
        <w:tc>
          <w:tcPr>
            <w:tcW w:w="1330" w:type="dxa"/>
            <w:vMerge w:val="continue"/>
            <w:vAlign w:val="center"/>
          </w:tcPr>
          <w:p w14:paraId="24980384">
            <w:pPr>
              <w:pStyle w:val="319"/>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p>
        </w:tc>
      </w:tr>
    </w:tbl>
    <w:p w14:paraId="7BE83E3C">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b w:val="0"/>
          <w:bCs/>
          <w:color w:val="auto"/>
          <w:sz w:val="24"/>
          <w:szCs w:val="24"/>
          <w:highlight w:val="none"/>
          <w:lang w:val="zh-CN" w:eastAsia="zh-CN"/>
        </w:rPr>
        <w:t>1、以上数量为暂估数量，实际供货按发货通知发货，结算时以项目部实际签收数量为准。以上单价为到场含税单价，乙方应向甲方开具13%增值税专用发票。</w:t>
      </w:r>
    </w:p>
    <w:p w14:paraId="75ACDF17">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b w:val="0"/>
          <w:bCs/>
          <w:color w:val="auto"/>
          <w:sz w:val="24"/>
          <w:szCs w:val="24"/>
          <w:highlight w:val="none"/>
          <w:lang w:val="zh-CN" w:eastAsia="zh-CN"/>
        </w:rPr>
        <w:t>2、结算方式：</w:t>
      </w:r>
    </w:p>
    <w:p w14:paraId="593A6D13">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b w:val="0"/>
          <w:bCs/>
          <w:color w:val="auto"/>
          <w:sz w:val="24"/>
          <w:szCs w:val="24"/>
          <w:highlight w:val="none"/>
          <w:lang w:val="zh-CN" w:eastAsia="zh-CN"/>
        </w:rPr>
        <w:t>基准价“J”：以“数字水泥网”(http://www.dcement.com/)（一环路南段项目-渝东北；渝赤叙4标-主城区）</w:t>
      </w:r>
      <w:r>
        <w:rPr>
          <w:rFonts w:hint="eastAsia"/>
          <w:b w:val="0"/>
          <w:bCs/>
          <w:color w:val="auto"/>
          <w:sz w:val="24"/>
          <w:szCs w:val="24"/>
          <w:highlight w:val="none"/>
          <w:lang w:val="en-US" w:eastAsia="zh-CN"/>
        </w:rPr>
        <w:t>到货日</w:t>
      </w:r>
      <w:r>
        <w:rPr>
          <w:rFonts w:hint="eastAsia"/>
          <w:b w:val="0"/>
          <w:bCs/>
          <w:color w:val="auto"/>
          <w:sz w:val="24"/>
          <w:szCs w:val="24"/>
          <w:highlight w:val="none"/>
          <w:lang w:val="zh-CN" w:eastAsia="zh-CN"/>
        </w:rPr>
        <w:t>的重庆主城区供货期内</w:t>
      </w:r>
      <w:r>
        <w:rPr>
          <w:rFonts w:hint="eastAsia"/>
          <w:b w:val="0"/>
          <w:bCs/>
          <w:color w:val="auto"/>
          <w:sz w:val="24"/>
          <w:szCs w:val="24"/>
          <w:highlight w:val="none"/>
          <w:lang w:val="en-US" w:eastAsia="zh-CN"/>
        </w:rPr>
        <w:t>同规格</w:t>
      </w:r>
      <w:r>
        <w:rPr>
          <w:rFonts w:hint="eastAsia"/>
          <w:b w:val="0"/>
          <w:bCs/>
          <w:color w:val="auto"/>
          <w:sz w:val="24"/>
          <w:szCs w:val="24"/>
          <w:highlight w:val="none"/>
          <w:lang w:val="zh-CN" w:eastAsia="zh-CN"/>
        </w:rPr>
        <w:t>散装水泥市场价网价为基准价“J”。</w:t>
      </w:r>
      <w:r>
        <w:rPr>
          <w:rFonts w:hint="eastAsia"/>
          <w:color w:val="auto"/>
          <w:sz w:val="24"/>
          <w:szCs w:val="24"/>
          <w:highlight w:val="none"/>
          <w:lang w:val="en-US" w:eastAsia="zh-CN"/>
        </w:rPr>
        <w:t>如使用袋装水泥，且“</w:t>
      </w:r>
      <w:r>
        <w:rPr>
          <w:rFonts w:hint="eastAsia"/>
          <w:b w:val="0"/>
          <w:bCs/>
          <w:color w:val="auto"/>
          <w:sz w:val="24"/>
          <w:szCs w:val="24"/>
          <w:highlight w:val="none"/>
          <w:lang w:val="zh-CN" w:eastAsia="zh-CN"/>
        </w:rPr>
        <w:t>数字水泥网</w:t>
      </w:r>
      <w:r>
        <w:rPr>
          <w:rFonts w:hint="eastAsia"/>
          <w:color w:val="auto"/>
          <w:sz w:val="24"/>
          <w:szCs w:val="24"/>
          <w:highlight w:val="none"/>
          <w:lang w:val="en-US" w:eastAsia="zh-CN"/>
        </w:rPr>
        <w:t>”没有袋装水泥网价的，投标基准价在同地区、同日期、同规格散装水泥价格上增加30元/吨。</w:t>
      </w:r>
    </w:p>
    <w:p w14:paraId="3CA75A7A">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b w:val="0"/>
          <w:bCs/>
          <w:color w:val="auto"/>
          <w:sz w:val="24"/>
          <w:szCs w:val="24"/>
          <w:highlight w:val="none"/>
          <w:lang w:val="zh-CN" w:eastAsia="zh-CN"/>
        </w:rPr>
        <w:t>固定综合费用：供应商包到具体工地或指定仓库除基准价“J”外的其他费用简称固定综合费用“B”（包含产品所有的加工费、人工费、保险费、仓储费、各项税费、装卸车、运输、检测、利润、以及散装水泥、粉煤灰存储设备等所有明示或暗示的费用，B可以为正值，也可以为负值），中选人将物资由生产所在地完好无损地运至采购人指定交货地点的所有费用为到站结算单价“M”。计算公式如下：到站结算单价M = J+B</w:t>
      </w:r>
    </w:p>
    <w:p w14:paraId="496EB9FE">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b w:val="0"/>
          <w:bCs/>
          <w:color w:val="auto"/>
          <w:sz w:val="24"/>
          <w:szCs w:val="24"/>
          <w:highlight w:val="none"/>
          <w:lang w:val="zh-CN" w:eastAsia="zh-CN"/>
        </w:rPr>
        <w:t>3、</w:t>
      </w:r>
      <w:r>
        <w:rPr>
          <w:rFonts w:hint="eastAsia"/>
          <w:b w:val="0"/>
          <w:bCs/>
          <w:color w:val="auto"/>
          <w:sz w:val="24"/>
          <w:szCs w:val="24"/>
          <w:highlight w:val="none"/>
          <w:lang w:val="en-US" w:eastAsia="zh-CN"/>
        </w:rPr>
        <w:t>乙方</w:t>
      </w:r>
      <w:r>
        <w:rPr>
          <w:rFonts w:hint="eastAsia"/>
          <w:b w:val="0"/>
          <w:bCs/>
          <w:color w:val="auto"/>
          <w:sz w:val="24"/>
          <w:szCs w:val="24"/>
          <w:highlight w:val="none"/>
          <w:lang w:val="zh-CN" w:eastAsia="zh-CN"/>
        </w:rPr>
        <w:t>必须提供一票制增值税专用发票（税率13%），合同供应方、发票开具方、材料款收款方三流一致，不得委托第三方单位或个人收款。</w:t>
      </w:r>
    </w:p>
    <w:p w14:paraId="58C2814A">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b w:val="0"/>
          <w:bCs/>
          <w:color w:val="auto"/>
          <w:sz w:val="24"/>
          <w:szCs w:val="24"/>
          <w:highlight w:val="none"/>
          <w:lang w:val="en-US" w:eastAsia="zh-CN"/>
        </w:rPr>
        <w:t>4</w:t>
      </w:r>
      <w:r>
        <w:rPr>
          <w:rFonts w:hint="eastAsia"/>
          <w:b w:val="0"/>
          <w:bCs/>
          <w:color w:val="auto"/>
          <w:sz w:val="24"/>
          <w:szCs w:val="24"/>
          <w:highlight w:val="none"/>
          <w:lang w:val="zh-CN" w:eastAsia="zh-CN"/>
        </w:rPr>
        <w:t>、此数量为暂估数量，实际供货按发货通知发货，结算以工地实际签收数量为准，各规格型号需求数量在供货中有调整，以实际需求为准，中标单位须无条件接受调整，按中标单价结算。</w:t>
      </w:r>
    </w:p>
    <w:p w14:paraId="72B21F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三、</w:t>
      </w:r>
      <w:r>
        <w:rPr>
          <w:rFonts w:hint="eastAsia"/>
          <w:b/>
          <w:bCs/>
          <w:color w:val="auto"/>
          <w:sz w:val="24"/>
          <w:szCs w:val="24"/>
          <w:highlight w:val="none"/>
        </w:rPr>
        <w:t>合同价款</w:t>
      </w:r>
    </w:p>
    <w:p w14:paraId="02302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1、最终合同价款由双方根据实际供货量在乙方完成供货后据实结算。</w:t>
      </w:r>
    </w:p>
    <w:p w14:paraId="4C599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2、落地单价：指材料运抵甲方指定地点的含税落地单价，即全部价款，包括但不限于产品原价、运杂费及按规定应缴纳的各种税费、利润等。</w:t>
      </w:r>
    </w:p>
    <w:p w14:paraId="42706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、乙方是材料各种税费的纳税人，甲方不承担货物含税落地单价以外的任何费用。如果因该问题发生争议给甲方造成工期延误或其它损失，乙方应予以赔偿。</w:t>
      </w:r>
    </w:p>
    <w:p w14:paraId="25462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合同执行期间遇国家税率调整，税额按国家规定进行调整，不含税单价不变。</w:t>
      </w:r>
    </w:p>
    <w:p w14:paraId="0D2C0871">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24"/>
          <w:szCs w:val="24"/>
          <w:highlight w:val="none"/>
        </w:rPr>
      </w:pPr>
      <w:r>
        <w:rPr>
          <w:rFonts w:hint="eastAsia"/>
          <w:b/>
          <w:bCs/>
          <w:color w:val="auto"/>
          <w:sz w:val="24"/>
          <w:szCs w:val="24"/>
          <w:highlight w:val="none"/>
          <w:lang w:val="en-US" w:eastAsia="zh-CN"/>
        </w:rPr>
        <w:t>四</w:t>
      </w:r>
      <w:r>
        <w:rPr>
          <w:rFonts w:hint="eastAsia"/>
          <w:b/>
          <w:bCs/>
          <w:color w:val="auto"/>
          <w:sz w:val="24"/>
          <w:szCs w:val="24"/>
          <w:highlight w:val="none"/>
        </w:rPr>
        <w:t>、供货时间：</w:t>
      </w:r>
    </w:p>
    <w:p w14:paraId="22ECE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1、预定供货期间为</w:t>
      </w:r>
      <w:r>
        <w:rPr>
          <w:rFonts w:hint="eastAsia"/>
          <w:color w:val="auto"/>
          <w:sz w:val="24"/>
          <w:szCs w:val="24"/>
          <w:highlight w:val="none"/>
          <w:lang w:val="en-US" w:eastAsia="zh-CN"/>
        </w:rPr>
        <w:t>合同签订之日起</w:t>
      </w:r>
      <w:r>
        <w:rPr>
          <w:rFonts w:hint="eastAsia"/>
          <w:color w:val="auto"/>
          <w:sz w:val="24"/>
          <w:szCs w:val="24"/>
          <w:highlight w:val="none"/>
        </w:rPr>
        <w:t>至</w:t>
      </w:r>
      <w:r>
        <w:rPr>
          <w:rFonts w:hint="eastAsia"/>
          <w:color w:val="auto"/>
          <w:sz w:val="24"/>
          <w:szCs w:val="24"/>
          <w:highlight w:val="none"/>
          <w:lang w:val="en-US" w:eastAsia="zh-CN"/>
        </w:rPr>
        <w:t>____</w:t>
      </w:r>
      <w:r>
        <w:rPr>
          <w:rFonts w:hint="eastAsia"/>
          <w:color w:val="auto"/>
          <w:sz w:val="24"/>
          <w:szCs w:val="24"/>
          <w:highlight w:val="none"/>
        </w:rPr>
        <w:t>年</w:t>
      </w:r>
      <w:r>
        <w:rPr>
          <w:rFonts w:hint="eastAsia"/>
          <w:color w:val="auto"/>
          <w:sz w:val="24"/>
          <w:szCs w:val="24"/>
          <w:highlight w:val="none"/>
          <w:lang w:val="en-US" w:eastAsia="zh-CN"/>
        </w:rPr>
        <w:t>____</w:t>
      </w:r>
      <w:r>
        <w:rPr>
          <w:rFonts w:hint="eastAsia"/>
          <w:color w:val="auto"/>
          <w:sz w:val="24"/>
          <w:szCs w:val="24"/>
          <w:highlight w:val="none"/>
        </w:rPr>
        <w:t>月</w:t>
      </w:r>
      <w:r>
        <w:rPr>
          <w:rFonts w:hint="eastAsia"/>
          <w:color w:val="auto"/>
          <w:sz w:val="24"/>
          <w:szCs w:val="24"/>
          <w:highlight w:val="none"/>
          <w:lang w:val="en-US" w:eastAsia="zh-CN"/>
        </w:rPr>
        <w:t>____</w:t>
      </w:r>
      <w:r>
        <w:rPr>
          <w:rFonts w:hint="eastAsia"/>
          <w:color w:val="auto"/>
          <w:sz w:val="24"/>
          <w:szCs w:val="24"/>
          <w:highlight w:val="none"/>
        </w:rPr>
        <w:t>日，具体供货时间以甲方提前</w:t>
      </w:r>
      <w:r>
        <w:rPr>
          <w:rFonts w:hint="eastAsia"/>
          <w:color w:val="auto"/>
          <w:sz w:val="24"/>
          <w:szCs w:val="24"/>
          <w:highlight w:val="none"/>
          <w:lang w:val="en-US" w:eastAsia="zh-CN"/>
        </w:rPr>
        <w:t>____</w:t>
      </w:r>
      <w:r>
        <w:rPr>
          <w:rFonts w:hint="eastAsia"/>
          <w:color w:val="auto"/>
          <w:sz w:val="24"/>
          <w:szCs w:val="24"/>
          <w:highlight w:val="none"/>
        </w:rPr>
        <w:t>天书面或信息通知（包括但不限于邮件、短信、微信等形式，下同）为准，乙方须在</w:t>
      </w:r>
      <w:r>
        <w:rPr>
          <w:rFonts w:hint="eastAsia"/>
          <w:color w:val="auto"/>
          <w:sz w:val="24"/>
          <w:szCs w:val="24"/>
          <w:highlight w:val="none"/>
          <w:lang w:val="en-US" w:eastAsia="zh-CN"/>
        </w:rPr>
        <w:t>____</w:t>
      </w:r>
      <w:r>
        <w:rPr>
          <w:rFonts w:hint="eastAsia"/>
          <w:color w:val="auto"/>
          <w:sz w:val="24"/>
          <w:szCs w:val="24"/>
          <w:highlight w:val="none"/>
        </w:rPr>
        <w:t>天内按照通知要求将材料运至甲方指定地点。</w:t>
      </w:r>
    </w:p>
    <w:p w14:paraId="38AD3B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2、甲方有权视工程进度进展及现场情况调整供货周期，乙方应无条件接受，调整决定以书面或邮件、信息形式通知乙方，通知到达乙方指定接收地址或指定邮箱、手机即生效。</w:t>
      </w:r>
    </w:p>
    <w:p w14:paraId="44DF09CB">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、质量技术标准：</w:t>
      </w:r>
    </w:p>
    <w:p w14:paraId="7B075F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1、乙方供应材料质量应符合工程建设单位为本工程编制的《</w:t>
      </w:r>
      <w:r>
        <w:rPr>
          <w:rFonts w:hint="eastAsia"/>
          <w:color w:val="auto"/>
          <w:sz w:val="24"/>
          <w:szCs w:val="24"/>
          <w:highlight w:val="none"/>
          <w:lang w:eastAsia="zh-CN"/>
        </w:rPr>
        <w:t>比选文件</w:t>
      </w:r>
      <w:r>
        <w:rPr>
          <w:rFonts w:hint="eastAsia"/>
          <w:color w:val="auto"/>
          <w:sz w:val="24"/>
          <w:szCs w:val="24"/>
          <w:highlight w:val="none"/>
        </w:rPr>
        <w:t>》、施工图设计及其引用的相关国家或行业标准与规范的要求。上述标准出现不一致的，应执行最严格的标准。在项目开工至通过交工验收之日，国家、行业标准或规范出现修改或新颁，由甲方决定是否采用新标准或新规范，价格不因标准和规范适用的变化而调整。</w:t>
      </w:r>
    </w:p>
    <w:p w14:paraId="4C96D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2、材料到达甲方指定交货地点时，乙方应同时提交产品合格证等质量证明资料。</w:t>
      </w:r>
    </w:p>
    <w:p w14:paraId="0FE4CC6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3、甲方按法定检验频率和监理工程师共同抽样送至有法定资质的试验室检测或第三方检测机构作外委检测，检测及样品费用由</w:t>
      </w:r>
      <w:r>
        <w:rPr>
          <w:rFonts w:hint="eastAsia"/>
          <w:color w:val="auto"/>
          <w:sz w:val="24"/>
          <w:szCs w:val="24"/>
          <w:highlight w:val="none"/>
          <w:lang w:val="en-US" w:eastAsia="zh-CN"/>
        </w:rPr>
        <w:t>甲</w:t>
      </w:r>
      <w:r>
        <w:rPr>
          <w:rFonts w:hint="eastAsia"/>
          <w:color w:val="auto"/>
          <w:sz w:val="24"/>
          <w:szCs w:val="24"/>
          <w:highlight w:val="none"/>
        </w:rPr>
        <w:t>方承担。任何一方如对材料质量有异议的，应进行复检，复检由监理工程师、甲方联合取样后，送监理工程师、甲方认可的第三方检测机构复检，检验结果作为最终判断材料是否合格的依据。如果检验不合格，复检费用由乙方承担，乙方应无条件接受退货，并承担相关损失。</w:t>
      </w:r>
    </w:p>
    <w:p w14:paraId="31922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、交货及验收</w:t>
      </w:r>
    </w:p>
    <w:p w14:paraId="3C260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1、交货方式：由乙方负责将货物运输并卸落至甲方指定的交货地点。</w:t>
      </w:r>
    </w:p>
    <w:p w14:paraId="6CFBE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2、运输方式：</w:t>
      </w:r>
      <w:r>
        <w:rPr>
          <w:rFonts w:hint="eastAsia"/>
          <w:color w:val="auto"/>
          <w:sz w:val="24"/>
          <w:szCs w:val="24"/>
          <w:highlight w:val="none"/>
          <w:lang w:val="en-US" w:eastAsia="zh-CN"/>
        </w:rPr>
        <w:t>____</w:t>
      </w:r>
      <w:r>
        <w:rPr>
          <w:rFonts w:hint="eastAsia"/>
          <w:color w:val="auto"/>
          <w:sz w:val="24"/>
          <w:szCs w:val="24"/>
          <w:highlight w:val="none"/>
          <w:lang w:val="en-US"/>
        </w:rPr>
        <w:t>。</w:t>
      </w:r>
    </w:p>
    <w:p w14:paraId="72209B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3、甲方指定的交货地点：</w:t>
      </w:r>
      <w:r>
        <w:rPr>
          <w:rFonts w:hint="eastAsia"/>
          <w:color w:val="auto"/>
          <w:sz w:val="24"/>
          <w:szCs w:val="24"/>
          <w:highlight w:val="none"/>
          <w:lang w:val="en-US" w:eastAsia="zh-CN"/>
        </w:rPr>
        <w:t>____</w:t>
      </w:r>
      <w:r>
        <w:rPr>
          <w:rFonts w:hint="eastAsia"/>
          <w:color w:val="auto"/>
          <w:sz w:val="24"/>
          <w:szCs w:val="24"/>
          <w:highlight w:val="none"/>
          <w:lang w:val="en-US"/>
        </w:rPr>
        <w:t>项目</w:t>
      </w:r>
      <w:r>
        <w:rPr>
          <w:rFonts w:hint="eastAsia"/>
          <w:color w:val="auto"/>
          <w:sz w:val="24"/>
          <w:szCs w:val="24"/>
          <w:highlight w:val="none"/>
          <w:lang w:val="zh-CN"/>
        </w:rPr>
        <w:t>，接货人：</w:t>
      </w:r>
      <w:r>
        <w:rPr>
          <w:rFonts w:hint="eastAsia"/>
          <w:color w:val="auto"/>
          <w:sz w:val="24"/>
          <w:szCs w:val="24"/>
          <w:highlight w:val="none"/>
          <w:lang w:val="en-US" w:eastAsia="zh-CN"/>
        </w:rPr>
        <w:t>____</w:t>
      </w:r>
      <w:r>
        <w:rPr>
          <w:rFonts w:hint="eastAsia"/>
          <w:color w:val="auto"/>
          <w:sz w:val="24"/>
          <w:szCs w:val="24"/>
          <w:highlight w:val="none"/>
          <w:lang w:val="zh-CN"/>
        </w:rPr>
        <w:t>，联系电话：</w:t>
      </w:r>
      <w:r>
        <w:rPr>
          <w:rFonts w:hint="eastAsia"/>
          <w:color w:val="auto"/>
          <w:sz w:val="24"/>
          <w:szCs w:val="24"/>
          <w:highlight w:val="none"/>
          <w:lang w:val="en-US" w:eastAsia="zh-CN"/>
        </w:rPr>
        <w:t>____</w:t>
      </w:r>
      <w:r>
        <w:rPr>
          <w:rFonts w:hint="eastAsia"/>
          <w:color w:val="auto"/>
          <w:sz w:val="24"/>
          <w:szCs w:val="24"/>
          <w:highlight w:val="none"/>
          <w:lang w:val="zh-CN"/>
        </w:rPr>
        <w:t>（甲方可根据需要进行调整</w:t>
      </w:r>
      <w:r>
        <w:rPr>
          <w:rFonts w:hint="eastAsia"/>
          <w:color w:val="auto"/>
          <w:sz w:val="24"/>
          <w:szCs w:val="24"/>
          <w:highlight w:val="none"/>
          <w:lang w:val="en-US" w:eastAsia="zh-CN"/>
        </w:rPr>
        <w:t>接货人</w:t>
      </w:r>
      <w:r>
        <w:rPr>
          <w:rFonts w:hint="eastAsia"/>
          <w:color w:val="auto"/>
          <w:sz w:val="24"/>
          <w:szCs w:val="24"/>
          <w:highlight w:val="none"/>
          <w:lang w:val="zh-CN"/>
        </w:rPr>
        <w:t>，由甲方书面或邮件、短信通知乙方</w:t>
      </w:r>
      <w:r>
        <w:rPr>
          <w:rFonts w:hint="eastAsia"/>
          <w:color w:val="auto"/>
          <w:sz w:val="24"/>
          <w:szCs w:val="24"/>
          <w:highlight w:val="none"/>
          <w:lang w:val="en-US" w:eastAsia="zh-CN"/>
        </w:rPr>
        <w:t>，验收人由接货人指定，货物签收为两人</w:t>
      </w:r>
      <w:r>
        <w:rPr>
          <w:rFonts w:hint="eastAsia"/>
          <w:color w:val="auto"/>
          <w:sz w:val="24"/>
          <w:szCs w:val="24"/>
          <w:highlight w:val="none"/>
          <w:lang w:val="zh-CN"/>
        </w:rPr>
        <w:t>）。</w:t>
      </w:r>
    </w:p>
    <w:p w14:paraId="197137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4、验收产品到达交货地点后，甲方首先对照乙方发货单对产品的规格、型号和生产厂家等进行初步验收，验收合格后，再根据产品类别进行以下验收：</w:t>
      </w:r>
    </w:p>
    <w:p w14:paraId="799432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4.1计量验收</w:t>
      </w:r>
    </w:p>
    <w:p w14:paraId="0EE8C0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en-US" w:eastAsia="zh-CN"/>
        </w:rPr>
        <w:t>验</w:t>
      </w:r>
      <w:r>
        <w:rPr>
          <w:rFonts w:hint="eastAsia" w:ascii="宋体" w:hAnsi="宋体" w:cs="宋体"/>
          <w:color w:val="auto"/>
          <w:kern w:val="0"/>
          <w:sz w:val="24"/>
          <w:szCs w:val="24"/>
          <w:highlight w:val="none"/>
        </w:rPr>
        <w:t>收时间：</w:t>
      </w:r>
      <w:r>
        <w:rPr>
          <w:rFonts w:hint="eastAsia" w:ascii="宋体" w:hAnsi="宋体" w:cs="宋体"/>
          <w:color w:val="auto"/>
          <w:kern w:val="0"/>
          <w:sz w:val="24"/>
          <w:szCs w:val="24"/>
          <w:highlight w:val="none"/>
          <w:u w:val="single"/>
        </w:rPr>
        <w:t>货到验收。</w:t>
      </w:r>
    </w:p>
    <w:p w14:paraId="7829564A">
      <w:pPr>
        <w:spacing w:line="440" w:lineRule="exact"/>
        <w:rPr>
          <w:rFonts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lang w:val="en-US" w:eastAsia="zh-CN"/>
        </w:rPr>
        <w:t>验收方式：</w:t>
      </w:r>
      <w:r>
        <w:rPr>
          <w:rFonts w:hint="eastAsia"/>
          <w:color w:val="auto"/>
          <w:sz w:val="24"/>
          <w:szCs w:val="24"/>
          <w:highlight w:val="none"/>
          <w:lang w:val="zh-CN"/>
        </w:rPr>
        <w:t>散装水泥，</w:t>
      </w:r>
      <w:r>
        <w:rPr>
          <w:rFonts w:hint="eastAsia" w:ascii="宋体" w:hAnsi="宋体" w:cs="宋体"/>
          <w:color w:val="auto"/>
          <w:kern w:val="0"/>
          <w:sz w:val="24"/>
          <w:szCs w:val="24"/>
          <w:highlight w:val="none"/>
          <w:u w:val="none"/>
        </w:rPr>
        <w:t>过磅验收，若甲方过磅数量和乙方送货单数量差额不超过±3‰的，以乙方送货数量单为准；若超过-3‰的，以甲方过磅验收单数量为准，如有异议，以双方认可的第三方</w:t>
      </w:r>
      <w:r>
        <w:rPr>
          <w:rFonts w:hint="eastAsia" w:ascii="宋体" w:hAnsi="宋体" w:cs="宋体"/>
          <w:color w:val="auto"/>
          <w:sz w:val="24"/>
          <w:szCs w:val="24"/>
          <w:highlight w:val="none"/>
          <w:u w:val="none"/>
          <w:lang w:bidi="ar"/>
        </w:rPr>
        <w:t>复磅</w:t>
      </w:r>
      <w:r>
        <w:rPr>
          <w:rFonts w:hint="eastAsia" w:ascii="宋体" w:hAnsi="宋体" w:cs="宋体"/>
          <w:color w:val="auto"/>
          <w:kern w:val="0"/>
          <w:sz w:val="24"/>
          <w:szCs w:val="24"/>
          <w:highlight w:val="none"/>
          <w:u w:val="none"/>
        </w:rPr>
        <w:t>数量为准，</w:t>
      </w:r>
      <w:r>
        <w:rPr>
          <w:rFonts w:hint="eastAsia" w:ascii="宋体" w:hAnsi="宋体" w:cs="宋体"/>
          <w:color w:val="auto"/>
          <w:sz w:val="24"/>
          <w:szCs w:val="24"/>
          <w:highlight w:val="none"/>
          <w:u w:val="none"/>
          <w:lang w:bidi="ar"/>
        </w:rPr>
        <w:t>复磅</w:t>
      </w:r>
      <w:r>
        <w:rPr>
          <w:rFonts w:hint="eastAsia" w:ascii="宋体" w:hAnsi="宋体" w:cs="宋体"/>
          <w:color w:val="auto"/>
          <w:kern w:val="0"/>
          <w:sz w:val="24"/>
          <w:szCs w:val="24"/>
          <w:highlight w:val="none"/>
          <w:u w:val="none"/>
        </w:rPr>
        <w:t>费用由过错方承担。验收合格的由甲方在送货单上签收确认；验收不合格的，由乙方负责退换或补充以达到验收合格为止，由此发生的费用乙方承担。</w:t>
      </w:r>
      <w:r>
        <w:rPr>
          <w:rFonts w:hint="eastAsia" w:ascii="宋体" w:hAnsi="宋体" w:cs="宋体"/>
          <w:color w:val="auto"/>
          <w:sz w:val="24"/>
          <w:szCs w:val="24"/>
          <w:highlight w:val="none"/>
          <w:u w:val="none"/>
          <w:lang w:bidi="ar"/>
        </w:rPr>
        <w:t>袋装水泥数量判断标准遵照GB175-20</w:t>
      </w:r>
      <w:r>
        <w:rPr>
          <w:rFonts w:hint="eastAsia" w:ascii="宋体" w:hAnsi="宋体" w:cs="宋体"/>
          <w:color w:val="auto"/>
          <w:sz w:val="24"/>
          <w:szCs w:val="24"/>
          <w:highlight w:val="none"/>
          <w:u w:val="none"/>
          <w:lang w:val="en-US" w:eastAsia="zh-CN" w:bidi="ar"/>
        </w:rPr>
        <w:t>23</w:t>
      </w:r>
      <w:r>
        <w:rPr>
          <w:rFonts w:hint="eastAsia" w:ascii="宋体" w:hAnsi="宋体" w:cs="宋体"/>
          <w:color w:val="auto"/>
          <w:sz w:val="24"/>
          <w:szCs w:val="24"/>
          <w:highlight w:val="none"/>
          <w:u w:val="none"/>
          <w:lang w:bidi="ar"/>
        </w:rPr>
        <w:t>规定，每袋净含量50kg，且不得少于标志质量的99％，随机抽取20袋总质量（包含装袋）不得少于1000kg。</w:t>
      </w:r>
    </w:p>
    <w:p w14:paraId="0D48A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zh-CN"/>
        </w:rPr>
        <w:t>4.</w:t>
      </w:r>
      <w:r>
        <w:rPr>
          <w:rFonts w:hint="eastAsia"/>
          <w:color w:val="auto"/>
          <w:sz w:val="24"/>
          <w:szCs w:val="24"/>
          <w:highlight w:val="none"/>
          <w:lang w:val="en-US" w:eastAsia="zh-CN"/>
        </w:rPr>
        <w:t>2质量</w:t>
      </w:r>
      <w:r>
        <w:rPr>
          <w:rFonts w:hint="eastAsia"/>
          <w:color w:val="auto"/>
          <w:sz w:val="24"/>
          <w:szCs w:val="24"/>
          <w:highlight w:val="none"/>
          <w:lang w:val="zh-CN"/>
        </w:rPr>
        <w:t>验收</w:t>
      </w:r>
    </w:p>
    <w:p w14:paraId="60839A20">
      <w:pPr>
        <w:spacing w:line="440" w:lineRule="exact"/>
        <w:rPr>
          <w:rFonts w:hint="eastAsia" w:ascii="宋体" w:hAnsi="宋体" w:cs="宋体"/>
          <w:color w:val="auto"/>
          <w:sz w:val="24"/>
          <w:szCs w:val="24"/>
          <w:highlight w:val="none"/>
          <w:lang w:bidi="ar"/>
        </w:rPr>
      </w:pPr>
      <w:r>
        <w:rPr>
          <w:rFonts w:hint="eastAsia" w:ascii="宋体" w:hAnsi="宋体" w:cs="宋体"/>
          <w:color w:val="auto"/>
          <w:kern w:val="0"/>
          <w:sz w:val="24"/>
          <w:szCs w:val="24"/>
          <w:highlight w:val="none"/>
        </w:rPr>
        <w:t>验收标准：</w:t>
      </w:r>
      <w:r>
        <w:rPr>
          <w:rFonts w:hint="eastAsia" w:ascii="宋体" w:hAnsi="宋体" w:cs="宋体"/>
          <w:color w:val="auto"/>
          <w:kern w:val="0"/>
          <w:sz w:val="24"/>
          <w:szCs w:val="24"/>
          <w:highlight w:val="none"/>
          <w:u w:val="single"/>
        </w:rPr>
        <w:t>国标。</w:t>
      </w:r>
      <w:r>
        <w:rPr>
          <w:rFonts w:hint="eastAsia" w:ascii="宋体" w:hAnsi="宋体" w:cs="宋体"/>
          <w:color w:val="auto"/>
          <w:sz w:val="24"/>
          <w:szCs w:val="24"/>
          <w:highlight w:val="none"/>
          <w:lang w:bidi="ar"/>
        </w:rPr>
        <w:t>乙方应随同每批水泥发运附送货单据、出厂质量检验合格证书等必要文件，若乙方未及时提供合格证、水泥强度报告，导致甲方不能按期付款，乙方自行承担所有责任。</w:t>
      </w:r>
    </w:p>
    <w:p w14:paraId="77B2BDFD">
      <w:pPr>
        <w:spacing w:line="44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验收和试验：</w:t>
      </w:r>
      <w:r>
        <w:rPr>
          <w:rFonts w:hint="eastAsia" w:ascii="宋体" w:hAnsi="宋体" w:cs="宋体"/>
          <w:color w:val="auto"/>
          <w:kern w:val="0"/>
          <w:sz w:val="24"/>
          <w:szCs w:val="24"/>
          <w:highlight w:val="none"/>
          <w:u w:val="single"/>
        </w:rPr>
        <w:t xml:space="preserve">甲方、监理方、业主方以及质量监督部门或第三方试验检测单位。 </w:t>
      </w:r>
    </w:p>
    <w:p w14:paraId="57A765F3">
      <w:pPr>
        <w:spacing w:line="4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验收中发生纠纷：</w:t>
      </w:r>
      <w:r>
        <w:rPr>
          <w:rFonts w:hint="eastAsia" w:ascii="宋体" w:hAnsi="宋体" w:cs="宋体"/>
          <w:color w:val="auto"/>
          <w:kern w:val="0"/>
          <w:sz w:val="24"/>
          <w:szCs w:val="24"/>
          <w:highlight w:val="none"/>
          <w:u w:val="single"/>
        </w:rPr>
        <w:t>乙方所交产品品种、型号规格、不符合合同规定的，乙方应在3日内无条件换、退货。如超出上述时间，乙方应赔偿甲方，赔偿额按该批次货物总价值的10%计算。</w:t>
      </w:r>
      <w:r>
        <w:rPr>
          <w:rFonts w:hint="eastAsia" w:ascii="宋体" w:hAnsi="宋体" w:cs="宋体"/>
          <w:color w:val="auto"/>
          <w:kern w:val="0"/>
          <w:sz w:val="24"/>
          <w:szCs w:val="24"/>
          <w:highlight w:val="none"/>
        </w:rPr>
        <w:t>如果质量不符合合同约定，造成甲方损失的，乙方应承担给甲方造成一切的损失。</w:t>
      </w:r>
    </w:p>
    <w:p w14:paraId="4C09F7BA">
      <w:pPr>
        <w:spacing w:line="440" w:lineRule="exact"/>
        <w:rPr>
          <w:rFonts w:hint="eastAsia" w:ascii="宋体" w:hAnsi="宋体" w:cs="宋体"/>
          <w:color w:val="auto"/>
          <w:sz w:val="24"/>
          <w:szCs w:val="24"/>
          <w:highlight w:val="none"/>
          <w:lang w:bidi="ar"/>
        </w:rPr>
      </w:pPr>
      <w:r>
        <w:rPr>
          <w:rFonts w:hint="eastAsia" w:ascii="宋体" w:hAnsi="宋体" w:cs="宋体"/>
          <w:color w:val="auto"/>
          <w:kern w:val="0"/>
          <w:sz w:val="24"/>
          <w:szCs w:val="24"/>
          <w:highlight w:val="none"/>
        </w:rPr>
        <w:t>初次进场需要委外试验的材料，试验费用由乙方承担。</w:t>
      </w:r>
      <w:r>
        <w:rPr>
          <w:rFonts w:hint="eastAsia" w:ascii="宋体" w:hAnsi="宋体" w:cs="宋体"/>
          <w:color w:val="auto"/>
          <w:sz w:val="24"/>
          <w:szCs w:val="24"/>
          <w:highlight w:val="none"/>
          <w:lang w:bidi="ar"/>
        </w:rPr>
        <w:t>甲方有权对验收后的水泥交有资质的检验部门检验，如果任何被检测或测试的水泥不能满足技术规格的要求，乙方应及时更换，或者根据甲方要求对缺陷免费进行修复以满足技术规格的要求，并承担该部分检验费用。</w:t>
      </w:r>
    </w:p>
    <w:p w14:paraId="7D5BA965">
      <w:pPr>
        <w:pStyle w:val="13"/>
        <w:rPr>
          <w:rFonts w:hint="eastAsia"/>
          <w:color w:val="auto"/>
          <w:highlight w:val="none"/>
          <w:lang w:val="en-US" w:eastAsia="zh-CN"/>
        </w:rPr>
      </w:pPr>
    </w:p>
    <w:p w14:paraId="7AF5340F">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24"/>
          <w:szCs w:val="24"/>
          <w:highlight w:val="none"/>
        </w:rPr>
      </w:pPr>
      <w:r>
        <w:rPr>
          <w:rFonts w:hint="eastAsia"/>
          <w:b/>
          <w:bCs/>
          <w:color w:val="auto"/>
          <w:sz w:val="24"/>
          <w:szCs w:val="24"/>
          <w:highlight w:val="none"/>
          <w:lang w:val="en-US" w:eastAsia="zh-CN"/>
        </w:rPr>
        <w:t>七</w:t>
      </w:r>
      <w:r>
        <w:rPr>
          <w:rFonts w:hint="eastAsia"/>
          <w:b/>
          <w:bCs/>
          <w:color w:val="auto"/>
          <w:sz w:val="24"/>
          <w:szCs w:val="24"/>
          <w:highlight w:val="none"/>
        </w:rPr>
        <w:t>、结算方式及付款方式</w:t>
      </w:r>
    </w:p>
    <w:p w14:paraId="36D5B2A5">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val="0"/>
          <w:bCs/>
          <w:color w:val="auto"/>
          <w:sz w:val="24"/>
          <w:szCs w:val="24"/>
          <w:highlight w:val="none"/>
          <w:lang w:val="zh-CN" w:eastAsia="zh-CN"/>
        </w:rPr>
      </w:pPr>
      <w:r>
        <w:rPr>
          <w:rFonts w:hint="eastAsia"/>
          <w:color w:val="auto"/>
          <w:sz w:val="24"/>
          <w:szCs w:val="24"/>
          <w:highlight w:val="none"/>
          <w:lang w:val="en-US" w:eastAsia="zh-CN"/>
        </w:rPr>
        <w:t xml:space="preserve">    </w:t>
      </w:r>
      <w:r>
        <w:rPr>
          <w:rFonts w:hint="eastAsia"/>
          <w:color w:val="auto"/>
          <w:sz w:val="24"/>
          <w:szCs w:val="24"/>
          <w:highlight w:val="none"/>
        </w:rPr>
        <w:t>1、</w:t>
      </w:r>
      <w:r>
        <w:rPr>
          <w:rFonts w:hint="eastAsia"/>
          <w:b w:val="0"/>
          <w:bCs/>
          <w:color w:val="auto"/>
          <w:sz w:val="24"/>
          <w:szCs w:val="24"/>
          <w:highlight w:val="none"/>
          <w:lang w:val="zh-CN" w:eastAsia="zh-CN"/>
        </w:rPr>
        <w:t>付款方式：每月</w:t>
      </w:r>
      <w:r>
        <w:rPr>
          <w:rFonts w:hint="eastAsia"/>
          <w:color w:val="auto"/>
          <w:sz w:val="24"/>
          <w:szCs w:val="24"/>
          <w:highlight w:val="none"/>
          <w:u w:val="single"/>
          <w:lang w:val="en-US" w:eastAsia="zh-CN"/>
        </w:rPr>
        <w:t>10</w:t>
      </w:r>
      <w:r>
        <w:rPr>
          <w:rFonts w:hint="eastAsia"/>
          <w:b w:val="0"/>
          <w:bCs/>
          <w:color w:val="auto"/>
          <w:sz w:val="24"/>
          <w:szCs w:val="24"/>
          <w:highlight w:val="none"/>
          <w:lang w:val="zh-CN" w:eastAsia="zh-CN"/>
        </w:rPr>
        <w:t>日凭</w:t>
      </w:r>
      <w:r>
        <w:rPr>
          <w:rFonts w:hint="eastAsia"/>
          <w:b w:val="0"/>
          <w:bCs/>
          <w:color w:val="auto"/>
          <w:sz w:val="24"/>
          <w:szCs w:val="24"/>
          <w:highlight w:val="none"/>
          <w:lang w:val="en-US" w:eastAsia="zh-CN"/>
        </w:rPr>
        <w:t>原始发货凭证或收料单据</w:t>
      </w:r>
      <w:r>
        <w:rPr>
          <w:rFonts w:hint="eastAsia"/>
          <w:b w:val="0"/>
          <w:bCs/>
          <w:color w:val="auto"/>
          <w:sz w:val="24"/>
          <w:szCs w:val="24"/>
          <w:highlight w:val="none"/>
          <w:lang w:val="zh-CN" w:eastAsia="zh-CN"/>
        </w:rPr>
        <w:t>办理结算并开具增值税发票，次月</w:t>
      </w:r>
      <w:r>
        <w:rPr>
          <w:rFonts w:hint="eastAsia"/>
          <w:color w:val="auto"/>
          <w:sz w:val="24"/>
          <w:szCs w:val="24"/>
          <w:highlight w:val="none"/>
          <w:lang w:val="en-US" w:eastAsia="zh-CN"/>
        </w:rPr>
        <w:t>内</w:t>
      </w:r>
      <w:r>
        <w:rPr>
          <w:rFonts w:hint="eastAsia"/>
          <w:b w:val="0"/>
          <w:bCs/>
          <w:color w:val="auto"/>
          <w:sz w:val="24"/>
          <w:szCs w:val="24"/>
          <w:highlight w:val="none"/>
          <w:lang w:val="zh-CN" w:eastAsia="zh-CN"/>
        </w:rPr>
        <w:t>支付结算货款的</w:t>
      </w:r>
      <w:r>
        <w:rPr>
          <w:rFonts w:hint="eastAsia"/>
          <w:color w:val="auto"/>
          <w:sz w:val="24"/>
          <w:szCs w:val="24"/>
          <w:highlight w:val="none"/>
          <w:lang w:val="en-US" w:eastAsia="zh-CN"/>
        </w:rPr>
        <w:t>__</w:t>
      </w:r>
      <w:r>
        <w:rPr>
          <w:rFonts w:hint="eastAsia"/>
          <w:color w:val="auto"/>
          <w:sz w:val="24"/>
          <w:szCs w:val="24"/>
          <w:highlight w:val="none"/>
          <w:u w:val="single"/>
          <w:lang w:val="en-US" w:eastAsia="zh-CN"/>
        </w:rPr>
        <w:t>80</w:t>
      </w:r>
      <w:r>
        <w:rPr>
          <w:rFonts w:hint="eastAsia"/>
          <w:color w:val="auto"/>
          <w:sz w:val="24"/>
          <w:szCs w:val="24"/>
          <w:highlight w:val="none"/>
          <w:lang w:val="en-US" w:eastAsia="zh-CN"/>
        </w:rPr>
        <w:t>__</w:t>
      </w:r>
      <w:r>
        <w:rPr>
          <w:rFonts w:hint="eastAsia"/>
          <w:b w:val="0"/>
          <w:bCs/>
          <w:color w:val="auto"/>
          <w:sz w:val="24"/>
          <w:szCs w:val="24"/>
          <w:highlight w:val="none"/>
          <w:lang w:val="zh-CN" w:eastAsia="zh-CN"/>
        </w:rPr>
        <w:t>%，</w:t>
      </w:r>
      <w:r>
        <w:rPr>
          <w:rFonts w:hint="eastAsia"/>
          <w:b w:val="0"/>
          <w:bCs/>
          <w:color w:val="auto"/>
          <w:sz w:val="24"/>
          <w:szCs w:val="24"/>
          <w:highlight w:val="none"/>
          <w:lang w:val="en-US" w:eastAsia="zh-CN"/>
        </w:rPr>
        <w:t>结算后第三个月内滚动支付结算货款的</w:t>
      </w:r>
      <w:r>
        <w:rPr>
          <w:rFonts w:hint="eastAsia"/>
          <w:color w:val="auto"/>
          <w:sz w:val="24"/>
          <w:szCs w:val="24"/>
          <w:highlight w:val="none"/>
          <w:lang w:val="en-US" w:eastAsia="zh-CN"/>
        </w:rPr>
        <w:t>__</w:t>
      </w:r>
      <w:r>
        <w:rPr>
          <w:rFonts w:hint="eastAsia"/>
          <w:color w:val="auto"/>
          <w:sz w:val="24"/>
          <w:szCs w:val="24"/>
          <w:highlight w:val="none"/>
          <w:u w:val="single"/>
          <w:lang w:val="en-US" w:eastAsia="zh-CN"/>
        </w:rPr>
        <w:t>15</w:t>
      </w:r>
      <w:r>
        <w:rPr>
          <w:rFonts w:hint="eastAsia"/>
          <w:color w:val="auto"/>
          <w:sz w:val="24"/>
          <w:szCs w:val="24"/>
          <w:highlight w:val="none"/>
          <w:lang w:val="en-US" w:eastAsia="zh-CN"/>
        </w:rPr>
        <w:t>__</w:t>
      </w:r>
      <w:r>
        <w:rPr>
          <w:rFonts w:hint="eastAsia"/>
          <w:b w:val="0"/>
          <w:bCs/>
          <w:color w:val="auto"/>
          <w:sz w:val="24"/>
          <w:szCs w:val="24"/>
          <w:highlight w:val="none"/>
          <w:lang w:val="zh-CN" w:eastAsia="zh-CN"/>
        </w:rPr>
        <w:t>%</w:t>
      </w:r>
      <w:r>
        <w:rPr>
          <w:rFonts w:hint="eastAsia"/>
          <w:b w:val="0"/>
          <w:bCs/>
          <w:color w:val="auto"/>
          <w:sz w:val="24"/>
          <w:szCs w:val="24"/>
          <w:highlight w:val="none"/>
          <w:lang w:val="en-US" w:eastAsia="zh-CN"/>
        </w:rPr>
        <w:t>，</w:t>
      </w:r>
      <w:r>
        <w:rPr>
          <w:rFonts w:hint="eastAsia"/>
          <w:b w:val="0"/>
          <w:bCs/>
          <w:color w:val="auto"/>
          <w:sz w:val="24"/>
          <w:szCs w:val="24"/>
          <w:highlight w:val="none"/>
          <w:lang w:val="zh-CN" w:eastAsia="zh-CN"/>
        </w:rPr>
        <w:t>剩余的</w:t>
      </w:r>
      <w:r>
        <w:rPr>
          <w:rFonts w:hint="eastAsia"/>
          <w:b w:val="0"/>
          <w:bCs/>
          <w:color w:val="auto"/>
          <w:sz w:val="24"/>
          <w:szCs w:val="24"/>
          <w:highlight w:val="none"/>
          <w:lang w:val="en-US" w:eastAsia="zh-CN"/>
        </w:rPr>
        <w:t>5</w:t>
      </w:r>
      <w:r>
        <w:rPr>
          <w:rFonts w:hint="eastAsia"/>
          <w:b w:val="0"/>
          <w:bCs/>
          <w:color w:val="auto"/>
          <w:sz w:val="24"/>
          <w:szCs w:val="24"/>
          <w:highlight w:val="none"/>
          <w:lang w:val="zh-CN" w:eastAsia="zh-CN"/>
        </w:rPr>
        <w:t>%质保金在每期结算办理后</w:t>
      </w:r>
      <w:r>
        <w:rPr>
          <w:rFonts w:hint="eastAsia"/>
          <w:b w:val="0"/>
          <w:bCs/>
          <w:color w:val="auto"/>
          <w:sz w:val="24"/>
          <w:szCs w:val="24"/>
          <w:highlight w:val="none"/>
          <w:lang w:val="en-US" w:eastAsia="zh-CN"/>
        </w:rPr>
        <w:t>6</w:t>
      </w:r>
      <w:r>
        <w:rPr>
          <w:rFonts w:hint="eastAsia"/>
          <w:b w:val="0"/>
          <w:bCs/>
          <w:color w:val="auto"/>
          <w:sz w:val="24"/>
          <w:szCs w:val="24"/>
          <w:highlight w:val="none"/>
          <w:lang w:val="zh-CN" w:eastAsia="zh-CN"/>
        </w:rPr>
        <w:t>个月内，无相关质量责任事故以后无息退还。</w:t>
      </w:r>
    </w:p>
    <w:p w14:paraId="73CDE01C">
      <w:pPr>
        <w:keepNext w:val="0"/>
        <w:keepLines w:val="0"/>
        <w:pageBreakBefore w:val="0"/>
        <w:widowControl w:val="0"/>
        <w:kinsoku/>
        <w:wordWrap/>
        <w:overflowPunct/>
        <w:topLinePunct w:val="0"/>
        <w:autoSpaceDE/>
        <w:autoSpaceDN/>
        <w:bidi w:val="0"/>
        <w:adjustRightInd/>
        <w:snapToGrid/>
        <w:spacing w:line="360" w:lineRule="auto"/>
        <w:ind w:left="0" w:leftChars="0" w:firstLineChars="0"/>
        <w:textAlignment w:val="auto"/>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 xml:space="preserve">    </w:t>
      </w:r>
      <w:r>
        <w:rPr>
          <w:rFonts w:hint="eastAsia"/>
          <w:b w:val="0"/>
          <w:bCs/>
          <w:color w:val="auto"/>
          <w:sz w:val="24"/>
          <w:szCs w:val="24"/>
          <w:highlight w:val="none"/>
          <w:lang w:val="zh-CN" w:eastAsia="zh-CN"/>
        </w:rPr>
        <w:t>支付方式：</w:t>
      </w:r>
      <w:r>
        <w:rPr>
          <w:rFonts w:hint="eastAsia"/>
          <w:b w:val="0"/>
          <w:bCs/>
          <w:color w:val="auto"/>
          <w:sz w:val="24"/>
          <w:szCs w:val="24"/>
          <w:highlight w:val="none"/>
          <w:lang w:val="en-US" w:eastAsia="zh-CN"/>
        </w:rPr>
        <w:t>包括但不限于</w:t>
      </w:r>
      <w:r>
        <w:rPr>
          <w:rFonts w:hint="eastAsia"/>
          <w:b w:val="0"/>
          <w:bCs/>
          <w:color w:val="auto"/>
          <w:sz w:val="24"/>
          <w:szCs w:val="24"/>
          <w:highlight w:val="none"/>
          <w:lang w:val="zh-CN" w:eastAsia="zh-CN"/>
        </w:rPr>
        <w:t>银行转账、银行承兑汇票、</w:t>
      </w:r>
      <w:r>
        <w:rPr>
          <w:rFonts w:hint="eastAsia"/>
          <w:b w:val="0"/>
          <w:bCs/>
          <w:color w:val="auto"/>
          <w:sz w:val="24"/>
          <w:szCs w:val="24"/>
          <w:highlight w:val="none"/>
          <w:lang w:val="en-US" w:eastAsia="zh-CN"/>
        </w:rPr>
        <w:t>工行E信、中企云链等供应链金融。</w:t>
      </w:r>
      <w:r>
        <w:rPr>
          <w:rFonts w:hint="eastAsia"/>
          <w:color w:val="auto"/>
          <w:sz w:val="24"/>
          <w:szCs w:val="24"/>
          <w:highlight w:val="none"/>
          <w:lang w:val="en-US" w:eastAsia="zh-CN"/>
        </w:rPr>
        <w:t>乙方在收到甲方支付的货款，包括但不限于银行转账、银行承兑汇票、工行E信、中企云链等供应链金融产品时，则视为甲方已向乙方支付当期货款，乙方不得追究甲方该批次货款的违约支付责任，且</w:t>
      </w:r>
      <w:r>
        <w:rPr>
          <w:rFonts w:hint="eastAsia" w:ascii="Times New Roman" w:hAnsi="Times New Roman" w:cs="Times New Roman"/>
          <w:b w:val="0"/>
          <w:bCs w:val="0"/>
          <w:color w:val="auto"/>
          <w:sz w:val="24"/>
          <w:szCs w:val="24"/>
          <w:highlight w:val="none"/>
          <w:lang w:val="en-US" w:eastAsia="zh-CN"/>
        </w:rPr>
        <w:t>乙方不得停供。</w:t>
      </w:r>
    </w:p>
    <w:p w14:paraId="0FC6D8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2</w:t>
      </w:r>
      <w:r>
        <w:rPr>
          <w:rFonts w:hint="eastAsia"/>
          <w:color w:val="auto"/>
          <w:sz w:val="24"/>
          <w:szCs w:val="24"/>
          <w:highlight w:val="none"/>
          <w:lang w:val="zh-CN"/>
        </w:rPr>
        <w:t>、甲方验收合格并收料前发生的一切费用、损失或造成的第三者损失均由乙方负责，甲方对此不承担任何费用及责任。</w:t>
      </w:r>
    </w:p>
    <w:p w14:paraId="1550C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3</w:t>
      </w:r>
      <w:r>
        <w:rPr>
          <w:rFonts w:hint="eastAsia"/>
          <w:color w:val="auto"/>
          <w:sz w:val="24"/>
          <w:szCs w:val="24"/>
          <w:highlight w:val="none"/>
          <w:lang w:val="zh-CN"/>
        </w:rPr>
        <w:t>、乙方办理货款结算人应是本合同约定的人员，并须持有乙方签发的授权委托书。甲方认为必要时，有权要求乙方对授权委托书进行公证。</w:t>
      </w:r>
    </w:p>
    <w:p w14:paraId="7179D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4</w:t>
      </w:r>
      <w:r>
        <w:rPr>
          <w:rFonts w:hint="eastAsia"/>
          <w:color w:val="auto"/>
          <w:sz w:val="24"/>
          <w:szCs w:val="24"/>
          <w:highlight w:val="none"/>
          <w:lang w:val="zh-CN"/>
        </w:rPr>
        <w:t>、乙方接受货款的账户应是本合同约定的账户，户名与乙方的法定注册信息一致。在合同履行期间，如果乙方的账户发生变更，应及时向甲方提供变更证明文件。如果乙方接受货款的账户与合同约定不符且未提供法定证明文件，甲方有权拒绝付款。</w:t>
      </w:r>
    </w:p>
    <w:p w14:paraId="16D07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5、乙方</w:t>
      </w:r>
      <w:r>
        <w:rPr>
          <w:rFonts w:hint="eastAsia"/>
          <w:color w:val="auto"/>
          <w:sz w:val="24"/>
          <w:szCs w:val="24"/>
          <w:highlight w:val="none"/>
          <w:lang w:val="zh-CN"/>
        </w:rPr>
        <w:t>指定货款结算人持甲方签认的并经甲方审核无误的单据到甲方材料部门办理相关结算手续。结算</w:t>
      </w:r>
      <w:r>
        <w:rPr>
          <w:rFonts w:hint="eastAsia"/>
          <w:color w:val="auto"/>
          <w:sz w:val="24"/>
          <w:szCs w:val="24"/>
          <w:highlight w:val="none"/>
          <w:lang w:val="zh-CN" w:eastAsia="zh-CN"/>
        </w:rPr>
        <w:t>时</w:t>
      </w:r>
      <w:r>
        <w:rPr>
          <w:rFonts w:hint="eastAsia"/>
          <w:color w:val="auto"/>
          <w:sz w:val="24"/>
          <w:szCs w:val="24"/>
          <w:highlight w:val="none"/>
          <w:lang w:val="zh-CN"/>
        </w:rPr>
        <w:t>乙方按约定向甲方开具合法合规的增值税发票，并按实际货物验收情况，准确填写发票项目。因乙方填写的发票信息有误或发票折叠、挤压、发票专用章压住发票金额等情况，导致甲方无法办理增值税抵扣造成损失的，由</w:t>
      </w:r>
      <w:r>
        <w:rPr>
          <w:rFonts w:hint="eastAsia"/>
          <w:color w:val="auto"/>
          <w:sz w:val="24"/>
          <w:szCs w:val="24"/>
          <w:highlight w:val="none"/>
          <w:lang w:val="en-US" w:eastAsia="zh-CN"/>
        </w:rPr>
        <w:t>乙方在规定期限内重新开具发票，由此造成的延迟支付影响由乙方自行承担。</w:t>
      </w:r>
    </w:p>
    <w:p w14:paraId="6B612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6</w:t>
      </w:r>
      <w:r>
        <w:rPr>
          <w:rFonts w:hint="eastAsia"/>
          <w:color w:val="auto"/>
          <w:sz w:val="24"/>
          <w:szCs w:val="24"/>
          <w:highlight w:val="none"/>
          <w:lang w:val="zh-CN"/>
        </w:rPr>
        <w:t>、甲方在取得乙方合规的增值税发票并认证合格后，按照甲方资金情况向乙方支付货款，付款方式为银行转账或电汇。</w:t>
      </w:r>
    </w:p>
    <w:p w14:paraId="56ACF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en-US" w:eastAsia="zh-CN"/>
        </w:rPr>
        <w:t>7</w:t>
      </w:r>
      <w:r>
        <w:rPr>
          <w:rFonts w:hint="eastAsia"/>
          <w:color w:val="auto"/>
          <w:sz w:val="24"/>
          <w:szCs w:val="24"/>
          <w:highlight w:val="none"/>
          <w:lang w:val="zh-CN"/>
        </w:rPr>
        <w:t>、</w:t>
      </w:r>
      <w:r>
        <w:rPr>
          <w:rFonts w:hint="eastAsia"/>
          <w:color w:val="auto"/>
          <w:sz w:val="24"/>
          <w:szCs w:val="24"/>
          <w:highlight w:val="none"/>
          <w:lang w:val="en-US" w:eastAsia="zh-CN"/>
        </w:rPr>
        <w:t>乙</w:t>
      </w:r>
      <w:r>
        <w:rPr>
          <w:rFonts w:hint="eastAsia"/>
          <w:color w:val="auto"/>
          <w:sz w:val="24"/>
          <w:szCs w:val="24"/>
          <w:highlight w:val="none"/>
          <w:lang w:val="zh-CN" w:eastAsia="zh-CN"/>
        </w:rPr>
        <w:t>方指定的收款银行为：</w:t>
      </w:r>
    </w:p>
    <w:p w14:paraId="5C994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单位名称：</w:t>
      </w:r>
    </w:p>
    <w:p w14:paraId="27FB1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纳税人识别号：</w:t>
      </w:r>
    </w:p>
    <w:p w14:paraId="13B5D0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地址：电话：；</w:t>
      </w:r>
    </w:p>
    <w:p w14:paraId="575096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开户行：</w:t>
      </w:r>
    </w:p>
    <w:p w14:paraId="223C3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账号：</w:t>
      </w:r>
    </w:p>
    <w:p w14:paraId="190AB2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en-US" w:eastAsia="zh-CN"/>
        </w:rPr>
        <w:t>8</w:t>
      </w:r>
      <w:r>
        <w:rPr>
          <w:rFonts w:hint="eastAsia"/>
          <w:color w:val="auto"/>
          <w:sz w:val="24"/>
          <w:szCs w:val="24"/>
          <w:highlight w:val="none"/>
          <w:lang w:val="zh-CN" w:eastAsia="zh-CN"/>
        </w:rPr>
        <w:t>、甲方的开票信息：</w:t>
      </w:r>
    </w:p>
    <w:p w14:paraId="626BB0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单位名称：</w:t>
      </w:r>
    </w:p>
    <w:p w14:paraId="66D52A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纳税人识别号：</w:t>
      </w:r>
    </w:p>
    <w:p w14:paraId="0194A2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地址：</w:t>
      </w:r>
    </w:p>
    <w:p w14:paraId="408BC6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电话：</w:t>
      </w:r>
    </w:p>
    <w:p w14:paraId="0DB69D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开户行：</w:t>
      </w:r>
    </w:p>
    <w:p w14:paraId="437432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账号：</w:t>
      </w:r>
    </w:p>
    <w:p w14:paraId="0226E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9、甲方收取发票并抵扣的行为，不视为甲方对乙方履约行为的确认。</w:t>
      </w:r>
    </w:p>
    <w:p w14:paraId="02D40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zh-CN" w:eastAsia="zh-CN"/>
        </w:rPr>
      </w:pPr>
      <w:r>
        <w:rPr>
          <w:rFonts w:hint="eastAsia"/>
          <w:b/>
          <w:bCs/>
          <w:color w:val="auto"/>
          <w:sz w:val="24"/>
          <w:szCs w:val="24"/>
          <w:highlight w:val="none"/>
          <w:lang w:val="en-US" w:eastAsia="zh-CN"/>
        </w:rPr>
        <w:t>八、</w:t>
      </w:r>
      <w:r>
        <w:rPr>
          <w:rFonts w:hint="eastAsia"/>
          <w:b/>
          <w:bCs/>
          <w:color w:val="auto"/>
          <w:sz w:val="24"/>
          <w:szCs w:val="24"/>
          <w:highlight w:val="none"/>
          <w:lang w:val="zh-CN" w:eastAsia="zh-CN"/>
        </w:rPr>
        <w:t>产品的包装标准和包装物的供应与回收</w:t>
      </w:r>
    </w:p>
    <w:p w14:paraId="1A5903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产品的包装标准要符合国家有关部门的标准，要满足运输的需要，保证产品安全无损地运至交货地点，产品的包装由乙方负责。产品包装费用如合同中没有特别约定，视为包括在产品价格中，不得向甲方另外收取。乙方如果对包装物回收有特殊要求的，应在合同中予以约定，否则甲方有权自行回收和处置。</w:t>
      </w:r>
    </w:p>
    <w:p w14:paraId="259877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rPr>
      </w:pPr>
      <w:r>
        <w:rPr>
          <w:rFonts w:hint="eastAsia"/>
          <w:b/>
          <w:bCs/>
          <w:color w:val="auto"/>
          <w:sz w:val="24"/>
          <w:szCs w:val="24"/>
          <w:highlight w:val="none"/>
          <w:lang w:val="en-US" w:eastAsia="zh-CN"/>
        </w:rPr>
        <w:t>九、</w:t>
      </w:r>
      <w:r>
        <w:rPr>
          <w:rFonts w:hint="eastAsia"/>
          <w:b/>
          <w:bCs/>
          <w:color w:val="auto"/>
          <w:sz w:val="24"/>
          <w:szCs w:val="24"/>
          <w:highlight w:val="none"/>
        </w:rPr>
        <w:t>违约责任</w:t>
      </w:r>
    </w:p>
    <w:p w14:paraId="3DFE06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1、</w:t>
      </w:r>
      <w:r>
        <w:rPr>
          <w:rFonts w:hint="eastAsia"/>
          <w:color w:val="auto"/>
          <w:sz w:val="24"/>
          <w:szCs w:val="24"/>
          <w:highlight w:val="none"/>
          <w:lang w:val="zh-CN"/>
        </w:rPr>
        <w:t>乙方逾期供货的，应根据逾期供货部分的货款，按每日千分之</w:t>
      </w:r>
      <w:r>
        <w:rPr>
          <w:rFonts w:hint="eastAsia"/>
          <w:color w:val="auto"/>
          <w:sz w:val="24"/>
          <w:szCs w:val="24"/>
          <w:highlight w:val="none"/>
          <w:lang w:val="en-US" w:eastAsia="zh-CN"/>
        </w:rPr>
        <w:t>一</w:t>
      </w:r>
      <w:r>
        <w:rPr>
          <w:rFonts w:hint="eastAsia"/>
          <w:color w:val="auto"/>
          <w:sz w:val="24"/>
          <w:szCs w:val="24"/>
          <w:highlight w:val="none"/>
          <w:lang w:val="zh-CN"/>
        </w:rPr>
        <w:t>计算向甲方支付逾期供货的违约金，并承担甲方因此所受的损失。逾期超过</w:t>
      </w:r>
      <w:r>
        <w:rPr>
          <w:rFonts w:hint="eastAsia"/>
          <w:color w:val="auto"/>
          <w:sz w:val="24"/>
          <w:szCs w:val="24"/>
          <w:highlight w:val="none"/>
          <w:lang w:val="en-US" w:eastAsia="zh-CN"/>
        </w:rPr>
        <w:t>7</w:t>
      </w:r>
      <w:r>
        <w:rPr>
          <w:rFonts w:hint="eastAsia"/>
          <w:color w:val="auto"/>
          <w:sz w:val="24"/>
          <w:szCs w:val="24"/>
          <w:highlight w:val="none"/>
          <w:lang w:val="zh-CN"/>
        </w:rPr>
        <w:t>天的，甲方有权解除合同，乙方应向甲方支付</w:t>
      </w:r>
      <w:r>
        <w:rPr>
          <w:rFonts w:hint="eastAsia"/>
          <w:color w:val="auto"/>
          <w:sz w:val="24"/>
          <w:szCs w:val="24"/>
          <w:highlight w:val="none"/>
          <w:lang w:val="en-US" w:eastAsia="zh-CN"/>
        </w:rPr>
        <w:t>已产生的逾期供货违约金及</w:t>
      </w:r>
      <w:r>
        <w:rPr>
          <w:rFonts w:hint="eastAsia"/>
          <w:color w:val="auto"/>
          <w:sz w:val="24"/>
          <w:szCs w:val="24"/>
          <w:highlight w:val="none"/>
          <w:lang w:val="zh-CN"/>
        </w:rPr>
        <w:t>合同总价</w:t>
      </w:r>
      <w:r>
        <w:rPr>
          <w:rFonts w:hint="eastAsia"/>
          <w:color w:val="auto"/>
          <w:sz w:val="24"/>
          <w:szCs w:val="24"/>
          <w:highlight w:val="none"/>
          <w:lang w:val="en-US" w:eastAsia="zh-CN"/>
        </w:rPr>
        <w:t>百分</w:t>
      </w:r>
      <w:r>
        <w:rPr>
          <w:rFonts w:hint="eastAsia"/>
          <w:color w:val="auto"/>
          <w:sz w:val="24"/>
          <w:szCs w:val="24"/>
          <w:highlight w:val="none"/>
          <w:lang w:val="zh-CN"/>
        </w:rPr>
        <w:t>之</w:t>
      </w:r>
      <w:r>
        <w:rPr>
          <w:rFonts w:hint="eastAsia"/>
          <w:color w:val="auto"/>
          <w:sz w:val="24"/>
          <w:szCs w:val="24"/>
          <w:highlight w:val="none"/>
          <w:lang w:val="en-US" w:eastAsia="zh-CN"/>
        </w:rPr>
        <w:t>十</w:t>
      </w:r>
      <w:r>
        <w:rPr>
          <w:rFonts w:hint="eastAsia"/>
          <w:color w:val="auto"/>
          <w:sz w:val="24"/>
          <w:szCs w:val="24"/>
          <w:highlight w:val="none"/>
          <w:lang w:val="zh-CN"/>
        </w:rPr>
        <w:t>的违约金并赔偿甲方因此所受的损失。</w:t>
      </w:r>
    </w:p>
    <w:p w14:paraId="6B4F4D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2</w:t>
      </w:r>
      <w:r>
        <w:rPr>
          <w:rFonts w:hint="eastAsia"/>
          <w:color w:val="auto"/>
          <w:sz w:val="24"/>
          <w:szCs w:val="24"/>
          <w:highlight w:val="none"/>
          <w:lang w:val="zh-CN"/>
        </w:rPr>
        <w:t>、当乙方连续或累计超过</w:t>
      </w:r>
      <w:r>
        <w:rPr>
          <w:rFonts w:hint="eastAsia"/>
          <w:color w:val="auto"/>
          <w:sz w:val="24"/>
          <w:szCs w:val="24"/>
          <w:highlight w:val="none"/>
          <w:lang w:val="en-US" w:eastAsia="zh-CN"/>
        </w:rPr>
        <w:t>15</w:t>
      </w:r>
      <w:r>
        <w:rPr>
          <w:rFonts w:hint="eastAsia"/>
          <w:color w:val="auto"/>
          <w:sz w:val="24"/>
          <w:szCs w:val="24"/>
          <w:highlight w:val="none"/>
          <w:lang w:val="zh-CN"/>
        </w:rPr>
        <w:t>天的供货数量不能满足合同约定或甲方要求的数量时，属于违约，甲方有权选择变更采购材料数量或终止合同，并要求乙方支付合同总价</w:t>
      </w:r>
      <w:r>
        <w:rPr>
          <w:rFonts w:hint="eastAsia"/>
          <w:color w:val="auto"/>
          <w:sz w:val="24"/>
          <w:szCs w:val="24"/>
          <w:highlight w:val="none"/>
          <w:lang w:val="en-US" w:eastAsia="zh-CN"/>
        </w:rPr>
        <w:t>百</w:t>
      </w:r>
      <w:r>
        <w:rPr>
          <w:rFonts w:hint="eastAsia"/>
          <w:color w:val="auto"/>
          <w:sz w:val="24"/>
          <w:szCs w:val="24"/>
          <w:highlight w:val="none"/>
          <w:lang w:val="zh-CN"/>
        </w:rPr>
        <w:t>分之</w:t>
      </w:r>
      <w:r>
        <w:rPr>
          <w:rFonts w:hint="eastAsia"/>
          <w:color w:val="auto"/>
          <w:sz w:val="24"/>
          <w:szCs w:val="24"/>
          <w:highlight w:val="none"/>
          <w:lang w:val="en-US" w:eastAsia="zh-CN"/>
        </w:rPr>
        <w:t>十</w:t>
      </w:r>
      <w:r>
        <w:rPr>
          <w:rFonts w:hint="eastAsia"/>
          <w:color w:val="auto"/>
          <w:sz w:val="24"/>
          <w:szCs w:val="24"/>
          <w:highlight w:val="none"/>
          <w:lang w:val="zh-CN"/>
        </w:rPr>
        <w:t>的违约金和赔偿损失。</w:t>
      </w:r>
    </w:p>
    <w:p w14:paraId="2E77A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3</w:t>
      </w:r>
      <w:r>
        <w:rPr>
          <w:rFonts w:hint="eastAsia"/>
          <w:color w:val="auto"/>
          <w:sz w:val="24"/>
          <w:szCs w:val="24"/>
          <w:highlight w:val="none"/>
          <w:lang w:val="zh-CN"/>
        </w:rPr>
        <w:t>、乙方应对供应产品的质量负责，未经甲方同意变更生产厂家或品牌，甲方有权终止合同，因此造成的损失，乙方应予以赔偿，同时乙方应向甲方支付合同总价</w:t>
      </w:r>
      <w:r>
        <w:rPr>
          <w:rFonts w:hint="eastAsia"/>
          <w:color w:val="auto"/>
          <w:sz w:val="24"/>
          <w:szCs w:val="24"/>
          <w:highlight w:val="none"/>
          <w:lang w:val="en-US" w:eastAsia="zh-CN"/>
        </w:rPr>
        <w:t>百</w:t>
      </w:r>
      <w:r>
        <w:rPr>
          <w:rFonts w:hint="eastAsia"/>
          <w:color w:val="auto"/>
          <w:sz w:val="24"/>
          <w:szCs w:val="24"/>
          <w:highlight w:val="none"/>
          <w:lang w:val="zh-CN"/>
        </w:rPr>
        <w:t>分之</w:t>
      </w:r>
      <w:r>
        <w:rPr>
          <w:rFonts w:hint="eastAsia"/>
          <w:color w:val="auto"/>
          <w:sz w:val="24"/>
          <w:szCs w:val="24"/>
          <w:highlight w:val="none"/>
          <w:lang w:val="en-US" w:eastAsia="zh-CN"/>
        </w:rPr>
        <w:t>十</w:t>
      </w:r>
      <w:r>
        <w:rPr>
          <w:rFonts w:hint="eastAsia"/>
          <w:color w:val="auto"/>
          <w:sz w:val="24"/>
          <w:szCs w:val="24"/>
          <w:highlight w:val="none"/>
          <w:lang w:val="zh-CN"/>
        </w:rPr>
        <w:t>的违约金。乙方供应的材料质量无法达到规定标准时，属于严重违约，甲方有权终止合同，并要求乙方赔偿损失和支付合同总价</w:t>
      </w:r>
      <w:r>
        <w:rPr>
          <w:rFonts w:hint="eastAsia"/>
          <w:color w:val="auto"/>
          <w:sz w:val="24"/>
          <w:szCs w:val="24"/>
          <w:highlight w:val="none"/>
          <w:lang w:val="en-US" w:eastAsia="zh-CN"/>
        </w:rPr>
        <w:t>百</w:t>
      </w:r>
      <w:r>
        <w:rPr>
          <w:rFonts w:hint="eastAsia"/>
          <w:color w:val="auto"/>
          <w:sz w:val="24"/>
          <w:szCs w:val="24"/>
          <w:highlight w:val="none"/>
          <w:lang w:val="zh-CN"/>
        </w:rPr>
        <w:t>分之</w:t>
      </w:r>
      <w:r>
        <w:rPr>
          <w:rFonts w:hint="eastAsia"/>
          <w:color w:val="auto"/>
          <w:sz w:val="24"/>
          <w:szCs w:val="24"/>
          <w:highlight w:val="none"/>
          <w:lang w:val="en-US" w:eastAsia="zh-CN"/>
        </w:rPr>
        <w:t>十</w:t>
      </w:r>
      <w:r>
        <w:rPr>
          <w:rFonts w:hint="eastAsia"/>
          <w:color w:val="auto"/>
          <w:sz w:val="24"/>
          <w:szCs w:val="24"/>
          <w:highlight w:val="none"/>
          <w:lang w:val="zh-CN"/>
        </w:rPr>
        <w:t>的违约金。</w:t>
      </w:r>
    </w:p>
    <w:p w14:paraId="30A52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4</w:t>
      </w:r>
      <w:r>
        <w:rPr>
          <w:rFonts w:hint="eastAsia"/>
          <w:color w:val="auto"/>
          <w:sz w:val="24"/>
          <w:szCs w:val="24"/>
          <w:highlight w:val="none"/>
          <w:lang w:val="zh-CN"/>
        </w:rPr>
        <w:t>、乙方应在合同约定的期限内，按甲方要求提供合法增值税发票，否则，甲方有权不予支付货款，相关责任和损失由乙方承担，同时不免除乙方提供增值税发票的义务。</w:t>
      </w:r>
    </w:p>
    <w:p w14:paraId="560A37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5</w:t>
      </w:r>
      <w:r>
        <w:rPr>
          <w:rFonts w:hint="eastAsia"/>
          <w:color w:val="auto"/>
          <w:sz w:val="24"/>
          <w:szCs w:val="24"/>
          <w:highlight w:val="none"/>
          <w:lang w:val="zh-CN"/>
        </w:rPr>
        <w:t>、乙方有其他违约行为的，甲方有权要求其立即改正，并视情况要求其支付不超过合同总价</w:t>
      </w:r>
      <w:r>
        <w:rPr>
          <w:rFonts w:hint="eastAsia"/>
          <w:color w:val="auto"/>
          <w:sz w:val="24"/>
          <w:szCs w:val="24"/>
          <w:highlight w:val="none"/>
          <w:lang w:val="en-US" w:eastAsia="zh-CN"/>
        </w:rPr>
        <w:t>百</w:t>
      </w:r>
      <w:r>
        <w:rPr>
          <w:rFonts w:hint="eastAsia"/>
          <w:color w:val="auto"/>
          <w:sz w:val="24"/>
          <w:szCs w:val="24"/>
          <w:highlight w:val="none"/>
          <w:lang w:val="zh-CN"/>
        </w:rPr>
        <w:t>分之</w:t>
      </w:r>
      <w:r>
        <w:rPr>
          <w:rFonts w:hint="eastAsia"/>
          <w:color w:val="auto"/>
          <w:sz w:val="24"/>
          <w:szCs w:val="24"/>
          <w:highlight w:val="none"/>
          <w:lang w:val="en-US" w:eastAsia="zh-CN"/>
        </w:rPr>
        <w:t>十</w:t>
      </w:r>
      <w:r>
        <w:rPr>
          <w:rFonts w:hint="eastAsia"/>
          <w:color w:val="auto"/>
          <w:sz w:val="24"/>
          <w:szCs w:val="24"/>
          <w:highlight w:val="none"/>
          <w:lang w:val="zh-CN"/>
        </w:rPr>
        <w:t>的违约金或赔偿损失。乙方有违法违规或其他严重违约行为的，甲方有权解除合同，乙方应向甲方支付</w:t>
      </w:r>
      <w:r>
        <w:rPr>
          <w:rFonts w:hint="eastAsia"/>
          <w:color w:val="auto"/>
          <w:sz w:val="24"/>
          <w:szCs w:val="24"/>
          <w:highlight w:val="none"/>
          <w:lang w:val="en-US" w:eastAsia="zh-CN"/>
        </w:rPr>
        <w:t>已产生的违约金及</w:t>
      </w:r>
      <w:r>
        <w:rPr>
          <w:rFonts w:hint="eastAsia"/>
          <w:color w:val="auto"/>
          <w:sz w:val="24"/>
          <w:szCs w:val="24"/>
          <w:highlight w:val="none"/>
          <w:lang w:val="zh-CN"/>
        </w:rPr>
        <w:t>合同总价</w:t>
      </w:r>
      <w:r>
        <w:rPr>
          <w:rFonts w:hint="eastAsia"/>
          <w:color w:val="auto"/>
          <w:sz w:val="24"/>
          <w:szCs w:val="24"/>
          <w:highlight w:val="none"/>
          <w:lang w:val="en-US" w:eastAsia="zh-CN"/>
        </w:rPr>
        <w:t>百</w:t>
      </w:r>
      <w:r>
        <w:rPr>
          <w:rFonts w:hint="eastAsia"/>
          <w:color w:val="auto"/>
          <w:sz w:val="24"/>
          <w:szCs w:val="24"/>
          <w:highlight w:val="none"/>
          <w:lang w:val="zh-CN"/>
        </w:rPr>
        <w:t>分之</w:t>
      </w:r>
      <w:r>
        <w:rPr>
          <w:rFonts w:hint="eastAsia"/>
          <w:color w:val="auto"/>
          <w:sz w:val="24"/>
          <w:szCs w:val="24"/>
          <w:highlight w:val="none"/>
          <w:lang w:val="en-US" w:eastAsia="zh-CN"/>
        </w:rPr>
        <w:t>十</w:t>
      </w:r>
      <w:r>
        <w:rPr>
          <w:rFonts w:hint="eastAsia"/>
          <w:color w:val="auto"/>
          <w:sz w:val="24"/>
          <w:szCs w:val="24"/>
          <w:highlight w:val="none"/>
          <w:lang w:val="zh-CN"/>
        </w:rPr>
        <w:t>的违约金并赔偿甲方因此所受的损失。</w:t>
      </w:r>
    </w:p>
    <w:p w14:paraId="28AF719E">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rPr>
      </w:pPr>
      <w:r>
        <w:rPr>
          <w:rFonts w:hint="eastAsia"/>
          <w:color w:val="auto"/>
          <w:sz w:val="24"/>
          <w:szCs w:val="24"/>
          <w:highlight w:val="none"/>
          <w:lang w:val="en-US" w:eastAsia="zh-CN"/>
        </w:rPr>
        <w:t>6、本条所称赔偿损失的范围包括但不限于因此产生的诉讼费、律师费、保全费、担保费等维权费用。</w:t>
      </w:r>
    </w:p>
    <w:p w14:paraId="016D6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rPr>
      </w:pPr>
      <w:r>
        <w:rPr>
          <w:rFonts w:hint="eastAsia"/>
          <w:b/>
          <w:bCs/>
          <w:color w:val="auto"/>
          <w:sz w:val="24"/>
          <w:szCs w:val="24"/>
          <w:highlight w:val="none"/>
          <w:lang w:val="en-US" w:eastAsia="zh-CN"/>
        </w:rPr>
        <w:t>十、</w:t>
      </w:r>
      <w:r>
        <w:rPr>
          <w:rFonts w:hint="eastAsia"/>
          <w:b/>
          <w:bCs/>
          <w:color w:val="auto"/>
          <w:sz w:val="24"/>
          <w:szCs w:val="24"/>
          <w:highlight w:val="none"/>
        </w:rPr>
        <w:t>不可抗力</w:t>
      </w:r>
    </w:p>
    <w:p w14:paraId="29C654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1、不可抗力系指那些双方无法控制、不可预见且无法避免的事件。这些事件包括但不限于：战争、严重火灾、洪水、台风、地震以及其它双方商定的事件。</w:t>
      </w:r>
    </w:p>
    <w:p w14:paraId="1B000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2、甲、乙双方的任何一方由于不可抗力的原因不能履行合同时，应在发生不可抗力后</w:t>
      </w:r>
      <w:r>
        <w:rPr>
          <w:rFonts w:hint="eastAsia"/>
          <w:color w:val="auto"/>
          <w:sz w:val="24"/>
          <w:szCs w:val="24"/>
          <w:highlight w:val="none"/>
          <w:lang w:val="en-US" w:eastAsia="zh-CN"/>
        </w:rPr>
        <w:t>48</w:t>
      </w:r>
      <w:r>
        <w:rPr>
          <w:rFonts w:hint="eastAsia"/>
          <w:color w:val="auto"/>
          <w:sz w:val="24"/>
          <w:szCs w:val="24"/>
          <w:highlight w:val="none"/>
          <w:lang w:val="zh-CN" w:eastAsia="zh-CN"/>
        </w:rPr>
        <w:t>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2E60A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3、双方应尽可能地采取措施减少损失和继续履行不受不可抗力影响的其他事项。如果不可抗力事件影响持续超过90天，双方应通过友好协商在合理的时间内达成解除或进一步履行合同的协议，如果在180天内双方未达成一致的，任何一方均有权解除或终止合同而不承担违约责任。</w:t>
      </w:r>
    </w:p>
    <w:p w14:paraId="47B4A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rPr>
      </w:pPr>
      <w:r>
        <w:rPr>
          <w:rFonts w:hint="eastAsia"/>
          <w:b/>
          <w:bCs/>
          <w:color w:val="auto"/>
          <w:sz w:val="24"/>
          <w:szCs w:val="24"/>
          <w:highlight w:val="none"/>
          <w:lang w:val="en-US" w:eastAsia="zh-CN"/>
        </w:rPr>
        <w:t>十一、</w:t>
      </w:r>
      <w:r>
        <w:rPr>
          <w:rFonts w:hint="eastAsia"/>
          <w:b/>
          <w:bCs/>
          <w:color w:val="auto"/>
          <w:sz w:val="24"/>
          <w:szCs w:val="24"/>
          <w:highlight w:val="none"/>
        </w:rPr>
        <w:t>其他事项</w:t>
      </w:r>
    </w:p>
    <w:p w14:paraId="6B9B3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1、乙方在生产加工及运输的过程中应遵守国家安全生产、道路交通安全及环境保护的有关规定，对因此造成的损失或第三者损失，由乙方承担。因此导致甲方产生实际损失的，甲方有权向乙方追偿。</w:t>
      </w:r>
    </w:p>
    <w:p w14:paraId="02B5C5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2、乙方承诺不对甲方人员行贿、腐化，不得因业务分歧寻衅滋事。如果发生该类行为，甲方有权终止合同。</w:t>
      </w:r>
    </w:p>
    <w:p w14:paraId="71120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3、乙方合同执行期间应妥善处理与其他相关单位、组织或个人发生的一切债权、债务。如果因乙方原因发生第三人向甲方主张权利并产生实际损失的，甲方有权向乙方追偿。</w:t>
      </w:r>
    </w:p>
    <w:p w14:paraId="7181EB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4、未经对方书面同意，本合同项下的所有债权、债务均不得转让。任何一方单方面转让债权、债务，导致对方被第三人提起仲裁、诉讼产生的诉讼费、律师费和其它损失的，均应予以赔偿。</w:t>
      </w:r>
    </w:p>
    <w:p w14:paraId="07A160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5、本合同为非排他性合同，乙方不得以任何理由干涉甲方与其他供应商的业务往来。</w:t>
      </w:r>
    </w:p>
    <w:p w14:paraId="56038A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6、乙方保证本合同项下产品不侵犯任何第三人的专利权、商标权，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6205C8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7、本合同未尽事宜，双方另行协商，协商一致签署补充协议，补充协议与本合同具有同等法律效力。</w:t>
      </w:r>
    </w:p>
    <w:p w14:paraId="61C1DD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zh-CN" w:eastAsia="zh-CN"/>
        </w:rPr>
      </w:pPr>
      <w:r>
        <w:rPr>
          <w:rFonts w:hint="eastAsia"/>
          <w:b/>
          <w:bCs/>
          <w:color w:val="auto"/>
          <w:sz w:val="24"/>
          <w:szCs w:val="24"/>
          <w:highlight w:val="none"/>
          <w:lang w:val="en-US" w:eastAsia="zh-CN"/>
        </w:rPr>
        <w:t>十二、</w:t>
      </w:r>
      <w:r>
        <w:rPr>
          <w:rFonts w:hint="eastAsia"/>
          <w:b/>
          <w:bCs/>
          <w:color w:val="auto"/>
          <w:sz w:val="24"/>
          <w:szCs w:val="24"/>
          <w:highlight w:val="none"/>
          <w:lang w:val="zh-CN" w:eastAsia="zh-CN"/>
        </w:rPr>
        <w:t>合同争议的解决方式</w:t>
      </w:r>
    </w:p>
    <w:p w14:paraId="2CCD7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val="zh-CN" w:eastAsia="zh-CN"/>
        </w:rPr>
      </w:pPr>
      <w:r>
        <w:rPr>
          <w:rFonts w:hint="eastAsia"/>
          <w:color w:val="auto"/>
          <w:sz w:val="24"/>
          <w:szCs w:val="24"/>
          <w:highlight w:val="none"/>
          <w:lang w:val="zh-CN" w:eastAsia="zh-CN"/>
        </w:rPr>
        <w:t>甲、乙双方一致同意本协议项下的所有争议均提交甲方（即采购方）住所地人民法院管辖进行裁决。</w:t>
      </w:r>
    </w:p>
    <w:p w14:paraId="633CF9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zh-CN" w:eastAsia="zh-CN"/>
        </w:rPr>
      </w:pPr>
      <w:r>
        <w:rPr>
          <w:rFonts w:hint="eastAsia"/>
          <w:b/>
          <w:bCs/>
          <w:color w:val="auto"/>
          <w:sz w:val="24"/>
          <w:szCs w:val="24"/>
          <w:highlight w:val="none"/>
          <w:lang w:val="zh-CN" w:eastAsia="zh-CN"/>
        </w:rPr>
        <w:t>第十</w:t>
      </w:r>
      <w:r>
        <w:rPr>
          <w:rFonts w:hint="eastAsia"/>
          <w:b/>
          <w:bCs/>
          <w:color w:val="auto"/>
          <w:sz w:val="24"/>
          <w:szCs w:val="24"/>
          <w:highlight w:val="none"/>
          <w:lang w:val="en-US" w:eastAsia="zh-CN"/>
        </w:rPr>
        <w:t>三</w:t>
      </w:r>
      <w:r>
        <w:rPr>
          <w:rFonts w:hint="eastAsia"/>
          <w:b/>
          <w:bCs/>
          <w:color w:val="auto"/>
          <w:sz w:val="24"/>
          <w:szCs w:val="24"/>
          <w:highlight w:val="none"/>
          <w:lang w:val="zh-CN" w:eastAsia="zh-CN"/>
        </w:rPr>
        <w:t>条、本合同经双方法定代表人或授权代表签字盖章后生效。</w:t>
      </w:r>
    </w:p>
    <w:p w14:paraId="2E550F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4"/>
          <w:szCs w:val="24"/>
          <w:highlight w:val="none"/>
          <w:lang w:val="zh-CN" w:eastAsia="zh-CN"/>
        </w:rPr>
      </w:pPr>
      <w:r>
        <w:rPr>
          <w:rFonts w:hint="eastAsia"/>
          <w:b w:val="0"/>
          <w:bCs w:val="0"/>
          <w:color w:val="auto"/>
          <w:sz w:val="24"/>
          <w:szCs w:val="24"/>
          <w:highlight w:val="none"/>
          <w:lang w:val="zh-CN" w:eastAsia="zh-CN"/>
        </w:rPr>
        <w:t>本合同一式</w:t>
      </w:r>
      <w:r>
        <w:rPr>
          <w:rFonts w:hint="eastAsia"/>
          <w:b w:val="0"/>
          <w:bCs w:val="0"/>
          <w:color w:val="auto"/>
          <w:sz w:val="24"/>
          <w:szCs w:val="24"/>
          <w:highlight w:val="none"/>
          <w:lang w:val="en-US" w:eastAsia="zh-CN"/>
        </w:rPr>
        <w:t>肆</w:t>
      </w:r>
      <w:r>
        <w:rPr>
          <w:rFonts w:hint="eastAsia"/>
          <w:b w:val="0"/>
          <w:bCs w:val="0"/>
          <w:color w:val="auto"/>
          <w:sz w:val="24"/>
          <w:szCs w:val="24"/>
          <w:highlight w:val="none"/>
          <w:lang w:val="zh-CN" w:eastAsia="zh-CN"/>
        </w:rPr>
        <w:t>份，甲乙方各执</w:t>
      </w:r>
      <w:r>
        <w:rPr>
          <w:rFonts w:hint="eastAsia"/>
          <w:b w:val="0"/>
          <w:bCs w:val="0"/>
          <w:color w:val="auto"/>
          <w:sz w:val="24"/>
          <w:szCs w:val="24"/>
          <w:highlight w:val="none"/>
          <w:lang w:val="en-US" w:eastAsia="zh-CN"/>
        </w:rPr>
        <w:t>贰</w:t>
      </w:r>
      <w:r>
        <w:rPr>
          <w:rFonts w:hint="eastAsia"/>
          <w:b w:val="0"/>
          <w:bCs w:val="0"/>
          <w:color w:val="auto"/>
          <w:sz w:val="24"/>
          <w:szCs w:val="24"/>
          <w:highlight w:val="none"/>
          <w:lang w:val="zh-CN" w:eastAsia="zh-CN"/>
        </w:rPr>
        <w:t>份。</w:t>
      </w:r>
    </w:p>
    <w:p w14:paraId="2595ED2A">
      <w:pPr>
        <w:pStyle w:val="13"/>
        <w:rPr>
          <w:rFonts w:hint="eastAsia"/>
          <w:color w:val="auto"/>
          <w:highlight w:val="none"/>
          <w:lang w:val="zh-CN" w:eastAsia="zh-CN"/>
        </w:rPr>
      </w:pPr>
    </w:p>
    <w:tbl>
      <w:tblPr>
        <w:tblStyle w:val="50"/>
        <w:tblW w:w="8522"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14:paraId="0AB5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261" w:type="dxa"/>
            <w:tcBorders>
              <w:bottom w:val="nil"/>
            </w:tcBorders>
            <w:vAlign w:val="top"/>
          </w:tcPr>
          <w:p w14:paraId="774B579E">
            <w:pPr>
              <w:pStyle w:val="319"/>
              <w:spacing w:before="3"/>
              <w:ind w:left="107"/>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甲方（需方）：</w:t>
            </w:r>
          </w:p>
          <w:p w14:paraId="1623977E">
            <w:pPr>
              <w:pStyle w:val="319"/>
              <w:spacing w:before="3"/>
              <w:ind w:left="106" w:leftChars="0" w:firstLine="0" w:firstLineChars="0"/>
              <w:rPr>
                <w:color w:val="auto"/>
                <w:highlight w:val="none"/>
              </w:rPr>
            </w:pPr>
          </w:p>
        </w:tc>
        <w:tc>
          <w:tcPr>
            <w:tcW w:w="4261" w:type="dxa"/>
            <w:tcBorders>
              <w:bottom w:val="nil"/>
            </w:tcBorders>
          </w:tcPr>
          <w:p w14:paraId="5DFC6CC6">
            <w:pPr>
              <w:pStyle w:val="319"/>
              <w:spacing w:before="3"/>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乙方（供方）：</w:t>
            </w:r>
          </w:p>
          <w:p w14:paraId="0E798FFF">
            <w:pPr>
              <w:pStyle w:val="319"/>
              <w:spacing w:before="3"/>
              <w:ind w:left="106"/>
              <w:rPr>
                <w:rFonts w:hint="eastAsia" w:asciiTheme="minorEastAsia" w:hAnsiTheme="minorEastAsia" w:eastAsiaTheme="minorEastAsia" w:cstheme="minorEastAsia"/>
                <w:color w:val="auto"/>
                <w:kern w:val="2"/>
                <w:sz w:val="24"/>
                <w:szCs w:val="24"/>
                <w:highlight w:val="none"/>
                <w:lang w:val="zh-CN" w:eastAsia="zh-CN" w:bidi="ar-SA"/>
              </w:rPr>
            </w:pPr>
          </w:p>
        </w:tc>
      </w:tr>
      <w:tr w14:paraId="7783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1" w:type="dxa"/>
            <w:tcBorders>
              <w:top w:val="nil"/>
              <w:bottom w:val="nil"/>
            </w:tcBorders>
            <w:vAlign w:val="top"/>
          </w:tcPr>
          <w:p w14:paraId="39F8A748">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单位地址：</w:t>
            </w:r>
          </w:p>
        </w:tc>
        <w:tc>
          <w:tcPr>
            <w:tcW w:w="4261" w:type="dxa"/>
            <w:tcBorders>
              <w:top w:val="nil"/>
              <w:bottom w:val="nil"/>
            </w:tcBorders>
          </w:tcPr>
          <w:p w14:paraId="332E6C0C">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单位地址：</w:t>
            </w:r>
          </w:p>
        </w:tc>
      </w:tr>
      <w:tr w14:paraId="1E8B2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261" w:type="dxa"/>
            <w:tcBorders>
              <w:top w:val="nil"/>
              <w:bottom w:val="nil"/>
            </w:tcBorders>
            <w:vAlign w:val="top"/>
          </w:tcPr>
          <w:p w14:paraId="4CFE553E">
            <w:pPr>
              <w:pStyle w:val="319"/>
              <w:spacing w:before="158"/>
              <w:ind w:left="106" w:leftChars="0" w:firstLine="0" w:firstLineChars="0"/>
              <w:rPr>
                <w:color w:val="auto"/>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lang w:val="en-US"/>
              </w:rPr>
              <w:t>：</w:t>
            </w:r>
          </w:p>
        </w:tc>
        <w:tc>
          <w:tcPr>
            <w:tcW w:w="4261" w:type="dxa"/>
            <w:tcBorders>
              <w:top w:val="nil"/>
              <w:bottom w:val="nil"/>
            </w:tcBorders>
            <w:vAlign w:val="top"/>
          </w:tcPr>
          <w:p w14:paraId="207E090D">
            <w:pPr>
              <w:pStyle w:val="319"/>
              <w:spacing w:before="158"/>
              <w:ind w:left="106" w:leftChars="0" w:firstLine="0" w:firstLineChars="0"/>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lang w:val="en-US"/>
              </w:rPr>
              <w:t>：</w:t>
            </w:r>
          </w:p>
        </w:tc>
      </w:tr>
      <w:tr w14:paraId="2EC5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261" w:type="dxa"/>
            <w:tcBorders>
              <w:top w:val="nil"/>
              <w:bottom w:val="nil"/>
            </w:tcBorders>
            <w:vAlign w:val="top"/>
          </w:tcPr>
          <w:p w14:paraId="6FFEC15A">
            <w:pPr>
              <w:pStyle w:val="319"/>
              <w:spacing w:before="158"/>
              <w:ind w:left="106" w:leftChars="0" w:firstLine="0" w:firstLineChars="0"/>
              <w:rPr>
                <w:color w:val="auto"/>
                <w:highlight w:val="none"/>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val="en-US" w:eastAsia="zh-CN"/>
              </w:rPr>
              <w:t>:</w:t>
            </w:r>
          </w:p>
        </w:tc>
        <w:tc>
          <w:tcPr>
            <w:tcW w:w="4261" w:type="dxa"/>
            <w:tcBorders>
              <w:top w:val="nil"/>
              <w:bottom w:val="nil"/>
            </w:tcBorders>
            <w:vAlign w:val="top"/>
          </w:tcPr>
          <w:p w14:paraId="20623427">
            <w:pPr>
              <w:pStyle w:val="319"/>
              <w:spacing w:before="158"/>
              <w:ind w:left="106"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val="en-US" w:eastAsia="zh-CN"/>
              </w:rPr>
              <w:t>:</w:t>
            </w:r>
          </w:p>
        </w:tc>
      </w:tr>
      <w:tr w14:paraId="0312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1" w:type="dxa"/>
            <w:tcBorders>
              <w:top w:val="nil"/>
              <w:bottom w:val="nil"/>
            </w:tcBorders>
            <w:vAlign w:val="top"/>
          </w:tcPr>
          <w:p w14:paraId="7EAF41AE">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指定联系人：</w:t>
            </w:r>
          </w:p>
        </w:tc>
        <w:tc>
          <w:tcPr>
            <w:tcW w:w="4261" w:type="dxa"/>
            <w:tcBorders>
              <w:top w:val="nil"/>
              <w:bottom w:val="nil"/>
            </w:tcBorders>
          </w:tcPr>
          <w:p w14:paraId="06DEB8B1">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指定联系人：</w:t>
            </w:r>
          </w:p>
        </w:tc>
      </w:tr>
      <w:tr w14:paraId="06957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1" w:type="dxa"/>
            <w:tcBorders>
              <w:top w:val="nil"/>
              <w:bottom w:val="nil"/>
            </w:tcBorders>
            <w:vAlign w:val="top"/>
          </w:tcPr>
          <w:p w14:paraId="033D5867">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联系电话及传真：</w:t>
            </w:r>
          </w:p>
        </w:tc>
        <w:tc>
          <w:tcPr>
            <w:tcW w:w="4261" w:type="dxa"/>
            <w:tcBorders>
              <w:top w:val="nil"/>
              <w:bottom w:val="nil"/>
            </w:tcBorders>
          </w:tcPr>
          <w:p w14:paraId="56BF2203">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联系电话及传真：</w:t>
            </w:r>
          </w:p>
        </w:tc>
      </w:tr>
      <w:tr w14:paraId="418D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261" w:type="dxa"/>
            <w:tcBorders>
              <w:top w:val="nil"/>
              <w:bottom w:val="nil"/>
            </w:tcBorders>
            <w:vAlign w:val="top"/>
          </w:tcPr>
          <w:p w14:paraId="1B81D1F0">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开户银行：</w:t>
            </w:r>
          </w:p>
        </w:tc>
        <w:tc>
          <w:tcPr>
            <w:tcW w:w="4261" w:type="dxa"/>
            <w:tcBorders>
              <w:top w:val="nil"/>
              <w:bottom w:val="nil"/>
            </w:tcBorders>
          </w:tcPr>
          <w:p w14:paraId="5FE3C02D">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开户银行：</w:t>
            </w:r>
          </w:p>
        </w:tc>
      </w:tr>
      <w:tr w14:paraId="413D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1" w:type="dxa"/>
            <w:tcBorders>
              <w:top w:val="nil"/>
              <w:bottom w:val="nil"/>
            </w:tcBorders>
            <w:vAlign w:val="top"/>
          </w:tcPr>
          <w:p w14:paraId="65272122">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帐号：</w:t>
            </w:r>
          </w:p>
        </w:tc>
        <w:tc>
          <w:tcPr>
            <w:tcW w:w="4261" w:type="dxa"/>
            <w:tcBorders>
              <w:top w:val="nil"/>
              <w:bottom w:val="nil"/>
            </w:tcBorders>
          </w:tcPr>
          <w:p w14:paraId="48FEACFC">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帐号：</w:t>
            </w:r>
          </w:p>
        </w:tc>
      </w:tr>
      <w:tr w14:paraId="2FE2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4261" w:type="dxa"/>
            <w:tcBorders>
              <w:top w:val="nil"/>
            </w:tcBorders>
            <w:vAlign w:val="top"/>
          </w:tcPr>
          <w:p w14:paraId="6D86FEA6">
            <w:pPr>
              <w:pStyle w:val="319"/>
              <w:spacing w:before="158"/>
              <w:ind w:left="106" w:leftChars="0" w:firstLine="0" w:firstLineChars="0"/>
              <w:rPr>
                <w:color w:val="auto"/>
                <w:highlight w:val="none"/>
              </w:rPr>
            </w:pPr>
            <w:r>
              <w:rPr>
                <w:rFonts w:hint="eastAsia" w:asciiTheme="minorEastAsia" w:hAnsiTheme="minorEastAsia" w:eastAsiaTheme="minorEastAsia" w:cstheme="minorEastAsia"/>
                <w:color w:val="auto"/>
                <w:kern w:val="2"/>
                <w:sz w:val="24"/>
                <w:szCs w:val="24"/>
                <w:highlight w:val="none"/>
                <w:lang w:val="zh-CN" w:eastAsia="zh-CN" w:bidi="ar-SA"/>
              </w:rPr>
              <w:t>税号：</w:t>
            </w:r>
          </w:p>
        </w:tc>
        <w:tc>
          <w:tcPr>
            <w:tcW w:w="4261" w:type="dxa"/>
            <w:tcBorders>
              <w:top w:val="nil"/>
            </w:tcBorders>
          </w:tcPr>
          <w:p w14:paraId="163693F6">
            <w:pPr>
              <w:pStyle w:val="319"/>
              <w:spacing w:before="158"/>
              <w:ind w:left="106"/>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税号：</w:t>
            </w:r>
          </w:p>
        </w:tc>
      </w:tr>
    </w:tbl>
    <w:p w14:paraId="06CB5F0D">
      <w:pPr>
        <w:rPr>
          <w:rFonts w:hint="eastAsia"/>
          <w:color w:val="auto"/>
          <w:highlight w:val="none"/>
          <w:lang w:val="en-US" w:eastAsia="zh-CN"/>
        </w:rPr>
      </w:pPr>
    </w:p>
    <w:p w14:paraId="37F52CA6">
      <w:pPr>
        <w:outlineLvl w:val="9"/>
        <w:rPr>
          <w:rFonts w:hint="eastAsia" w:ascii="宋体" w:hAnsi="宋体" w:cs="Times New Roman"/>
          <w:b/>
          <w:color w:val="auto"/>
          <w:sz w:val="32"/>
          <w:szCs w:val="32"/>
          <w:highlight w:val="none"/>
        </w:rPr>
      </w:pPr>
      <w:bookmarkStart w:id="561" w:name="_Toc23267"/>
      <w:bookmarkStart w:id="562" w:name="_Toc510015789"/>
      <w:bookmarkStart w:id="563" w:name="_Toc30932"/>
      <w:bookmarkStart w:id="564" w:name="_Toc30644"/>
      <w:r>
        <w:rPr>
          <w:rFonts w:hint="eastAsia" w:ascii="宋体" w:hAnsi="宋体" w:cs="Times New Roman"/>
          <w:b/>
          <w:color w:val="auto"/>
          <w:sz w:val="32"/>
          <w:szCs w:val="32"/>
          <w:highlight w:val="none"/>
        </w:rPr>
        <w:br w:type="page"/>
      </w:r>
    </w:p>
    <w:p w14:paraId="4E6B9E0C">
      <w:pPr>
        <w:outlineLvl w:val="3"/>
        <w:rPr>
          <w:rFonts w:ascii="宋体" w:hAnsi="宋体" w:cs="Times New Roman"/>
          <w:b/>
          <w:color w:val="auto"/>
          <w:sz w:val="32"/>
          <w:szCs w:val="32"/>
          <w:highlight w:val="none"/>
        </w:rPr>
      </w:pPr>
      <w:r>
        <w:rPr>
          <w:rFonts w:hint="eastAsia" w:ascii="宋体" w:hAnsi="宋体" w:cs="Times New Roman"/>
          <w:b/>
          <w:color w:val="auto"/>
          <w:sz w:val="32"/>
          <w:szCs w:val="32"/>
          <w:highlight w:val="none"/>
        </w:rPr>
        <w:t>附件</w:t>
      </w:r>
      <w:r>
        <w:rPr>
          <w:rFonts w:hint="eastAsia" w:ascii="宋体" w:hAnsi="宋体" w:cs="Times New Roman"/>
          <w:b/>
          <w:color w:val="auto"/>
          <w:sz w:val="32"/>
          <w:szCs w:val="32"/>
          <w:highlight w:val="none"/>
          <w:lang w:val="en-US" w:eastAsia="zh-CN"/>
        </w:rPr>
        <w:t>一</w:t>
      </w:r>
      <w:r>
        <w:rPr>
          <w:rFonts w:hint="eastAsia" w:ascii="宋体" w:hAnsi="宋体" w:cs="Times New Roman"/>
          <w:b/>
          <w:color w:val="auto"/>
          <w:sz w:val="32"/>
          <w:szCs w:val="32"/>
          <w:highlight w:val="none"/>
        </w:rPr>
        <w:t xml:space="preserve"> 廉政合同</w:t>
      </w:r>
      <w:bookmarkEnd w:id="561"/>
      <w:bookmarkEnd w:id="562"/>
      <w:bookmarkEnd w:id="563"/>
      <w:bookmarkEnd w:id="564"/>
    </w:p>
    <w:p w14:paraId="52EDEABB">
      <w:pPr>
        <w:widowControl/>
        <w:spacing w:line="460" w:lineRule="exact"/>
        <w:jc w:val="center"/>
        <w:rPr>
          <w:rFonts w:hint="eastAsia" w:ascii="宋体" w:hAnsi="宋体" w:eastAsia="宋体" w:cs="等线"/>
          <w:b/>
          <w:bCs/>
          <w:color w:val="auto"/>
          <w:sz w:val="32"/>
          <w:szCs w:val="32"/>
          <w:highlight w:val="none"/>
        </w:rPr>
      </w:pPr>
      <w:r>
        <w:rPr>
          <w:rFonts w:hint="eastAsia" w:ascii="宋体" w:hAnsi="宋体" w:eastAsia="宋体" w:cs="等线"/>
          <w:b/>
          <w:bCs/>
          <w:color w:val="auto"/>
          <w:sz w:val="32"/>
          <w:szCs w:val="32"/>
          <w:highlight w:val="none"/>
        </w:rPr>
        <w:t>廉 政 合 同</w:t>
      </w:r>
    </w:p>
    <w:p w14:paraId="01AA89FA">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甲方”）与该项目的施工监理人（施工监理人名称，以下简称“乙方”），特订立如下合同。</w:t>
      </w:r>
    </w:p>
    <w:p w14:paraId="1535014D">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 甲乙双方的权利和义务</w:t>
      </w:r>
    </w:p>
    <w:p w14:paraId="7F1A6F79">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（1）严格遵守党的政策规定和国家有关法律法规及交通运输部的有关规定。</w:t>
      </w:r>
    </w:p>
    <w:p w14:paraId="0F836D25">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（2）严格执行（项目名称）施工监理合同文件，自觉按合同办事。</w:t>
      </w:r>
    </w:p>
    <w:p w14:paraId="5B054B14">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（3）双方的业务活动坚持公开、公正、诚信、透明的原则（法律认定的商业秘密和合同文件另有规定除外），不得损害国家和集体利益，不得违反工程建设管理规章制度。</w:t>
      </w:r>
    </w:p>
    <w:p w14:paraId="6B24E997">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（4）建立健全廉政制度，开展廉政教育，设立廉政告示牌，公布举报电话，监督并认真查处违法违纪行为。</w:t>
      </w:r>
    </w:p>
    <w:p w14:paraId="5125BD42">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（5）发现对方在业务活动中有违反廉政规定的行为，有及时提醒对方纠正的权利和义务。</w:t>
      </w:r>
    </w:p>
    <w:p w14:paraId="17C0A0A8">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（6）发现对方严重违反本合同义务条款的行为，有向其上级有关部门举报、建议给予处理并要求告知处理结果的权利。</w:t>
      </w:r>
    </w:p>
    <w:p w14:paraId="0159CC6A">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 甲方的义务</w:t>
      </w:r>
    </w:p>
    <w:p w14:paraId="6D9A0B27">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（1）甲方及其工作人员不得索要或接受乙方的礼金、有价证券和贵重物品，不得让乙方报销任何应由甲方或甲方工作人员个人支付的费用等。</w:t>
      </w:r>
    </w:p>
    <w:p w14:paraId="26EF5FA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（2）甲方工作人员不得参加乙方安排的超标准宴请和娱乐活动；不得接受乙方提供的通信工具、交通工具和高档办公用品等。</w:t>
      </w:r>
    </w:p>
    <w:p w14:paraId="726FEC9A">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（3）甲方及其工作人员不得要求或者接受乙方为其住房装修、婚丧嫁娶活动、配偶子女的工作安排以及出国出境、旅游等提供方便等。</w:t>
      </w:r>
    </w:p>
    <w:p w14:paraId="5D189485">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（4）甲方工作人员及其配偶、子女不得从事与甲方工程有关的材料设备供应、工程分包、劳务等经济活动等。</w:t>
      </w:r>
    </w:p>
    <w:p w14:paraId="4DF15024">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（5）甲方及其工作人员不得以任何理由向乙方推荐分包单位或推销材料，不得要求乙方购买合同规定外的材料和设备。</w:t>
      </w:r>
    </w:p>
    <w:p w14:paraId="53773A5A">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（6）甲方工作人员要秉公办事，不准营私舞弊，不准利用职权从事各种个人有偿中介活动和安排个人施工监理队伍。</w:t>
      </w:r>
    </w:p>
    <w:p w14:paraId="348638DB">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 乙方的义务</w:t>
      </w:r>
    </w:p>
    <w:p w14:paraId="5AF751A2">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（1）乙方不得以任何理由向甲方及其工作人员行贿或馈赠礼金、有价证券、贵重礼品。</w:t>
      </w:r>
    </w:p>
    <w:p w14:paraId="30C14779">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（2）乙方不得以任何名义为甲方及其工作人员报销应由甲方单位或个人支付的任何费用。</w:t>
      </w:r>
    </w:p>
    <w:p w14:paraId="41CB15E4">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（3）乙方不得以任何理由安排甲方工作人员参加超标准宴请及娱乐活动。</w:t>
      </w:r>
    </w:p>
    <w:p w14:paraId="6C246137">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（4）乙方不得为甲方单位和个人购置或提供通信工具、交通工具和高档办公用品等。</w:t>
      </w:r>
    </w:p>
    <w:p w14:paraId="0F65DA67">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 违约责任</w:t>
      </w:r>
    </w:p>
    <w:p w14:paraId="09C97CA1">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（1）甲方及其工作人员违反本合同第1、2条，按管理权限，依据有关规定给予党纪、政纪或组织处理；涉嫌犯罪的，移交司法机关追究刑事责任；给乙方单位造成经济损失的，应予以赔偿。</w:t>
      </w:r>
    </w:p>
    <w:p w14:paraId="33551112">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14:paraId="226F2EC7">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F30929C">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 本合同有效期为甲方和乙方签署之日起至该工程项目竣工验收后止。</w:t>
      </w:r>
    </w:p>
    <w:p w14:paraId="2DDE34FB">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7. 本合同作为（项目名称）施工监理合同的附件，与工程施工监理合同具有同等的法律效力，经合同双方签署后立即生效。</w:t>
      </w:r>
    </w:p>
    <w:p w14:paraId="51444628">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8. 本合同一式四份，由甲方和乙方各执一份，送交委托人和监理人的监督单位各一份。</w:t>
      </w:r>
    </w:p>
    <w:p w14:paraId="4F68E5BC">
      <w:pPr>
        <w:spacing w:line="360" w:lineRule="auto"/>
        <w:ind w:right="34" w:rightChars="16" w:firstLine="539" w:firstLineChars="257"/>
        <w:rPr>
          <w:rFonts w:ascii="宋体" w:hAnsi="宋体" w:cs="Times New Roman"/>
          <w:color w:val="auto"/>
          <w:szCs w:val="21"/>
          <w:highlight w:val="none"/>
        </w:rPr>
      </w:pPr>
    </w:p>
    <w:p w14:paraId="4464E263">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甲方：（盖单位章）                          乙方：（盖单位章）</w:t>
      </w:r>
    </w:p>
    <w:p w14:paraId="627A366F">
      <w:pPr>
        <w:snapToGrid w:val="0"/>
        <w:spacing w:line="360" w:lineRule="auto"/>
        <w:ind w:right="34" w:rightChars="16"/>
        <w:rPr>
          <w:rFonts w:ascii="宋体" w:hAnsi="宋体" w:cs="Times New Roman"/>
          <w:color w:val="auto"/>
          <w:szCs w:val="21"/>
          <w:highlight w:val="none"/>
        </w:rPr>
      </w:pPr>
    </w:p>
    <w:p w14:paraId="366F285E">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法定代表人                                  法定代表人</w:t>
      </w:r>
    </w:p>
    <w:p w14:paraId="14A577F3">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或其委托代理人：（签字）                    或其委托代理人：（签字）</w:t>
      </w:r>
    </w:p>
    <w:p w14:paraId="625D32A6">
      <w:pPr>
        <w:snapToGrid w:val="0"/>
        <w:spacing w:line="360" w:lineRule="auto"/>
        <w:rPr>
          <w:rFonts w:ascii="宋体" w:hAnsi="宋体" w:cs="Times New Roman"/>
          <w:color w:val="auto"/>
          <w:szCs w:val="21"/>
          <w:highlight w:val="none"/>
        </w:rPr>
      </w:pPr>
    </w:p>
    <w:p w14:paraId="0A8AA79A">
      <w:pPr>
        <w:spacing w:line="440" w:lineRule="exact"/>
        <w:jc w:val="left"/>
        <w:rPr>
          <w:rFonts w:hint="eastAsia" w:ascii="宋体" w:hAnsi="宋体" w:cs="宋体"/>
          <w:color w:val="auto"/>
          <w:sz w:val="24"/>
          <w:szCs w:val="24"/>
          <w:highlight w:val="none"/>
        </w:rPr>
      </w:pPr>
      <w:r>
        <w:rPr>
          <w:rFonts w:hint="eastAsia" w:ascii="宋体" w:hAnsi="宋体" w:cs="Times New Roman"/>
          <w:color w:val="auto"/>
          <w:szCs w:val="21"/>
          <w:highlight w:val="none"/>
        </w:rPr>
        <w:t>年  月  日                                   年  月  日</w:t>
      </w:r>
    </w:p>
    <w:bookmarkEnd w:id="553"/>
    <w:bookmarkEnd w:id="554"/>
    <w:bookmarkEnd w:id="555"/>
    <w:bookmarkEnd w:id="556"/>
    <w:bookmarkEnd w:id="557"/>
    <w:bookmarkEnd w:id="558"/>
    <w:bookmarkEnd w:id="559"/>
    <w:bookmarkEnd w:id="560"/>
    <w:p w14:paraId="187BCFBE">
      <w:pPr>
        <w:rPr>
          <w:rFonts w:ascii="宋体" w:hAnsi="宋体"/>
          <w:color w:val="auto"/>
          <w:sz w:val="52"/>
          <w:szCs w:val="52"/>
          <w:highlight w:val="none"/>
        </w:rPr>
      </w:pPr>
      <w:bookmarkStart w:id="565" w:name="_Toc509218844"/>
      <w:bookmarkStart w:id="566" w:name="_Toc534185823"/>
      <w:bookmarkStart w:id="567" w:name="_Toc9852"/>
      <w:bookmarkStart w:id="568" w:name="_Toc23025"/>
      <w:r>
        <w:rPr>
          <w:rFonts w:ascii="宋体" w:hAnsi="宋体"/>
          <w:color w:val="auto"/>
          <w:sz w:val="52"/>
          <w:szCs w:val="52"/>
          <w:highlight w:val="none"/>
        </w:rPr>
        <w:br w:type="page"/>
      </w:r>
    </w:p>
    <w:p w14:paraId="649F04AE">
      <w:pPr>
        <w:pStyle w:val="2"/>
        <w:spacing w:before="0" w:after="0" w:line="360" w:lineRule="auto"/>
        <w:jc w:val="center"/>
        <w:rPr>
          <w:rFonts w:ascii="宋体" w:hAnsi="宋体"/>
          <w:color w:val="auto"/>
          <w:sz w:val="52"/>
          <w:szCs w:val="52"/>
          <w:highlight w:val="none"/>
        </w:rPr>
      </w:pPr>
      <w:r>
        <w:rPr>
          <w:rFonts w:ascii="宋体" w:hAnsi="宋体"/>
          <w:color w:val="auto"/>
          <w:sz w:val="52"/>
          <w:szCs w:val="52"/>
          <w:highlight w:val="none"/>
        </w:rPr>
        <w:t>第 二 卷</w:t>
      </w:r>
      <w:bookmarkEnd w:id="565"/>
      <w:bookmarkEnd w:id="566"/>
      <w:bookmarkEnd w:id="567"/>
      <w:bookmarkEnd w:id="568"/>
    </w:p>
    <w:p w14:paraId="026F098D">
      <w:pPr>
        <w:spacing w:line="360" w:lineRule="auto"/>
        <w:rPr>
          <w:rFonts w:ascii="宋体" w:hAnsi="宋体"/>
          <w:color w:val="auto"/>
          <w:szCs w:val="20"/>
          <w:highlight w:val="none"/>
        </w:rPr>
      </w:pPr>
      <w:r>
        <w:rPr>
          <w:rFonts w:ascii="宋体" w:hAnsi="宋体"/>
          <w:color w:val="auto"/>
          <w:szCs w:val="20"/>
          <w:highlight w:val="none"/>
        </w:rPr>
        <w:br w:type="page"/>
      </w:r>
    </w:p>
    <w:p w14:paraId="3F5CF0DE">
      <w:pPr>
        <w:pStyle w:val="2"/>
        <w:spacing w:line="360" w:lineRule="auto"/>
        <w:jc w:val="center"/>
        <w:rPr>
          <w:rFonts w:ascii="宋体" w:hAnsi="宋体"/>
          <w:color w:val="auto"/>
          <w:highlight w:val="none"/>
        </w:rPr>
      </w:pPr>
      <w:bookmarkStart w:id="569" w:name="招标文件06章图纸"/>
      <w:bookmarkEnd w:id="569"/>
      <w:bookmarkStart w:id="570" w:name="_Toc534185825"/>
      <w:bookmarkStart w:id="571" w:name="_Toc287607861"/>
      <w:bookmarkStart w:id="572" w:name="_Toc430530519"/>
      <w:bookmarkStart w:id="573" w:name="_Toc287620803"/>
      <w:bookmarkStart w:id="574" w:name="_Toc509218846"/>
      <w:bookmarkStart w:id="575" w:name="_Toc30459"/>
      <w:bookmarkStart w:id="576" w:name="_Toc14759"/>
      <w:r>
        <w:rPr>
          <w:rFonts w:hint="eastAsia" w:ascii="宋体" w:hAnsi="宋体"/>
          <w:color w:val="auto"/>
          <w:highlight w:val="none"/>
        </w:rPr>
        <w:t xml:space="preserve">第五章  </w:t>
      </w:r>
      <w:bookmarkEnd w:id="570"/>
      <w:bookmarkEnd w:id="571"/>
      <w:bookmarkEnd w:id="572"/>
      <w:bookmarkEnd w:id="573"/>
      <w:bookmarkEnd w:id="574"/>
      <w:r>
        <w:rPr>
          <w:rFonts w:hint="eastAsia" w:ascii="宋体" w:hAnsi="宋体"/>
          <w:color w:val="auto"/>
          <w:highlight w:val="none"/>
        </w:rPr>
        <w:t>发包人要求</w:t>
      </w:r>
      <w:bookmarkEnd w:id="575"/>
      <w:bookmarkEnd w:id="576"/>
    </w:p>
    <w:p w14:paraId="11DAFF04">
      <w:pPr>
        <w:spacing w:line="360" w:lineRule="auto"/>
        <w:rPr>
          <w:rFonts w:ascii="宋体" w:hAnsi="宋体"/>
          <w:color w:val="auto"/>
          <w:szCs w:val="20"/>
          <w:highlight w:val="none"/>
        </w:rPr>
      </w:pPr>
    </w:p>
    <w:p w14:paraId="68B1F3C8">
      <w:pPr>
        <w:widowControl/>
        <w:jc w:val="left"/>
        <w:rPr>
          <w:rFonts w:ascii="宋体" w:hAnsi="宋体"/>
          <w:color w:val="auto"/>
          <w:szCs w:val="20"/>
          <w:highlight w:val="none"/>
        </w:rPr>
      </w:pPr>
      <w:bookmarkStart w:id="577" w:name="招标文件06章图纸01"/>
      <w:bookmarkEnd w:id="577"/>
      <w:bookmarkStart w:id="578" w:name="_Toc430530520"/>
      <w:bookmarkStart w:id="579" w:name="_Toc287620804"/>
      <w:r>
        <w:rPr>
          <w:rFonts w:ascii="宋体" w:hAnsi="宋体"/>
          <w:color w:val="auto"/>
          <w:szCs w:val="20"/>
          <w:highlight w:val="none"/>
        </w:rPr>
        <w:br w:type="page"/>
      </w:r>
    </w:p>
    <w:p w14:paraId="4935FA38">
      <w:pPr>
        <w:autoSpaceDE w:val="0"/>
        <w:autoSpaceDN w:val="0"/>
        <w:spacing w:line="441" w:lineRule="exact"/>
        <w:ind w:left="3617"/>
        <w:jc w:val="left"/>
        <w:outlineLvl w:val="2"/>
        <w:rPr>
          <w:rFonts w:ascii="宋体" w:hAnsi="宋体" w:cs="宋体"/>
          <w:color w:val="auto"/>
          <w:kern w:val="0"/>
          <w:szCs w:val="21"/>
          <w:highlight w:val="none"/>
        </w:rPr>
      </w:pPr>
      <w:bookmarkStart w:id="580" w:name="_Toc66711357"/>
      <w:bookmarkStart w:id="581" w:name="_Toc32314"/>
      <w:r>
        <w:rPr>
          <w:rFonts w:ascii="Microsoft JhengHei" w:hAnsi="Microsoft JhengHei" w:eastAsia="Microsoft JhengHei" w:cs="Microsoft JhengHei"/>
          <w:b/>
          <w:bCs/>
          <w:color w:val="auto"/>
          <w:kern w:val="0"/>
          <w:sz w:val="32"/>
          <w:szCs w:val="32"/>
          <w:highlight w:val="none"/>
        </w:rPr>
        <w:t>发包人要求</w:t>
      </w:r>
      <w:bookmarkEnd w:id="580"/>
      <w:bookmarkEnd w:id="581"/>
    </w:p>
    <w:bookmarkEnd w:id="578"/>
    <w:bookmarkEnd w:id="579"/>
    <w:p w14:paraId="5DC90BC9">
      <w:pPr>
        <w:snapToGrid w:val="0"/>
        <w:spacing w:line="360" w:lineRule="auto"/>
        <w:ind w:left="360" w:firstLine="643" w:firstLineChars="200"/>
        <w:jc w:val="center"/>
        <w:outlineLvl w:val="2"/>
        <w:rPr>
          <w:rFonts w:ascii="宋体" w:hAnsi="宋体"/>
          <w:b/>
          <w:color w:val="auto"/>
          <w:sz w:val="32"/>
          <w:szCs w:val="32"/>
          <w:highlight w:val="none"/>
        </w:rPr>
      </w:pPr>
      <w:bookmarkStart w:id="582" w:name="_Toc3448"/>
      <w:bookmarkStart w:id="583" w:name="_Toc6839"/>
      <w:r>
        <w:rPr>
          <w:rFonts w:hint="eastAsia" w:ascii="宋体" w:hAnsi="宋体"/>
          <w:b/>
          <w:color w:val="auto"/>
          <w:sz w:val="32"/>
          <w:szCs w:val="32"/>
          <w:highlight w:val="none"/>
        </w:rPr>
        <w:t>水泥技术规格</w:t>
      </w:r>
      <w:bookmarkEnd w:id="582"/>
    </w:p>
    <w:p w14:paraId="3C055DF1">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（一）供货需求量清单</w:t>
      </w:r>
    </w:p>
    <w:tbl>
      <w:tblPr>
        <w:tblStyle w:val="5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7"/>
        <w:gridCol w:w="2719"/>
        <w:gridCol w:w="2628"/>
        <w:gridCol w:w="3214"/>
      </w:tblGrid>
      <w:tr w14:paraId="4E49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C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D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1F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需求物资</w:t>
            </w:r>
          </w:p>
        </w:tc>
        <w:tc>
          <w:tcPr>
            <w:tcW w:w="1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9B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物资数量（吨）</w:t>
            </w:r>
          </w:p>
        </w:tc>
      </w:tr>
      <w:tr w14:paraId="679A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2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p>
        </w:tc>
        <w:tc>
          <w:tcPr>
            <w:tcW w:w="1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7C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一环路南段项目</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44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53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39015.72</w:t>
            </w:r>
          </w:p>
        </w:tc>
      </w:tr>
      <w:tr w14:paraId="2017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135F">
            <w:pPr>
              <w:jc w:val="center"/>
              <w:rPr>
                <w:rFonts w:hint="eastAsia" w:ascii="宋体" w:hAnsi="宋体" w:eastAsia="宋体" w:cs="宋体"/>
                <w:i w:val="0"/>
                <w:iCs w:val="0"/>
                <w:color w:val="auto"/>
                <w:sz w:val="21"/>
                <w:szCs w:val="21"/>
                <w:highlight w:val="none"/>
                <w:u w:val="none"/>
              </w:rPr>
            </w:pPr>
          </w:p>
        </w:tc>
        <w:tc>
          <w:tcPr>
            <w:tcW w:w="1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E777">
            <w:pPr>
              <w:jc w:val="center"/>
              <w:rPr>
                <w:rFonts w:hint="eastAsia" w:ascii="宋体" w:hAnsi="宋体" w:eastAsia="宋体" w:cs="宋体"/>
                <w:i w:val="0"/>
                <w:iCs w:val="0"/>
                <w:color w:val="auto"/>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0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11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4616.48</w:t>
            </w:r>
          </w:p>
        </w:tc>
      </w:tr>
      <w:tr w14:paraId="734F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A14F">
            <w:pPr>
              <w:jc w:val="center"/>
              <w:rPr>
                <w:rFonts w:hint="eastAsia" w:ascii="宋体" w:hAnsi="宋体" w:eastAsia="宋体" w:cs="宋体"/>
                <w:i w:val="0"/>
                <w:iCs w:val="0"/>
                <w:color w:val="auto"/>
                <w:sz w:val="21"/>
                <w:szCs w:val="21"/>
                <w:highlight w:val="none"/>
                <w:u w:val="none"/>
              </w:rPr>
            </w:pPr>
          </w:p>
        </w:tc>
        <w:tc>
          <w:tcPr>
            <w:tcW w:w="1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D691">
            <w:pPr>
              <w:jc w:val="center"/>
              <w:rPr>
                <w:rFonts w:hint="eastAsia" w:ascii="宋体" w:hAnsi="宋体" w:eastAsia="宋体" w:cs="宋体"/>
                <w:i w:val="0"/>
                <w:iCs w:val="0"/>
                <w:color w:val="auto"/>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9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P.O42.5袋装水泥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0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3516.85</w:t>
            </w:r>
          </w:p>
        </w:tc>
      </w:tr>
      <w:tr w14:paraId="6E34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2B4C">
            <w:pPr>
              <w:jc w:val="center"/>
              <w:rPr>
                <w:rFonts w:hint="eastAsia" w:ascii="宋体" w:hAnsi="宋体" w:eastAsia="宋体" w:cs="宋体"/>
                <w:i w:val="0"/>
                <w:iCs w:val="0"/>
                <w:color w:val="auto"/>
                <w:sz w:val="21"/>
                <w:szCs w:val="21"/>
                <w:highlight w:val="none"/>
                <w:u w:val="none"/>
              </w:rPr>
            </w:pPr>
          </w:p>
        </w:tc>
        <w:tc>
          <w:tcPr>
            <w:tcW w:w="1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DA5D">
            <w:pPr>
              <w:jc w:val="center"/>
              <w:rPr>
                <w:rFonts w:hint="eastAsia" w:ascii="宋体" w:hAnsi="宋体" w:eastAsia="宋体" w:cs="宋体"/>
                <w:i w:val="0"/>
                <w:iCs w:val="0"/>
                <w:color w:val="auto"/>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6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P.O52.5散装水泥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13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4263.17</w:t>
            </w:r>
          </w:p>
        </w:tc>
      </w:tr>
      <w:tr w14:paraId="67C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1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6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渝赤叙4标</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0AA52A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P052.5散装水泥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A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40216.5</w:t>
            </w:r>
          </w:p>
        </w:tc>
      </w:tr>
      <w:tr w14:paraId="4ACA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4F56">
            <w:pPr>
              <w:jc w:val="center"/>
              <w:rPr>
                <w:rFonts w:hint="eastAsia" w:ascii="宋体" w:hAnsi="宋体" w:eastAsia="宋体" w:cs="宋体"/>
                <w:i w:val="0"/>
                <w:iCs w:val="0"/>
                <w:color w:val="auto"/>
                <w:sz w:val="21"/>
                <w:szCs w:val="21"/>
                <w:highlight w:val="none"/>
                <w:u w:val="none"/>
              </w:rPr>
            </w:pPr>
          </w:p>
        </w:tc>
        <w:tc>
          <w:tcPr>
            <w:tcW w:w="1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93D">
            <w:pPr>
              <w:jc w:val="center"/>
              <w:rPr>
                <w:rFonts w:hint="eastAsia" w:ascii="宋体" w:hAnsi="宋体" w:eastAsia="宋体" w:cs="宋体"/>
                <w:i w:val="0"/>
                <w:iCs w:val="0"/>
                <w:color w:val="auto"/>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DC0FA92">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P052.5(低碱)散装水泥</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0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4468.5</w:t>
            </w:r>
          </w:p>
        </w:tc>
      </w:tr>
    </w:tbl>
    <w:p w14:paraId="13A54968">
      <w:pPr>
        <w:widowControl w:val="0"/>
        <w:spacing w:after="120"/>
        <w:ind w:left="0" w:leftChars="0" w:firstLine="0" w:firstLineChars="0"/>
        <w:jc w:val="both"/>
        <w:rPr>
          <w:rFonts w:ascii="Times New Roman" w:hAnsi="Times New Roman" w:eastAsia="宋体" w:cs="Times New Roman"/>
          <w:color w:val="auto"/>
          <w:kern w:val="2"/>
          <w:sz w:val="21"/>
          <w:szCs w:val="22"/>
          <w:highlight w:val="none"/>
          <w:lang w:val="en-US" w:eastAsia="zh-CN" w:bidi="ar-SA"/>
        </w:rPr>
      </w:pPr>
    </w:p>
    <w:p w14:paraId="765FADBD">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（二）技术要求</w:t>
      </w:r>
    </w:p>
    <w:p w14:paraId="60439717">
      <w:pPr>
        <w:spacing w:line="360" w:lineRule="auto"/>
        <w:ind w:firstLine="315" w:firstLineChars="15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w:t>
      </w:r>
      <w:r>
        <w:rPr>
          <w:rFonts w:hint="eastAsia" w:ascii="Times New Roman" w:hAnsi="Times New Roman"/>
          <w:color w:val="auto"/>
          <w:szCs w:val="24"/>
          <w:highlight w:val="none"/>
        </w:rPr>
        <w:t>普通硅酸盐或硅酸盐水泥</w:t>
      </w:r>
    </w:p>
    <w:p w14:paraId="31E77692">
      <w:pPr>
        <w:spacing w:line="360" w:lineRule="auto"/>
        <w:ind w:firstLine="630" w:firstLineChars="300"/>
        <w:rPr>
          <w:rFonts w:ascii="Times New Roman" w:hAnsi="Times New Roman"/>
          <w:color w:val="auto"/>
          <w:szCs w:val="24"/>
          <w:highlight w:val="none"/>
        </w:rPr>
      </w:pPr>
      <w:r>
        <w:rPr>
          <w:rFonts w:hint="eastAsia" w:ascii="Times New Roman" w:hAnsi="Times New Roman"/>
          <w:color w:val="auto"/>
          <w:szCs w:val="24"/>
          <w:highlight w:val="none"/>
        </w:rPr>
        <w:t>水泥的技术要求满足</w:t>
      </w:r>
      <w:r>
        <w:rPr>
          <w:rFonts w:ascii="Times New Roman" w:hAnsi="Times New Roman"/>
          <w:color w:val="auto"/>
          <w:szCs w:val="24"/>
          <w:highlight w:val="none"/>
        </w:rPr>
        <w:t>GB175-20</w:t>
      </w:r>
      <w:r>
        <w:rPr>
          <w:rFonts w:hint="eastAsia"/>
          <w:color w:val="auto"/>
          <w:szCs w:val="24"/>
          <w:highlight w:val="none"/>
          <w:lang w:val="en-US" w:eastAsia="zh-CN"/>
        </w:rPr>
        <w:t>23</w:t>
      </w:r>
      <w:r>
        <w:rPr>
          <w:rFonts w:hint="eastAsia" w:ascii="Times New Roman" w:hAnsi="Times New Roman"/>
          <w:color w:val="auto"/>
          <w:szCs w:val="24"/>
          <w:highlight w:val="none"/>
        </w:rPr>
        <w:t>规定：</w:t>
      </w:r>
    </w:p>
    <w:p w14:paraId="20C62B99">
      <w:pPr>
        <w:spacing w:line="360" w:lineRule="auto"/>
        <w:ind w:firstLine="422" w:firstLineChars="200"/>
        <w:jc w:val="center"/>
        <w:rPr>
          <w:rFonts w:ascii="Times New Roman" w:hAnsi="Times New Roman"/>
          <w:b/>
          <w:color w:val="auto"/>
          <w:szCs w:val="21"/>
          <w:highlight w:val="none"/>
        </w:rPr>
      </w:pPr>
      <w:r>
        <w:rPr>
          <w:rFonts w:hint="eastAsia" w:ascii="Times New Roman" w:hAnsi="Times New Roman"/>
          <w:b/>
          <w:color w:val="auto"/>
          <w:szCs w:val="21"/>
          <w:highlight w:val="none"/>
        </w:rPr>
        <w:t>水泥的技术要求、检验方法</w:t>
      </w:r>
    </w:p>
    <w:tbl>
      <w:tblPr>
        <w:tblStyle w:val="50"/>
        <w:tblW w:w="92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063"/>
        <w:gridCol w:w="4129"/>
        <w:gridCol w:w="2206"/>
      </w:tblGrid>
      <w:tr w14:paraId="538A8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26E2D1A">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序号</w:t>
            </w:r>
          </w:p>
        </w:tc>
        <w:tc>
          <w:tcPr>
            <w:tcW w:w="2063" w:type="dxa"/>
            <w:vAlign w:val="center"/>
          </w:tcPr>
          <w:p w14:paraId="0E81BC68">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检验项目</w:t>
            </w:r>
          </w:p>
        </w:tc>
        <w:tc>
          <w:tcPr>
            <w:tcW w:w="4129" w:type="dxa"/>
            <w:vAlign w:val="center"/>
          </w:tcPr>
          <w:p w14:paraId="72A0BD15">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技术要求</w:t>
            </w:r>
          </w:p>
        </w:tc>
        <w:tc>
          <w:tcPr>
            <w:tcW w:w="2206" w:type="dxa"/>
            <w:vAlign w:val="center"/>
          </w:tcPr>
          <w:p w14:paraId="64F007F2">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检验方法</w:t>
            </w:r>
          </w:p>
        </w:tc>
      </w:tr>
      <w:tr w14:paraId="50DA2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6FF705F">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2063" w:type="dxa"/>
            <w:vAlign w:val="center"/>
          </w:tcPr>
          <w:p w14:paraId="779C7CC2">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比表面积</w:t>
            </w:r>
          </w:p>
        </w:tc>
        <w:tc>
          <w:tcPr>
            <w:tcW w:w="4129" w:type="dxa"/>
            <w:vAlign w:val="center"/>
          </w:tcPr>
          <w:p w14:paraId="23ADB403">
            <w:pPr>
              <w:spacing w:line="360" w:lineRule="auto"/>
              <w:rPr>
                <w:rFonts w:ascii="Times New Roman" w:hAnsi="Times New Roman"/>
                <w:color w:val="auto"/>
                <w:kern w:val="0"/>
                <w:szCs w:val="21"/>
                <w:highlight w:val="none"/>
              </w:rPr>
            </w:pPr>
            <w:r>
              <w:rPr>
                <w:rFonts w:hint="eastAsia" w:ascii="Times New Roman" w:hAnsi="Times New Roman"/>
                <w:color w:val="auto"/>
                <w:szCs w:val="21"/>
                <w:highlight w:val="none"/>
              </w:rPr>
              <w:t>≥</w:t>
            </w:r>
            <w:r>
              <w:rPr>
                <w:rFonts w:ascii="Times New Roman" w:hAnsi="Times New Roman"/>
                <w:color w:val="auto"/>
                <w:kern w:val="0"/>
                <w:szCs w:val="21"/>
                <w:highlight w:val="none"/>
              </w:rPr>
              <w:t>300m</w:t>
            </w:r>
            <w:r>
              <w:rPr>
                <w:rFonts w:ascii="Times New Roman" w:hAnsi="Times New Roman"/>
                <w:color w:val="auto"/>
                <w:kern w:val="0"/>
                <w:szCs w:val="21"/>
                <w:highlight w:val="none"/>
                <w:vertAlign w:val="superscript"/>
              </w:rPr>
              <w:t>2</w:t>
            </w:r>
            <w:r>
              <w:rPr>
                <w:rFonts w:ascii="Times New Roman" w:hAnsi="Times New Roman"/>
                <w:color w:val="auto"/>
                <w:kern w:val="0"/>
                <w:szCs w:val="21"/>
                <w:highlight w:val="none"/>
              </w:rPr>
              <w:t>/Kg</w:t>
            </w:r>
          </w:p>
        </w:tc>
        <w:tc>
          <w:tcPr>
            <w:tcW w:w="2206" w:type="dxa"/>
            <w:vAlign w:val="center"/>
          </w:tcPr>
          <w:p w14:paraId="283ABF0F">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GB/T8074</w:t>
            </w:r>
            <w:r>
              <w:rPr>
                <w:rFonts w:hint="eastAsia" w:ascii="Times New Roman" w:hAnsi="Times New Roman"/>
                <w:color w:val="auto"/>
                <w:kern w:val="0"/>
                <w:szCs w:val="21"/>
                <w:highlight w:val="none"/>
              </w:rPr>
              <w:t>检验</w:t>
            </w:r>
          </w:p>
        </w:tc>
      </w:tr>
      <w:tr w14:paraId="7A8C4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exact"/>
          <w:jc w:val="center"/>
        </w:trPr>
        <w:tc>
          <w:tcPr>
            <w:tcW w:w="851" w:type="dxa"/>
            <w:vAlign w:val="center"/>
          </w:tcPr>
          <w:p w14:paraId="1D8BD243">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2063" w:type="dxa"/>
            <w:vAlign w:val="center"/>
          </w:tcPr>
          <w:p w14:paraId="3377649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凝结时间</w:t>
            </w:r>
          </w:p>
        </w:tc>
        <w:tc>
          <w:tcPr>
            <w:tcW w:w="4129" w:type="dxa"/>
            <w:vAlign w:val="center"/>
          </w:tcPr>
          <w:p w14:paraId="258C5B61">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初凝</w:t>
            </w:r>
            <w:r>
              <w:rPr>
                <w:rFonts w:ascii="Times New Roman" w:hAnsi="Times New Roman"/>
                <w:color w:val="auto"/>
                <w:kern w:val="0"/>
                <w:szCs w:val="21"/>
                <w:highlight w:val="none"/>
              </w:rPr>
              <w:t>≥45min</w:t>
            </w:r>
            <w:r>
              <w:rPr>
                <w:rFonts w:hint="eastAsia" w:ascii="Times New Roman" w:hAnsi="Times New Roman"/>
                <w:color w:val="auto"/>
                <w:kern w:val="0"/>
                <w:szCs w:val="21"/>
                <w:highlight w:val="none"/>
              </w:rPr>
              <w:t>，终凝</w:t>
            </w:r>
            <w:r>
              <w:rPr>
                <w:rFonts w:ascii="Times New Roman" w:hAnsi="Times New Roman"/>
                <w:color w:val="auto"/>
                <w:kern w:val="0"/>
                <w:szCs w:val="21"/>
                <w:highlight w:val="none"/>
              </w:rPr>
              <w:t>≤600min</w:t>
            </w:r>
            <w:r>
              <w:rPr>
                <w:rFonts w:hint="eastAsia" w:ascii="Times New Roman" w:hAnsi="Times New Roman"/>
                <w:color w:val="auto"/>
                <w:kern w:val="0"/>
                <w:szCs w:val="21"/>
                <w:highlight w:val="none"/>
              </w:rPr>
              <w:t>（硅酸盐水泥终凝</w:t>
            </w:r>
            <w:r>
              <w:rPr>
                <w:rFonts w:ascii="Times New Roman" w:hAnsi="Times New Roman"/>
                <w:color w:val="auto"/>
                <w:kern w:val="0"/>
                <w:szCs w:val="21"/>
                <w:highlight w:val="none"/>
              </w:rPr>
              <w:t>≤390min</w:t>
            </w:r>
            <w:r>
              <w:rPr>
                <w:rFonts w:hint="eastAsia" w:ascii="Times New Roman" w:hAnsi="Times New Roman"/>
                <w:color w:val="auto"/>
                <w:kern w:val="0"/>
                <w:szCs w:val="21"/>
                <w:highlight w:val="none"/>
              </w:rPr>
              <w:t>）</w:t>
            </w:r>
          </w:p>
        </w:tc>
        <w:tc>
          <w:tcPr>
            <w:tcW w:w="2206" w:type="dxa"/>
            <w:vAlign w:val="center"/>
          </w:tcPr>
          <w:p w14:paraId="2AB98131">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GB/T1346</w:t>
            </w:r>
            <w:r>
              <w:rPr>
                <w:rFonts w:hint="eastAsia" w:ascii="Times New Roman" w:hAnsi="Times New Roman"/>
                <w:color w:val="auto"/>
                <w:kern w:val="0"/>
                <w:szCs w:val="21"/>
                <w:highlight w:val="none"/>
              </w:rPr>
              <w:t>检验</w:t>
            </w:r>
          </w:p>
        </w:tc>
      </w:tr>
      <w:tr w14:paraId="35FD5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28BC7124">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2063" w:type="dxa"/>
            <w:vAlign w:val="center"/>
          </w:tcPr>
          <w:p w14:paraId="3BBDC0A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安定性</w:t>
            </w:r>
          </w:p>
        </w:tc>
        <w:tc>
          <w:tcPr>
            <w:tcW w:w="4129" w:type="dxa"/>
            <w:vAlign w:val="center"/>
          </w:tcPr>
          <w:p w14:paraId="7D371752">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沸煮法合格</w:t>
            </w:r>
          </w:p>
        </w:tc>
        <w:tc>
          <w:tcPr>
            <w:tcW w:w="2206" w:type="dxa"/>
            <w:vAlign w:val="center"/>
          </w:tcPr>
          <w:p w14:paraId="41295748">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GB/T1346</w:t>
            </w:r>
            <w:r>
              <w:rPr>
                <w:rFonts w:hint="eastAsia" w:ascii="Times New Roman" w:hAnsi="Times New Roman"/>
                <w:color w:val="auto"/>
                <w:kern w:val="0"/>
                <w:szCs w:val="21"/>
                <w:highlight w:val="none"/>
              </w:rPr>
              <w:t>检验</w:t>
            </w:r>
          </w:p>
        </w:tc>
      </w:tr>
      <w:tr w14:paraId="1E7A3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exact"/>
          <w:jc w:val="center"/>
        </w:trPr>
        <w:tc>
          <w:tcPr>
            <w:tcW w:w="851" w:type="dxa"/>
            <w:vAlign w:val="center"/>
          </w:tcPr>
          <w:p w14:paraId="6817EB54">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2063" w:type="dxa"/>
            <w:vAlign w:val="center"/>
          </w:tcPr>
          <w:p w14:paraId="13FA292C">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强度</w:t>
            </w:r>
          </w:p>
        </w:tc>
        <w:tc>
          <w:tcPr>
            <w:tcW w:w="4129" w:type="dxa"/>
            <w:vAlign w:val="center"/>
          </w:tcPr>
          <w:p w14:paraId="6AA7EFEA">
            <w:pPr>
              <w:spacing w:line="360" w:lineRule="auto"/>
              <w:rPr>
                <w:rFonts w:ascii="Times New Roman" w:hAnsi="Times New Roman"/>
                <w:color w:val="auto"/>
                <w:kern w:val="0"/>
                <w:szCs w:val="21"/>
                <w:highlight w:val="none"/>
              </w:rPr>
            </w:pPr>
            <w:r>
              <w:rPr>
                <w:rFonts w:hint="eastAsia" w:ascii="Times New Roman" w:hAnsi="Times New Roman"/>
                <w:color w:val="auto"/>
                <w:szCs w:val="21"/>
                <w:highlight w:val="none"/>
              </w:rPr>
              <w:t>抗压强度3d≥17兆帕、28d≥42.5兆帕；抗折强度3d≥3.5兆帕、28d≥6.5兆帕。</w:t>
            </w:r>
          </w:p>
        </w:tc>
        <w:tc>
          <w:tcPr>
            <w:tcW w:w="2206" w:type="dxa"/>
            <w:vAlign w:val="center"/>
          </w:tcPr>
          <w:p w14:paraId="793E3E21">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GB/T17671</w:t>
            </w:r>
            <w:r>
              <w:rPr>
                <w:rFonts w:hint="eastAsia" w:ascii="Times New Roman" w:hAnsi="Times New Roman"/>
                <w:color w:val="auto"/>
                <w:kern w:val="0"/>
                <w:szCs w:val="21"/>
                <w:highlight w:val="none"/>
              </w:rPr>
              <w:t>检验</w:t>
            </w:r>
          </w:p>
        </w:tc>
      </w:tr>
      <w:tr w14:paraId="480DC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exact"/>
          <w:jc w:val="center"/>
        </w:trPr>
        <w:tc>
          <w:tcPr>
            <w:tcW w:w="851" w:type="dxa"/>
            <w:vAlign w:val="center"/>
          </w:tcPr>
          <w:p w14:paraId="4C3E22AA">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2063" w:type="dxa"/>
            <w:vAlign w:val="center"/>
          </w:tcPr>
          <w:p w14:paraId="14196AAE">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烧失量</w:t>
            </w:r>
          </w:p>
        </w:tc>
        <w:tc>
          <w:tcPr>
            <w:tcW w:w="4129" w:type="dxa"/>
            <w:vAlign w:val="center"/>
          </w:tcPr>
          <w:p w14:paraId="0EF2F0F3">
            <w:pPr>
              <w:spacing w:line="360" w:lineRule="auto"/>
              <w:ind w:firstLine="420" w:firstLineChars="200"/>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rPr>
              <w:t>GB175-20</w:t>
            </w:r>
            <w:r>
              <w:rPr>
                <w:rFonts w:hint="eastAsia"/>
                <w:color w:val="auto"/>
                <w:kern w:val="0"/>
                <w:szCs w:val="21"/>
                <w:highlight w:val="none"/>
                <w:lang w:val="en-US" w:eastAsia="zh-CN"/>
              </w:rPr>
              <w:t>23</w:t>
            </w:r>
          </w:p>
        </w:tc>
        <w:tc>
          <w:tcPr>
            <w:tcW w:w="2206" w:type="dxa"/>
            <w:vAlign w:val="center"/>
          </w:tcPr>
          <w:p w14:paraId="21E9E17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14831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55FDF3C6">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2063" w:type="dxa"/>
            <w:vAlign w:val="center"/>
          </w:tcPr>
          <w:p w14:paraId="7908342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p>
        </w:tc>
        <w:tc>
          <w:tcPr>
            <w:tcW w:w="4129" w:type="dxa"/>
            <w:vAlign w:val="center"/>
          </w:tcPr>
          <w:p w14:paraId="4CCB4995">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Align w:val="center"/>
          </w:tcPr>
          <w:p w14:paraId="1BA68174">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60F14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C4C66FA">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2063" w:type="dxa"/>
            <w:vAlign w:val="center"/>
          </w:tcPr>
          <w:p w14:paraId="54C591C7">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MgO</w:t>
            </w:r>
            <w:r>
              <w:rPr>
                <w:rFonts w:hint="eastAsia" w:ascii="Times New Roman" w:hAnsi="Times New Roman"/>
                <w:color w:val="auto"/>
                <w:kern w:val="0"/>
                <w:szCs w:val="21"/>
                <w:highlight w:val="none"/>
              </w:rPr>
              <w:t>含量</w:t>
            </w:r>
          </w:p>
        </w:tc>
        <w:tc>
          <w:tcPr>
            <w:tcW w:w="4129" w:type="dxa"/>
            <w:vAlign w:val="center"/>
          </w:tcPr>
          <w:p w14:paraId="4B553049">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Align w:val="center"/>
          </w:tcPr>
          <w:p w14:paraId="4471F663">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3ACEA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D936395">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2063" w:type="dxa"/>
            <w:vAlign w:val="center"/>
          </w:tcPr>
          <w:p w14:paraId="4BB9A258">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SO</w:t>
            </w:r>
            <w:r>
              <w:rPr>
                <w:rFonts w:ascii="Times New Roman" w:hAnsi="Times New Roman"/>
                <w:color w:val="auto"/>
                <w:kern w:val="0"/>
                <w:szCs w:val="21"/>
                <w:highlight w:val="none"/>
                <w:vertAlign w:val="subscript"/>
              </w:rPr>
              <w:t>3</w:t>
            </w:r>
            <w:r>
              <w:rPr>
                <w:rFonts w:hint="eastAsia" w:ascii="Times New Roman" w:hAnsi="Times New Roman"/>
                <w:color w:val="auto"/>
                <w:kern w:val="0"/>
                <w:szCs w:val="21"/>
                <w:highlight w:val="none"/>
              </w:rPr>
              <w:t>含量</w:t>
            </w:r>
          </w:p>
        </w:tc>
        <w:tc>
          <w:tcPr>
            <w:tcW w:w="4129" w:type="dxa"/>
            <w:vAlign w:val="center"/>
          </w:tcPr>
          <w:p w14:paraId="63CFBA43">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Align w:val="center"/>
          </w:tcPr>
          <w:p w14:paraId="6F2A6668">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5ADB6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C893D60">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2063" w:type="dxa"/>
            <w:vAlign w:val="center"/>
          </w:tcPr>
          <w:p w14:paraId="6E38D9AF">
            <w:pPr>
              <w:spacing w:line="360" w:lineRule="auto"/>
              <w:rPr>
                <w:rFonts w:ascii="Times New Roman" w:hAnsi="Times New Roman"/>
                <w:color w:val="auto"/>
                <w:kern w:val="0"/>
                <w:szCs w:val="21"/>
                <w:highlight w:val="none"/>
              </w:rPr>
            </w:pPr>
            <w:r>
              <w:rPr>
                <w:rFonts w:ascii="Times New Roman" w:hAnsi="Times New Roman"/>
                <w:color w:val="auto"/>
                <w:szCs w:val="21"/>
                <w:highlight w:val="none"/>
              </w:rPr>
              <w:t>CL</w:t>
            </w:r>
            <w:r>
              <w:rPr>
                <w:rFonts w:ascii="Times New Roman" w:hAnsi="Times New Roman"/>
                <w:color w:val="auto"/>
                <w:szCs w:val="21"/>
                <w:highlight w:val="none"/>
                <w:vertAlign w:val="superscript"/>
              </w:rPr>
              <w:t xml:space="preserve">- </w:t>
            </w:r>
            <w:r>
              <w:rPr>
                <w:rFonts w:hint="eastAsia" w:ascii="Times New Roman" w:hAnsi="Times New Roman"/>
                <w:color w:val="auto"/>
                <w:kern w:val="0"/>
                <w:szCs w:val="21"/>
                <w:highlight w:val="none"/>
              </w:rPr>
              <w:t>含量</w:t>
            </w:r>
          </w:p>
        </w:tc>
        <w:tc>
          <w:tcPr>
            <w:tcW w:w="4129" w:type="dxa"/>
            <w:vAlign w:val="center"/>
          </w:tcPr>
          <w:p w14:paraId="55C92996">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Align w:val="center"/>
          </w:tcPr>
          <w:p w14:paraId="71313F0A">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045C6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41D0433">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2063" w:type="dxa"/>
            <w:vAlign w:val="center"/>
          </w:tcPr>
          <w:p w14:paraId="1C879D90">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碱含量</w:t>
            </w:r>
          </w:p>
        </w:tc>
        <w:tc>
          <w:tcPr>
            <w:tcW w:w="4129" w:type="dxa"/>
            <w:vAlign w:val="center"/>
          </w:tcPr>
          <w:p w14:paraId="4EC7AD85">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Align w:val="center"/>
          </w:tcPr>
          <w:p w14:paraId="296F09C0">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14:paraId="2F4C1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979B29C">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2063" w:type="dxa"/>
            <w:vAlign w:val="center"/>
          </w:tcPr>
          <w:p w14:paraId="2512A54D">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助磨剂种类及掺量</w:t>
            </w:r>
          </w:p>
        </w:tc>
        <w:tc>
          <w:tcPr>
            <w:tcW w:w="4129" w:type="dxa"/>
            <w:vAlign w:val="center"/>
          </w:tcPr>
          <w:p w14:paraId="378EEDCD">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Merge w:val="restart"/>
            <w:vAlign w:val="center"/>
          </w:tcPr>
          <w:p w14:paraId="103701BB">
            <w:pPr>
              <w:spacing w:line="360" w:lineRule="auto"/>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检查产品质量</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rPr>
              <w:t>证明文件</w:t>
            </w:r>
          </w:p>
        </w:tc>
      </w:tr>
      <w:tr w14:paraId="308B7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EB68335">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2063" w:type="dxa"/>
            <w:vAlign w:val="center"/>
          </w:tcPr>
          <w:p w14:paraId="5CA9A3BC">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石膏种类及掺量</w:t>
            </w:r>
          </w:p>
        </w:tc>
        <w:tc>
          <w:tcPr>
            <w:tcW w:w="4129" w:type="dxa"/>
            <w:vAlign w:val="center"/>
          </w:tcPr>
          <w:p w14:paraId="7D55CD9E">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Merge w:val="continue"/>
            <w:vAlign w:val="center"/>
          </w:tcPr>
          <w:p w14:paraId="6D4FB288">
            <w:pPr>
              <w:spacing w:line="360" w:lineRule="auto"/>
              <w:rPr>
                <w:rFonts w:ascii="Times New Roman" w:hAnsi="Times New Roman"/>
                <w:color w:val="auto"/>
                <w:kern w:val="0"/>
                <w:szCs w:val="21"/>
                <w:highlight w:val="none"/>
              </w:rPr>
            </w:pPr>
          </w:p>
        </w:tc>
      </w:tr>
      <w:tr w14:paraId="7C293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37959F43">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2063" w:type="dxa"/>
            <w:vAlign w:val="center"/>
          </w:tcPr>
          <w:p w14:paraId="3285B09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混合材种类及掺量</w:t>
            </w:r>
          </w:p>
        </w:tc>
        <w:tc>
          <w:tcPr>
            <w:tcW w:w="4129" w:type="dxa"/>
            <w:vAlign w:val="center"/>
          </w:tcPr>
          <w:p w14:paraId="0869CB09">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w:t>
            </w:r>
          </w:p>
        </w:tc>
        <w:tc>
          <w:tcPr>
            <w:tcW w:w="2206" w:type="dxa"/>
            <w:vMerge w:val="continue"/>
            <w:vAlign w:val="center"/>
          </w:tcPr>
          <w:p w14:paraId="2ED0B2AE">
            <w:pPr>
              <w:spacing w:line="360" w:lineRule="auto"/>
              <w:rPr>
                <w:rFonts w:ascii="Times New Roman" w:hAnsi="Times New Roman"/>
                <w:color w:val="auto"/>
                <w:kern w:val="0"/>
                <w:szCs w:val="21"/>
                <w:highlight w:val="none"/>
              </w:rPr>
            </w:pPr>
          </w:p>
        </w:tc>
      </w:tr>
      <w:tr w14:paraId="0CAD3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exact"/>
          <w:jc w:val="center"/>
        </w:trPr>
        <w:tc>
          <w:tcPr>
            <w:tcW w:w="851" w:type="dxa"/>
            <w:vAlign w:val="center"/>
          </w:tcPr>
          <w:p w14:paraId="27DEE97C">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2063" w:type="dxa"/>
            <w:vAlign w:val="center"/>
          </w:tcPr>
          <w:p w14:paraId="7A0BEB89">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熟料中的</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w:t>
            </w:r>
          </w:p>
        </w:tc>
        <w:tc>
          <w:tcPr>
            <w:tcW w:w="4129" w:type="dxa"/>
            <w:vAlign w:val="center"/>
          </w:tcPr>
          <w:p w14:paraId="7D16C1BA">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2206" w:type="dxa"/>
            <w:vAlign w:val="center"/>
          </w:tcPr>
          <w:p w14:paraId="2EEABE77">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GB/T21372</w:t>
            </w:r>
            <w:r>
              <w:rPr>
                <w:rFonts w:hint="eastAsia" w:ascii="Times New Roman" w:hAnsi="Times New Roman"/>
                <w:color w:val="auto"/>
                <w:kern w:val="0"/>
                <w:szCs w:val="21"/>
                <w:highlight w:val="none"/>
              </w:rPr>
              <w:t>相关规定检验</w:t>
            </w:r>
          </w:p>
        </w:tc>
      </w:tr>
    </w:tbl>
    <w:p w14:paraId="27124FCA">
      <w:pPr>
        <w:spacing w:line="360" w:lineRule="auto"/>
        <w:rPr>
          <w:rFonts w:ascii="Times New Roman" w:hAnsi="Times New Roman"/>
          <w:b/>
          <w:color w:val="auto"/>
          <w:szCs w:val="21"/>
          <w:highlight w:val="none"/>
        </w:rPr>
      </w:pPr>
      <w:r>
        <w:rPr>
          <w:rFonts w:hint="eastAsia" w:ascii="Times New Roman" w:hAnsi="Times New Roman"/>
          <w:color w:val="auto"/>
          <w:szCs w:val="21"/>
          <w:highlight w:val="none"/>
        </w:rPr>
        <w:t>特种水泥要求：</w:t>
      </w:r>
      <w:r>
        <w:rPr>
          <w:rFonts w:ascii="Times New Roman" w:hAnsi="Times New Roman"/>
          <w:b/>
          <w:color w:val="auto"/>
          <w:szCs w:val="21"/>
          <w:highlight w:val="none"/>
        </w:rPr>
        <w:t xml:space="preserve"> 1 </w:t>
      </w:r>
      <w:r>
        <w:rPr>
          <w:rFonts w:hint="eastAsia" w:ascii="Times New Roman" w:hAnsi="Times New Roman"/>
          <w:b/>
          <w:color w:val="auto"/>
          <w:szCs w:val="21"/>
          <w:highlight w:val="none"/>
        </w:rPr>
        <w:t>低碱水泥碱含量不超过</w:t>
      </w:r>
      <w:r>
        <w:rPr>
          <w:rFonts w:ascii="Times New Roman" w:hAnsi="Times New Roman"/>
          <w:b/>
          <w:color w:val="auto"/>
          <w:szCs w:val="21"/>
          <w:highlight w:val="none"/>
        </w:rPr>
        <w:t>0.60%</w:t>
      </w:r>
      <w:r>
        <w:rPr>
          <w:rFonts w:hint="eastAsia" w:ascii="Times New Roman" w:hAnsi="Times New Roman"/>
          <w:b/>
          <w:color w:val="auto"/>
          <w:szCs w:val="21"/>
          <w:highlight w:val="none"/>
        </w:rPr>
        <w:t>。</w:t>
      </w:r>
    </w:p>
    <w:p w14:paraId="7E1788B0">
      <w:pPr>
        <w:spacing w:line="360" w:lineRule="auto"/>
        <w:ind w:firstLine="315" w:firstLineChars="1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Times New Roman"/>
          <w:color w:val="auto"/>
          <w:szCs w:val="21"/>
          <w:highlight w:val="none"/>
        </w:rPr>
        <w:t>在氯盐环境条件下，混凝土宜采用低</w:t>
      </w:r>
      <w:r>
        <w:rPr>
          <w:rFonts w:ascii="Times New Roman" w:hAnsi="Times New Roman"/>
          <w:color w:val="auto"/>
          <w:szCs w:val="21"/>
          <w:highlight w:val="none"/>
        </w:rPr>
        <w:t>CL</w:t>
      </w:r>
      <w:r>
        <w:rPr>
          <w:rFonts w:ascii="Times New Roman" w:hAnsi="Times New Roman"/>
          <w:color w:val="auto"/>
          <w:szCs w:val="21"/>
          <w:highlight w:val="none"/>
          <w:vertAlign w:val="superscript"/>
        </w:rPr>
        <w:t>-</w:t>
      </w:r>
      <w:r>
        <w:rPr>
          <w:rFonts w:hint="eastAsia" w:ascii="Times New Roman" w:hAnsi="Times New Roman"/>
          <w:color w:val="auto"/>
          <w:szCs w:val="21"/>
          <w:highlight w:val="none"/>
        </w:rPr>
        <w:t>含量的水泥，不宜使用抗硫酸盐硅酸盐水泥。</w:t>
      </w:r>
    </w:p>
    <w:p w14:paraId="40003655">
      <w:pPr>
        <w:spacing w:line="360" w:lineRule="auto"/>
        <w:ind w:left="1365" w:hanging="1365" w:hangingChars="650"/>
        <w:rPr>
          <w:rFonts w:ascii="Times New Roman" w:hAnsi="Times New Roman"/>
          <w:color w:val="auto"/>
          <w:szCs w:val="21"/>
          <w:highlight w:val="none"/>
        </w:rPr>
      </w:pPr>
      <w:r>
        <w:rPr>
          <w:rFonts w:ascii="Times New Roman" w:hAnsi="Times New Roman"/>
          <w:color w:val="auto"/>
          <w:szCs w:val="21"/>
          <w:highlight w:val="none"/>
        </w:rPr>
        <w:t xml:space="preserve">   3 </w:t>
      </w:r>
      <w:r>
        <w:rPr>
          <w:rFonts w:hint="eastAsia" w:ascii="Times New Roman" w:hAnsi="Times New Roman"/>
          <w:color w:val="auto"/>
          <w:szCs w:val="21"/>
          <w:highlight w:val="none"/>
        </w:rPr>
        <w:t>在硫酸盐化学侵蚀环境条件下，混凝土应采用低</w:t>
      </w:r>
      <w:r>
        <w:rPr>
          <w:rFonts w:ascii="Times New Roman" w:hAnsi="Times New Roman"/>
          <w:color w:val="auto"/>
          <w:szCs w:val="21"/>
          <w:highlight w:val="none"/>
        </w:rPr>
        <w:t>C</w:t>
      </w:r>
      <w:r>
        <w:rPr>
          <w:rFonts w:ascii="Times New Roman" w:hAnsi="Times New Roman"/>
          <w:color w:val="auto"/>
          <w:szCs w:val="21"/>
          <w:highlight w:val="none"/>
          <w:vertAlign w:val="subscript"/>
        </w:rPr>
        <w:t>3</w:t>
      </w:r>
      <w:r>
        <w:rPr>
          <w:rFonts w:ascii="Times New Roman" w:hAnsi="Times New Roman"/>
          <w:color w:val="auto"/>
          <w:szCs w:val="21"/>
          <w:highlight w:val="none"/>
        </w:rPr>
        <w:t>A</w:t>
      </w:r>
      <w:r>
        <w:rPr>
          <w:rFonts w:hint="eastAsia" w:ascii="Times New Roman" w:hAnsi="Times New Roman"/>
          <w:color w:val="auto"/>
          <w:szCs w:val="21"/>
          <w:highlight w:val="none"/>
        </w:rPr>
        <w:t>含量的水泥，且胶凝材料的抗蚀系数（</w:t>
      </w:r>
      <w:r>
        <w:rPr>
          <w:rFonts w:ascii="Times New Roman" w:hAnsi="Times New Roman"/>
          <w:color w:val="auto"/>
          <w:szCs w:val="21"/>
          <w:highlight w:val="none"/>
        </w:rPr>
        <w:t>56d</w:t>
      </w:r>
      <w:r>
        <w:rPr>
          <w:rFonts w:hint="eastAsia" w:ascii="Times New Roman" w:hAnsi="Times New Roman"/>
          <w:color w:val="auto"/>
          <w:szCs w:val="21"/>
          <w:highlight w:val="none"/>
        </w:rPr>
        <w:t>）不得小于</w:t>
      </w:r>
      <w:r>
        <w:rPr>
          <w:rFonts w:ascii="Times New Roman" w:hAnsi="Times New Roman"/>
          <w:color w:val="auto"/>
          <w:szCs w:val="21"/>
          <w:highlight w:val="none"/>
        </w:rPr>
        <w:t>0.80</w:t>
      </w:r>
      <w:r>
        <w:rPr>
          <w:rFonts w:hint="eastAsia" w:ascii="Times New Roman" w:hAnsi="Times New Roman"/>
          <w:color w:val="auto"/>
          <w:szCs w:val="21"/>
          <w:highlight w:val="none"/>
        </w:rPr>
        <w:t>。</w:t>
      </w:r>
    </w:p>
    <w:p w14:paraId="6452548E">
      <w:pPr>
        <w:spacing w:line="360" w:lineRule="auto"/>
        <w:ind w:firstLine="315" w:firstLineChars="150"/>
        <w:rPr>
          <w:rFonts w:ascii="Times New Roman" w:hAnsi="Times New Roman"/>
          <w:color w:val="auto"/>
          <w:kern w:val="0"/>
          <w:szCs w:val="21"/>
          <w:highlight w:val="none"/>
        </w:rPr>
      </w:pPr>
      <w:r>
        <w:rPr>
          <w:rFonts w:hint="eastAsia" w:ascii="Times New Roman" w:hAnsi="Times New Roman"/>
          <w:color w:val="auto"/>
          <w:szCs w:val="21"/>
          <w:highlight w:val="none"/>
        </w:rPr>
        <w:t>4．</w:t>
      </w:r>
      <w:r>
        <w:rPr>
          <w:rFonts w:hint="eastAsia" w:ascii="Times New Roman" w:hAnsi="Times New Roman"/>
          <w:color w:val="auto"/>
          <w:szCs w:val="24"/>
          <w:highlight w:val="none"/>
        </w:rPr>
        <w:t>抗硫酸盐水泥技术要求：</w:t>
      </w:r>
      <w:r>
        <w:rPr>
          <w:rFonts w:hint="eastAsia" w:ascii="Times New Roman" w:hAnsi="Times New Roman"/>
          <w:color w:val="auto"/>
          <w:kern w:val="0"/>
          <w:szCs w:val="21"/>
          <w:highlight w:val="none"/>
        </w:rPr>
        <w:t>熟料中的</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≤8%</w:t>
      </w:r>
      <w:r>
        <w:rPr>
          <w:rFonts w:hint="eastAsia" w:ascii="Times New Roman" w:hAnsi="Times New Roman"/>
          <w:color w:val="auto"/>
          <w:szCs w:val="21"/>
          <w:highlight w:val="none"/>
        </w:rPr>
        <w:t>，水泥细度</w:t>
      </w:r>
      <w:r>
        <w:rPr>
          <w:rFonts w:ascii="Times New Roman" w:hAnsi="Times New Roman"/>
          <w:color w:val="auto"/>
          <w:kern w:val="0"/>
          <w:szCs w:val="21"/>
          <w:highlight w:val="none"/>
        </w:rPr>
        <w:t>≤3</w:t>
      </w:r>
      <w:r>
        <w:rPr>
          <w:rFonts w:hint="eastAsia" w:ascii="Times New Roman" w:hAnsi="Times New Roman"/>
          <w:color w:val="auto"/>
          <w:kern w:val="0"/>
          <w:szCs w:val="21"/>
          <w:highlight w:val="none"/>
        </w:rPr>
        <w:t>5</w:t>
      </w:r>
      <w:r>
        <w:rPr>
          <w:rFonts w:ascii="Times New Roman" w:hAnsi="Times New Roman"/>
          <w:color w:val="auto"/>
          <w:kern w:val="0"/>
          <w:szCs w:val="21"/>
          <w:highlight w:val="none"/>
        </w:rPr>
        <w:t>0m</w:t>
      </w:r>
      <w:r>
        <w:rPr>
          <w:rFonts w:ascii="Times New Roman" w:hAnsi="Times New Roman"/>
          <w:color w:val="auto"/>
          <w:kern w:val="0"/>
          <w:szCs w:val="21"/>
          <w:highlight w:val="none"/>
          <w:vertAlign w:val="superscript"/>
        </w:rPr>
        <w:t>2</w:t>
      </w:r>
      <w:r>
        <w:rPr>
          <w:rFonts w:ascii="Times New Roman" w:hAnsi="Times New Roman"/>
          <w:color w:val="auto"/>
          <w:kern w:val="0"/>
          <w:szCs w:val="21"/>
          <w:highlight w:val="none"/>
        </w:rPr>
        <w:t>/Kg</w:t>
      </w:r>
      <w:r>
        <w:rPr>
          <w:rFonts w:hint="eastAsia" w:ascii="Times New Roman" w:hAnsi="Times New Roman"/>
          <w:color w:val="auto"/>
          <w:kern w:val="0"/>
          <w:szCs w:val="21"/>
          <w:highlight w:val="none"/>
        </w:rPr>
        <w:t>，游离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≤1.</w:t>
      </w:r>
      <w:r>
        <w:rPr>
          <w:rFonts w:hint="eastAsia" w:ascii="Times New Roman" w:hAnsi="Times New Roman"/>
          <w:color w:val="auto"/>
          <w:kern w:val="0"/>
          <w:szCs w:val="21"/>
          <w:highlight w:val="none"/>
        </w:rPr>
        <w:t>5</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14:paraId="3407559D">
      <w:pPr>
        <w:spacing w:line="360" w:lineRule="auto"/>
        <w:ind w:firstLine="315" w:firstLineChars="150"/>
        <w:rPr>
          <w:rFonts w:ascii="Times New Roman" w:hAnsi="Times New Roman"/>
          <w:color w:val="auto"/>
          <w:szCs w:val="21"/>
          <w:highlight w:val="none"/>
        </w:rPr>
      </w:pPr>
      <w:r>
        <w:rPr>
          <w:rFonts w:hint="eastAsia" w:ascii="Times New Roman" w:hAnsi="Times New Roman"/>
          <w:color w:val="auto"/>
          <w:kern w:val="0"/>
          <w:szCs w:val="21"/>
          <w:highlight w:val="none"/>
        </w:rPr>
        <w:t>5. 如实际需使用低碱、抗硫酸盐等特殊水泥，价格另行协商。</w:t>
      </w:r>
    </w:p>
    <w:p w14:paraId="5B60382F">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（二）生产工艺要求</w:t>
      </w:r>
    </w:p>
    <w:p w14:paraId="2351FC81">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必须由满足采购文件要求的新型干法旋转窑生产线制造，不允许粉磨站生产厂家报价。</w:t>
      </w:r>
    </w:p>
    <w:p w14:paraId="59B9822C">
      <w:pPr>
        <w:spacing w:line="360" w:lineRule="auto"/>
        <w:ind w:firstLine="422" w:firstLineChars="200"/>
        <w:rPr>
          <w:rFonts w:ascii="Times New Roman" w:hAnsi="Times New Roman"/>
          <w:color w:val="auto"/>
          <w:kern w:val="0"/>
          <w:szCs w:val="21"/>
          <w:highlight w:val="none"/>
        </w:rPr>
      </w:pPr>
      <w:r>
        <w:rPr>
          <w:rFonts w:hint="eastAsia" w:ascii="Times New Roman" w:hAnsi="Times New Roman"/>
          <w:b/>
          <w:color w:val="auto"/>
          <w:kern w:val="0"/>
          <w:szCs w:val="21"/>
          <w:highlight w:val="none"/>
        </w:rPr>
        <w:t>（三）强度等级：</w:t>
      </w:r>
      <w:r>
        <w:rPr>
          <w:rFonts w:hint="eastAsia" w:ascii="Times New Roman" w:hAnsi="Times New Roman"/>
          <w:color w:val="auto"/>
          <w:kern w:val="0"/>
          <w:szCs w:val="21"/>
          <w:highlight w:val="none"/>
        </w:rPr>
        <w:t>详见《物资需求一览表》；</w:t>
      </w:r>
    </w:p>
    <w:p w14:paraId="6FEA7DAD">
      <w:pPr>
        <w:spacing w:line="360" w:lineRule="auto"/>
        <w:ind w:firstLine="422" w:firstLineChars="200"/>
        <w:rPr>
          <w:rFonts w:ascii="Times New Roman" w:hAnsi="Times New Roman"/>
          <w:b/>
          <w:color w:val="auto"/>
          <w:kern w:val="0"/>
          <w:szCs w:val="21"/>
          <w:highlight w:val="none"/>
        </w:rPr>
      </w:pPr>
      <w:r>
        <w:rPr>
          <w:rFonts w:hint="eastAsia" w:ascii="Times New Roman" w:hAnsi="Times New Roman"/>
          <w:b/>
          <w:color w:val="auto"/>
          <w:kern w:val="0"/>
          <w:szCs w:val="21"/>
          <w:highlight w:val="none"/>
        </w:rPr>
        <w:t>（四）包装</w:t>
      </w:r>
    </w:p>
    <w:p w14:paraId="2C65ADAA">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防潮袋装交货，其它要求按国标</w:t>
      </w:r>
      <w:r>
        <w:rPr>
          <w:rFonts w:ascii="Times New Roman" w:hAnsi="Times New Roman"/>
          <w:color w:val="auto"/>
          <w:kern w:val="0"/>
          <w:szCs w:val="21"/>
          <w:highlight w:val="none"/>
        </w:rPr>
        <w:t>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执行；</w:t>
      </w:r>
    </w:p>
    <w:p w14:paraId="02EA1153">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五</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产品质量检验报告必须包括：</w:t>
      </w:r>
    </w:p>
    <w:p w14:paraId="1EBEEC55">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比表面积、烧失量、游离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MgO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SO</w:t>
      </w:r>
      <w:r>
        <w:rPr>
          <w:rFonts w:ascii="Times New Roman" w:hAnsi="Times New Roman"/>
          <w:color w:val="auto"/>
          <w:kern w:val="0"/>
          <w:szCs w:val="21"/>
          <w:highlight w:val="none"/>
          <w:vertAlign w:val="subscript"/>
        </w:rPr>
        <w:t>3</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Cl</w:t>
      </w:r>
      <w:r>
        <w:rPr>
          <w:rFonts w:hint="eastAsia" w:ascii="Times New Roman" w:hAnsi="Times New Roman"/>
          <w:color w:val="auto"/>
          <w:kern w:val="0"/>
          <w:szCs w:val="21"/>
          <w:highlight w:val="none"/>
          <w:vertAlign w:val="superscript"/>
        </w:rPr>
        <w:t>－</w:t>
      </w:r>
      <w:r>
        <w:rPr>
          <w:rFonts w:hint="eastAsia" w:ascii="Times New Roman" w:hAnsi="Times New Roman"/>
          <w:color w:val="auto"/>
          <w:kern w:val="0"/>
          <w:szCs w:val="21"/>
          <w:highlight w:val="none"/>
        </w:rPr>
        <w:t>含量、细度、凝结时间、安定性、强度、碱含量、助磨剂名称及掺量、石膏名称及掺量、混合材名称及掺量、熟料</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含量等项目。</w:t>
      </w:r>
    </w:p>
    <w:p w14:paraId="2EA86654">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六</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投标物资详细的运输和供应方案</w:t>
      </w:r>
    </w:p>
    <w:p w14:paraId="21F75B6F">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．报价人交付的物资应分别按照合同要求交至指定的到货地点。</w:t>
      </w:r>
    </w:p>
    <w:p w14:paraId="4A8864EC">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．报价人应充分考虑和了解施工地点的地理位置和运输条件，采用合适有效的运输和货物交付方式，制定保证工程所需物资按时、按量供应的具体措施。</w:t>
      </w:r>
    </w:p>
    <w:p w14:paraId="02B4D4B2">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 xml:space="preserve">3. </w:t>
      </w:r>
      <w:r>
        <w:rPr>
          <w:rFonts w:hint="eastAsia" w:ascii="Times New Roman" w:hAnsi="Times New Roman"/>
          <w:color w:val="auto"/>
          <w:kern w:val="0"/>
          <w:szCs w:val="21"/>
          <w:highlight w:val="none"/>
        </w:rPr>
        <w:t>运输</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水泥在运输时不得受潮和混入杂物，不同品种和强度等级的水泥应分别装运，不得混杂。</w:t>
      </w:r>
    </w:p>
    <w:p w14:paraId="19EEB089">
      <w:pPr>
        <w:adjustRightInd w:val="0"/>
        <w:snapToGrid w:val="0"/>
        <w:spacing w:line="360" w:lineRule="auto"/>
        <w:ind w:firstLine="402" w:firstLineChars="200"/>
        <w:rPr>
          <w:rFonts w:ascii="Times New Roman" w:hAnsi="Times New Roman"/>
          <w:color w:val="auto"/>
          <w:kern w:val="0"/>
          <w:sz w:val="20"/>
          <w:szCs w:val="21"/>
          <w:highlight w:val="none"/>
        </w:rPr>
      </w:pPr>
      <w:r>
        <w:rPr>
          <w:rFonts w:ascii="Times New Roman" w:hAnsi="Times New Roman"/>
          <w:b/>
          <w:color w:val="auto"/>
          <w:kern w:val="0"/>
          <w:sz w:val="20"/>
          <w:szCs w:val="21"/>
          <w:highlight w:val="none"/>
        </w:rPr>
        <w:t>(</w:t>
      </w:r>
      <w:r>
        <w:rPr>
          <w:rFonts w:hint="eastAsia" w:ascii="Times New Roman" w:hAnsi="Times New Roman"/>
          <w:b/>
          <w:color w:val="auto"/>
          <w:kern w:val="0"/>
          <w:sz w:val="20"/>
          <w:szCs w:val="21"/>
          <w:highlight w:val="none"/>
        </w:rPr>
        <w:t>七</w:t>
      </w:r>
      <w:r>
        <w:rPr>
          <w:rFonts w:ascii="Times New Roman" w:hAnsi="Times New Roman"/>
          <w:b/>
          <w:color w:val="auto"/>
          <w:kern w:val="0"/>
          <w:sz w:val="20"/>
          <w:szCs w:val="21"/>
          <w:highlight w:val="none"/>
        </w:rPr>
        <w:t xml:space="preserve">) </w:t>
      </w:r>
      <w:r>
        <w:rPr>
          <w:rFonts w:hint="eastAsia" w:ascii="Times New Roman" w:hAnsi="Times New Roman"/>
          <w:b/>
          <w:color w:val="auto"/>
          <w:kern w:val="0"/>
          <w:sz w:val="20"/>
          <w:szCs w:val="21"/>
          <w:highlight w:val="none"/>
        </w:rPr>
        <w:t>质量保证期：</w:t>
      </w:r>
      <w:r>
        <w:rPr>
          <w:rFonts w:hint="eastAsia" w:ascii="Times New Roman" w:hAnsi="Times New Roman"/>
          <w:color w:val="auto"/>
          <w:kern w:val="0"/>
          <w:szCs w:val="21"/>
          <w:highlight w:val="none"/>
        </w:rPr>
        <w:t>自物资交货验收合格之日起</w:t>
      </w:r>
      <w:r>
        <w:rPr>
          <w:rFonts w:ascii="Times New Roman" w:hAnsi="Times New Roman"/>
          <w:color w:val="auto"/>
          <w:kern w:val="0"/>
          <w:szCs w:val="21"/>
          <w:highlight w:val="none"/>
        </w:rPr>
        <w:t>3</w:t>
      </w:r>
      <w:r>
        <w:rPr>
          <w:rFonts w:hint="eastAsia" w:ascii="Times New Roman" w:hAnsi="Times New Roman"/>
          <w:color w:val="auto"/>
          <w:kern w:val="0"/>
          <w:szCs w:val="21"/>
          <w:highlight w:val="none"/>
        </w:rPr>
        <w:t>个月。</w:t>
      </w:r>
    </w:p>
    <w:p w14:paraId="52736EC8">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八</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散装水泥专用条款</w:t>
      </w:r>
    </w:p>
    <w:p w14:paraId="0769171B">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．散装水泥要求具有足够的运输保障能力和运输组织能力。</w:t>
      </w:r>
    </w:p>
    <w:p w14:paraId="7D93BC83">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w:t>
      </w:r>
      <w:r>
        <w:rPr>
          <w:rFonts w:hint="eastAsia" w:ascii="Times New Roman" w:hAnsi="Times New Roman"/>
          <w:b/>
          <w:color w:val="auto"/>
          <w:kern w:val="0"/>
          <w:szCs w:val="21"/>
          <w:highlight w:val="none"/>
        </w:rPr>
        <w:t>若施工现场需中标单位提供散装水泥储存设备（包含水泥罐和动力设施）的，由施工单位和中标单位自行协商，费用由施工单位承担。</w:t>
      </w:r>
    </w:p>
    <w:p w14:paraId="4EEC72F8">
      <w:pPr>
        <w:spacing w:line="360" w:lineRule="auto"/>
        <w:ind w:firstLine="422" w:firstLineChars="200"/>
        <w:rPr>
          <w:rFonts w:ascii="Times New Roman" w:hAnsi="Times New Roman"/>
          <w:b/>
          <w:color w:val="auto"/>
          <w:kern w:val="0"/>
          <w:szCs w:val="21"/>
          <w:highlight w:val="none"/>
        </w:rPr>
      </w:pPr>
      <w:r>
        <w:rPr>
          <w:rFonts w:hint="eastAsia" w:ascii="Times New Roman" w:hAnsi="Times New Roman"/>
          <w:b/>
          <w:color w:val="auto"/>
          <w:kern w:val="0"/>
          <w:szCs w:val="21"/>
          <w:highlight w:val="none"/>
        </w:rPr>
        <w:t>（九）</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验收标准</w:t>
      </w:r>
    </w:p>
    <w:p w14:paraId="4D61D592">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水泥进场时，必须对其数量、品种、级别、包装或散装仓号、袋装质量、出厂日期等进行验收，并对其强度、凝结时间、安定性进行实验，其质量必须符合现行国家标准的规定。</w:t>
      </w:r>
    </w:p>
    <w:p w14:paraId="4A061E8D">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袋装水泥数量判断标准遵照GB175-20</w:t>
      </w:r>
      <w:r>
        <w:rPr>
          <w:rFonts w:hint="eastAsia"/>
          <w:color w:val="auto"/>
          <w:kern w:val="0"/>
          <w:szCs w:val="21"/>
          <w:highlight w:val="none"/>
          <w:lang w:val="en-US" w:eastAsia="zh-CN"/>
        </w:rPr>
        <w:t>23</w:t>
      </w:r>
      <w:r>
        <w:rPr>
          <w:rFonts w:hint="eastAsia" w:ascii="Times New Roman" w:hAnsi="Times New Roman"/>
          <w:color w:val="auto"/>
          <w:kern w:val="0"/>
          <w:szCs w:val="21"/>
          <w:highlight w:val="none"/>
        </w:rPr>
        <w:t>规定，每袋净含量50kg，且不得少于标志质量的99％，随机抽取20袋总质量（包含装袋）不得少于1000kg。散装水泥数量验收以工地过磅单为准，</w:t>
      </w:r>
      <w:r>
        <w:rPr>
          <w:rFonts w:hint="eastAsia" w:ascii="Times New Roman" w:hAnsi="Times New Roman"/>
          <w:color w:val="auto"/>
          <w:szCs w:val="24"/>
          <w:highlight w:val="none"/>
        </w:rPr>
        <w:t>正负±3‰为合理磅差，若实际过磅数量与乙方过磅单数量之差不超过±3‰范围，以乙方过磅单为准；若数量之差超过±3‰范围时，由乙方与甲方共同选择第三方进行复磅（应选择技术监督局检验合格且距离施工现场较近处进行复磅），以复磅重量为准，复磅费用由过错方承担。</w:t>
      </w:r>
    </w:p>
    <w:p w14:paraId="497F254C">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left"/>
        <w:textAlignment w:val="auto"/>
        <w:rPr>
          <w:rFonts w:hint="eastAsia" w:ascii="方正小标宋_GBK" w:hAnsi="方正小标宋_GBK" w:eastAsia="方正小标宋_GBK" w:cs="方正小标宋_GBK"/>
          <w:b w:val="0"/>
          <w:bCs/>
          <w:color w:val="auto"/>
          <w:sz w:val="28"/>
          <w:szCs w:val="28"/>
          <w:highlight w:val="none"/>
          <w:lang w:val="en-US" w:eastAsia="zh-CN"/>
        </w:rPr>
      </w:pPr>
      <w:r>
        <w:rPr>
          <w:rFonts w:hint="eastAsia" w:ascii="宋体" w:hAnsi="宋体"/>
          <w:b/>
          <w:color w:val="auto"/>
          <w:szCs w:val="21"/>
          <w:highlight w:val="none"/>
        </w:rPr>
        <w:t>乙方须负责将袋装水泥水泥卸货到工地指定仓库，按工地要求堆码整齐。</w:t>
      </w:r>
    </w:p>
    <w:p w14:paraId="007BA988">
      <w:pPr>
        <w:rPr>
          <w:rFonts w:hint="eastAsia" w:ascii="宋体" w:hAnsi="宋体"/>
          <w:color w:val="auto"/>
          <w:sz w:val="52"/>
          <w:szCs w:val="52"/>
          <w:highlight w:val="none"/>
        </w:rPr>
      </w:pPr>
    </w:p>
    <w:p w14:paraId="50872AB4">
      <w:pPr>
        <w:rPr>
          <w:rFonts w:hint="eastAsia" w:ascii="宋体" w:hAnsi="宋体"/>
          <w:color w:val="auto"/>
          <w:sz w:val="52"/>
          <w:szCs w:val="52"/>
          <w:highlight w:val="none"/>
        </w:rPr>
      </w:pPr>
      <w:bookmarkStart w:id="584" w:name="_Toc20873"/>
      <w:r>
        <w:rPr>
          <w:rFonts w:hint="eastAsia" w:ascii="宋体" w:hAnsi="宋体"/>
          <w:color w:val="auto"/>
          <w:sz w:val="52"/>
          <w:szCs w:val="52"/>
          <w:highlight w:val="none"/>
        </w:rPr>
        <w:br w:type="page"/>
      </w:r>
    </w:p>
    <w:p w14:paraId="4B7B090A">
      <w:pPr>
        <w:pStyle w:val="2"/>
        <w:spacing w:before="0" w:after="0" w:line="360" w:lineRule="auto"/>
        <w:jc w:val="center"/>
        <w:rPr>
          <w:rFonts w:ascii="宋体" w:hAnsi="宋体"/>
          <w:color w:val="auto"/>
          <w:sz w:val="52"/>
          <w:szCs w:val="52"/>
          <w:highlight w:val="none"/>
        </w:rPr>
      </w:pPr>
      <w:r>
        <w:rPr>
          <w:rFonts w:hint="eastAsia" w:ascii="宋体" w:hAnsi="宋体"/>
          <w:color w:val="auto"/>
          <w:sz w:val="52"/>
          <w:szCs w:val="52"/>
          <w:highlight w:val="none"/>
        </w:rPr>
        <w:t>第 三 卷</w:t>
      </w:r>
      <w:bookmarkEnd w:id="583"/>
      <w:bookmarkEnd w:id="584"/>
      <w:bookmarkStart w:id="585" w:name="_Toc509218847"/>
      <w:bookmarkStart w:id="586" w:name="_Toc536797390"/>
      <w:bookmarkStart w:id="587" w:name="_Toc13211764"/>
      <w:bookmarkStart w:id="588" w:name="_Toc536619968"/>
      <w:bookmarkStart w:id="589" w:name="_Toc536628344"/>
      <w:bookmarkStart w:id="590" w:name="_Toc536797121"/>
      <w:bookmarkStart w:id="591" w:name="_Toc536620100"/>
      <w:bookmarkStart w:id="592" w:name="_Toc536796986"/>
      <w:bookmarkStart w:id="593" w:name="_Toc536796850"/>
      <w:bookmarkStart w:id="594" w:name="_Toc536621880"/>
      <w:bookmarkStart w:id="595" w:name="_Toc13211206"/>
      <w:bookmarkStart w:id="596" w:name="_Toc13210772"/>
      <w:bookmarkStart w:id="597" w:name="_Toc536797255"/>
      <w:bookmarkStart w:id="598" w:name="_Toc534185826"/>
    </w:p>
    <w:bookmarkEnd w:id="585"/>
    <w:p w14:paraId="397B0414">
      <w:pPr>
        <w:rPr>
          <w:color w:val="auto"/>
          <w:highlight w:val="none"/>
        </w:rPr>
      </w:pPr>
      <w:r>
        <w:rPr>
          <w:color w:val="auto"/>
          <w:highlight w:val="none"/>
        </w:rPr>
        <w:br w:type="page"/>
      </w:r>
      <w:bookmarkEnd w:id="586"/>
      <w:bookmarkEnd w:id="587"/>
      <w:bookmarkEnd w:id="588"/>
      <w:bookmarkEnd w:id="589"/>
      <w:bookmarkEnd w:id="590"/>
      <w:bookmarkEnd w:id="591"/>
      <w:bookmarkEnd w:id="592"/>
      <w:bookmarkEnd w:id="593"/>
      <w:bookmarkEnd w:id="594"/>
      <w:bookmarkEnd w:id="595"/>
      <w:bookmarkEnd w:id="596"/>
      <w:bookmarkEnd w:id="597"/>
      <w:bookmarkEnd w:id="598"/>
    </w:p>
    <w:p w14:paraId="254BDE19">
      <w:pPr>
        <w:pStyle w:val="2"/>
        <w:spacing w:line="360" w:lineRule="auto"/>
        <w:jc w:val="center"/>
        <w:rPr>
          <w:rFonts w:ascii="宋体" w:hAnsi="宋体"/>
          <w:color w:val="auto"/>
          <w:highlight w:val="none"/>
        </w:rPr>
      </w:pPr>
      <w:bookmarkStart w:id="599" w:name="招标文件07章技术标准和要求"/>
      <w:bookmarkEnd w:id="599"/>
      <w:bookmarkStart w:id="600" w:name="_Toc30596"/>
      <w:bookmarkStart w:id="601" w:name="_Toc430530528"/>
      <w:bookmarkStart w:id="602" w:name="_Toc6465"/>
      <w:bookmarkStart w:id="603" w:name="_Toc534185829"/>
      <w:bookmarkStart w:id="604" w:name="_Toc287620812"/>
      <w:bookmarkStart w:id="605" w:name="_Toc287607865"/>
      <w:bookmarkStart w:id="606" w:name="_Toc509218852"/>
      <w:r>
        <w:rPr>
          <w:rFonts w:hint="eastAsia" w:ascii="宋体" w:hAnsi="宋体"/>
          <w:color w:val="auto"/>
          <w:highlight w:val="none"/>
        </w:rPr>
        <w:t>第六章  投标文件格式</w:t>
      </w:r>
      <w:bookmarkEnd w:id="600"/>
      <w:bookmarkEnd w:id="601"/>
      <w:bookmarkEnd w:id="602"/>
      <w:bookmarkEnd w:id="603"/>
      <w:bookmarkEnd w:id="604"/>
      <w:bookmarkEnd w:id="605"/>
      <w:bookmarkEnd w:id="606"/>
    </w:p>
    <w:p w14:paraId="2B8A9748">
      <w:pPr>
        <w:spacing w:line="360" w:lineRule="auto"/>
        <w:rPr>
          <w:rFonts w:ascii="宋体" w:hAnsi="宋体"/>
          <w:color w:val="auto"/>
          <w:sz w:val="32"/>
          <w:szCs w:val="32"/>
          <w:highlight w:val="none"/>
        </w:rPr>
      </w:pPr>
    </w:p>
    <w:p w14:paraId="6E352EF0">
      <w:pPr>
        <w:spacing w:line="360" w:lineRule="auto"/>
        <w:jc w:val="center"/>
        <w:rPr>
          <w:rFonts w:ascii="宋体" w:hAnsi="宋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5F006759"/>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5F006759"/>
                  </w:txbxContent>
                </v:textbox>
              </v:rect>
            </w:pict>
          </mc:Fallback>
        </mc:AlternateContent>
      </w:r>
      <w:r>
        <w:rPr>
          <w:rFonts w:ascii="宋体" w:hAnsi="宋体"/>
          <w:color w:val="auto"/>
          <w:szCs w:val="20"/>
          <w:highlight w:val="none"/>
        </w:rPr>
        <w:br w:type="page"/>
      </w:r>
      <w:bookmarkStart w:id="607" w:name="_Toc224103493"/>
      <w:r>
        <w:rPr>
          <w:rFonts w:hint="eastAsia" w:ascii="宋体" w:hAnsi="宋体"/>
          <w:color w:val="auto"/>
          <w:sz w:val="36"/>
          <w:szCs w:val="36"/>
          <w:highlight w:val="none"/>
        </w:rPr>
        <w:t>目  录</w:t>
      </w:r>
      <w:bookmarkEnd w:id="607"/>
    </w:p>
    <w:p w14:paraId="675163B6">
      <w:pPr>
        <w:spacing w:line="360" w:lineRule="auto"/>
        <w:jc w:val="center"/>
        <w:rPr>
          <w:rFonts w:ascii="宋体" w:hAnsi="宋体"/>
          <w:color w:val="auto"/>
          <w:szCs w:val="20"/>
          <w:highlight w:val="none"/>
        </w:rPr>
      </w:pPr>
    </w:p>
    <w:p w14:paraId="1918B00E">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687B52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52D1C930">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4C8C4D71">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 xml:space="preserve"> </w:t>
      </w:r>
      <w:r>
        <w:rPr>
          <w:rFonts w:hint="eastAsia" w:ascii="宋体" w:hAnsi="宋体" w:eastAsia="宋体" w:cs="Times New Roman"/>
          <w:color w:val="auto"/>
          <w:highlight w:val="none"/>
          <w:lang w:val="en-US" w:eastAsia="zh-CN"/>
        </w:rPr>
        <w:t>（三）报价清单</w:t>
      </w:r>
    </w:p>
    <w:p w14:paraId="5E325FB8">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（四）低价风险担保承诺函（如有）</w:t>
      </w:r>
    </w:p>
    <w:p w14:paraId="31AD132B">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资格审查部分</w:t>
      </w:r>
    </w:p>
    <w:p w14:paraId="41934B0D">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4CB25705">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2BD848F6">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cs="Times New Roman"/>
          <w:color w:val="auto"/>
          <w:highlight w:val="none"/>
          <w:lang w:val="en-US" w:eastAsia="zh-CN"/>
        </w:rPr>
        <w:t>保供能</w:t>
      </w:r>
      <w:r>
        <w:rPr>
          <w:rFonts w:hint="eastAsia" w:ascii="宋体" w:hAnsi="宋体" w:eastAsia="宋体" w:cs="Times New Roman"/>
          <w:color w:val="auto"/>
          <w:highlight w:val="none"/>
        </w:rPr>
        <w:t>力要求</w:t>
      </w:r>
    </w:p>
    <w:p w14:paraId="1C267E6A">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637F74C3">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五</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质量能力要求</w:t>
      </w:r>
    </w:p>
    <w:p w14:paraId="2244C5D1">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（六）财务能力要求</w:t>
      </w:r>
    </w:p>
    <w:p w14:paraId="2D5EE198">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）承诺</w:t>
      </w:r>
    </w:p>
    <w:p w14:paraId="61C050DD">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八</w:t>
      </w:r>
      <w:r>
        <w:rPr>
          <w:rFonts w:hint="eastAsia" w:ascii="宋体" w:hAnsi="宋体" w:eastAsia="宋体" w:cs="Times New Roman"/>
          <w:color w:val="auto"/>
          <w:highlight w:val="none"/>
        </w:rPr>
        <w:t>）其他资料</w:t>
      </w:r>
    </w:p>
    <w:p w14:paraId="40FDB5B2">
      <w:pPr>
        <w:spacing w:line="360" w:lineRule="auto"/>
        <w:ind w:firstLine="420" w:firstLineChars="200"/>
        <w:rPr>
          <w:color w:val="auto"/>
          <w:highlight w:val="none"/>
        </w:rPr>
      </w:pPr>
    </w:p>
    <w:p w14:paraId="5EBB7A37">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608" w:name="_Toc224103494"/>
      <w:bookmarkStart w:id="609" w:name="_Toc277082642"/>
      <w:bookmarkStart w:id="610" w:name="_Toc287607866"/>
      <w:bookmarkStart w:id="611" w:name="_Toc430530529"/>
      <w:bookmarkStart w:id="612" w:name="_Toc287620813"/>
    </w:p>
    <w:p w14:paraId="4CA76FAA">
      <w:pPr>
        <w:pStyle w:val="3"/>
        <w:spacing w:line="360" w:lineRule="auto"/>
        <w:jc w:val="center"/>
        <w:rPr>
          <w:rFonts w:ascii="宋体" w:hAnsi="宋体"/>
          <w:b w:val="0"/>
          <w:bCs w:val="0"/>
          <w:color w:val="auto"/>
          <w:sz w:val="44"/>
          <w:szCs w:val="44"/>
          <w:highlight w:val="none"/>
        </w:rPr>
      </w:pPr>
      <w:bookmarkStart w:id="613" w:name="_Toc8595"/>
      <w:r>
        <w:rPr>
          <w:rFonts w:hint="eastAsia" w:ascii="宋体" w:hAnsi="宋体"/>
          <w:b w:val="0"/>
          <w:bCs w:val="0"/>
          <w:color w:val="auto"/>
          <w:sz w:val="44"/>
          <w:szCs w:val="44"/>
          <w:highlight w:val="none"/>
        </w:rPr>
        <w:t>一、投标函部分</w:t>
      </w:r>
      <w:bookmarkEnd w:id="608"/>
      <w:bookmarkEnd w:id="609"/>
      <w:bookmarkEnd w:id="610"/>
      <w:bookmarkEnd w:id="611"/>
      <w:bookmarkEnd w:id="612"/>
      <w:bookmarkEnd w:id="613"/>
    </w:p>
    <w:p w14:paraId="281959B1">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138AE03F">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5399AB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1BAD76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8FFE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4E2DD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E3DE9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E9AA062">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7B93C24">
      <w:pPr>
        <w:autoSpaceDE w:val="0"/>
        <w:autoSpaceDN w:val="0"/>
        <w:adjustRightInd w:val="0"/>
        <w:snapToGrid w:val="0"/>
        <w:spacing w:line="360" w:lineRule="auto"/>
        <w:jc w:val="left"/>
        <w:rPr>
          <w:rFonts w:ascii="宋体" w:hAnsi="宋体"/>
          <w:color w:val="auto"/>
          <w:kern w:val="0"/>
          <w:sz w:val="16"/>
          <w:szCs w:val="16"/>
          <w:highlight w:val="none"/>
        </w:rPr>
      </w:pPr>
    </w:p>
    <w:p w14:paraId="51E79BC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6C73C0CD">
      <w:pPr>
        <w:autoSpaceDE w:val="0"/>
        <w:autoSpaceDN w:val="0"/>
        <w:adjustRightInd w:val="0"/>
        <w:snapToGrid w:val="0"/>
        <w:spacing w:line="360" w:lineRule="auto"/>
        <w:jc w:val="left"/>
        <w:rPr>
          <w:rFonts w:ascii="宋体" w:hAnsi="宋体"/>
          <w:b/>
          <w:color w:val="auto"/>
          <w:kern w:val="0"/>
          <w:sz w:val="20"/>
          <w:szCs w:val="20"/>
          <w:highlight w:val="none"/>
        </w:rPr>
      </w:pPr>
    </w:p>
    <w:p w14:paraId="09FB3F16">
      <w:pPr>
        <w:autoSpaceDE w:val="0"/>
        <w:autoSpaceDN w:val="0"/>
        <w:adjustRightInd w:val="0"/>
        <w:snapToGrid w:val="0"/>
        <w:spacing w:line="360" w:lineRule="auto"/>
        <w:jc w:val="left"/>
        <w:rPr>
          <w:rFonts w:ascii="宋体" w:hAnsi="宋体"/>
          <w:b/>
          <w:color w:val="auto"/>
          <w:kern w:val="0"/>
          <w:sz w:val="20"/>
          <w:szCs w:val="20"/>
          <w:highlight w:val="none"/>
        </w:rPr>
      </w:pPr>
    </w:p>
    <w:p w14:paraId="772C9116">
      <w:pPr>
        <w:autoSpaceDE w:val="0"/>
        <w:autoSpaceDN w:val="0"/>
        <w:adjustRightInd w:val="0"/>
        <w:snapToGrid w:val="0"/>
        <w:spacing w:line="360" w:lineRule="auto"/>
        <w:jc w:val="left"/>
        <w:rPr>
          <w:rFonts w:ascii="宋体" w:hAnsi="宋体"/>
          <w:b/>
          <w:color w:val="auto"/>
          <w:kern w:val="0"/>
          <w:sz w:val="20"/>
          <w:szCs w:val="20"/>
          <w:highlight w:val="none"/>
        </w:rPr>
      </w:pPr>
    </w:p>
    <w:p w14:paraId="3B3CD27C">
      <w:pPr>
        <w:autoSpaceDE w:val="0"/>
        <w:autoSpaceDN w:val="0"/>
        <w:adjustRightInd w:val="0"/>
        <w:snapToGrid w:val="0"/>
        <w:spacing w:line="360" w:lineRule="auto"/>
        <w:jc w:val="left"/>
        <w:rPr>
          <w:rFonts w:ascii="宋体" w:hAnsi="宋体"/>
          <w:b/>
          <w:color w:val="auto"/>
          <w:kern w:val="0"/>
          <w:sz w:val="20"/>
          <w:szCs w:val="20"/>
          <w:highlight w:val="none"/>
        </w:rPr>
      </w:pPr>
    </w:p>
    <w:p w14:paraId="5D32FF75">
      <w:pPr>
        <w:autoSpaceDE w:val="0"/>
        <w:autoSpaceDN w:val="0"/>
        <w:adjustRightInd w:val="0"/>
        <w:snapToGrid w:val="0"/>
        <w:spacing w:line="360" w:lineRule="auto"/>
        <w:jc w:val="left"/>
        <w:rPr>
          <w:rFonts w:ascii="宋体" w:hAnsi="宋体"/>
          <w:b/>
          <w:color w:val="auto"/>
          <w:kern w:val="0"/>
          <w:sz w:val="20"/>
          <w:szCs w:val="20"/>
          <w:highlight w:val="none"/>
        </w:rPr>
      </w:pPr>
    </w:p>
    <w:p w14:paraId="7F8253B4">
      <w:pPr>
        <w:autoSpaceDE w:val="0"/>
        <w:autoSpaceDN w:val="0"/>
        <w:adjustRightInd w:val="0"/>
        <w:snapToGrid w:val="0"/>
        <w:spacing w:line="360" w:lineRule="auto"/>
        <w:jc w:val="left"/>
        <w:rPr>
          <w:rFonts w:ascii="宋体" w:hAnsi="宋体"/>
          <w:b/>
          <w:color w:val="auto"/>
          <w:kern w:val="0"/>
          <w:sz w:val="20"/>
          <w:szCs w:val="20"/>
          <w:highlight w:val="none"/>
        </w:rPr>
      </w:pPr>
    </w:p>
    <w:p w14:paraId="64448392">
      <w:pPr>
        <w:autoSpaceDE w:val="0"/>
        <w:autoSpaceDN w:val="0"/>
        <w:adjustRightInd w:val="0"/>
        <w:snapToGrid w:val="0"/>
        <w:spacing w:line="360" w:lineRule="auto"/>
        <w:jc w:val="left"/>
        <w:rPr>
          <w:rFonts w:ascii="宋体" w:hAnsi="宋体"/>
          <w:b/>
          <w:color w:val="auto"/>
          <w:kern w:val="0"/>
          <w:sz w:val="20"/>
          <w:szCs w:val="20"/>
          <w:highlight w:val="none"/>
        </w:rPr>
      </w:pPr>
    </w:p>
    <w:p w14:paraId="42C4530B">
      <w:pPr>
        <w:autoSpaceDE w:val="0"/>
        <w:autoSpaceDN w:val="0"/>
        <w:adjustRightInd w:val="0"/>
        <w:snapToGrid w:val="0"/>
        <w:spacing w:line="360" w:lineRule="auto"/>
        <w:jc w:val="left"/>
        <w:rPr>
          <w:rFonts w:ascii="宋体" w:hAnsi="宋体"/>
          <w:b/>
          <w:color w:val="auto"/>
          <w:kern w:val="0"/>
          <w:sz w:val="20"/>
          <w:szCs w:val="20"/>
          <w:highlight w:val="none"/>
        </w:rPr>
      </w:pPr>
    </w:p>
    <w:p w14:paraId="33AF6658">
      <w:pPr>
        <w:autoSpaceDE w:val="0"/>
        <w:autoSpaceDN w:val="0"/>
        <w:adjustRightInd w:val="0"/>
        <w:snapToGrid w:val="0"/>
        <w:spacing w:line="360" w:lineRule="auto"/>
        <w:jc w:val="left"/>
        <w:rPr>
          <w:rFonts w:ascii="宋体" w:hAnsi="宋体"/>
          <w:b/>
          <w:color w:val="auto"/>
          <w:kern w:val="0"/>
          <w:sz w:val="20"/>
          <w:szCs w:val="20"/>
          <w:highlight w:val="none"/>
        </w:rPr>
      </w:pPr>
    </w:p>
    <w:p w14:paraId="5A040183">
      <w:pPr>
        <w:autoSpaceDE w:val="0"/>
        <w:autoSpaceDN w:val="0"/>
        <w:adjustRightInd w:val="0"/>
        <w:snapToGrid w:val="0"/>
        <w:spacing w:line="360" w:lineRule="auto"/>
        <w:jc w:val="left"/>
        <w:rPr>
          <w:rFonts w:ascii="宋体" w:hAnsi="宋体"/>
          <w:b/>
          <w:color w:val="auto"/>
          <w:kern w:val="0"/>
          <w:sz w:val="20"/>
          <w:szCs w:val="20"/>
          <w:highlight w:val="none"/>
        </w:rPr>
      </w:pPr>
    </w:p>
    <w:p w14:paraId="58B6FF69">
      <w:pPr>
        <w:autoSpaceDE w:val="0"/>
        <w:autoSpaceDN w:val="0"/>
        <w:adjustRightInd w:val="0"/>
        <w:snapToGrid w:val="0"/>
        <w:spacing w:line="360" w:lineRule="auto"/>
        <w:jc w:val="left"/>
        <w:rPr>
          <w:rFonts w:ascii="宋体" w:hAnsi="宋体"/>
          <w:b/>
          <w:color w:val="auto"/>
          <w:kern w:val="0"/>
          <w:sz w:val="20"/>
          <w:szCs w:val="20"/>
          <w:highlight w:val="none"/>
        </w:rPr>
      </w:pPr>
    </w:p>
    <w:p w14:paraId="3D54283B">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2B7411E7">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86944E4">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4028C32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D00B6C8">
      <w:pPr>
        <w:autoSpaceDE w:val="0"/>
        <w:autoSpaceDN w:val="0"/>
        <w:adjustRightInd w:val="0"/>
        <w:snapToGrid w:val="0"/>
        <w:spacing w:line="360" w:lineRule="auto"/>
        <w:jc w:val="left"/>
        <w:rPr>
          <w:rFonts w:ascii="宋体" w:hAnsi="宋体"/>
          <w:color w:val="auto"/>
          <w:kern w:val="0"/>
          <w:sz w:val="24"/>
          <w:szCs w:val="21"/>
          <w:highlight w:val="none"/>
        </w:rPr>
      </w:pPr>
    </w:p>
    <w:p w14:paraId="5B2AA0D2">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4873A1C">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57CF9F54">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37B298CB">
      <w:pPr>
        <w:autoSpaceDE w:val="0"/>
        <w:autoSpaceDN w:val="0"/>
        <w:adjustRightInd w:val="0"/>
        <w:spacing w:line="360" w:lineRule="auto"/>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（四）低价风险担保承诺函（如有）</w:t>
      </w:r>
    </w:p>
    <w:p w14:paraId="2CA988C3">
      <w:pPr>
        <w:pStyle w:val="71"/>
        <w:ind w:firstLine="480" w:firstLineChars="200"/>
        <w:rPr>
          <w:rFonts w:hint="default" w:ascii="宋体" w:hAnsi="宋体"/>
          <w:color w:val="auto"/>
          <w:kern w:val="0"/>
          <w:sz w:val="24"/>
          <w:highlight w:val="none"/>
          <w:lang w:val="en-US" w:eastAsia="zh-CN"/>
        </w:rPr>
      </w:pPr>
    </w:p>
    <w:p w14:paraId="2B8F0FEE">
      <w:pPr>
        <w:autoSpaceDE w:val="0"/>
        <w:autoSpaceDN w:val="0"/>
        <w:adjustRightInd w:val="0"/>
        <w:spacing w:line="360" w:lineRule="auto"/>
        <w:ind w:firstLine="480" w:firstLineChars="200"/>
        <w:jc w:val="left"/>
        <w:rPr>
          <w:rFonts w:ascii="宋体" w:hAnsi="宋体"/>
          <w:color w:val="auto"/>
          <w:kern w:val="0"/>
          <w:sz w:val="24"/>
          <w:highlight w:val="none"/>
        </w:rPr>
      </w:pPr>
    </w:p>
    <w:p w14:paraId="211D7FCA">
      <w:pPr>
        <w:pStyle w:val="4"/>
        <w:spacing w:before="0" w:after="0" w:line="240" w:lineRule="auto"/>
        <w:jc w:val="center"/>
        <w:rPr>
          <w:rFonts w:ascii="宋体" w:hAnsi="宋体"/>
          <w:b w:val="0"/>
          <w:color w:val="auto"/>
          <w:highlight w:val="none"/>
        </w:rPr>
      </w:pPr>
      <w:bookmarkStart w:id="614" w:name="_Toc509218854"/>
      <w:bookmarkStart w:id="615" w:name="_Toc430530530"/>
      <w:bookmarkStart w:id="616" w:name="_Toc287620814"/>
      <w:bookmarkStart w:id="617" w:name="_Toc277082643"/>
      <w:bookmarkStart w:id="618" w:name="_Toc224103495"/>
      <w:bookmarkStart w:id="619" w:name="_Toc287607867"/>
      <w:bookmarkStart w:id="620" w:name="_Toc534185831"/>
      <w:r>
        <w:rPr>
          <w:rFonts w:ascii="宋体" w:hAnsi="宋体"/>
          <w:color w:val="auto"/>
          <w:highlight w:val="none"/>
        </w:rPr>
        <w:br w:type="page"/>
      </w:r>
      <w:bookmarkStart w:id="621" w:name="_Toc15607"/>
      <w:r>
        <w:rPr>
          <w:rFonts w:hint="eastAsia" w:ascii="宋体" w:hAnsi="宋体"/>
          <w:b w:val="0"/>
          <w:bCs w:val="0"/>
          <w:color w:val="auto"/>
          <w:highlight w:val="none"/>
        </w:rPr>
        <w:t>（一）投标函</w:t>
      </w:r>
      <w:bookmarkEnd w:id="614"/>
      <w:bookmarkEnd w:id="615"/>
      <w:bookmarkEnd w:id="616"/>
      <w:bookmarkEnd w:id="617"/>
      <w:bookmarkEnd w:id="618"/>
      <w:bookmarkEnd w:id="619"/>
      <w:bookmarkEnd w:id="620"/>
      <w:bookmarkEnd w:id="621"/>
    </w:p>
    <w:p w14:paraId="136619C5">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3C08C65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的全部内容，愿意以下列方式对</w:t>
      </w:r>
      <w:r>
        <w:rPr>
          <w:rFonts w:hint="eastAsia" w:ascii="宋体" w:hAnsi="宋体"/>
          <w:snapToGrid w:val="0"/>
          <w:color w:val="auto"/>
          <w:kern w:val="0"/>
          <w:szCs w:val="21"/>
          <w:highlight w:val="none"/>
          <w:lang w:val="en-US" w:eastAsia="zh-CN"/>
        </w:rPr>
        <w:t>咨询</w:t>
      </w:r>
      <w:r>
        <w:rPr>
          <w:rFonts w:hint="eastAsia" w:ascii="宋体" w:hAnsi="宋体"/>
          <w:snapToGrid w:val="0"/>
          <w:color w:val="auto"/>
          <w:kern w:val="0"/>
          <w:szCs w:val="21"/>
          <w:highlight w:val="none"/>
        </w:rPr>
        <w:t>费</w:t>
      </w:r>
      <w:r>
        <w:rPr>
          <w:rFonts w:ascii="宋体" w:hAnsi="宋体"/>
          <w:snapToGrid w:val="0"/>
          <w:color w:val="auto"/>
          <w:kern w:val="0"/>
          <w:szCs w:val="21"/>
          <w:highlight w:val="none"/>
        </w:rPr>
        <w:t>进行报价</w:t>
      </w:r>
      <w:r>
        <w:rPr>
          <w:rFonts w:hint="eastAsia" w:ascii="宋体" w:hAnsi="宋体"/>
          <w:snapToGrid w:val="0"/>
          <w:color w:val="auto"/>
          <w:kern w:val="0"/>
          <w:szCs w:val="21"/>
          <w:highlight w:val="none"/>
        </w:rPr>
        <w:t>：</w:t>
      </w:r>
    </w:p>
    <w:p w14:paraId="52E76B7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投标总报价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196A3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符合</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rPr>
        <w:t>达到</w:t>
      </w:r>
      <w:r>
        <w:rPr>
          <w:rFonts w:hint="eastAsia" w:ascii="宋体" w:hAnsi="宋体" w:cs="宋体"/>
          <w:color w:val="auto"/>
          <w:szCs w:val="21"/>
          <w:highlight w:val="none"/>
          <w:u w:val="single"/>
          <w:lang w:eastAsia="zh-CN"/>
        </w:rPr>
        <w:t>比选文件</w:t>
      </w:r>
      <w:r>
        <w:rPr>
          <w:rFonts w:hint="eastAsia" w:ascii="宋体" w:hAnsi="宋体" w:cs="宋体"/>
          <w:color w:val="auto"/>
          <w:szCs w:val="21"/>
          <w:highlight w:val="none"/>
          <w:u w:val="single"/>
        </w:rPr>
        <w:t>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1F32568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36695DB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3E1D127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463ECFF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760634F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513DCE6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7674522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390D47B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031E611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66C893A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253578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454F72F">
      <w:pPr>
        <w:pStyle w:val="18"/>
        <w:rPr>
          <w:color w:val="auto"/>
          <w:highlight w:val="none"/>
        </w:rPr>
      </w:pPr>
    </w:p>
    <w:p w14:paraId="4393681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B39ED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A2281EA">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54540F9">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BBA883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1BEA6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5D71F8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F2515B0">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EE0E40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F32809F">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7ED4ACC">
      <w:pPr>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622" w:name="_Toc287607868"/>
      <w:bookmarkStart w:id="623" w:name="_Toc287620815"/>
      <w:bookmarkStart w:id="624" w:name="_Toc277082644"/>
      <w:bookmarkStart w:id="625" w:name="_Toc224103496"/>
      <w:bookmarkStart w:id="626" w:name="_Toc430530531"/>
      <w:r>
        <w:rPr>
          <w:rFonts w:ascii="宋体" w:hAnsi="宋体"/>
          <w:color w:val="auto"/>
          <w:sz w:val="28"/>
          <w:highlight w:val="none"/>
        </w:rPr>
        <w:br w:type="page"/>
      </w:r>
      <w:bookmarkEnd w:id="622"/>
      <w:bookmarkEnd w:id="623"/>
      <w:bookmarkEnd w:id="624"/>
      <w:bookmarkEnd w:id="625"/>
      <w:bookmarkEnd w:id="626"/>
      <w:bookmarkStart w:id="627" w:name="_Toc430530532"/>
      <w:bookmarkStart w:id="628" w:name="_Toc287607869"/>
      <w:bookmarkStart w:id="629" w:name="_Toc277082645"/>
      <w:bookmarkStart w:id="630" w:name="_Toc8650"/>
      <w:bookmarkStart w:id="631" w:name="_Toc224103497"/>
      <w:bookmarkStart w:id="632" w:name="_Toc57905921"/>
      <w:bookmarkStart w:id="633" w:name="_Toc287620816"/>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627"/>
      <w:bookmarkEnd w:id="628"/>
      <w:bookmarkEnd w:id="629"/>
      <w:bookmarkEnd w:id="630"/>
      <w:bookmarkEnd w:id="631"/>
      <w:bookmarkEnd w:id="632"/>
      <w:bookmarkEnd w:id="633"/>
    </w:p>
    <w:p w14:paraId="569363D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15507F0">
      <w:pPr>
        <w:spacing w:line="480" w:lineRule="auto"/>
        <w:jc w:val="center"/>
        <w:rPr>
          <w:rFonts w:ascii="宋体" w:hAnsi="宋体"/>
          <w:color w:val="auto"/>
          <w:highlight w:val="none"/>
        </w:rPr>
      </w:pPr>
    </w:p>
    <w:p w14:paraId="2F4DD97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05846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3F2BF6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5A38BE6">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C2ADA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23B681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F5DA95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6CFF28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1FA3C1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918CFEA">
      <w:pPr>
        <w:pStyle w:val="18"/>
        <w:spacing w:after="0" w:line="360" w:lineRule="auto"/>
        <w:rPr>
          <w:rFonts w:ascii="宋体" w:hAnsi="宋体"/>
          <w:color w:val="auto"/>
          <w:szCs w:val="21"/>
          <w:highlight w:val="none"/>
        </w:rPr>
      </w:pPr>
    </w:p>
    <w:p w14:paraId="60925AE8">
      <w:pPr>
        <w:pStyle w:val="18"/>
        <w:spacing w:after="0" w:line="360" w:lineRule="auto"/>
        <w:rPr>
          <w:rFonts w:ascii="宋体" w:hAnsi="宋体"/>
          <w:color w:val="auto"/>
          <w:szCs w:val="21"/>
          <w:highlight w:val="none"/>
        </w:rPr>
      </w:pPr>
    </w:p>
    <w:p w14:paraId="6EC947F5">
      <w:pPr>
        <w:pStyle w:val="18"/>
        <w:spacing w:after="0" w:line="360" w:lineRule="auto"/>
        <w:rPr>
          <w:rFonts w:ascii="宋体" w:hAnsi="宋体"/>
          <w:color w:val="auto"/>
          <w:szCs w:val="21"/>
          <w:highlight w:val="none"/>
        </w:rPr>
      </w:pPr>
    </w:p>
    <w:p w14:paraId="5AD1C44B">
      <w:pPr>
        <w:pStyle w:val="18"/>
        <w:spacing w:after="0" w:line="360" w:lineRule="auto"/>
        <w:rPr>
          <w:rFonts w:ascii="宋体" w:hAnsi="宋体"/>
          <w:color w:val="auto"/>
          <w:szCs w:val="21"/>
          <w:highlight w:val="none"/>
        </w:rPr>
      </w:pPr>
    </w:p>
    <w:p w14:paraId="025B8A8C">
      <w:pPr>
        <w:pStyle w:val="18"/>
        <w:spacing w:after="0" w:line="360" w:lineRule="auto"/>
        <w:rPr>
          <w:rFonts w:ascii="宋体" w:hAnsi="宋体"/>
          <w:color w:val="auto"/>
          <w:szCs w:val="21"/>
          <w:highlight w:val="none"/>
        </w:rPr>
      </w:pPr>
    </w:p>
    <w:p w14:paraId="64B0155D">
      <w:pPr>
        <w:pStyle w:val="18"/>
        <w:spacing w:after="0" w:line="360" w:lineRule="auto"/>
        <w:rPr>
          <w:rFonts w:ascii="宋体" w:hAnsi="宋体"/>
          <w:color w:val="auto"/>
          <w:szCs w:val="21"/>
          <w:highlight w:val="none"/>
        </w:rPr>
      </w:pPr>
    </w:p>
    <w:p w14:paraId="32571EB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821F91A">
      <w:pPr>
        <w:autoSpaceDE w:val="0"/>
        <w:autoSpaceDN w:val="0"/>
        <w:adjustRightInd w:val="0"/>
        <w:snapToGrid w:val="0"/>
        <w:spacing w:line="480" w:lineRule="auto"/>
        <w:jc w:val="left"/>
        <w:rPr>
          <w:rFonts w:ascii="宋体" w:hAnsi="宋体"/>
          <w:color w:val="auto"/>
          <w:kern w:val="0"/>
          <w:sz w:val="20"/>
          <w:szCs w:val="20"/>
          <w:highlight w:val="none"/>
        </w:rPr>
      </w:pPr>
    </w:p>
    <w:p w14:paraId="28EAD53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9D2030B">
      <w:pPr>
        <w:autoSpaceDE w:val="0"/>
        <w:autoSpaceDN w:val="0"/>
        <w:adjustRightInd w:val="0"/>
        <w:snapToGrid w:val="0"/>
        <w:spacing w:line="360" w:lineRule="auto"/>
        <w:jc w:val="left"/>
        <w:rPr>
          <w:rFonts w:ascii="宋体" w:hAnsi="宋体"/>
          <w:color w:val="auto"/>
          <w:kern w:val="0"/>
          <w:highlight w:val="none"/>
        </w:rPr>
      </w:pPr>
    </w:p>
    <w:p w14:paraId="296F9B66">
      <w:pPr>
        <w:autoSpaceDE w:val="0"/>
        <w:autoSpaceDN w:val="0"/>
        <w:adjustRightInd w:val="0"/>
        <w:snapToGrid w:val="0"/>
        <w:spacing w:line="360" w:lineRule="auto"/>
        <w:jc w:val="left"/>
        <w:rPr>
          <w:rFonts w:ascii="宋体" w:hAnsi="宋体"/>
          <w:color w:val="auto"/>
          <w:kern w:val="0"/>
          <w:highlight w:val="none"/>
        </w:rPr>
      </w:pPr>
    </w:p>
    <w:p w14:paraId="573BB1F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C3D5CCB">
      <w:pPr>
        <w:autoSpaceDE w:val="0"/>
        <w:autoSpaceDN w:val="0"/>
        <w:adjustRightInd w:val="0"/>
        <w:snapToGrid w:val="0"/>
        <w:spacing w:line="360" w:lineRule="auto"/>
        <w:jc w:val="left"/>
        <w:rPr>
          <w:rFonts w:ascii="宋体" w:hAnsi="宋体"/>
          <w:color w:val="auto"/>
          <w:kern w:val="0"/>
          <w:highlight w:val="none"/>
        </w:rPr>
      </w:pPr>
    </w:p>
    <w:p w14:paraId="454E281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DE9E70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1C6CD9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F474B5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CDFDF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29585A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32D955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BE96B3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347BBF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6EA0275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A1F93E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0A59C45">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CE2A9A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15904C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6A5F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8AB8C2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5203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E1F919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907065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5E0AA9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C882B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B620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993649D">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B95E256">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BECD1E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11D501E">
      <w:pPr>
        <w:rPr>
          <w:rFonts w:ascii="宋体" w:hAnsi="宋体"/>
          <w:color w:val="auto"/>
          <w:highlight w:val="none"/>
        </w:rPr>
      </w:pPr>
      <w:bookmarkStart w:id="634" w:name="_Toc287607871"/>
      <w:bookmarkStart w:id="635" w:name="_Toc224103499"/>
      <w:bookmarkStart w:id="636" w:name="_Toc277082647"/>
      <w:bookmarkStart w:id="637" w:name="_Toc287620818"/>
      <w:bookmarkStart w:id="638" w:name="_Toc430530533"/>
      <w:r>
        <w:rPr>
          <w:rFonts w:ascii="宋体" w:hAnsi="宋体"/>
          <w:snapToGrid w:val="0"/>
          <w:color w:val="auto"/>
          <w:kern w:val="0"/>
          <w:sz w:val="32"/>
          <w:szCs w:val="32"/>
          <w:highlight w:val="none"/>
        </w:rPr>
        <w:br w:type="page"/>
      </w:r>
      <w:bookmarkEnd w:id="634"/>
      <w:bookmarkEnd w:id="635"/>
      <w:bookmarkEnd w:id="636"/>
      <w:bookmarkEnd w:id="637"/>
      <w:bookmarkEnd w:id="638"/>
      <w:bookmarkStart w:id="639" w:name="_Toc224103500"/>
      <w:bookmarkStart w:id="640" w:name="_Toc287620819"/>
      <w:bookmarkStart w:id="641" w:name="_Toc287607872"/>
      <w:bookmarkStart w:id="642" w:name="_Toc430530534"/>
    </w:p>
    <w:p w14:paraId="6EF0126A">
      <w:pPr>
        <w:jc w:val="center"/>
        <w:rPr>
          <w:rFonts w:hint="default" w:ascii="宋体" w:hAnsi="宋体" w:eastAsia="宋体"/>
          <w:b w:val="0"/>
          <w:bCs w:val="0"/>
          <w:color w:val="auto"/>
          <w:sz w:val="44"/>
          <w:szCs w:val="44"/>
          <w:highlight w:val="none"/>
          <w:lang w:val="en-US" w:eastAsia="zh-CN"/>
        </w:rPr>
      </w:pPr>
      <w:bookmarkStart w:id="643" w:name="_Toc9448"/>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报价清单</w:t>
      </w:r>
    </w:p>
    <w:p w14:paraId="6F6C69AE">
      <w:pPr>
        <w:rPr>
          <w:rFonts w:hint="eastAsia" w:ascii="宋体" w:hAnsi="宋体"/>
          <w:b w:val="0"/>
          <w:bCs w:val="0"/>
          <w:color w:val="auto"/>
          <w:sz w:val="44"/>
          <w:szCs w:val="44"/>
          <w:highlight w:val="none"/>
        </w:rPr>
      </w:pPr>
    </w:p>
    <w:tbl>
      <w:tblPr>
        <w:tblStyle w:val="50"/>
        <w:tblpPr w:leftFromText="180" w:rightFromText="180" w:vertAnchor="text" w:horzAnchor="page" w:tblpX="1289" w:tblpY="220"/>
        <w:tblOverlap w:val="never"/>
        <w:tblW w:w="9525" w:type="dxa"/>
        <w:tblInd w:w="0" w:type="dxa"/>
        <w:tblLayout w:type="fixed"/>
        <w:tblCellMar>
          <w:top w:w="15" w:type="dxa"/>
          <w:left w:w="15" w:type="dxa"/>
          <w:bottom w:w="15" w:type="dxa"/>
          <w:right w:w="15" w:type="dxa"/>
        </w:tblCellMar>
      </w:tblPr>
      <w:tblGrid>
        <w:gridCol w:w="778"/>
        <w:gridCol w:w="1875"/>
        <w:gridCol w:w="1359"/>
        <w:gridCol w:w="1014"/>
        <w:gridCol w:w="1023"/>
        <w:gridCol w:w="1056"/>
        <w:gridCol w:w="1042"/>
        <w:gridCol w:w="1378"/>
      </w:tblGrid>
      <w:tr w14:paraId="02D22D31">
        <w:tblPrEx>
          <w:tblCellMar>
            <w:top w:w="15" w:type="dxa"/>
            <w:left w:w="15" w:type="dxa"/>
            <w:bottom w:w="15" w:type="dxa"/>
            <w:right w:w="15" w:type="dxa"/>
          </w:tblCellMar>
        </w:tblPrEx>
        <w:trPr>
          <w:trHeight w:val="1035"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0DB9B23">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物资</w:t>
            </w:r>
          </w:p>
          <w:p w14:paraId="0887517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名称　</w:t>
            </w:r>
          </w:p>
        </w:tc>
        <w:tc>
          <w:tcPr>
            <w:tcW w:w="1875" w:type="dxa"/>
            <w:tcBorders>
              <w:top w:val="single" w:color="000000" w:sz="4" w:space="0"/>
              <w:left w:val="single" w:color="000000" w:sz="4" w:space="0"/>
              <w:bottom w:val="single" w:color="000000" w:sz="4" w:space="0"/>
              <w:right w:val="single" w:color="000000" w:sz="4" w:space="0"/>
            </w:tcBorders>
            <w:vAlign w:val="center"/>
          </w:tcPr>
          <w:p w14:paraId="0396B00C">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规格型号</w:t>
            </w:r>
          </w:p>
        </w:tc>
        <w:tc>
          <w:tcPr>
            <w:tcW w:w="1359" w:type="dxa"/>
            <w:tcBorders>
              <w:top w:val="single" w:color="000000" w:sz="4" w:space="0"/>
              <w:left w:val="single" w:color="000000" w:sz="4" w:space="0"/>
              <w:bottom w:val="single" w:color="000000" w:sz="4" w:space="0"/>
              <w:right w:val="single" w:color="000000" w:sz="4" w:space="0"/>
            </w:tcBorders>
            <w:vAlign w:val="center"/>
          </w:tcPr>
          <w:p w14:paraId="21B6A21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暂估数量（吨）</w:t>
            </w:r>
          </w:p>
        </w:tc>
        <w:tc>
          <w:tcPr>
            <w:tcW w:w="1014" w:type="dxa"/>
            <w:tcBorders>
              <w:top w:val="single" w:color="000000" w:sz="4" w:space="0"/>
              <w:left w:val="single" w:color="000000" w:sz="4" w:space="0"/>
              <w:bottom w:val="single" w:color="000000" w:sz="4" w:space="0"/>
              <w:right w:val="single" w:color="000000" w:sz="4" w:space="0"/>
            </w:tcBorders>
            <w:vAlign w:val="center"/>
          </w:tcPr>
          <w:p w14:paraId="30F90A8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投标基准价（元/吨）</w:t>
            </w:r>
          </w:p>
        </w:tc>
        <w:tc>
          <w:tcPr>
            <w:tcW w:w="1023" w:type="dxa"/>
            <w:tcBorders>
              <w:top w:val="single" w:color="000000" w:sz="4" w:space="0"/>
              <w:left w:val="single" w:color="000000" w:sz="4" w:space="0"/>
              <w:bottom w:val="single" w:color="000000" w:sz="4" w:space="0"/>
              <w:right w:val="single" w:color="000000" w:sz="4" w:space="0"/>
            </w:tcBorders>
            <w:vAlign w:val="center"/>
          </w:tcPr>
          <w:p w14:paraId="7719CC9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综合固定费（元/吨）</w:t>
            </w:r>
          </w:p>
        </w:tc>
        <w:tc>
          <w:tcPr>
            <w:tcW w:w="1056" w:type="dxa"/>
            <w:tcBorders>
              <w:top w:val="single" w:color="000000" w:sz="4" w:space="0"/>
              <w:left w:val="single" w:color="000000" w:sz="4" w:space="0"/>
              <w:bottom w:val="single" w:color="000000" w:sz="4" w:space="0"/>
              <w:right w:val="single" w:color="000000" w:sz="4" w:space="0"/>
            </w:tcBorders>
            <w:vAlign w:val="center"/>
          </w:tcPr>
          <w:p w14:paraId="7237CAE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到场单价（元/吨）</w:t>
            </w:r>
          </w:p>
        </w:tc>
        <w:tc>
          <w:tcPr>
            <w:tcW w:w="1042" w:type="dxa"/>
            <w:tcBorders>
              <w:top w:val="single" w:color="000000" w:sz="4" w:space="0"/>
              <w:left w:val="single" w:color="000000" w:sz="4" w:space="0"/>
              <w:bottom w:val="single" w:color="000000" w:sz="4" w:space="0"/>
              <w:right w:val="single" w:color="000000" w:sz="4" w:space="0"/>
            </w:tcBorders>
            <w:vAlign w:val="center"/>
          </w:tcPr>
          <w:p w14:paraId="51E7A1F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金 额（元）</w:t>
            </w:r>
          </w:p>
        </w:tc>
        <w:tc>
          <w:tcPr>
            <w:tcW w:w="1378" w:type="dxa"/>
            <w:tcBorders>
              <w:top w:val="single" w:color="000000" w:sz="4" w:space="0"/>
              <w:left w:val="single" w:color="000000" w:sz="4" w:space="0"/>
              <w:bottom w:val="single" w:color="000000" w:sz="4" w:space="0"/>
              <w:right w:val="single" w:color="000000" w:sz="4" w:space="0"/>
            </w:tcBorders>
            <w:vAlign w:val="center"/>
          </w:tcPr>
          <w:p w14:paraId="3A22512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送货地点</w:t>
            </w:r>
          </w:p>
        </w:tc>
      </w:tr>
      <w:tr w14:paraId="0EB0C8D3">
        <w:tblPrEx>
          <w:tblCellMar>
            <w:top w:w="15" w:type="dxa"/>
            <w:left w:w="15" w:type="dxa"/>
            <w:bottom w:w="15" w:type="dxa"/>
            <w:right w:w="15" w:type="dxa"/>
          </w:tblCellMar>
        </w:tblPrEx>
        <w:trPr>
          <w:trHeight w:val="475" w:hRule="atLeast"/>
        </w:trPr>
        <w:tc>
          <w:tcPr>
            <w:tcW w:w="778" w:type="dxa"/>
            <w:vMerge w:val="restart"/>
            <w:tcBorders>
              <w:top w:val="single" w:color="000000" w:sz="4" w:space="0"/>
              <w:left w:val="single" w:color="000000" w:sz="4" w:space="0"/>
              <w:right w:val="single" w:color="000000" w:sz="4" w:space="0"/>
            </w:tcBorders>
            <w:vAlign w:val="center"/>
          </w:tcPr>
          <w:p w14:paraId="03BA2D7A">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一环路南段项目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5B77">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A9D">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39015.72</w:t>
            </w:r>
          </w:p>
        </w:tc>
        <w:tc>
          <w:tcPr>
            <w:tcW w:w="1014" w:type="dxa"/>
            <w:tcBorders>
              <w:top w:val="single" w:color="000000" w:sz="4" w:space="0"/>
              <w:left w:val="single" w:color="000000" w:sz="4" w:space="0"/>
              <w:bottom w:val="single" w:color="000000" w:sz="4" w:space="0"/>
              <w:right w:val="single" w:color="000000" w:sz="4" w:space="0"/>
            </w:tcBorders>
            <w:vAlign w:val="center"/>
          </w:tcPr>
          <w:p w14:paraId="7B20CCBD">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486C757B">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1971101E">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E37E123">
            <w:pPr>
              <w:jc w:val="center"/>
              <w:rPr>
                <w:rFonts w:ascii="宋体" w:hAnsi="宋体" w:cs="宋体"/>
                <w:color w:val="auto"/>
                <w:sz w:val="24"/>
                <w:szCs w:val="24"/>
                <w:highlight w:val="none"/>
              </w:rPr>
            </w:pPr>
          </w:p>
        </w:tc>
        <w:tc>
          <w:tcPr>
            <w:tcW w:w="1378" w:type="dxa"/>
            <w:tcBorders>
              <w:top w:val="single" w:color="auto" w:sz="4" w:space="0"/>
              <w:left w:val="single" w:color="000000" w:sz="4" w:space="0"/>
              <w:bottom w:val="single" w:color="auto" w:sz="4" w:space="0"/>
              <w:right w:val="single" w:color="000000" w:sz="4" w:space="0"/>
            </w:tcBorders>
            <w:vAlign w:val="center"/>
          </w:tcPr>
          <w:p w14:paraId="09647A0F">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梁平区铁门乡余家梁搅拌站</w:t>
            </w:r>
          </w:p>
        </w:tc>
      </w:tr>
      <w:tr w14:paraId="409441CE">
        <w:tblPrEx>
          <w:tblCellMar>
            <w:top w:w="15" w:type="dxa"/>
            <w:left w:w="15" w:type="dxa"/>
            <w:bottom w:w="15" w:type="dxa"/>
            <w:right w:w="15" w:type="dxa"/>
          </w:tblCellMar>
        </w:tblPrEx>
        <w:trPr>
          <w:trHeight w:val="475" w:hRule="atLeast"/>
        </w:trPr>
        <w:tc>
          <w:tcPr>
            <w:tcW w:w="778" w:type="dxa"/>
            <w:vMerge w:val="continue"/>
            <w:tcBorders>
              <w:left w:val="single" w:color="000000" w:sz="4" w:space="0"/>
              <w:right w:val="single" w:color="000000" w:sz="4" w:space="0"/>
            </w:tcBorders>
            <w:vAlign w:val="center"/>
          </w:tcPr>
          <w:p w14:paraId="6F0AC3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4D7">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P.O42.5散装水泥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342">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4616.48</w:t>
            </w:r>
          </w:p>
        </w:tc>
        <w:tc>
          <w:tcPr>
            <w:tcW w:w="1014" w:type="dxa"/>
            <w:tcBorders>
              <w:top w:val="single" w:color="000000" w:sz="4" w:space="0"/>
              <w:left w:val="single" w:color="000000" w:sz="4" w:space="0"/>
              <w:bottom w:val="single" w:color="000000" w:sz="4" w:space="0"/>
              <w:right w:val="single" w:color="000000" w:sz="4" w:space="0"/>
            </w:tcBorders>
            <w:vAlign w:val="center"/>
          </w:tcPr>
          <w:p w14:paraId="7D405F5A">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62131F02">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0A71694">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auto" w:sz="4" w:space="0"/>
              <w:right w:val="single" w:color="000000" w:sz="4" w:space="0"/>
            </w:tcBorders>
            <w:vAlign w:val="center"/>
          </w:tcPr>
          <w:p w14:paraId="3CDA7CFC">
            <w:pPr>
              <w:jc w:val="center"/>
              <w:rPr>
                <w:rFonts w:ascii="宋体" w:hAnsi="宋体" w:cs="宋体"/>
                <w:color w:val="auto"/>
                <w:sz w:val="24"/>
                <w:szCs w:val="24"/>
                <w:highlight w:val="none"/>
              </w:rPr>
            </w:pPr>
          </w:p>
        </w:tc>
        <w:tc>
          <w:tcPr>
            <w:tcW w:w="1378" w:type="dxa"/>
            <w:tcBorders>
              <w:top w:val="single" w:color="auto" w:sz="4" w:space="0"/>
              <w:left w:val="single" w:color="000000" w:sz="4" w:space="0"/>
              <w:bottom w:val="single" w:color="auto" w:sz="4" w:space="0"/>
              <w:right w:val="single" w:color="000000" w:sz="4" w:space="0"/>
            </w:tcBorders>
            <w:vAlign w:val="center"/>
          </w:tcPr>
          <w:p w14:paraId="60D9CC69">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梁平区白沙村一组附近</w:t>
            </w:r>
          </w:p>
        </w:tc>
      </w:tr>
      <w:tr w14:paraId="6A77C26B">
        <w:tblPrEx>
          <w:tblCellMar>
            <w:top w:w="15" w:type="dxa"/>
            <w:left w:w="15" w:type="dxa"/>
            <w:bottom w:w="15" w:type="dxa"/>
            <w:right w:w="15" w:type="dxa"/>
          </w:tblCellMar>
        </w:tblPrEx>
        <w:trPr>
          <w:trHeight w:val="475" w:hRule="atLeast"/>
        </w:trPr>
        <w:tc>
          <w:tcPr>
            <w:tcW w:w="778" w:type="dxa"/>
            <w:vMerge w:val="continue"/>
            <w:tcBorders>
              <w:left w:val="single" w:color="000000" w:sz="4" w:space="0"/>
              <w:right w:val="single" w:color="000000" w:sz="4" w:space="0"/>
            </w:tcBorders>
            <w:vAlign w:val="center"/>
          </w:tcPr>
          <w:p w14:paraId="59661D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7E7">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P.O42.5袋装水泥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91B">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3516.85</w:t>
            </w:r>
          </w:p>
        </w:tc>
        <w:tc>
          <w:tcPr>
            <w:tcW w:w="1014" w:type="dxa"/>
            <w:tcBorders>
              <w:top w:val="single" w:color="000000" w:sz="4" w:space="0"/>
              <w:left w:val="single" w:color="000000" w:sz="4" w:space="0"/>
              <w:bottom w:val="single" w:color="000000" w:sz="4" w:space="0"/>
              <w:right w:val="single" w:color="000000" w:sz="4" w:space="0"/>
            </w:tcBorders>
            <w:vAlign w:val="center"/>
          </w:tcPr>
          <w:p w14:paraId="5291E27E">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6A2AB8A3">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71D29CCF">
            <w:pPr>
              <w:jc w:val="center"/>
              <w:rPr>
                <w:rFonts w:ascii="宋体" w:hAnsi="宋体" w:cs="宋体"/>
                <w:color w:val="auto"/>
                <w:sz w:val="24"/>
                <w:szCs w:val="24"/>
                <w:highlight w:val="none"/>
              </w:rPr>
            </w:pPr>
          </w:p>
        </w:tc>
        <w:tc>
          <w:tcPr>
            <w:tcW w:w="1042" w:type="dxa"/>
            <w:tcBorders>
              <w:top w:val="single" w:color="auto" w:sz="4" w:space="0"/>
              <w:left w:val="single" w:color="000000" w:sz="4" w:space="0"/>
              <w:bottom w:val="single" w:color="auto" w:sz="4" w:space="0"/>
              <w:right w:val="single" w:color="000000" w:sz="4" w:space="0"/>
            </w:tcBorders>
            <w:vAlign w:val="center"/>
          </w:tcPr>
          <w:p w14:paraId="7BDC4DD8">
            <w:pPr>
              <w:jc w:val="center"/>
              <w:rPr>
                <w:rFonts w:ascii="宋体" w:hAnsi="宋体" w:cs="宋体"/>
                <w:color w:val="auto"/>
                <w:sz w:val="24"/>
                <w:szCs w:val="24"/>
                <w:highlight w:val="none"/>
              </w:rPr>
            </w:pPr>
          </w:p>
        </w:tc>
        <w:tc>
          <w:tcPr>
            <w:tcW w:w="1378" w:type="dxa"/>
            <w:tcBorders>
              <w:top w:val="single" w:color="auto" w:sz="4" w:space="0"/>
              <w:left w:val="single" w:color="000000" w:sz="4" w:space="0"/>
              <w:bottom w:val="single" w:color="auto" w:sz="4" w:space="0"/>
              <w:right w:val="single" w:color="000000" w:sz="4" w:space="0"/>
            </w:tcBorders>
            <w:vAlign w:val="center"/>
          </w:tcPr>
          <w:p w14:paraId="4FC99883">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梁平区土桥村村民委员会附近</w:t>
            </w:r>
          </w:p>
        </w:tc>
      </w:tr>
      <w:tr w14:paraId="249907DE">
        <w:tblPrEx>
          <w:tblCellMar>
            <w:top w:w="15" w:type="dxa"/>
            <w:left w:w="15" w:type="dxa"/>
            <w:bottom w:w="15" w:type="dxa"/>
            <w:right w:w="15" w:type="dxa"/>
          </w:tblCellMar>
        </w:tblPrEx>
        <w:trPr>
          <w:trHeight w:val="475" w:hRule="atLeast"/>
        </w:trPr>
        <w:tc>
          <w:tcPr>
            <w:tcW w:w="778" w:type="dxa"/>
            <w:vMerge w:val="continue"/>
            <w:tcBorders>
              <w:left w:val="single" w:color="000000" w:sz="4" w:space="0"/>
              <w:bottom w:val="single" w:color="000000" w:sz="4" w:space="0"/>
              <w:right w:val="single" w:color="000000" w:sz="4" w:space="0"/>
            </w:tcBorders>
            <w:vAlign w:val="center"/>
          </w:tcPr>
          <w:p w14:paraId="7A3B2B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4E55">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P.O52.5散装水泥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D9A">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4263.17</w:t>
            </w:r>
          </w:p>
        </w:tc>
        <w:tc>
          <w:tcPr>
            <w:tcW w:w="1014" w:type="dxa"/>
            <w:tcBorders>
              <w:top w:val="single" w:color="000000" w:sz="4" w:space="0"/>
              <w:left w:val="single" w:color="000000" w:sz="4" w:space="0"/>
              <w:bottom w:val="single" w:color="000000" w:sz="4" w:space="0"/>
              <w:right w:val="single" w:color="000000" w:sz="4" w:space="0"/>
            </w:tcBorders>
            <w:vAlign w:val="center"/>
          </w:tcPr>
          <w:p w14:paraId="15005A77">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5251D8CF">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9E00929">
            <w:pPr>
              <w:jc w:val="center"/>
              <w:rPr>
                <w:rFonts w:ascii="宋体" w:hAnsi="宋体" w:cs="宋体"/>
                <w:color w:val="auto"/>
                <w:sz w:val="24"/>
                <w:szCs w:val="24"/>
                <w:highlight w:val="none"/>
              </w:rPr>
            </w:pPr>
          </w:p>
        </w:tc>
        <w:tc>
          <w:tcPr>
            <w:tcW w:w="1042" w:type="dxa"/>
            <w:tcBorders>
              <w:top w:val="single" w:color="auto" w:sz="4" w:space="0"/>
              <w:left w:val="single" w:color="000000" w:sz="4" w:space="0"/>
              <w:bottom w:val="single" w:color="000000" w:sz="4" w:space="0"/>
              <w:right w:val="single" w:color="000000" w:sz="4" w:space="0"/>
            </w:tcBorders>
            <w:vAlign w:val="center"/>
          </w:tcPr>
          <w:p w14:paraId="50E59686">
            <w:pPr>
              <w:jc w:val="center"/>
              <w:rPr>
                <w:rFonts w:ascii="宋体" w:hAnsi="宋体" w:cs="宋体"/>
                <w:color w:val="auto"/>
                <w:sz w:val="24"/>
                <w:szCs w:val="24"/>
                <w:highlight w:val="none"/>
              </w:rPr>
            </w:pPr>
          </w:p>
        </w:tc>
        <w:tc>
          <w:tcPr>
            <w:tcW w:w="1378" w:type="dxa"/>
            <w:tcBorders>
              <w:top w:val="single" w:color="auto" w:sz="4" w:space="0"/>
              <w:left w:val="single" w:color="000000" w:sz="4" w:space="0"/>
              <w:bottom w:val="single" w:color="auto" w:sz="4" w:space="0"/>
              <w:right w:val="single" w:color="000000" w:sz="4" w:space="0"/>
            </w:tcBorders>
            <w:vAlign w:val="center"/>
          </w:tcPr>
          <w:p w14:paraId="383D1F64">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梁平区铁门乡余家梁搅拌站</w:t>
            </w:r>
          </w:p>
        </w:tc>
      </w:tr>
      <w:tr w14:paraId="393EA2A9">
        <w:tblPrEx>
          <w:tblCellMar>
            <w:top w:w="15" w:type="dxa"/>
            <w:left w:w="15" w:type="dxa"/>
            <w:bottom w:w="15" w:type="dxa"/>
            <w:right w:w="15" w:type="dxa"/>
          </w:tblCellMar>
        </w:tblPrEx>
        <w:trPr>
          <w:trHeight w:val="456" w:hRule="atLeast"/>
        </w:trPr>
        <w:tc>
          <w:tcPr>
            <w:tcW w:w="778" w:type="dxa"/>
            <w:vMerge w:val="restart"/>
            <w:tcBorders>
              <w:top w:val="single" w:color="000000" w:sz="4" w:space="0"/>
              <w:left w:val="single" w:color="000000" w:sz="4" w:space="0"/>
              <w:right w:val="single" w:color="000000" w:sz="4" w:space="0"/>
            </w:tcBorders>
            <w:vAlign w:val="center"/>
          </w:tcPr>
          <w:p w14:paraId="2A6E8605">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渝赤叙4标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top"/>
          </w:tcPr>
          <w:p w14:paraId="530A70DC">
            <w:pPr>
              <w:keepNext w:val="0"/>
              <w:keepLines w:val="0"/>
              <w:widowControl/>
              <w:suppressLineNumbers w:val="0"/>
              <w:jc w:val="center"/>
              <w:textAlignment w:val="top"/>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P052.5散装水泥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9C2B">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40216.5</w:t>
            </w:r>
          </w:p>
        </w:tc>
        <w:tc>
          <w:tcPr>
            <w:tcW w:w="1014" w:type="dxa"/>
            <w:tcBorders>
              <w:top w:val="single" w:color="000000" w:sz="4" w:space="0"/>
              <w:left w:val="single" w:color="000000" w:sz="4" w:space="0"/>
              <w:bottom w:val="single" w:color="000000" w:sz="4" w:space="0"/>
              <w:right w:val="single" w:color="000000" w:sz="4" w:space="0"/>
            </w:tcBorders>
            <w:vAlign w:val="center"/>
          </w:tcPr>
          <w:p w14:paraId="3843459F">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2A748B00">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7FBB0471">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2FB0E75">
            <w:pPr>
              <w:jc w:val="center"/>
              <w:rPr>
                <w:rFonts w:ascii="宋体" w:hAnsi="宋体" w:cs="宋体"/>
                <w:color w:val="auto"/>
                <w:sz w:val="24"/>
                <w:szCs w:val="24"/>
                <w:highlight w:val="none"/>
              </w:rPr>
            </w:pPr>
          </w:p>
        </w:tc>
        <w:tc>
          <w:tcPr>
            <w:tcW w:w="1378" w:type="dxa"/>
            <w:vMerge w:val="restart"/>
            <w:tcBorders>
              <w:top w:val="single" w:color="auto" w:sz="4" w:space="0"/>
              <w:left w:val="single" w:color="000000" w:sz="4" w:space="0"/>
              <w:right w:val="single" w:color="000000" w:sz="4" w:space="0"/>
            </w:tcBorders>
            <w:vAlign w:val="center"/>
          </w:tcPr>
          <w:p w14:paraId="0AE6E6B4">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江津区蔡家镇、嘉平镇</w:t>
            </w:r>
          </w:p>
        </w:tc>
      </w:tr>
      <w:tr w14:paraId="3C5D91B8">
        <w:tblPrEx>
          <w:tblCellMar>
            <w:top w:w="15" w:type="dxa"/>
            <w:left w:w="15" w:type="dxa"/>
            <w:bottom w:w="15" w:type="dxa"/>
            <w:right w:w="15" w:type="dxa"/>
          </w:tblCellMar>
        </w:tblPrEx>
        <w:trPr>
          <w:trHeight w:val="494" w:hRule="atLeast"/>
        </w:trPr>
        <w:tc>
          <w:tcPr>
            <w:tcW w:w="778" w:type="dxa"/>
            <w:vMerge w:val="continue"/>
            <w:tcBorders>
              <w:left w:val="single" w:color="000000" w:sz="4" w:space="0"/>
              <w:bottom w:val="single" w:color="000000" w:sz="4" w:space="0"/>
              <w:right w:val="single" w:color="000000" w:sz="4" w:space="0"/>
            </w:tcBorders>
            <w:vAlign w:val="center"/>
          </w:tcPr>
          <w:p w14:paraId="2FC1D9FE">
            <w:pPr>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top"/>
          </w:tcPr>
          <w:p w14:paraId="7DE2E71E">
            <w:pPr>
              <w:keepNext w:val="0"/>
              <w:keepLines w:val="0"/>
              <w:widowControl/>
              <w:suppressLineNumbers w:val="0"/>
              <w:jc w:val="center"/>
              <w:textAlignment w:val="top"/>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P052.5(低碱)散装水泥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16F">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18"/>
                <w:szCs w:val="18"/>
                <w:highlight w:val="none"/>
                <w:u w:val="none"/>
                <w:lang w:val="en-US" w:eastAsia="zh-CN" w:bidi="ar"/>
              </w:rPr>
              <w:t>4468.5</w:t>
            </w:r>
          </w:p>
        </w:tc>
        <w:tc>
          <w:tcPr>
            <w:tcW w:w="1014" w:type="dxa"/>
            <w:tcBorders>
              <w:top w:val="single" w:color="000000" w:sz="4" w:space="0"/>
              <w:left w:val="single" w:color="000000" w:sz="4" w:space="0"/>
              <w:bottom w:val="single" w:color="000000" w:sz="4" w:space="0"/>
              <w:right w:val="single" w:color="000000" w:sz="4" w:space="0"/>
            </w:tcBorders>
            <w:vAlign w:val="center"/>
          </w:tcPr>
          <w:p w14:paraId="4136294B">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2B0AAD54">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42F16F76">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auto" w:sz="4" w:space="0"/>
              <w:right w:val="single" w:color="000000" w:sz="4" w:space="0"/>
            </w:tcBorders>
            <w:vAlign w:val="center"/>
          </w:tcPr>
          <w:p w14:paraId="4834EC16">
            <w:pPr>
              <w:jc w:val="center"/>
              <w:rPr>
                <w:rFonts w:ascii="宋体" w:hAnsi="宋体" w:cs="宋体"/>
                <w:color w:val="auto"/>
                <w:sz w:val="24"/>
                <w:szCs w:val="24"/>
                <w:highlight w:val="none"/>
              </w:rPr>
            </w:pPr>
          </w:p>
        </w:tc>
        <w:tc>
          <w:tcPr>
            <w:tcW w:w="1378" w:type="dxa"/>
            <w:vMerge w:val="continue"/>
            <w:tcBorders>
              <w:left w:val="single" w:color="000000" w:sz="4" w:space="0"/>
              <w:bottom w:val="single" w:color="auto" w:sz="4" w:space="0"/>
              <w:right w:val="single" w:color="000000" w:sz="4" w:space="0"/>
            </w:tcBorders>
            <w:vAlign w:val="center"/>
          </w:tcPr>
          <w:p w14:paraId="0309346B">
            <w:pPr>
              <w:jc w:val="center"/>
              <w:rPr>
                <w:rFonts w:ascii="宋体" w:hAnsi="宋体" w:cs="宋体"/>
                <w:color w:val="auto"/>
                <w:sz w:val="24"/>
                <w:szCs w:val="24"/>
                <w:highlight w:val="none"/>
              </w:rPr>
            </w:pPr>
          </w:p>
        </w:tc>
      </w:tr>
      <w:tr w14:paraId="4089CEB4">
        <w:tblPrEx>
          <w:tblCellMar>
            <w:top w:w="15" w:type="dxa"/>
            <w:left w:w="15" w:type="dxa"/>
            <w:bottom w:w="15" w:type="dxa"/>
            <w:right w:w="15" w:type="dxa"/>
          </w:tblCellMar>
        </w:tblPrEx>
        <w:trPr>
          <w:trHeight w:val="300" w:hRule="atLeast"/>
        </w:trPr>
        <w:tc>
          <w:tcPr>
            <w:tcW w:w="778" w:type="dxa"/>
            <w:vMerge w:val="restart"/>
            <w:tcBorders>
              <w:top w:val="single" w:color="000000" w:sz="4" w:space="0"/>
              <w:left w:val="single" w:color="000000" w:sz="4" w:space="0"/>
              <w:bottom w:val="single" w:color="000000" w:sz="4" w:space="0"/>
              <w:right w:val="single" w:color="000000" w:sz="4" w:space="0"/>
            </w:tcBorders>
            <w:vAlign w:val="center"/>
          </w:tcPr>
          <w:p w14:paraId="5F8B661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合计</w:t>
            </w:r>
          </w:p>
        </w:tc>
        <w:tc>
          <w:tcPr>
            <w:tcW w:w="8747" w:type="dxa"/>
            <w:gridSpan w:val="7"/>
            <w:tcBorders>
              <w:top w:val="single" w:color="000000" w:sz="4" w:space="0"/>
              <w:left w:val="single" w:color="000000" w:sz="4" w:space="0"/>
              <w:bottom w:val="single" w:color="000000" w:sz="4" w:space="0"/>
              <w:right w:val="single" w:color="000000" w:sz="4" w:space="0"/>
            </w:tcBorders>
          </w:tcPr>
          <w:p w14:paraId="0DE8ADFD">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不含税（小写）：               （大写）：</w:t>
            </w:r>
          </w:p>
        </w:tc>
      </w:tr>
      <w:tr w14:paraId="16FF63BD">
        <w:tblPrEx>
          <w:tblCellMar>
            <w:top w:w="15" w:type="dxa"/>
            <w:left w:w="15" w:type="dxa"/>
            <w:bottom w:w="15" w:type="dxa"/>
            <w:right w:w="15" w:type="dxa"/>
          </w:tblCellMar>
        </w:tblPrEx>
        <w:trPr>
          <w:trHeight w:val="285"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14:paraId="2EAD6C51">
            <w:pPr>
              <w:jc w:val="center"/>
              <w:rPr>
                <w:rFonts w:ascii="宋体" w:hAnsi="宋体" w:cs="宋体"/>
                <w:color w:val="auto"/>
                <w:sz w:val="24"/>
                <w:szCs w:val="24"/>
                <w:highlight w:val="none"/>
              </w:rPr>
            </w:pPr>
          </w:p>
        </w:tc>
        <w:tc>
          <w:tcPr>
            <w:tcW w:w="8747" w:type="dxa"/>
            <w:gridSpan w:val="7"/>
            <w:tcBorders>
              <w:top w:val="single" w:color="000000" w:sz="4" w:space="0"/>
              <w:left w:val="single" w:color="000000" w:sz="4" w:space="0"/>
              <w:bottom w:val="single" w:color="000000" w:sz="4" w:space="0"/>
              <w:right w:val="single" w:color="000000" w:sz="4" w:space="0"/>
            </w:tcBorders>
          </w:tcPr>
          <w:p w14:paraId="11D5BECF">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含税（小写）：                 （大写）：</w:t>
            </w:r>
          </w:p>
        </w:tc>
      </w:tr>
    </w:tbl>
    <w:p w14:paraId="14E3E6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p>
    <w:p w14:paraId="1017AFB6">
      <w:pPr>
        <w:autoSpaceDE w:val="0"/>
        <w:autoSpaceDN w:val="0"/>
        <w:adjustRightInd w:val="0"/>
        <w:snapToGrid w:val="0"/>
        <w:spacing w:line="480" w:lineRule="auto"/>
        <w:ind w:firstLine="420" w:firstLineChars="200"/>
        <w:jc w:val="right"/>
        <w:rPr>
          <w:rFonts w:ascii="宋体" w:hAnsi="宋体"/>
          <w:color w:val="auto"/>
          <w:kern w:val="0"/>
          <w:sz w:val="20"/>
          <w:szCs w:val="20"/>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8F55F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85263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p>
    <w:p w14:paraId="4F473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注：1.</w:t>
      </w:r>
      <w:r>
        <w:rPr>
          <w:rFonts w:hint="eastAsia" w:ascii="宋体" w:hAnsi="宋体" w:cs="宋体"/>
          <w:color w:val="auto"/>
          <w:kern w:val="0"/>
          <w:sz w:val="20"/>
          <w:szCs w:val="20"/>
          <w:highlight w:val="none"/>
          <w:lang w:bidi="ar"/>
        </w:rPr>
        <w:t>袋装水泥如需要现场</w:t>
      </w:r>
      <w:r>
        <w:rPr>
          <w:rFonts w:hint="eastAsia" w:ascii="宋体" w:hAnsi="宋体" w:cs="宋体"/>
          <w:color w:val="auto"/>
          <w:kern w:val="0"/>
          <w:sz w:val="20"/>
          <w:szCs w:val="20"/>
          <w:highlight w:val="none"/>
          <w:lang w:val="en-US" w:eastAsia="zh-CN" w:bidi="ar"/>
        </w:rPr>
        <w:t>人工</w:t>
      </w:r>
      <w:r>
        <w:rPr>
          <w:rFonts w:hint="eastAsia" w:ascii="宋体" w:hAnsi="宋体" w:cs="宋体"/>
          <w:color w:val="auto"/>
          <w:kern w:val="0"/>
          <w:sz w:val="20"/>
          <w:szCs w:val="20"/>
          <w:highlight w:val="none"/>
          <w:lang w:bidi="ar"/>
        </w:rPr>
        <w:t>卸货，每吨卸车费</w:t>
      </w:r>
      <w:r>
        <w:rPr>
          <w:rFonts w:hint="eastAsia" w:ascii="宋体" w:hAnsi="宋体" w:cs="宋体"/>
          <w:color w:val="auto"/>
          <w:kern w:val="0"/>
          <w:sz w:val="20"/>
          <w:szCs w:val="20"/>
          <w:highlight w:val="none"/>
          <w:u w:val="single"/>
          <w:lang w:bidi="ar"/>
        </w:rPr>
        <w:t xml:space="preserve"> 10</w:t>
      </w:r>
      <w:r>
        <w:rPr>
          <w:rFonts w:hint="eastAsia" w:ascii="宋体" w:hAnsi="宋体" w:cs="宋体"/>
          <w:color w:val="auto"/>
          <w:kern w:val="0"/>
          <w:sz w:val="20"/>
          <w:szCs w:val="20"/>
          <w:highlight w:val="none"/>
          <w:lang w:bidi="ar"/>
        </w:rPr>
        <w:t>元，此价格不计入投标价格中。</w:t>
      </w:r>
    </w:p>
    <w:p w14:paraId="081370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1、暂估量仅作为评标的依据与基础，</w:t>
      </w:r>
      <w:r>
        <w:rPr>
          <w:rFonts w:hint="eastAsia" w:ascii="宋体" w:hAnsi="宋体" w:cs="宋体"/>
          <w:color w:val="auto"/>
          <w:sz w:val="20"/>
          <w:szCs w:val="20"/>
          <w:highlight w:val="none"/>
          <w:lang w:val="en-US" w:eastAsia="zh-CN"/>
        </w:rPr>
        <w:t>比选人</w:t>
      </w:r>
      <w:r>
        <w:rPr>
          <w:rFonts w:hint="eastAsia" w:ascii="宋体" w:hAnsi="宋体" w:eastAsia="宋体" w:cs="宋体"/>
          <w:color w:val="auto"/>
          <w:sz w:val="20"/>
          <w:szCs w:val="20"/>
          <w:highlight w:val="none"/>
          <w:lang w:val="en-US" w:eastAsia="zh-CN"/>
        </w:rPr>
        <w:t>根据开标结果与中标单位签订材料供应单价合同。各规格型号材料实际采购数量以</w:t>
      </w:r>
      <w:r>
        <w:rPr>
          <w:rFonts w:hint="eastAsia" w:ascii="宋体" w:hAnsi="宋体" w:cs="宋体"/>
          <w:color w:val="auto"/>
          <w:sz w:val="20"/>
          <w:szCs w:val="20"/>
          <w:highlight w:val="none"/>
          <w:lang w:val="en-US" w:eastAsia="zh-CN"/>
        </w:rPr>
        <w:t>比选人</w:t>
      </w:r>
      <w:r>
        <w:rPr>
          <w:rFonts w:hint="eastAsia" w:ascii="宋体" w:hAnsi="宋体" w:eastAsia="宋体" w:cs="宋体"/>
          <w:color w:val="auto"/>
          <w:sz w:val="20"/>
          <w:szCs w:val="20"/>
          <w:highlight w:val="none"/>
          <w:lang w:val="en-US" w:eastAsia="zh-CN"/>
        </w:rPr>
        <w:t>最终需求数量为准，投标人不得以此当做单价变更的任何条件。</w:t>
      </w:r>
    </w:p>
    <w:p w14:paraId="13EAE3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2、本合同为综合单价，结算单价为结算基准价+综合固定费，具体计算按合同价格条款执行。</w:t>
      </w:r>
    </w:p>
    <w:p w14:paraId="7400D4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投标人必须对拟投标包件按照站点位置分别报价，各站点供货数量按本包件暂估量平均分配。各站点投标基准价应保持一致，综合固定费根据各站点实际情况，允许不一致；中标单位各站点报价将作为合同价格执行依据。</w:t>
      </w:r>
    </w:p>
    <w:p w14:paraId="4126CB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各站点总价合计形成为该包件投标总价，投标总价不得超过该包件最高限价，否则按否决投标处理。</w:t>
      </w:r>
    </w:p>
    <w:p w14:paraId="79D20470">
      <w:pPr>
        <w:rPr>
          <w:rFonts w:hint="eastAsia" w:ascii="宋体" w:hAnsi="宋体" w:eastAsia="宋体" w:cs="宋体"/>
          <w:b w:val="0"/>
          <w:bCs w:val="0"/>
          <w:color w:val="auto"/>
          <w:sz w:val="20"/>
          <w:szCs w:val="20"/>
          <w:highlight w:val="none"/>
        </w:rPr>
      </w:pPr>
    </w:p>
    <w:p w14:paraId="3CE8BB79">
      <w:pPr>
        <w:rPr>
          <w:rFonts w:hint="eastAsia" w:ascii="宋体" w:hAnsi="宋体"/>
          <w:b w:val="0"/>
          <w:bCs w:val="0"/>
          <w:color w:val="auto"/>
          <w:sz w:val="44"/>
          <w:szCs w:val="44"/>
          <w:highlight w:val="none"/>
        </w:rPr>
      </w:pPr>
      <w:r>
        <w:rPr>
          <w:rFonts w:hint="eastAsia" w:ascii="宋体" w:hAnsi="宋体"/>
          <w:b w:val="0"/>
          <w:bCs w:val="0"/>
          <w:color w:val="auto"/>
          <w:sz w:val="44"/>
          <w:szCs w:val="44"/>
          <w:highlight w:val="none"/>
        </w:rPr>
        <w:br w:type="page"/>
      </w:r>
    </w:p>
    <w:bookmarkEnd w:id="639"/>
    <w:bookmarkEnd w:id="640"/>
    <w:bookmarkEnd w:id="641"/>
    <w:bookmarkEnd w:id="642"/>
    <w:bookmarkEnd w:id="643"/>
    <w:p w14:paraId="12D11C9C">
      <w:pPr>
        <w:pStyle w:val="4"/>
        <w:spacing w:before="0" w:line="360" w:lineRule="auto"/>
        <w:jc w:val="center"/>
        <w:outlineLvl w:val="1"/>
        <w:rPr>
          <w:rFonts w:ascii="宋体" w:hAnsi="宋体" w:cs="宋体"/>
          <w:b w:val="0"/>
          <w:bCs w:val="0"/>
          <w:color w:val="auto"/>
          <w:highlight w:val="none"/>
        </w:rPr>
      </w:pPr>
      <w:bookmarkStart w:id="644" w:name="_Toc57796011"/>
      <w:bookmarkStart w:id="645" w:name="_Toc287607882"/>
      <w:bookmarkStart w:id="646" w:name="_Toc430530545"/>
      <w:bookmarkStart w:id="647" w:name="_Toc224103510"/>
      <w:bookmarkStart w:id="648" w:name="_Toc277082656"/>
      <w:bookmarkStart w:id="649" w:name="_Toc287620829"/>
      <w:bookmarkStart w:id="650" w:name="_Toc7209"/>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644"/>
    </w:p>
    <w:p w14:paraId="2F3C1790">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w:t>
      </w:r>
      <w:r>
        <w:rPr>
          <w:rFonts w:hint="eastAsia" w:ascii="宋体" w:hAnsi="宋体"/>
          <w:snapToGrid w:val="0"/>
          <w:color w:val="auto"/>
          <w:kern w:val="0"/>
          <w:sz w:val="28"/>
          <w:szCs w:val="28"/>
          <w:highlight w:val="none"/>
          <w:lang w:eastAsia="zh-CN"/>
        </w:rPr>
        <w:t>比选</w:t>
      </w:r>
      <w:r>
        <w:rPr>
          <w:rFonts w:hint="eastAsia" w:ascii="宋体" w:hAnsi="宋体"/>
          <w:snapToGrid w:val="0"/>
          <w:color w:val="auto"/>
          <w:kern w:val="0"/>
          <w:sz w:val="28"/>
          <w:szCs w:val="28"/>
          <w:highlight w:val="none"/>
        </w:rPr>
        <w:t>项目最高限价的85%时采用）</w:t>
      </w:r>
    </w:p>
    <w:p w14:paraId="240851A3">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D720D71">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776C0B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中约定的，因未按规定递交低价风险担保的相应责任。</w:t>
      </w:r>
    </w:p>
    <w:p w14:paraId="7545E1F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5492187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13C93554">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13C36FF3">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3B287D6">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3E96B333">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20565688">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0CDF96AD">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3FB84BE">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461A04E7">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692328C">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9FBA0A6">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7644633">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45"/>
      <w:bookmarkEnd w:id="646"/>
      <w:bookmarkEnd w:id="647"/>
      <w:bookmarkEnd w:id="648"/>
      <w:bookmarkEnd w:id="649"/>
      <w:r>
        <w:rPr>
          <w:rFonts w:hint="eastAsia" w:ascii="宋体" w:hAnsi="宋体"/>
          <w:b w:val="0"/>
          <w:bCs w:val="0"/>
          <w:color w:val="auto"/>
          <w:sz w:val="44"/>
          <w:szCs w:val="44"/>
          <w:highlight w:val="none"/>
        </w:rPr>
        <w:t>资格审查部分</w:t>
      </w:r>
      <w:bookmarkEnd w:id="650"/>
    </w:p>
    <w:p w14:paraId="11A08CBA">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10188CD3">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0531E4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884DF9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B723CC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5FCE7CB">
      <w:pPr>
        <w:autoSpaceDE w:val="0"/>
        <w:autoSpaceDN w:val="0"/>
        <w:adjustRightInd w:val="0"/>
        <w:snapToGrid w:val="0"/>
        <w:spacing w:line="360" w:lineRule="auto"/>
        <w:jc w:val="left"/>
        <w:rPr>
          <w:rFonts w:ascii="宋体" w:hAnsi="宋体"/>
          <w:color w:val="auto"/>
          <w:kern w:val="0"/>
          <w:sz w:val="16"/>
          <w:szCs w:val="16"/>
          <w:highlight w:val="none"/>
        </w:rPr>
      </w:pPr>
    </w:p>
    <w:p w14:paraId="55B7CA8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5D22110C">
      <w:pPr>
        <w:autoSpaceDE w:val="0"/>
        <w:autoSpaceDN w:val="0"/>
        <w:adjustRightInd w:val="0"/>
        <w:snapToGrid w:val="0"/>
        <w:spacing w:line="360" w:lineRule="auto"/>
        <w:jc w:val="left"/>
        <w:rPr>
          <w:rFonts w:ascii="宋体" w:hAnsi="宋体" w:cs="MingLiU"/>
          <w:color w:val="auto"/>
          <w:kern w:val="0"/>
          <w:sz w:val="20"/>
          <w:szCs w:val="20"/>
          <w:highlight w:val="none"/>
        </w:rPr>
      </w:pPr>
    </w:p>
    <w:p w14:paraId="2822D623">
      <w:pPr>
        <w:adjustRightInd w:val="0"/>
        <w:snapToGrid w:val="0"/>
        <w:spacing w:line="264" w:lineRule="auto"/>
        <w:rPr>
          <w:rFonts w:ascii="宋体" w:hAnsi="宋体"/>
          <w:color w:val="auto"/>
          <w:szCs w:val="21"/>
          <w:highlight w:val="none"/>
        </w:rPr>
      </w:pPr>
    </w:p>
    <w:p w14:paraId="0D66151B">
      <w:pPr>
        <w:autoSpaceDE w:val="0"/>
        <w:autoSpaceDN w:val="0"/>
        <w:adjustRightInd w:val="0"/>
        <w:snapToGrid w:val="0"/>
        <w:spacing w:line="360" w:lineRule="auto"/>
        <w:jc w:val="left"/>
        <w:rPr>
          <w:rFonts w:ascii="宋体" w:hAnsi="宋体" w:cs="MingLiU"/>
          <w:color w:val="auto"/>
          <w:kern w:val="0"/>
          <w:sz w:val="20"/>
          <w:szCs w:val="20"/>
          <w:highlight w:val="none"/>
        </w:rPr>
      </w:pPr>
    </w:p>
    <w:p w14:paraId="6FE5E47E">
      <w:pPr>
        <w:autoSpaceDE w:val="0"/>
        <w:autoSpaceDN w:val="0"/>
        <w:adjustRightInd w:val="0"/>
        <w:snapToGrid w:val="0"/>
        <w:spacing w:line="360" w:lineRule="auto"/>
        <w:jc w:val="left"/>
        <w:rPr>
          <w:rFonts w:ascii="宋体" w:hAnsi="宋体" w:cs="MingLiU"/>
          <w:color w:val="auto"/>
          <w:kern w:val="0"/>
          <w:sz w:val="20"/>
          <w:szCs w:val="20"/>
          <w:highlight w:val="none"/>
        </w:rPr>
      </w:pPr>
    </w:p>
    <w:p w14:paraId="65D40D5E">
      <w:pPr>
        <w:autoSpaceDE w:val="0"/>
        <w:autoSpaceDN w:val="0"/>
        <w:adjustRightInd w:val="0"/>
        <w:snapToGrid w:val="0"/>
        <w:spacing w:line="360" w:lineRule="auto"/>
        <w:jc w:val="left"/>
        <w:rPr>
          <w:rFonts w:ascii="宋体" w:hAnsi="宋体" w:cs="MingLiU"/>
          <w:color w:val="auto"/>
          <w:kern w:val="0"/>
          <w:sz w:val="20"/>
          <w:szCs w:val="20"/>
          <w:highlight w:val="none"/>
        </w:rPr>
      </w:pPr>
    </w:p>
    <w:p w14:paraId="16E9A4B8">
      <w:pPr>
        <w:autoSpaceDE w:val="0"/>
        <w:autoSpaceDN w:val="0"/>
        <w:adjustRightInd w:val="0"/>
        <w:snapToGrid w:val="0"/>
        <w:spacing w:line="360" w:lineRule="auto"/>
        <w:jc w:val="left"/>
        <w:rPr>
          <w:rFonts w:ascii="宋体" w:hAnsi="宋体" w:cs="MingLiU"/>
          <w:color w:val="auto"/>
          <w:kern w:val="0"/>
          <w:sz w:val="20"/>
          <w:szCs w:val="20"/>
          <w:highlight w:val="none"/>
        </w:rPr>
      </w:pPr>
    </w:p>
    <w:p w14:paraId="4BFD573E">
      <w:pPr>
        <w:autoSpaceDE w:val="0"/>
        <w:autoSpaceDN w:val="0"/>
        <w:adjustRightInd w:val="0"/>
        <w:snapToGrid w:val="0"/>
        <w:spacing w:line="360" w:lineRule="auto"/>
        <w:jc w:val="left"/>
        <w:rPr>
          <w:rFonts w:ascii="宋体" w:hAnsi="宋体" w:cs="MingLiU"/>
          <w:color w:val="auto"/>
          <w:kern w:val="0"/>
          <w:sz w:val="20"/>
          <w:szCs w:val="20"/>
          <w:highlight w:val="none"/>
        </w:rPr>
      </w:pPr>
    </w:p>
    <w:p w14:paraId="51BEDFF1">
      <w:pPr>
        <w:autoSpaceDE w:val="0"/>
        <w:autoSpaceDN w:val="0"/>
        <w:adjustRightInd w:val="0"/>
        <w:snapToGrid w:val="0"/>
        <w:spacing w:line="360" w:lineRule="auto"/>
        <w:jc w:val="left"/>
        <w:rPr>
          <w:rFonts w:ascii="宋体" w:hAnsi="宋体" w:cs="MingLiU"/>
          <w:color w:val="auto"/>
          <w:kern w:val="0"/>
          <w:sz w:val="20"/>
          <w:szCs w:val="20"/>
          <w:highlight w:val="none"/>
        </w:rPr>
      </w:pPr>
    </w:p>
    <w:p w14:paraId="38876DC0">
      <w:pPr>
        <w:autoSpaceDE w:val="0"/>
        <w:autoSpaceDN w:val="0"/>
        <w:adjustRightInd w:val="0"/>
        <w:snapToGrid w:val="0"/>
        <w:spacing w:line="360" w:lineRule="auto"/>
        <w:jc w:val="left"/>
        <w:rPr>
          <w:rFonts w:ascii="宋体" w:hAnsi="宋体" w:cs="MingLiU"/>
          <w:color w:val="auto"/>
          <w:kern w:val="0"/>
          <w:sz w:val="20"/>
          <w:szCs w:val="20"/>
          <w:highlight w:val="none"/>
        </w:rPr>
      </w:pPr>
    </w:p>
    <w:p w14:paraId="3548EF08">
      <w:pPr>
        <w:autoSpaceDE w:val="0"/>
        <w:autoSpaceDN w:val="0"/>
        <w:adjustRightInd w:val="0"/>
        <w:snapToGrid w:val="0"/>
        <w:spacing w:line="360" w:lineRule="auto"/>
        <w:jc w:val="left"/>
        <w:rPr>
          <w:rFonts w:ascii="宋体" w:hAnsi="宋体" w:cs="MingLiU"/>
          <w:color w:val="auto"/>
          <w:kern w:val="0"/>
          <w:sz w:val="20"/>
          <w:szCs w:val="20"/>
          <w:highlight w:val="none"/>
        </w:rPr>
      </w:pPr>
    </w:p>
    <w:p w14:paraId="3895777D">
      <w:pPr>
        <w:autoSpaceDE w:val="0"/>
        <w:autoSpaceDN w:val="0"/>
        <w:adjustRightInd w:val="0"/>
        <w:snapToGrid w:val="0"/>
        <w:spacing w:line="360" w:lineRule="auto"/>
        <w:jc w:val="left"/>
        <w:rPr>
          <w:rFonts w:ascii="宋体" w:hAnsi="宋体" w:cs="MingLiU"/>
          <w:color w:val="auto"/>
          <w:kern w:val="0"/>
          <w:sz w:val="20"/>
          <w:szCs w:val="20"/>
          <w:highlight w:val="none"/>
        </w:rPr>
      </w:pPr>
    </w:p>
    <w:p w14:paraId="790CDEF4">
      <w:pPr>
        <w:autoSpaceDE w:val="0"/>
        <w:autoSpaceDN w:val="0"/>
        <w:adjustRightInd w:val="0"/>
        <w:snapToGrid w:val="0"/>
        <w:spacing w:line="360" w:lineRule="auto"/>
        <w:jc w:val="left"/>
        <w:rPr>
          <w:rFonts w:ascii="宋体" w:hAnsi="宋体" w:cs="MingLiU"/>
          <w:color w:val="auto"/>
          <w:kern w:val="0"/>
          <w:sz w:val="20"/>
          <w:szCs w:val="20"/>
          <w:highlight w:val="none"/>
        </w:rPr>
      </w:pPr>
    </w:p>
    <w:p w14:paraId="690F1340">
      <w:pPr>
        <w:autoSpaceDE w:val="0"/>
        <w:autoSpaceDN w:val="0"/>
        <w:adjustRightInd w:val="0"/>
        <w:snapToGrid w:val="0"/>
        <w:spacing w:line="360" w:lineRule="auto"/>
        <w:jc w:val="left"/>
        <w:rPr>
          <w:rFonts w:ascii="宋体" w:hAnsi="宋体" w:cs="MingLiU"/>
          <w:color w:val="auto"/>
          <w:kern w:val="0"/>
          <w:sz w:val="20"/>
          <w:szCs w:val="20"/>
          <w:highlight w:val="none"/>
        </w:rPr>
      </w:pPr>
    </w:p>
    <w:p w14:paraId="54922E2B">
      <w:pPr>
        <w:autoSpaceDE w:val="0"/>
        <w:autoSpaceDN w:val="0"/>
        <w:adjustRightInd w:val="0"/>
        <w:snapToGrid w:val="0"/>
        <w:spacing w:line="360" w:lineRule="auto"/>
        <w:jc w:val="left"/>
        <w:rPr>
          <w:rFonts w:ascii="宋体" w:hAnsi="宋体" w:cs="MingLiU"/>
          <w:color w:val="auto"/>
          <w:kern w:val="0"/>
          <w:sz w:val="20"/>
          <w:szCs w:val="20"/>
          <w:highlight w:val="none"/>
        </w:rPr>
      </w:pPr>
    </w:p>
    <w:p w14:paraId="1EC713EA">
      <w:pPr>
        <w:autoSpaceDE w:val="0"/>
        <w:autoSpaceDN w:val="0"/>
        <w:adjustRightInd w:val="0"/>
        <w:snapToGrid w:val="0"/>
        <w:spacing w:line="360" w:lineRule="auto"/>
        <w:jc w:val="left"/>
        <w:rPr>
          <w:rFonts w:ascii="宋体" w:hAnsi="宋体" w:cs="MingLiU"/>
          <w:color w:val="auto"/>
          <w:kern w:val="0"/>
          <w:sz w:val="20"/>
          <w:szCs w:val="20"/>
          <w:highlight w:val="none"/>
        </w:rPr>
      </w:pPr>
    </w:p>
    <w:p w14:paraId="6EAFF675">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92DABD">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23F0AB8">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CCF9518">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3CA5FF00">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F1C77EB">
      <w:pPr>
        <w:spacing w:line="360" w:lineRule="auto"/>
        <w:jc w:val="center"/>
        <w:rPr>
          <w:rFonts w:ascii="宋体" w:hAnsi="宋体"/>
          <w:b/>
          <w:color w:val="auto"/>
          <w:kern w:val="0"/>
          <w:sz w:val="32"/>
          <w:szCs w:val="32"/>
          <w:highlight w:val="none"/>
        </w:rPr>
      </w:pPr>
    </w:p>
    <w:p w14:paraId="27C4050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5BCA786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395688DF">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cs="Times New Roman"/>
          <w:color w:val="auto"/>
          <w:highlight w:val="none"/>
          <w:lang w:val="en-US" w:eastAsia="zh-CN"/>
        </w:rPr>
        <w:t>保供能</w:t>
      </w:r>
      <w:r>
        <w:rPr>
          <w:rFonts w:hint="eastAsia" w:ascii="宋体" w:hAnsi="宋体" w:eastAsia="宋体" w:cs="Times New Roman"/>
          <w:color w:val="auto"/>
          <w:highlight w:val="none"/>
        </w:rPr>
        <w:t>力要求</w:t>
      </w:r>
    </w:p>
    <w:p w14:paraId="1B0A0DC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0EEC3794">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五</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质量能力要求</w:t>
      </w:r>
    </w:p>
    <w:p w14:paraId="129134C4">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（六）财务能力要求</w:t>
      </w:r>
    </w:p>
    <w:p w14:paraId="08839D40">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）承诺</w:t>
      </w:r>
    </w:p>
    <w:p w14:paraId="6E701743">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八</w:t>
      </w:r>
      <w:r>
        <w:rPr>
          <w:rFonts w:hint="eastAsia" w:ascii="宋体" w:hAnsi="宋体" w:eastAsia="宋体" w:cs="Times New Roman"/>
          <w:color w:val="auto"/>
          <w:highlight w:val="none"/>
        </w:rPr>
        <w:t>）其他资料</w:t>
      </w:r>
    </w:p>
    <w:p w14:paraId="791DE3D8">
      <w:pPr>
        <w:spacing w:line="360" w:lineRule="auto"/>
        <w:ind w:firstLine="420" w:firstLineChars="200"/>
        <w:rPr>
          <w:color w:val="auto"/>
          <w:highlight w:val="none"/>
        </w:rPr>
      </w:pPr>
    </w:p>
    <w:p w14:paraId="495E15D9">
      <w:pPr>
        <w:spacing w:line="360" w:lineRule="auto"/>
        <w:jc w:val="center"/>
        <w:rPr>
          <w:rFonts w:ascii="宋体" w:hAnsi="宋体"/>
          <w:b/>
          <w:color w:val="auto"/>
          <w:kern w:val="0"/>
          <w:sz w:val="32"/>
          <w:szCs w:val="32"/>
          <w:highlight w:val="none"/>
        </w:rPr>
      </w:pPr>
    </w:p>
    <w:p w14:paraId="5F4B7A16">
      <w:pPr>
        <w:spacing w:line="360" w:lineRule="auto"/>
        <w:jc w:val="center"/>
        <w:rPr>
          <w:rFonts w:ascii="宋体" w:hAnsi="宋体"/>
          <w:b/>
          <w:color w:val="auto"/>
          <w:kern w:val="0"/>
          <w:sz w:val="32"/>
          <w:szCs w:val="32"/>
          <w:highlight w:val="none"/>
        </w:rPr>
      </w:pPr>
    </w:p>
    <w:p w14:paraId="35FBB7F1">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651" w:name="_Toc57905929"/>
      <w:bookmarkStart w:id="652" w:name="_Toc5633"/>
      <w:bookmarkStart w:id="653" w:name="_Toc430530546"/>
      <w:bookmarkStart w:id="654" w:name="_Toc287620830"/>
      <w:bookmarkStart w:id="655" w:name="_Toc287607883"/>
      <w:bookmarkStart w:id="656" w:name="_Toc277082657"/>
      <w:bookmarkStart w:id="657"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51"/>
      <w:bookmarkEnd w:id="652"/>
    </w:p>
    <w:p w14:paraId="7A19890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F7CC20E">
      <w:pPr>
        <w:spacing w:line="480" w:lineRule="auto"/>
        <w:jc w:val="center"/>
        <w:rPr>
          <w:rFonts w:ascii="宋体" w:hAnsi="宋体"/>
          <w:color w:val="auto"/>
          <w:highlight w:val="none"/>
        </w:rPr>
      </w:pPr>
    </w:p>
    <w:p w14:paraId="0436210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B05D5C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AF44F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C9E6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30E091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6EADE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4CA372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4644DE9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0653B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1CFB629">
      <w:pPr>
        <w:autoSpaceDE w:val="0"/>
        <w:autoSpaceDN w:val="0"/>
        <w:adjustRightInd w:val="0"/>
        <w:snapToGrid w:val="0"/>
        <w:spacing w:line="360" w:lineRule="auto"/>
        <w:jc w:val="left"/>
        <w:rPr>
          <w:rFonts w:ascii="宋体" w:hAnsi="宋体"/>
          <w:color w:val="auto"/>
          <w:szCs w:val="21"/>
          <w:highlight w:val="none"/>
        </w:rPr>
      </w:pPr>
    </w:p>
    <w:p w14:paraId="40B89121">
      <w:pPr>
        <w:pStyle w:val="18"/>
        <w:spacing w:after="0" w:line="360" w:lineRule="auto"/>
        <w:rPr>
          <w:rFonts w:ascii="宋体" w:hAnsi="宋体"/>
          <w:color w:val="auto"/>
          <w:szCs w:val="21"/>
          <w:highlight w:val="none"/>
        </w:rPr>
      </w:pPr>
    </w:p>
    <w:p w14:paraId="6CAA462F">
      <w:pPr>
        <w:pStyle w:val="18"/>
        <w:spacing w:after="0" w:line="360" w:lineRule="auto"/>
        <w:rPr>
          <w:rFonts w:ascii="宋体" w:hAnsi="宋体"/>
          <w:color w:val="auto"/>
          <w:szCs w:val="21"/>
          <w:highlight w:val="none"/>
        </w:rPr>
      </w:pPr>
    </w:p>
    <w:p w14:paraId="48907930">
      <w:pPr>
        <w:pStyle w:val="18"/>
        <w:spacing w:after="0" w:line="360" w:lineRule="auto"/>
        <w:rPr>
          <w:rFonts w:ascii="宋体" w:hAnsi="宋体"/>
          <w:color w:val="auto"/>
          <w:szCs w:val="21"/>
          <w:highlight w:val="none"/>
        </w:rPr>
      </w:pPr>
    </w:p>
    <w:p w14:paraId="680C4A50">
      <w:pPr>
        <w:pStyle w:val="18"/>
        <w:spacing w:after="0" w:line="360" w:lineRule="auto"/>
        <w:rPr>
          <w:rFonts w:ascii="宋体" w:hAnsi="宋体"/>
          <w:color w:val="auto"/>
          <w:szCs w:val="21"/>
          <w:highlight w:val="none"/>
        </w:rPr>
      </w:pPr>
    </w:p>
    <w:p w14:paraId="29B6977F">
      <w:pPr>
        <w:pStyle w:val="18"/>
        <w:spacing w:after="0" w:line="360" w:lineRule="auto"/>
        <w:rPr>
          <w:rFonts w:ascii="宋体" w:hAnsi="宋体"/>
          <w:color w:val="auto"/>
          <w:szCs w:val="21"/>
          <w:highlight w:val="none"/>
        </w:rPr>
      </w:pPr>
    </w:p>
    <w:p w14:paraId="1B83E21A">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9B8088E">
      <w:pPr>
        <w:autoSpaceDE w:val="0"/>
        <w:autoSpaceDN w:val="0"/>
        <w:adjustRightInd w:val="0"/>
        <w:snapToGrid w:val="0"/>
        <w:spacing w:line="480" w:lineRule="auto"/>
        <w:jc w:val="left"/>
        <w:rPr>
          <w:rFonts w:ascii="宋体" w:hAnsi="宋体"/>
          <w:color w:val="auto"/>
          <w:kern w:val="0"/>
          <w:sz w:val="20"/>
          <w:szCs w:val="20"/>
          <w:highlight w:val="none"/>
        </w:rPr>
      </w:pPr>
    </w:p>
    <w:p w14:paraId="6AD05A0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33CFC29">
      <w:pPr>
        <w:autoSpaceDE w:val="0"/>
        <w:autoSpaceDN w:val="0"/>
        <w:adjustRightInd w:val="0"/>
        <w:snapToGrid w:val="0"/>
        <w:spacing w:line="360" w:lineRule="auto"/>
        <w:jc w:val="left"/>
        <w:rPr>
          <w:rFonts w:ascii="宋体" w:hAnsi="宋体"/>
          <w:color w:val="auto"/>
          <w:kern w:val="0"/>
          <w:highlight w:val="none"/>
        </w:rPr>
      </w:pPr>
    </w:p>
    <w:p w14:paraId="0360DBBF">
      <w:pPr>
        <w:autoSpaceDE w:val="0"/>
        <w:autoSpaceDN w:val="0"/>
        <w:adjustRightInd w:val="0"/>
        <w:snapToGrid w:val="0"/>
        <w:spacing w:line="360" w:lineRule="auto"/>
        <w:jc w:val="left"/>
        <w:rPr>
          <w:rFonts w:ascii="宋体" w:hAnsi="宋体"/>
          <w:color w:val="auto"/>
          <w:kern w:val="0"/>
          <w:highlight w:val="none"/>
        </w:rPr>
      </w:pPr>
    </w:p>
    <w:p w14:paraId="3576B7B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53"/>
      <w:bookmarkEnd w:id="654"/>
      <w:bookmarkEnd w:id="655"/>
      <w:bookmarkEnd w:id="656"/>
      <w:bookmarkEnd w:id="657"/>
      <w:r>
        <w:rPr>
          <w:rFonts w:hint="eastAsia" w:ascii="宋体" w:hAnsi="宋体"/>
          <w:color w:val="auto"/>
          <w:kern w:val="0"/>
          <w:szCs w:val="21"/>
          <w:highlight w:val="none"/>
        </w:rPr>
        <w:t>。</w:t>
      </w:r>
    </w:p>
    <w:p w14:paraId="15023F3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96FA95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D4A4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19BC2F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15A9F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F65155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6F36A3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834E3C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3E7B3E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70F8D9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F4C3F1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95A9A4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E17711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C4317A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3055A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F75C7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22E8FA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5C2F56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024D9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1311DF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1ABBA5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6013756">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F0EA16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6162E9CC">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1F655D4">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1999596D">
      <w:pPr>
        <w:pStyle w:val="4"/>
        <w:spacing w:before="0" w:after="0" w:line="240" w:lineRule="auto"/>
        <w:jc w:val="center"/>
        <w:rPr>
          <w:rFonts w:hint="default" w:ascii="宋体" w:hAnsi="宋体" w:eastAsia="宋体"/>
          <w:color w:val="auto"/>
          <w:highlight w:val="none"/>
          <w:lang w:val="en-US" w:eastAsia="zh-CN"/>
        </w:rPr>
      </w:pPr>
      <w:bookmarkStart w:id="658" w:name="_Toc774"/>
      <w:bookmarkStart w:id="659" w:name="_Toc287607887"/>
      <w:bookmarkStart w:id="660" w:name="_Toc277082659"/>
      <w:r>
        <w:rPr>
          <w:rFonts w:hint="eastAsia" w:ascii="宋体" w:hAnsi="宋体"/>
          <w:b w:val="0"/>
          <w:bCs w:val="0"/>
          <w:color w:val="auto"/>
          <w:highlight w:val="none"/>
        </w:rPr>
        <w:t>（二）</w:t>
      </w:r>
      <w:bookmarkEnd w:id="658"/>
      <w:r>
        <w:rPr>
          <w:rFonts w:hint="eastAsia" w:ascii="宋体" w:hAnsi="宋体"/>
          <w:b w:val="0"/>
          <w:bCs w:val="0"/>
          <w:color w:val="auto"/>
          <w:highlight w:val="none"/>
          <w:lang w:val="en-US" w:eastAsia="zh-CN"/>
        </w:rPr>
        <w:t>资质要求及营业执照</w:t>
      </w:r>
    </w:p>
    <w:p w14:paraId="0942D083">
      <w:pPr>
        <w:spacing w:line="360" w:lineRule="auto"/>
        <w:jc w:val="center"/>
        <w:rPr>
          <w:rFonts w:ascii="宋体" w:hAnsi="宋体"/>
          <w:color w:val="auto"/>
          <w:szCs w:val="21"/>
          <w:highlight w:val="none"/>
        </w:rPr>
      </w:pPr>
    </w:p>
    <w:p w14:paraId="661AC9C7">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61" w:name="_Toc534185840"/>
      <w:bookmarkStart w:id="662" w:name="_Toc8552"/>
      <w:bookmarkStart w:id="663" w:name="_Toc509218863"/>
      <w:r>
        <w:rPr>
          <w:rFonts w:hint="eastAsia" w:ascii="宋体" w:hAnsi="宋体"/>
          <w:b w:val="0"/>
          <w:bCs w:val="0"/>
          <w:color w:val="auto"/>
          <w:highlight w:val="none"/>
        </w:rPr>
        <w:t>（三）</w:t>
      </w:r>
      <w:bookmarkEnd w:id="661"/>
      <w:bookmarkEnd w:id="662"/>
      <w:bookmarkEnd w:id="663"/>
      <w:r>
        <w:rPr>
          <w:rFonts w:hint="eastAsia" w:ascii="宋体" w:hAnsi="宋体"/>
          <w:snapToGrid w:val="0"/>
          <w:color w:val="auto"/>
          <w:kern w:val="0"/>
          <w:szCs w:val="21"/>
          <w:highlight w:val="none"/>
          <w:u w:val="single"/>
          <w:lang w:val="en-US" w:eastAsia="zh-CN"/>
        </w:rPr>
        <w:t>保供能力要求</w:t>
      </w:r>
    </w:p>
    <w:p w14:paraId="1395F045">
      <w:pPr>
        <w:spacing w:line="20" w:lineRule="exact"/>
        <w:jc w:val="center"/>
        <w:rPr>
          <w:rFonts w:ascii="宋体" w:hAnsi="宋体"/>
          <w:color w:val="auto"/>
          <w:szCs w:val="21"/>
          <w:highlight w:val="none"/>
        </w:rPr>
      </w:pPr>
    </w:p>
    <w:p w14:paraId="1321CEED">
      <w:pPr>
        <w:autoSpaceDE w:val="0"/>
        <w:autoSpaceDN w:val="0"/>
        <w:adjustRightInd w:val="0"/>
        <w:snapToGrid w:val="0"/>
        <w:spacing w:line="400" w:lineRule="exact"/>
        <w:ind w:firstLine="420" w:firstLineChars="200"/>
        <w:jc w:val="center"/>
        <w:rPr>
          <w:rFonts w:ascii="宋体" w:hAnsi="宋体"/>
          <w:b/>
          <w:color w:val="auto"/>
          <w:szCs w:val="21"/>
          <w:highlight w:val="none"/>
        </w:rPr>
      </w:pPr>
      <w:r>
        <w:rPr>
          <w:rFonts w:ascii="宋体" w:hAnsi="宋体"/>
          <w:color w:val="auto"/>
          <w:highlight w:val="none"/>
        </w:rPr>
        <w:br w:type="page"/>
      </w:r>
      <w:bookmarkEnd w:id="659"/>
      <w:bookmarkEnd w:id="660"/>
      <w:bookmarkStart w:id="664" w:name="_Toc30367"/>
      <w:r>
        <w:rPr>
          <w:rFonts w:hint="eastAsia" w:ascii="宋体" w:hAnsi="宋体" w:eastAsia="宋体" w:cs="Times New Roman"/>
          <w:b w:val="0"/>
          <w:bCs w:val="0"/>
          <w:color w:val="auto"/>
          <w:kern w:val="2"/>
          <w:sz w:val="32"/>
          <w:szCs w:val="32"/>
          <w:highlight w:val="none"/>
          <w:lang w:val="en-US" w:eastAsia="zh-CN" w:bidi="ar-SA"/>
        </w:rPr>
        <w:t>（四）</w:t>
      </w:r>
      <w:bookmarkEnd w:id="664"/>
      <w:r>
        <w:rPr>
          <w:rFonts w:hint="eastAsia" w:ascii="宋体" w:hAnsi="宋体" w:eastAsia="宋体" w:cs="Times New Roman"/>
          <w:b w:val="0"/>
          <w:bCs w:val="0"/>
          <w:color w:val="auto"/>
          <w:kern w:val="2"/>
          <w:sz w:val="32"/>
          <w:szCs w:val="32"/>
          <w:highlight w:val="none"/>
          <w:lang w:val="en-US" w:eastAsia="zh-CN" w:bidi="ar-SA"/>
        </w:rPr>
        <w:t>供货业绩要求</w:t>
      </w:r>
    </w:p>
    <w:p w14:paraId="4C3D5E90">
      <w:pPr>
        <w:pStyle w:val="4"/>
        <w:spacing w:before="0" w:after="0" w:line="240" w:lineRule="auto"/>
        <w:jc w:val="center"/>
        <w:outlineLvl w:val="9"/>
        <w:rPr>
          <w:rFonts w:ascii="宋体" w:hAnsi="宋体"/>
          <w:color w:val="auto"/>
          <w:highlight w:val="none"/>
        </w:rPr>
      </w:pPr>
    </w:p>
    <w:p w14:paraId="77450051">
      <w:pPr>
        <w:spacing w:line="360" w:lineRule="auto"/>
        <w:rPr>
          <w:rFonts w:ascii="宋体" w:hAnsi="宋体"/>
          <w:color w:val="auto"/>
          <w:highlight w:val="none"/>
        </w:rPr>
      </w:pPr>
      <w:bookmarkStart w:id="665" w:name="_Toc224103515"/>
    </w:p>
    <w:p w14:paraId="2D11DFC8">
      <w:pPr>
        <w:rPr>
          <w:rFonts w:ascii="宋体" w:hAnsi="宋体"/>
          <w:color w:val="auto"/>
          <w:highlight w:val="none"/>
        </w:rPr>
      </w:pPr>
      <w:bookmarkStart w:id="666" w:name="_Toc277082660"/>
      <w:bookmarkStart w:id="667" w:name="_Toc287620834"/>
      <w:bookmarkStart w:id="668" w:name="_Toc534185841"/>
      <w:bookmarkStart w:id="669" w:name="_Toc509218864"/>
      <w:bookmarkStart w:id="670" w:name="_Toc287607888"/>
      <w:bookmarkStart w:id="671" w:name="_Toc430530550"/>
      <w:r>
        <w:rPr>
          <w:rFonts w:hint="eastAsia" w:ascii="宋体" w:hAnsi="宋体"/>
          <w:color w:val="auto"/>
          <w:highlight w:val="none"/>
        </w:rPr>
        <w:br w:type="page"/>
      </w:r>
    </w:p>
    <w:bookmarkEnd w:id="665"/>
    <w:bookmarkEnd w:id="666"/>
    <w:bookmarkEnd w:id="667"/>
    <w:bookmarkEnd w:id="668"/>
    <w:bookmarkEnd w:id="669"/>
    <w:bookmarkEnd w:id="670"/>
    <w:bookmarkEnd w:id="671"/>
    <w:p w14:paraId="3606F9A6">
      <w:pPr>
        <w:pStyle w:val="4"/>
        <w:spacing w:before="0" w:line="240" w:lineRule="auto"/>
        <w:jc w:val="center"/>
        <w:rPr>
          <w:rFonts w:ascii="宋体" w:hAnsi="宋体"/>
          <w:b w:val="0"/>
          <w:color w:val="auto"/>
          <w:highlight w:val="none"/>
        </w:rPr>
      </w:pPr>
      <w:bookmarkStart w:id="672" w:name="_Toc8670"/>
      <w:bookmarkStart w:id="673" w:name="_Toc287620835"/>
      <w:bookmarkStart w:id="674" w:name="_Toc287607889"/>
      <w:bookmarkStart w:id="675" w:name="_Toc277082661"/>
      <w:bookmarkStart w:id="676" w:name="_Toc534185842"/>
      <w:bookmarkStart w:id="677" w:name="_Toc224103516"/>
      <w:bookmarkStart w:id="678" w:name="_Toc430530551"/>
      <w:bookmarkStart w:id="679" w:name="_Toc509218865"/>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672"/>
      <w:bookmarkEnd w:id="673"/>
      <w:bookmarkEnd w:id="674"/>
      <w:bookmarkEnd w:id="675"/>
      <w:bookmarkEnd w:id="676"/>
      <w:bookmarkEnd w:id="677"/>
      <w:bookmarkEnd w:id="678"/>
      <w:bookmarkEnd w:id="679"/>
      <w:r>
        <w:rPr>
          <w:rFonts w:hint="eastAsia" w:ascii="宋体" w:hAnsi="宋体" w:eastAsia="宋体" w:cs="Times New Roman"/>
          <w:b w:val="0"/>
          <w:color w:val="auto"/>
          <w:highlight w:val="none"/>
          <w:lang w:val="en-US" w:eastAsia="zh-CN"/>
        </w:rPr>
        <w:t>质量能力要求</w:t>
      </w:r>
    </w:p>
    <w:p w14:paraId="019068B3">
      <w:pPr>
        <w:rPr>
          <w:rFonts w:ascii="宋体" w:hAnsi="宋体"/>
          <w:b w:val="0"/>
          <w:color w:val="auto"/>
          <w:highlight w:val="none"/>
        </w:rPr>
      </w:pPr>
      <w:bookmarkStart w:id="680" w:name="_Toc430530552"/>
      <w:bookmarkStart w:id="681" w:name="_Toc224103520"/>
      <w:bookmarkStart w:id="682" w:name="_Toc509218866"/>
      <w:bookmarkStart w:id="683" w:name="_Toc534185843"/>
      <w:bookmarkStart w:id="684" w:name="_Toc287620839"/>
      <w:bookmarkStart w:id="685" w:name="_Toc277082663"/>
      <w:bookmarkStart w:id="686" w:name="_Toc287607893"/>
      <w:bookmarkStart w:id="687" w:name="_Toc16306"/>
      <w:r>
        <w:rPr>
          <w:rFonts w:ascii="宋体" w:hAnsi="宋体"/>
          <w:b w:val="0"/>
          <w:color w:val="auto"/>
          <w:highlight w:val="none"/>
        </w:rPr>
        <w:br w:type="page"/>
      </w:r>
    </w:p>
    <w:p w14:paraId="4E6BB567">
      <w:pPr>
        <w:spacing w:line="360" w:lineRule="auto"/>
        <w:ind w:firstLine="640" w:firstLineChars="200"/>
        <w:jc w:val="center"/>
        <w:rPr>
          <w:rFonts w:hint="eastAsia" w:ascii="宋体" w:hAnsi="宋体" w:eastAsia="宋体" w:cs="Times New Roman"/>
          <w:bCs/>
          <w:color w:val="auto"/>
          <w:sz w:val="32"/>
          <w:szCs w:val="32"/>
          <w:highlight w:val="none"/>
          <w:lang w:val="en-US" w:eastAsia="zh-CN"/>
        </w:rPr>
      </w:pPr>
      <w:r>
        <w:rPr>
          <w:rFonts w:hint="eastAsia" w:ascii="宋体" w:hAnsi="宋体" w:eastAsia="宋体" w:cs="Times New Roman"/>
          <w:bCs/>
          <w:color w:val="auto"/>
          <w:sz w:val="32"/>
          <w:szCs w:val="32"/>
          <w:highlight w:val="none"/>
          <w:lang w:val="en-US" w:eastAsia="zh-CN"/>
        </w:rPr>
        <w:t>（六）财务能力要求</w:t>
      </w:r>
    </w:p>
    <w:p w14:paraId="76B8BBF7">
      <w:pPr>
        <w:rPr>
          <w:rFonts w:ascii="宋体" w:hAnsi="宋体"/>
          <w:b w:val="0"/>
          <w:color w:val="auto"/>
          <w:highlight w:val="none"/>
        </w:rPr>
      </w:pPr>
      <w:r>
        <w:rPr>
          <w:rFonts w:ascii="宋体" w:hAnsi="宋体"/>
          <w:b w:val="0"/>
          <w:color w:val="auto"/>
          <w:highlight w:val="none"/>
        </w:rPr>
        <w:br w:type="page"/>
      </w:r>
    </w:p>
    <w:p w14:paraId="7EF517ED">
      <w:pPr>
        <w:pStyle w:val="4"/>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七</w:t>
      </w:r>
      <w:r>
        <w:rPr>
          <w:rFonts w:ascii="宋体" w:hAnsi="宋体"/>
          <w:b w:val="0"/>
          <w:color w:val="auto"/>
          <w:highlight w:val="none"/>
        </w:rPr>
        <w:t>）</w:t>
      </w:r>
      <w:bookmarkEnd w:id="680"/>
      <w:bookmarkEnd w:id="681"/>
      <w:bookmarkEnd w:id="682"/>
      <w:bookmarkEnd w:id="683"/>
      <w:bookmarkEnd w:id="684"/>
      <w:bookmarkEnd w:id="685"/>
      <w:bookmarkEnd w:id="686"/>
      <w:r>
        <w:rPr>
          <w:rFonts w:hint="eastAsia" w:ascii="宋体" w:hAnsi="宋体"/>
          <w:b w:val="0"/>
          <w:color w:val="auto"/>
          <w:highlight w:val="none"/>
        </w:rPr>
        <w:t>承诺</w:t>
      </w:r>
      <w:bookmarkEnd w:id="687"/>
    </w:p>
    <w:p w14:paraId="36DAC00A">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0F95CE5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0F6861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08DA0CD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8EA80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8DEEEC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7471223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847049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6237A6B3">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33872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460588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14:paraId="2F0AB2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1.12.1 项的规定。</w:t>
      </w:r>
    </w:p>
    <w:p w14:paraId="575DC96D">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、我公司的投标文件符合</w:t>
      </w:r>
      <w:r>
        <w:rPr>
          <w:rFonts w:hint="eastAsia" w:ascii="宋体" w:hAnsi="宋体" w:cs="Times New Roman"/>
          <w:snapToGrid/>
          <w:color w:val="auto"/>
          <w:kern w:val="2"/>
          <w:szCs w:val="21"/>
          <w:highlight w:val="none"/>
          <w:lang w:eastAsia="zh-CN"/>
        </w:rPr>
        <w:t>比选文件</w:t>
      </w:r>
      <w:r>
        <w:rPr>
          <w:rFonts w:hint="eastAsia" w:ascii="宋体" w:hAnsi="宋体" w:eastAsia="宋体" w:cs="Times New Roman"/>
          <w:snapToGrid/>
          <w:color w:val="auto"/>
          <w:kern w:val="2"/>
          <w:szCs w:val="21"/>
          <w:highlight w:val="none"/>
          <w:lang w:eastAsia="zh-CN"/>
        </w:rPr>
        <w:t>第四章“合同条款及格式”规定，投标文件中没有贵单位不能接受的条件。</w:t>
      </w:r>
    </w:p>
    <w:p w14:paraId="28A42CDD">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、我公司的投标文件符合</w:t>
      </w:r>
      <w:r>
        <w:rPr>
          <w:rFonts w:hint="eastAsia" w:ascii="宋体" w:hAnsi="宋体" w:cs="Times New Roman"/>
          <w:snapToGrid/>
          <w:color w:val="auto"/>
          <w:kern w:val="2"/>
          <w:szCs w:val="21"/>
          <w:highlight w:val="none"/>
          <w:lang w:eastAsia="zh-CN"/>
        </w:rPr>
        <w:t>比选文件</w:t>
      </w:r>
      <w:r>
        <w:rPr>
          <w:rFonts w:hint="eastAsia" w:ascii="宋体" w:hAnsi="宋体" w:eastAsia="宋体" w:cs="Times New Roman"/>
          <w:snapToGrid/>
          <w:color w:val="auto"/>
          <w:kern w:val="2"/>
          <w:szCs w:val="21"/>
          <w:highlight w:val="none"/>
          <w:lang w:eastAsia="zh-CN"/>
        </w:rPr>
        <w:t>第五章“发包人要求”中的实质性要求和条件。</w:t>
      </w:r>
    </w:p>
    <w:p w14:paraId="7B0CDDF6">
      <w:pPr>
        <w:snapToGrid w:val="0"/>
        <w:spacing w:line="400" w:lineRule="exact"/>
        <w:ind w:firstLineChars="200"/>
        <w:rPr>
          <w:rFonts w:hint="eastAsia" w:ascii="宋体" w:hAnsi="宋体" w:eastAsia="宋体" w:cs="Times New Roman"/>
          <w:snapToGrid/>
          <w:color w:val="auto"/>
          <w:kern w:val="2"/>
          <w:szCs w:val="21"/>
          <w:highlight w:val="none"/>
          <w:u w:val="none"/>
          <w:lang w:val="en-US" w:eastAsia="zh-CN"/>
        </w:rPr>
      </w:pPr>
      <w:r>
        <w:rPr>
          <w:rFonts w:hint="eastAsia" w:ascii="宋体" w:hAnsi="宋体" w:eastAsia="宋体" w:cs="Times New Roman"/>
          <w:snapToGrid/>
          <w:color w:val="auto"/>
          <w:kern w:val="2"/>
          <w:szCs w:val="21"/>
          <w:highlight w:val="none"/>
          <w:lang w:val="en-US" w:eastAsia="zh-CN"/>
        </w:rPr>
        <w:t>7、我司承诺</w:t>
      </w:r>
      <w:r>
        <w:rPr>
          <w:rFonts w:hint="eastAsia" w:ascii="宋体" w:hAnsi="宋体" w:eastAsia="宋体" w:cs="Times New Roman"/>
          <w:snapToGrid/>
          <w:color w:val="auto"/>
          <w:kern w:val="2"/>
          <w:szCs w:val="21"/>
          <w:highlight w:val="none"/>
          <w:u w:val="none"/>
          <w:lang w:val="en-US" w:eastAsia="zh-CN"/>
        </w:rPr>
        <w:t>沥青品牌为国内外一线品牌</w:t>
      </w:r>
      <w:r>
        <w:rPr>
          <w:rFonts w:hint="eastAsia" w:ascii="宋体" w:hAnsi="宋体" w:eastAsia="宋体" w:cs="Times New Roman"/>
          <w:snapToGrid/>
          <w:color w:val="auto"/>
          <w:kern w:val="2"/>
          <w:szCs w:val="21"/>
          <w:highlight w:val="none"/>
          <w:u w:val="none"/>
          <w:lang w:eastAsia="zh-CN"/>
        </w:rPr>
        <w:t>（</w:t>
      </w:r>
      <w:r>
        <w:rPr>
          <w:rFonts w:hint="eastAsia" w:ascii="宋体" w:hAnsi="宋体" w:eastAsia="宋体" w:cs="Times New Roman"/>
          <w:snapToGrid/>
          <w:color w:val="auto"/>
          <w:kern w:val="2"/>
          <w:szCs w:val="21"/>
          <w:highlight w:val="none"/>
          <w:u w:val="none"/>
          <w:lang w:val="en-US" w:eastAsia="zh-CN"/>
        </w:rPr>
        <w:t>如</w:t>
      </w:r>
      <w:r>
        <w:rPr>
          <w:rFonts w:hint="eastAsia" w:ascii="宋体" w:hAnsi="宋体" w:eastAsia="宋体" w:cs="Times New Roman"/>
          <w:snapToGrid/>
          <w:color w:val="auto"/>
          <w:kern w:val="2"/>
          <w:szCs w:val="21"/>
          <w:highlight w:val="none"/>
          <w:u w:val="none"/>
        </w:rPr>
        <w:t>中石油、中石化、SK、壳牌、中海油</w:t>
      </w:r>
      <w:r>
        <w:rPr>
          <w:rFonts w:hint="eastAsia" w:ascii="宋体" w:hAnsi="宋体" w:eastAsia="宋体" w:cs="Times New Roman"/>
          <w:snapToGrid/>
          <w:color w:val="auto"/>
          <w:kern w:val="2"/>
          <w:szCs w:val="21"/>
          <w:highlight w:val="none"/>
          <w:u w:val="none"/>
          <w:lang w:val="en-US" w:eastAsia="zh-CN"/>
        </w:rPr>
        <w:t>等）。</w:t>
      </w:r>
    </w:p>
    <w:p w14:paraId="3C4906B6">
      <w:pPr>
        <w:snapToGrid w:val="0"/>
        <w:spacing w:line="400" w:lineRule="exact"/>
        <w:ind w:firstLineChars="200"/>
        <w:rPr>
          <w:rFonts w:hint="eastAsia" w:ascii="宋体" w:hAnsi="宋体" w:eastAsia="宋体" w:cs="Times New Roman"/>
          <w:snapToGrid/>
          <w:color w:val="auto"/>
          <w:kern w:val="2"/>
          <w:szCs w:val="21"/>
          <w:highlight w:val="none"/>
          <w:lang w:val="en-US" w:eastAsia="zh-CN"/>
        </w:rPr>
      </w:pPr>
      <w:r>
        <w:rPr>
          <w:rFonts w:hint="eastAsia" w:ascii="宋体" w:hAnsi="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val="en-US" w:eastAsia="zh-CN"/>
        </w:rPr>
        <w:t>、若为经销商，我司承诺沥青品牌需为国内外一线品牌（如中石油、中石化、SK、壳牌、中海油等），同时承诺合同签订前提供厂家授权委托书。</w:t>
      </w:r>
    </w:p>
    <w:p w14:paraId="2C681DAF">
      <w:pPr>
        <w:pStyle w:val="71"/>
        <w:rPr>
          <w:color w:val="auto"/>
          <w:highlight w:val="none"/>
        </w:rPr>
      </w:pPr>
    </w:p>
    <w:p w14:paraId="4A800C80">
      <w:pPr>
        <w:snapToGrid w:val="0"/>
        <w:spacing w:line="400" w:lineRule="exact"/>
        <w:ind w:firstLine="420" w:firstLineChars="200"/>
        <w:rPr>
          <w:rFonts w:ascii="宋体" w:hAnsi="宋体"/>
          <w:color w:val="auto"/>
          <w:szCs w:val="21"/>
          <w:highlight w:val="none"/>
        </w:rPr>
      </w:pPr>
    </w:p>
    <w:p w14:paraId="28A039E1">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6A65BC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D647B55">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448E51F9">
      <w:pPr>
        <w:widowControl/>
        <w:jc w:val="left"/>
        <w:rPr>
          <w:color w:val="auto"/>
          <w:highlight w:val="none"/>
        </w:rPr>
      </w:pPr>
      <w:r>
        <w:rPr>
          <w:color w:val="auto"/>
          <w:highlight w:val="none"/>
        </w:rPr>
        <w:br w:type="page"/>
      </w:r>
    </w:p>
    <w:p w14:paraId="002E2B3B">
      <w:pPr>
        <w:rPr>
          <w:color w:val="auto"/>
          <w:highlight w:val="none"/>
        </w:rPr>
      </w:pPr>
    </w:p>
    <w:p w14:paraId="1131B7AA">
      <w:pPr>
        <w:pStyle w:val="4"/>
        <w:spacing w:before="0" w:line="360" w:lineRule="auto"/>
        <w:jc w:val="center"/>
        <w:rPr>
          <w:rFonts w:ascii="宋体" w:hAnsi="宋体"/>
          <w:color w:val="auto"/>
          <w:highlight w:val="none"/>
        </w:rPr>
      </w:pPr>
      <w:bookmarkStart w:id="688" w:name="_Toc25487"/>
      <w:r>
        <w:rPr>
          <w:rFonts w:hint="eastAsia" w:ascii="宋体" w:hAnsi="宋体"/>
          <w:b w:val="0"/>
          <w:color w:val="auto"/>
          <w:highlight w:val="none"/>
        </w:rPr>
        <w:t>（</w:t>
      </w:r>
      <w:r>
        <w:rPr>
          <w:rFonts w:hint="eastAsia" w:ascii="宋体" w:hAnsi="宋体"/>
          <w:b w:val="0"/>
          <w:color w:val="auto"/>
          <w:highlight w:val="none"/>
          <w:lang w:val="en-US" w:eastAsia="zh-CN"/>
        </w:rPr>
        <w:t>八</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88"/>
    </w:p>
    <w:bookmarkEnd w:id="549"/>
    <w:bookmarkEnd w:id="550"/>
    <w:bookmarkEnd w:id="551"/>
    <w:p w14:paraId="385A25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14:paraId="29097E12">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7AD30A16">
      <w:pPr>
        <w:numPr>
          <w:ilvl w:val="0"/>
          <w:numId w:val="3"/>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企业基本账户开户证明文件。</w:t>
      </w:r>
    </w:p>
    <w:p w14:paraId="16D532BD">
      <w:pPr>
        <w:pStyle w:val="49"/>
        <w:numPr>
          <w:ilvl w:val="0"/>
          <w:numId w:val="3"/>
        </w:num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保证金转账凭证</w:t>
      </w:r>
    </w:p>
    <w:p w14:paraId="49D682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14:paraId="2D90E6B8">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14:paraId="7E6CF98C">
      <w:pPr>
        <w:pStyle w:val="18"/>
        <w:rPr>
          <w:rFonts w:ascii="宋体" w:hAnsi="宋体"/>
          <w:color w:val="auto"/>
          <w:szCs w:val="21"/>
          <w:highlight w:val="none"/>
        </w:rPr>
      </w:pPr>
    </w:p>
    <w:p w14:paraId="20AAC8F4">
      <w:pPr>
        <w:rPr>
          <w:rFonts w:ascii="宋体" w:hAnsi="宋体"/>
          <w:color w:val="auto"/>
          <w:szCs w:val="21"/>
          <w:highlight w:val="none"/>
        </w:rPr>
      </w:pPr>
    </w:p>
    <w:p w14:paraId="76C4CA1F">
      <w:pPr>
        <w:rPr>
          <w:rFonts w:hint="eastAsia" w:ascii="宋体" w:hAnsi="宋体"/>
          <w:b w:val="0"/>
          <w:bCs w:val="0"/>
          <w:color w:val="auto"/>
          <w:sz w:val="44"/>
          <w:szCs w:val="44"/>
          <w:highlight w:val="none"/>
          <w:lang w:val="en-US" w:eastAsia="zh-CN"/>
        </w:rPr>
      </w:pPr>
      <w:bookmarkStart w:id="689" w:name="_Toc509218853"/>
      <w:bookmarkStart w:id="690" w:name="_Toc27983320"/>
      <w:bookmarkStart w:id="691" w:name="_Toc534185830"/>
      <w:bookmarkStart w:id="692" w:name="_Toc57905917"/>
      <w:r>
        <w:rPr>
          <w:rFonts w:hint="eastAsia" w:ascii="宋体" w:hAnsi="宋体"/>
          <w:b w:val="0"/>
          <w:bCs w:val="0"/>
          <w:color w:val="auto"/>
          <w:sz w:val="44"/>
          <w:szCs w:val="44"/>
          <w:highlight w:val="none"/>
          <w:lang w:val="en-US" w:eastAsia="zh-CN"/>
        </w:rPr>
        <w:br w:type="page"/>
      </w:r>
    </w:p>
    <w:bookmarkEnd w:id="689"/>
    <w:bookmarkEnd w:id="690"/>
    <w:bookmarkEnd w:id="691"/>
    <w:bookmarkEnd w:id="692"/>
    <w:p w14:paraId="2630B399">
      <w:pPr>
        <w:rPr>
          <w:color w:val="auto"/>
          <w:highlight w:val="none"/>
        </w:rPr>
      </w:pPr>
    </w:p>
    <w:sectPr>
      <w:headerReference r:id="rId9" w:type="default"/>
      <w:footerReference r:id="rId10"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A10C847-CF4E-4153-9692-CCBDEDBB3A9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3E03E89-7086-499A-84D4-CD866E9928CE}"/>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3" w:fontKey="{874B324B-3C11-4D99-8AB5-5966A15CF1AA}"/>
  </w:font>
  <w:font w:name="Wingdings 2">
    <w:panose1 w:val="05020102010507070707"/>
    <w:charset w:val="00"/>
    <w:family w:val="auto"/>
    <w:pitch w:val="default"/>
    <w:sig w:usb0="00000000" w:usb1="00000000" w:usb2="00000000" w:usb3="00000000" w:csb0="80000000" w:csb1="00000000"/>
    <w:embedRegular r:id="rId4" w:fontKey="{759C922B-7ADB-4C49-BD06-7202C1D17643}"/>
  </w:font>
  <w:font w:name="等线">
    <w:panose1 w:val="02010600030101010101"/>
    <w:charset w:val="86"/>
    <w:family w:val="auto"/>
    <w:pitch w:val="default"/>
    <w:sig w:usb0="A00002BF" w:usb1="38CF7CFA" w:usb2="00000016" w:usb3="00000000" w:csb0="0004000F" w:csb1="00000000"/>
    <w:embedRegular r:id="rId5" w:fontKey="{645BC118-EC83-40EF-997B-D1CB7040DE98}"/>
  </w:font>
  <w:font w:name="Microsoft JhengHei">
    <w:panose1 w:val="020B0604030504040204"/>
    <w:charset w:val="88"/>
    <w:family w:val="swiss"/>
    <w:pitch w:val="default"/>
    <w:sig w:usb0="000002A7" w:usb1="28CF4400" w:usb2="00000016" w:usb3="00000000" w:csb0="00100009" w:csb1="00000000"/>
    <w:embedRegular r:id="rId6" w:fontKey="{7A0A4058-48C0-4023-833E-08BB0BCD7067}"/>
  </w:font>
  <w:font w:name="方正小标宋_GBK">
    <w:panose1 w:val="02000000000000000000"/>
    <w:charset w:val="86"/>
    <w:family w:val="auto"/>
    <w:pitch w:val="default"/>
    <w:sig w:usb0="A00002BF" w:usb1="38CF7CFA" w:usb2="00082016" w:usb3="00000000" w:csb0="00040001" w:csb1="00000000"/>
    <w:embedRegular r:id="rId7" w:fontKey="{E21C52AB-9BF5-4894-9792-70756B46079A}"/>
  </w:font>
  <w:font w:name="方正仿宋_GBK">
    <w:panose1 w:val="02000000000000000000"/>
    <w:charset w:val="86"/>
    <w:family w:val="auto"/>
    <w:pitch w:val="default"/>
    <w:sig w:usb0="A00002BF" w:usb1="38CF7CFA" w:usb2="00082016" w:usb3="00000000" w:csb0="00040001" w:csb1="00000000"/>
    <w:embedRegular r:id="rId8" w:fontKey="{3F6998B9-FBDF-402A-B9FE-0569C5C314C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F07A">
    <w:pPr>
      <w:pStyle w:val="32"/>
      <w:jc w:val="center"/>
    </w:pPr>
    <w:r>
      <w:t xml:space="preserve">- </w:t>
    </w:r>
    <w:r>
      <w:fldChar w:fldCharType="begin"/>
    </w:r>
    <w:r>
      <w:instrText xml:space="preserve"> PAGE </w:instrText>
    </w:r>
    <w:r>
      <w:fldChar w:fldCharType="separate"/>
    </w:r>
    <w:r>
      <w:t>39</w:t>
    </w:r>
    <w:r>
      <w:fldChar w:fldCharType="end"/>
    </w:r>
    <w:r>
      <w:t xml:space="preserve"> -</w:t>
    </w:r>
  </w:p>
  <w:p w14:paraId="37A7DDFA">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F60A">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72F4DD37">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11FE">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3093">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67937BA7">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08B7">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5132">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29BA">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C121">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ZmOTFkNGNmNzkzMThlMmZlOGQ1ZGE2MzQ5NDU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704AC1"/>
    <w:rsid w:val="027B37D5"/>
    <w:rsid w:val="029702A0"/>
    <w:rsid w:val="02C73591"/>
    <w:rsid w:val="02D45050"/>
    <w:rsid w:val="02ED4FDE"/>
    <w:rsid w:val="03356DF3"/>
    <w:rsid w:val="034A3347"/>
    <w:rsid w:val="0359522B"/>
    <w:rsid w:val="036B1328"/>
    <w:rsid w:val="036C648D"/>
    <w:rsid w:val="0431202E"/>
    <w:rsid w:val="043B10FF"/>
    <w:rsid w:val="046049E6"/>
    <w:rsid w:val="04A44EF6"/>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908B8"/>
    <w:rsid w:val="09B438AC"/>
    <w:rsid w:val="09C97ECC"/>
    <w:rsid w:val="09D848E1"/>
    <w:rsid w:val="09DE4A07"/>
    <w:rsid w:val="09E53275"/>
    <w:rsid w:val="09ED20D4"/>
    <w:rsid w:val="09FF1FA9"/>
    <w:rsid w:val="0A0302D4"/>
    <w:rsid w:val="0A3347DF"/>
    <w:rsid w:val="0A924382"/>
    <w:rsid w:val="0AC42474"/>
    <w:rsid w:val="0AC57974"/>
    <w:rsid w:val="0AE71698"/>
    <w:rsid w:val="0AF1029B"/>
    <w:rsid w:val="0B0D79F0"/>
    <w:rsid w:val="0B12559A"/>
    <w:rsid w:val="0B2C1046"/>
    <w:rsid w:val="0B7E4269"/>
    <w:rsid w:val="0BBD25F8"/>
    <w:rsid w:val="0C3E7B88"/>
    <w:rsid w:val="0C986A1D"/>
    <w:rsid w:val="0CB71B13"/>
    <w:rsid w:val="0CEB41D3"/>
    <w:rsid w:val="0CF672AA"/>
    <w:rsid w:val="0CFC2FB8"/>
    <w:rsid w:val="0D101037"/>
    <w:rsid w:val="0D755621"/>
    <w:rsid w:val="0D7D6DF4"/>
    <w:rsid w:val="0DC12675"/>
    <w:rsid w:val="0DD94183"/>
    <w:rsid w:val="0E26697C"/>
    <w:rsid w:val="0E5C1004"/>
    <w:rsid w:val="0E772D33"/>
    <w:rsid w:val="0E96024B"/>
    <w:rsid w:val="0EB84C8D"/>
    <w:rsid w:val="0EC93980"/>
    <w:rsid w:val="0ED140CD"/>
    <w:rsid w:val="0EEE56EB"/>
    <w:rsid w:val="0F0E3698"/>
    <w:rsid w:val="0F182768"/>
    <w:rsid w:val="0F433308"/>
    <w:rsid w:val="0F5B2655"/>
    <w:rsid w:val="0F655282"/>
    <w:rsid w:val="0F7756E1"/>
    <w:rsid w:val="0F781459"/>
    <w:rsid w:val="0FC65D20"/>
    <w:rsid w:val="0FF25A15"/>
    <w:rsid w:val="0FFA71A6"/>
    <w:rsid w:val="10221450"/>
    <w:rsid w:val="102A2753"/>
    <w:rsid w:val="1095419E"/>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64975"/>
    <w:rsid w:val="13194C36"/>
    <w:rsid w:val="13250FB0"/>
    <w:rsid w:val="13421B62"/>
    <w:rsid w:val="13453400"/>
    <w:rsid w:val="138963C8"/>
    <w:rsid w:val="13A41672"/>
    <w:rsid w:val="13C06F2A"/>
    <w:rsid w:val="13F667B4"/>
    <w:rsid w:val="142851FC"/>
    <w:rsid w:val="14575AE1"/>
    <w:rsid w:val="146E4BD8"/>
    <w:rsid w:val="14B724B2"/>
    <w:rsid w:val="14C61C6E"/>
    <w:rsid w:val="15076514"/>
    <w:rsid w:val="151F7675"/>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C5003"/>
    <w:rsid w:val="176302F9"/>
    <w:rsid w:val="176E7480"/>
    <w:rsid w:val="17B772AD"/>
    <w:rsid w:val="17EE22B8"/>
    <w:rsid w:val="18194E5B"/>
    <w:rsid w:val="183D3240"/>
    <w:rsid w:val="18406847"/>
    <w:rsid w:val="18496BF1"/>
    <w:rsid w:val="1856054F"/>
    <w:rsid w:val="18591DB3"/>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E617B0"/>
    <w:rsid w:val="1CE9582B"/>
    <w:rsid w:val="1CEB7EA9"/>
    <w:rsid w:val="1CF218F5"/>
    <w:rsid w:val="1D152095"/>
    <w:rsid w:val="1D1E6FFA"/>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2E2E47"/>
    <w:rsid w:val="1F4A6F63"/>
    <w:rsid w:val="1F5144D6"/>
    <w:rsid w:val="1F525822"/>
    <w:rsid w:val="1F8D23B7"/>
    <w:rsid w:val="1FB43DE7"/>
    <w:rsid w:val="1FDD28E5"/>
    <w:rsid w:val="20062169"/>
    <w:rsid w:val="20631369"/>
    <w:rsid w:val="20796DDF"/>
    <w:rsid w:val="207970FB"/>
    <w:rsid w:val="20831A0C"/>
    <w:rsid w:val="208458FE"/>
    <w:rsid w:val="20905657"/>
    <w:rsid w:val="209B0B03"/>
    <w:rsid w:val="20CE5014"/>
    <w:rsid w:val="20EF26A6"/>
    <w:rsid w:val="21175A69"/>
    <w:rsid w:val="215C4736"/>
    <w:rsid w:val="219F0AC7"/>
    <w:rsid w:val="21B005DE"/>
    <w:rsid w:val="224F429B"/>
    <w:rsid w:val="226A0903"/>
    <w:rsid w:val="228F28EA"/>
    <w:rsid w:val="22A7378F"/>
    <w:rsid w:val="22AB307D"/>
    <w:rsid w:val="22D327D6"/>
    <w:rsid w:val="22D33E08"/>
    <w:rsid w:val="22FF7BB1"/>
    <w:rsid w:val="23156AA1"/>
    <w:rsid w:val="2319695C"/>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B77ED6"/>
    <w:rsid w:val="250A44A9"/>
    <w:rsid w:val="253357AE"/>
    <w:rsid w:val="25440C67"/>
    <w:rsid w:val="254E7B1D"/>
    <w:rsid w:val="25587450"/>
    <w:rsid w:val="257C53A7"/>
    <w:rsid w:val="25845748"/>
    <w:rsid w:val="25873F58"/>
    <w:rsid w:val="25B20DC9"/>
    <w:rsid w:val="25CB2FB1"/>
    <w:rsid w:val="25E62821"/>
    <w:rsid w:val="25FC3DF2"/>
    <w:rsid w:val="260F1500"/>
    <w:rsid w:val="2614570C"/>
    <w:rsid w:val="266176D6"/>
    <w:rsid w:val="26B20955"/>
    <w:rsid w:val="26ED7BDF"/>
    <w:rsid w:val="27012A0B"/>
    <w:rsid w:val="271678F5"/>
    <w:rsid w:val="27840543"/>
    <w:rsid w:val="27914D3A"/>
    <w:rsid w:val="27A6429D"/>
    <w:rsid w:val="28100029"/>
    <w:rsid w:val="28520641"/>
    <w:rsid w:val="28553C8E"/>
    <w:rsid w:val="285A233E"/>
    <w:rsid w:val="287405B8"/>
    <w:rsid w:val="28895B8E"/>
    <w:rsid w:val="288A1B89"/>
    <w:rsid w:val="289F315B"/>
    <w:rsid w:val="28AE0255"/>
    <w:rsid w:val="28C80903"/>
    <w:rsid w:val="28CD0E0B"/>
    <w:rsid w:val="28F416F8"/>
    <w:rsid w:val="28F60FCD"/>
    <w:rsid w:val="29257B04"/>
    <w:rsid w:val="29326457"/>
    <w:rsid w:val="293B7327"/>
    <w:rsid w:val="29630A8C"/>
    <w:rsid w:val="297350C5"/>
    <w:rsid w:val="29791BFE"/>
    <w:rsid w:val="298B77C1"/>
    <w:rsid w:val="29AA0E8A"/>
    <w:rsid w:val="29B61260"/>
    <w:rsid w:val="2AA850FE"/>
    <w:rsid w:val="2AB721F8"/>
    <w:rsid w:val="2ABE3D6C"/>
    <w:rsid w:val="2B0674C1"/>
    <w:rsid w:val="2B28694F"/>
    <w:rsid w:val="2B442E87"/>
    <w:rsid w:val="2B5926E0"/>
    <w:rsid w:val="2B6C165D"/>
    <w:rsid w:val="2B7C58B9"/>
    <w:rsid w:val="2BA2019D"/>
    <w:rsid w:val="2BB92785"/>
    <w:rsid w:val="2BC26B64"/>
    <w:rsid w:val="2C1A1CAD"/>
    <w:rsid w:val="2C9F3729"/>
    <w:rsid w:val="2CF3147F"/>
    <w:rsid w:val="2D1063D5"/>
    <w:rsid w:val="2D2337CE"/>
    <w:rsid w:val="2D27472A"/>
    <w:rsid w:val="2D856DC3"/>
    <w:rsid w:val="2DA336ED"/>
    <w:rsid w:val="2DAA3A50"/>
    <w:rsid w:val="2DFF6F55"/>
    <w:rsid w:val="2E3031D3"/>
    <w:rsid w:val="2E5F7614"/>
    <w:rsid w:val="2E954DE4"/>
    <w:rsid w:val="2EA6225A"/>
    <w:rsid w:val="2ED83151"/>
    <w:rsid w:val="2EE44DA7"/>
    <w:rsid w:val="2F063F34"/>
    <w:rsid w:val="2F9D28F7"/>
    <w:rsid w:val="2FB27C17"/>
    <w:rsid w:val="2FC33BD3"/>
    <w:rsid w:val="2FF27434"/>
    <w:rsid w:val="30112802"/>
    <w:rsid w:val="30234671"/>
    <w:rsid w:val="30347DA4"/>
    <w:rsid w:val="303D5733"/>
    <w:rsid w:val="3059692A"/>
    <w:rsid w:val="3079709D"/>
    <w:rsid w:val="308E7BCC"/>
    <w:rsid w:val="30D51E0F"/>
    <w:rsid w:val="30D53BBD"/>
    <w:rsid w:val="30EC0F07"/>
    <w:rsid w:val="30F5563F"/>
    <w:rsid w:val="30FF126C"/>
    <w:rsid w:val="312F6D42"/>
    <w:rsid w:val="314F3970"/>
    <w:rsid w:val="316B4522"/>
    <w:rsid w:val="31927806"/>
    <w:rsid w:val="31975317"/>
    <w:rsid w:val="31BD1DE4"/>
    <w:rsid w:val="31CA1248"/>
    <w:rsid w:val="31ED4DB8"/>
    <w:rsid w:val="31ED4F37"/>
    <w:rsid w:val="321C3675"/>
    <w:rsid w:val="32696CB3"/>
    <w:rsid w:val="327921DC"/>
    <w:rsid w:val="32DE7134"/>
    <w:rsid w:val="32F32A21"/>
    <w:rsid w:val="331F3816"/>
    <w:rsid w:val="333F6333"/>
    <w:rsid w:val="33615BDC"/>
    <w:rsid w:val="339F245D"/>
    <w:rsid w:val="33CF1C6D"/>
    <w:rsid w:val="33DC5263"/>
    <w:rsid w:val="340E0074"/>
    <w:rsid w:val="343155AF"/>
    <w:rsid w:val="346516EC"/>
    <w:rsid w:val="34710550"/>
    <w:rsid w:val="3493014C"/>
    <w:rsid w:val="349B0722"/>
    <w:rsid w:val="349D0E96"/>
    <w:rsid w:val="34A56435"/>
    <w:rsid w:val="34AC78AD"/>
    <w:rsid w:val="34AF1EA4"/>
    <w:rsid w:val="34CE04B2"/>
    <w:rsid w:val="34DC2E19"/>
    <w:rsid w:val="34F915D9"/>
    <w:rsid w:val="35150A2C"/>
    <w:rsid w:val="353B0B1D"/>
    <w:rsid w:val="353C245D"/>
    <w:rsid w:val="354B26A0"/>
    <w:rsid w:val="35780FBB"/>
    <w:rsid w:val="35814314"/>
    <w:rsid w:val="35AD335B"/>
    <w:rsid w:val="35D4302E"/>
    <w:rsid w:val="364B4675"/>
    <w:rsid w:val="364E1F79"/>
    <w:rsid w:val="365227E1"/>
    <w:rsid w:val="367C1490"/>
    <w:rsid w:val="368D7B3B"/>
    <w:rsid w:val="36946B89"/>
    <w:rsid w:val="36985DB9"/>
    <w:rsid w:val="369B7657"/>
    <w:rsid w:val="36AB24C2"/>
    <w:rsid w:val="36C06910"/>
    <w:rsid w:val="36D82ED9"/>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B12FA"/>
    <w:rsid w:val="39037EDB"/>
    <w:rsid w:val="39132EC3"/>
    <w:rsid w:val="393B2A2C"/>
    <w:rsid w:val="39677CC5"/>
    <w:rsid w:val="399F6627"/>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FB7870"/>
    <w:rsid w:val="3C027E20"/>
    <w:rsid w:val="3C0E4427"/>
    <w:rsid w:val="3C277297"/>
    <w:rsid w:val="3C8D0D8F"/>
    <w:rsid w:val="3CDD09B4"/>
    <w:rsid w:val="3D2F0AF9"/>
    <w:rsid w:val="3D45031D"/>
    <w:rsid w:val="3D6469F5"/>
    <w:rsid w:val="3D65276D"/>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222518C"/>
    <w:rsid w:val="42424E2B"/>
    <w:rsid w:val="424B6DD5"/>
    <w:rsid w:val="42772D26"/>
    <w:rsid w:val="428E5B40"/>
    <w:rsid w:val="429B5C06"/>
    <w:rsid w:val="42B10760"/>
    <w:rsid w:val="42B1476A"/>
    <w:rsid w:val="42E12896"/>
    <w:rsid w:val="42E45961"/>
    <w:rsid w:val="432D1637"/>
    <w:rsid w:val="43616E3D"/>
    <w:rsid w:val="436C03B1"/>
    <w:rsid w:val="437152C3"/>
    <w:rsid w:val="438D20D6"/>
    <w:rsid w:val="43A247AA"/>
    <w:rsid w:val="43AD1D66"/>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550785F"/>
    <w:rsid w:val="45730A88"/>
    <w:rsid w:val="45CC1560"/>
    <w:rsid w:val="45E36925"/>
    <w:rsid w:val="460C5E7C"/>
    <w:rsid w:val="46167423"/>
    <w:rsid w:val="4622553B"/>
    <w:rsid w:val="467F44A7"/>
    <w:rsid w:val="468D39EA"/>
    <w:rsid w:val="46BB51AC"/>
    <w:rsid w:val="46DF0E9A"/>
    <w:rsid w:val="46F34946"/>
    <w:rsid w:val="470152B5"/>
    <w:rsid w:val="47046143"/>
    <w:rsid w:val="47282017"/>
    <w:rsid w:val="47422BE1"/>
    <w:rsid w:val="479559FD"/>
    <w:rsid w:val="47F941DE"/>
    <w:rsid w:val="483F42E6"/>
    <w:rsid w:val="48514393"/>
    <w:rsid w:val="48657AC5"/>
    <w:rsid w:val="488066AD"/>
    <w:rsid w:val="48897310"/>
    <w:rsid w:val="48976630"/>
    <w:rsid w:val="489D01C2"/>
    <w:rsid w:val="48A1490F"/>
    <w:rsid w:val="48AC1740"/>
    <w:rsid w:val="48AF2D06"/>
    <w:rsid w:val="48BA396D"/>
    <w:rsid w:val="48E46C3C"/>
    <w:rsid w:val="48F149CF"/>
    <w:rsid w:val="48F232BB"/>
    <w:rsid w:val="49150762"/>
    <w:rsid w:val="492C413F"/>
    <w:rsid w:val="49B320C7"/>
    <w:rsid w:val="49BA7872"/>
    <w:rsid w:val="49D51330"/>
    <w:rsid w:val="4A0330F2"/>
    <w:rsid w:val="4A283849"/>
    <w:rsid w:val="4A5E2A1E"/>
    <w:rsid w:val="4A631DE2"/>
    <w:rsid w:val="4A7D4C52"/>
    <w:rsid w:val="4AA04DE4"/>
    <w:rsid w:val="4AB47748"/>
    <w:rsid w:val="4AB47DCB"/>
    <w:rsid w:val="4ADB1EDB"/>
    <w:rsid w:val="4AE271AB"/>
    <w:rsid w:val="4AEC5E6C"/>
    <w:rsid w:val="4AF13892"/>
    <w:rsid w:val="4B102BAE"/>
    <w:rsid w:val="4B571947"/>
    <w:rsid w:val="4B5F25AA"/>
    <w:rsid w:val="4B6D116B"/>
    <w:rsid w:val="4B7047B7"/>
    <w:rsid w:val="4B8F50E2"/>
    <w:rsid w:val="4BA95F1B"/>
    <w:rsid w:val="4BC03C90"/>
    <w:rsid w:val="4BC0573E"/>
    <w:rsid w:val="4BDB529B"/>
    <w:rsid w:val="4BF7490B"/>
    <w:rsid w:val="4C3C7499"/>
    <w:rsid w:val="4C8A5D4C"/>
    <w:rsid w:val="4C8D3147"/>
    <w:rsid w:val="4C940979"/>
    <w:rsid w:val="4C9D5A7F"/>
    <w:rsid w:val="4C9D782D"/>
    <w:rsid w:val="4CC4300C"/>
    <w:rsid w:val="4CF47989"/>
    <w:rsid w:val="4CF907DC"/>
    <w:rsid w:val="4D242140"/>
    <w:rsid w:val="4D587BF8"/>
    <w:rsid w:val="4D5A3656"/>
    <w:rsid w:val="4D6B3488"/>
    <w:rsid w:val="4DF44835"/>
    <w:rsid w:val="4E1F4272"/>
    <w:rsid w:val="4E2C3F20"/>
    <w:rsid w:val="4E467A51"/>
    <w:rsid w:val="4E5C4F50"/>
    <w:rsid w:val="4E8E5624"/>
    <w:rsid w:val="4E9D4FF6"/>
    <w:rsid w:val="4EA4578E"/>
    <w:rsid w:val="4ED660C1"/>
    <w:rsid w:val="4EF34375"/>
    <w:rsid w:val="4F275AD4"/>
    <w:rsid w:val="4F3F2E1E"/>
    <w:rsid w:val="4F4D1EFF"/>
    <w:rsid w:val="4F563CC4"/>
    <w:rsid w:val="4F5F72FE"/>
    <w:rsid w:val="4F6C1739"/>
    <w:rsid w:val="4F9F2A47"/>
    <w:rsid w:val="4FAA1984"/>
    <w:rsid w:val="4FB23760"/>
    <w:rsid w:val="4FBD16C8"/>
    <w:rsid w:val="50003008"/>
    <w:rsid w:val="50036DF3"/>
    <w:rsid w:val="503C7352"/>
    <w:rsid w:val="505E5526"/>
    <w:rsid w:val="50821593"/>
    <w:rsid w:val="50C30C4C"/>
    <w:rsid w:val="50E64646"/>
    <w:rsid w:val="510D2AA8"/>
    <w:rsid w:val="51387B25"/>
    <w:rsid w:val="51937451"/>
    <w:rsid w:val="51BB2504"/>
    <w:rsid w:val="51DF494F"/>
    <w:rsid w:val="51E754ED"/>
    <w:rsid w:val="51F85506"/>
    <w:rsid w:val="51FD48CA"/>
    <w:rsid w:val="521535AD"/>
    <w:rsid w:val="521D586D"/>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534C76"/>
    <w:rsid w:val="545D5AF4"/>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462CE4"/>
    <w:rsid w:val="56CB0A2B"/>
    <w:rsid w:val="56D5229D"/>
    <w:rsid w:val="56FE5351"/>
    <w:rsid w:val="57204F99"/>
    <w:rsid w:val="572648C3"/>
    <w:rsid w:val="57366BC0"/>
    <w:rsid w:val="57476D14"/>
    <w:rsid w:val="57631674"/>
    <w:rsid w:val="57672F12"/>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311C62"/>
    <w:rsid w:val="59383241"/>
    <w:rsid w:val="594A6647"/>
    <w:rsid w:val="59664C29"/>
    <w:rsid w:val="597F650C"/>
    <w:rsid w:val="59AA358A"/>
    <w:rsid w:val="5A0A2FAF"/>
    <w:rsid w:val="5A1E1882"/>
    <w:rsid w:val="5A2413B5"/>
    <w:rsid w:val="5A514310"/>
    <w:rsid w:val="5A7616BE"/>
    <w:rsid w:val="5A7871E4"/>
    <w:rsid w:val="5A8E07B6"/>
    <w:rsid w:val="5AAB5372"/>
    <w:rsid w:val="5AB07EC4"/>
    <w:rsid w:val="5B022F52"/>
    <w:rsid w:val="5B1E7D8B"/>
    <w:rsid w:val="5BEC7116"/>
    <w:rsid w:val="5BF07B73"/>
    <w:rsid w:val="5BF22FC6"/>
    <w:rsid w:val="5BF240B3"/>
    <w:rsid w:val="5BFE2A26"/>
    <w:rsid w:val="5C4E46A0"/>
    <w:rsid w:val="5C72639D"/>
    <w:rsid w:val="5C82434A"/>
    <w:rsid w:val="5C827239"/>
    <w:rsid w:val="5C853E3A"/>
    <w:rsid w:val="5C8956D8"/>
    <w:rsid w:val="5CD8555F"/>
    <w:rsid w:val="5CF240F8"/>
    <w:rsid w:val="5CFD6DDC"/>
    <w:rsid w:val="5D9E5209"/>
    <w:rsid w:val="5DC65CED"/>
    <w:rsid w:val="5E0314BA"/>
    <w:rsid w:val="5E0837DD"/>
    <w:rsid w:val="5E0A2849"/>
    <w:rsid w:val="5E3735CA"/>
    <w:rsid w:val="5E4749DA"/>
    <w:rsid w:val="5E5D237F"/>
    <w:rsid w:val="5E5D506F"/>
    <w:rsid w:val="5E79352B"/>
    <w:rsid w:val="5E937F8B"/>
    <w:rsid w:val="5E9B5B97"/>
    <w:rsid w:val="5EA23B64"/>
    <w:rsid w:val="5ECA6A83"/>
    <w:rsid w:val="5ECB022A"/>
    <w:rsid w:val="5EF4396B"/>
    <w:rsid w:val="5EFD23AE"/>
    <w:rsid w:val="5F010070"/>
    <w:rsid w:val="5F105C3D"/>
    <w:rsid w:val="5F2416E8"/>
    <w:rsid w:val="5F2913F5"/>
    <w:rsid w:val="5F2B7CAD"/>
    <w:rsid w:val="5F831334"/>
    <w:rsid w:val="5F97010C"/>
    <w:rsid w:val="5FB32C8F"/>
    <w:rsid w:val="5FB707AE"/>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624B"/>
    <w:rsid w:val="61B220EC"/>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6D7E19"/>
    <w:rsid w:val="66730AB2"/>
    <w:rsid w:val="66741E8A"/>
    <w:rsid w:val="66972C7C"/>
    <w:rsid w:val="669D17DE"/>
    <w:rsid w:val="66CD4D5B"/>
    <w:rsid w:val="67023C27"/>
    <w:rsid w:val="67057615"/>
    <w:rsid w:val="67191D4F"/>
    <w:rsid w:val="672E75A8"/>
    <w:rsid w:val="673222E0"/>
    <w:rsid w:val="67600C28"/>
    <w:rsid w:val="6784366C"/>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2B7D65"/>
    <w:rsid w:val="692E3608"/>
    <w:rsid w:val="69665C88"/>
    <w:rsid w:val="699252C4"/>
    <w:rsid w:val="69D837FB"/>
    <w:rsid w:val="69DA6A67"/>
    <w:rsid w:val="69E06B54"/>
    <w:rsid w:val="69F900CD"/>
    <w:rsid w:val="6A18009C"/>
    <w:rsid w:val="6A3053E5"/>
    <w:rsid w:val="6A3F7D1E"/>
    <w:rsid w:val="6A4C5F97"/>
    <w:rsid w:val="6A5A6906"/>
    <w:rsid w:val="6A613EE9"/>
    <w:rsid w:val="6A9C3978"/>
    <w:rsid w:val="6AFE7291"/>
    <w:rsid w:val="6AFF300A"/>
    <w:rsid w:val="6B0C7DAB"/>
    <w:rsid w:val="6B4F5D3F"/>
    <w:rsid w:val="6B653650"/>
    <w:rsid w:val="6B9B0F84"/>
    <w:rsid w:val="6BB04E38"/>
    <w:rsid w:val="6BD83F86"/>
    <w:rsid w:val="6BFA214F"/>
    <w:rsid w:val="6C2471CC"/>
    <w:rsid w:val="6C3640A1"/>
    <w:rsid w:val="6C6F1216"/>
    <w:rsid w:val="6C735A5D"/>
    <w:rsid w:val="6C862716"/>
    <w:rsid w:val="6CA9218A"/>
    <w:rsid w:val="6CB247D7"/>
    <w:rsid w:val="6CD209D6"/>
    <w:rsid w:val="6CD7423E"/>
    <w:rsid w:val="6D0D1A0E"/>
    <w:rsid w:val="6D1F7E14"/>
    <w:rsid w:val="6D2B71ED"/>
    <w:rsid w:val="6D4C3D11"/>
    <w:rsid w:val="6DA73C10"/>
    <w:rsid w:val="6DDC061E"/>
    <w:rsid w:val="6E0C4A6A"/>
    <w:rsid w:val="6E2A055C"/>
    <w:rsid w:val="6E5042A8"/>
    <w:rsid w:val="6E731D44"/>
    <w:rsid w:val="6E7F693B"/>
    <w:rsid w:val="6F027A08"/>
    <w:rsid w:val="6F165703"/>
    <w:rsid w:val="6FA05DD8"/>
    <w:rsid w:val="6FBC31E7"/>
    <w:rsid w:val="702B57EE"/>
    <w:rsid w:val="7060454A"/>
    <w:rsid w:val="706A7177"/>
    <w:rsid w:val="70763D6E"/>
    <w:rsid w:val="708B68E7"/>
    <w:rsid w:val="708E2E66"/>
    <w:rsid w:val="709C4221"/>
    <w:rsid w:val="70DD1A5F"/>
    <w:rsid w:val="70FF1FB5"/>
    <w:rsid w:val="71116929"/>
    <w:rsid w:val="711E5D51"/>
    <w:rsid w:val="715D222B"/>
    <w:rsid w:val="71663DE2"/>
    <w:rsid w:val="71890614"/>
    <w:rsid w:val="7195514E"/>
    <w:rsid w:val="71C45EE3"/>
    <w:rsid w:val="71CF7BDA"/>
    <w:rsid w:val="71F904B7"/>
    <w:rsid w:val="722F0678"/>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6004806"/>
    <w:rsid w:val="761C449D"/>
    <w:rsid w:val="76326989"/>
    <w:rsid w:val="76865022"/>
    <w:rsid w:val="76D23B71"/>
    <w:rsid w:val="76F37914"/>
    <w:rsid w:val="770737D2"/>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C42EA"/>
    <w:rsid w:val="78803B86"/>
    <w:rsid w:val="78E0447A"/>
    <w:rsid w:val="78EB40C0"/>
    <w:rsid w:val="79637CEE"/>
    <w:rsid w:val="79674733"/>
    <w:rsid w:val="79711576"/>
    <w:rsid w:val="79D55FA9"/>
    <w:rsid w:val="7A0D29B9"/>
    <w:rsid w:val="7A3031E0"/>
    <w:rsid w:val="7AAC661B"/>
    <w:rsid w:val="7AC322A6"/>
    <w:rsid w:val="7AD7365B"/>
    <w:rsid w:val="7AF04D73"/>
    <w:rsid w:val="7B1E05B8"/>
    <w:rsid w:val="7B3F2EF0"/>
    <w:rsid w:val="7B6150A8"/>
    <w:rsid w:val="7BBE469C"/>
    <w:rsid w:val="7BE02769"/>
    <w:rsid w:val="7C0004DA"/>
    <w:rsid w:val="7C32323F"/>
    <w:rsid w:val="7C4F2043"/>
    <w:rsid w:val="7CB974BC"/>
    <w:rsid w:val="7CED53B8"/>
    <w:rsid w:val="7CFE1373"/>
    <w:rsid w:val="7D731FEC"/>
    <w:rsid w:val="7E521976"/>
    <w:rsid w:val="7E6873EC"/>
    <w:rsid w:val="7E7523DA"/>
    <w:rsid w:val="7E7A0ECD"/>
    <w:rsid w:val="7E9C7095"/>
    <w:rsid w:val="7EA71A11"/>
    <w:rsid w:val="7EB3390B"/>
    <w:rsid w:val="7EB65E72"/>
    <w:rsid w:val="7EBF4B3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73"/>
    <w:qFormat/>
    <w:uiPriority w:val="0"/>
    <w:pPr>
      <w:keepNext/>
      <w:keepLines/>
      <w:spacing w:before="260" w:after="260" w:line="416" w:lineRule="auto"/>
      <w:outlineLvl w:val="2"/>
    </w:pPr>
    <w:rPr>
      <w:b/>
      <w:bCs/>
      <w:sz w:val="32"/>
      <w:szCs w:val="32"/>
    </w:rPr>
  </w:style>
  <w:style w:type="paragraph" w:styleId="5">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76"/>
    <w:qFormat/>
    <w:uiPriority w:val="0"/>
    <w:pPr>
      <w:keepNext/>
      <w:keepLines/>
      <w:ind w:firstLine="200" w:firstLineChars="200"/>
      <w:outlineLvl w:val="5"/>
    </w:pPr>
    <w:rPr>
      <w:rFonts w:hAnsi="Arial"/>
    </w:rPr>
  </w:style>
  <w:style w:type="paragraph" w:styleId="9">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81"/>
    <w:qFormat/>
    <w:uiPriority w:val="0"/>
    <w:pPr>
      <w:shd w:val="clear" w:color="auto" w:fill="000080"/>
    </w:pPr>
  </w:style>
  <w:style w:type="paragraph" w:styleId="16">
    <w:name w:val="annotation text"/>
    <w:basedOn w:val="1"/>
    <w:link w:val="82"/>
    <w:qFormat/>
    <w:uiPriority w:val="0"/>
    <w:pPr>
      <w:jc w:val="left"/>
    </w:pPr>
  </w:style>
  <w:style w:type="paragraph" w:styleId="17">
    <w:name w:val="Body Text 3"/>
    <w:basedOn w:val="1"/>
    <w:link w:val="83"/>
    <w:qFormat/>
    <w:uiPriority w:val="0"/>
    <w:pPr>
      <w:spacing w:after="120"/>
    </w:pPr>
    <w:rPr>
      <w:sz w:val="16"/>
      <w:szCs w:val="16"/>
    </w:rPr>
  </w:style>
  <w:style w:type="paragraph" w:styleId="18">
    <w:name w:val="Body Text"/>
    <w:basedOn w:val="1"/>
    <w:next w:val="1"/>
    <w:link w:val="80"/>
    <w:qFormat/>
    <w:uiPriority w:val="0"/>
    <w:pPr>
      <w:spacing w:after="120"/>
    </w:p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4"/>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5"/>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6"/>
    <w:qFormat/>
    <w:uiPriority w:val="0"/>
    <w:pPr>
      <w:ind w:left="100" w:leftChars="2500"/>
    </w:pPr>
  </w:style>
  <w:style w:type="paragraph" w:styleId="28">
    <w:name w:val="Body Text Indent 2"/>
    <w:basedOn w:val="29"/>
    <w:next w:val="29"/>
    <w:link w:val="87"/>
    <w:qFormat/>
    <w:uiPriority w:val="0"/>
    <w:pPr>
      <w:widowControl/>
      <w:spacing w:line="480" w:lineRule="auto"/>
      <w:ind w:firstLine="560"/>
      <w:jc w:val="left"/>
    </w:pPr>
    <w:rPr>
      <w:kern w:val="0"/>
      <w:sz w:val="28"/>
    </w:rPr>
  </w:style>
  <w:style w:type="paragraph" w:customStyle="1" w:styleId="2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0">
    <w:name w:val="endnote text"/>
    <w:basedOn w:val="1"/>
    <w:link w:val="88"/>
    <w:qFormat/>
    <w:uiPriority w:val="0"/>
    <w:pPr>
      <w:widowControl/>
      <w:snapToGrid w:val="0"/>
      <w:jc w:val="left"/>
    </w:pPr>
    <w:rPr>
      <w:rFonts w:ascii="Arial" w:hAnsi="Arial" w:cs="Arial"/>
      <w:kern w:val="0"/>
      <w:sz w:val="20"/>
      <w:lang w:eastAsia="en-US"/>
    </w:rPr>
  </w:style>
  <w:style w:type="paragraph" w:styleId="31">
    <w:name w:val="Balloon Text"/>
    <w:basedOn w:val="1"/>
    <w:link w:val="89"/>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5"/>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2"/>
    <w:qFormat/>
    <w:uiPriority w:val="0"/>
    <w:pPr>
      <w:widowControl/>
      <w:jc w:val="center"/>
    </w:pPr>
    <w:rPr>
      <w:kern w:val="0"/>
      <w:sz w:val="20"/>
      <w:u w:val="single"/>
      <w:lang w:eastAsia="en-US"/>
    </w:rPr>
  </w:style>
  <w:style w:type="paragraph" w:styleId="37">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4"/>
    <w:qFormat/>
    <w:uiPriority w:val="0"/>
    <w:pPr>
      <w:spacing w:line="360" w:lineRule="auto"/>
      <w:ind w:firstLine="280" w:firstLineChars="100"/>
    </w:pPr>
    <w:rPr>
      <w:rFonts w:ascii="宋体" w:hAnsi="宋体"/>
      <w:sz w:val="28"/>
      <w:szCs w:val="28"/>
    </w:rPr>
  </w:style>
  <w:style w:type="paragraph" w:styleId="40">
    <w:name w:val="toc 2"/>
    <w:basedOn w:val="3"/>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5"/>
    <w:qFormat/>
    <w:uiPriority w:val="0"/>
    <w:rPr>
      <w:i/>
      <w:iCs/>
      <w:sz w:val="26"/>
    </w:rPr>
  </w:style>
  <w:style w:type="paragraph" w:styleId="43">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7"/>
    <w:qFormat/>
    <w:uiPriority w:val="0"/>
    <w:pPr>
      <w:widowControl/>
      <w:jc w:val="center"/>
    </w:pPr>
    <w:rPr>
      <w:kern w:val="0"/>
      <w:sz w:val="20"/>
      <w:u w:val="single"/>
      <w:lang w:eastAsia="en-US"/>
    </w:rPr>
  </w:style>
  <w:style w:type="paragraph" w:styleId="47">
    <w:name w:val="annotation subject"/>
    <w:basedOn w:val="16"/>
    <w:next w:val="16"/>
    <w:link w:val="98"/>
    <w:qFormat/>
    <w:uiPriority w:val="0"/>
    <w:rPr>
      <w:b/>
      <w:bCs/>
    </w:rPr>
  </w:style>
  <w:style w:type="paragraph" w:styleId="48">
    <w:name w:val="Body Text First Indent"/>
    <w:basedOn w:val="1"/>
    <w:next w:val="28"/>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z正文"/>
    <w:basedOn w:val="24"/>
    <w:qFormat/>
    <w:uiPriority w:val="0"/>
    <w:pPr>
      <w:tabs>
        <w:tab w:val="left" w:pos="525"/>
      </w:tabs>
      <w:snapToGrid w:val="0"/>
    </w:pPr>
    <w:rPr>
      <w:rFonts w:hAnsi="宋体" w:eastAsia="宋体"/>
      <w:sz w:val="24"/>
      <w:szCs w:val="20"/>
    </w:rPr>
  </w:style>
  <w:style w:type="character" w:customStyle="1" w:styleId="70">
    <w:name w:val="标题 1 字符"/>
    <w:basedOn w:val="52"/>
    <w:link w:val="2"/>
    <w:qFormat/>
    <w:uiPriority w:val="9"/>
    <w:rPr>
      <w:rFonts w:ascii="Times New Roman" w:hAnsi="Times New Roman" w:eastAsia="宋体" w:cs="Times New Roman"/>
      <w:b/>
      <w:bCs/>
      <w:kern w:val="44"/>
      <w:sz w:val="44"/>
      <w:szCs w:val="44"/>
    </w:rPr>
  </w:style>
  <w:style w:type="paragraph" w:customStyle="1" w:styleId="71">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2"/>
    <w:link w:val="3"/>
    <w:qFormat/>
    <w:uiPriority w:val="9"/>
    <w:rPr>
      <w:rFonts w:ascii="Cambria" w:hAnsi="Cambria" w:eastAsia="宋体" w:cs="Times New Roman"/>
      <w:b/>
      <w:bCs/>
      <w:sz w:val="32"/>
      <w:szCs w:val="32"/>
    </w:rPr>
  </w:style>
  <w:style w:type="character" w:customStyle="1" w:styleId="73">
    <w:name w:val="标题 3 字符"/>
    <w:basedOn w:val="52"/>
    <w:link w:val="4"/>
    <w:qFormat/>
    <w:uiPriority w:val="0"/>
    <w:rPr>
      <w:rFonts w:ascii="Times New Roman" w:hAnsi="Times New Roman" w:eastAsia="宋体" w:cs="Times New Roman"/>
      <w:b/>
      <w:bCs/>
      <w:sz w:val="32"/>
      <w:szCs w:val="32"/>
    </w:rPr>
  </w:style>
  <w:style w:type="character" w:customStyle="1" w:styleId="74">
    <w:name w:val="标题 4 字符"/>
    <w:basedOn w:val="52"/>
    <w:link w:val="5"/>
    <w:qFormat/>
    <w:uiPriority w:val="0"/>
    <w:rPr>
      <w:rFonts w:ascii="宋体" w:hAnsi="宋体" w:eastAsia="宋体" w:cs="宋体"/>
      <w:b/>
      <w:bCs/>
      <w:kern w:val="0"/>
      <w:sz w:val="24"/>
      <w:szCs w:val="24"/>
    </w:rPr>
  </w:style>
  <w:style w:type="character" w:customStyle="1" w:styleId="75">
    <w:name w:val="标题 5 字符"/>
    <w:basedOn w:val="52"/>
    <w:link w:val="6"/>
    <w:qFormat/>
    <w:uiPriority w:val="0"/>
    <w:rPr>
      <w:rFonts w:ascii="宋体" w:hAnsi="宋体" w:eastAsia="宋体" w:cs="宋体"/>
      <w:b/>
      <w:bCs/>
      <w:kern w:val="0"/>
      <w:sz w:val="20"/>
      <w:szCs w:val="20"/>
    </w:rPr>
  </w:style>
  <w:style w:type="character" w:customStyle="1" w:styleId="76">
    <w:name w:val="标题 6 字符"/>
    <w:basedOn w:val="52"/>
    <w:link w:val="7"/>
    <w:qFormat/>
    <w:uiPriority w:val="0"/>
    <w:rPr>
      <w:rFonts w:ascii="Times New Roman" w:hAnsi="Arial" w:eastAsia="仿宋_GB2312" w:cs="Times New Roman"/>
      <w:kern w:val="0"/>
      <w:sz w:val="30"/>
      <w:szCs w:val="20"/>
    </w:rPr>
  </w:style>
  <w:style w:type="character" w:customStyle="1" w:styleId="77">
    <w:name w:val="标题 7 字符"/>
    <w:basedOn w:val="52"/>
    <w:link w:val="9"/>
    <w:qFormat/>
    <w:uiPriority w:val="0"/>
    <w:rPr>
      <w:rFonts w:ascii="Times New Roman" w:hAnsi="Times New Roman" w:eastAsia="仿宋_GB2312" w:cs="Times New Roman"/>
      <w:kern w:val="0"/>
      <w:sz w:val="30"/>
      <w:szCs w:val="20"/>
    </w:rPr>
  </w:style>
  <w:style w:type="character" w:customStyle="1" w:styleId="78">
    <w:name w:val="标题 8 字符"/>
    <w:basedOn w:val="52"/>
    <w:link w:val="10"/>
    <w:qFormat/>
    <w:uiPriority w:val="0"/>
    <w:rPr>
      <w:rFonts w:ascii="Times New Roman" w:hAnsi="Arial" w:eastAsia="仿宋_GB2312" w:cs="Times New Roman"/>
      <w:kern w:val="0"/>
      <w:sz w:val="30"/>
      <w:szCs w:val="20"/>
    </w:rPr>
  </w:style>
  <w:style w:type="character" w:customStyle="1" w:styleId="79">
    <w:name w:val="标题 9 字符"/>
    <w:basedOn w:val="52"/>
    <w:link w:val="11"/>
    <w:qFormat/>
    <w:uiPriority w:val="0"/>
    <w:rPr>
      <w:rFonts w:ascii="Times New Roman" w:hAnsi="Times New Roman" w:eastAsia="仿宋_GB2312" w:cs="Times New Roman"/>
      <w:kern w:val="0"/>
      <w:sz w:val="30"/>
      <w:szCs w:val="20"/>
    </w:rPr>
  </w:style>
  <w:style w:type="character" w:customStyle="1" w:styleId="80">
    <w:name w:val="正文文本 字符"/>
    <w:basedOn w:val="52"/>
    <w:link w:val="18"/>
    <w:qFormat/>
    <w:uiPriority w:val="0"/>
    <w:rPr>
      <w:rFonts w:ascii="Times New Roman" w:hAnsi="Times New Roman" w:eastAsia="宋体" w:cs="Times New Roman"/>
      <w:szCs w:val="24"/>
    </w:rPr>
  </w:style>
  <w:style w:type="character" w:customStyle="1" w:styleId="81">
    <w:name w:val="文档结构图 字符"/>
    <w:basedOn w:val="52"/>
    <w:link w:val="15"/>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6"/>
    <w:qFormat/>
    <w:uiPriority w:val="0"/>
    <w:rPr>
      <w:rFonts w:ascii="Times New Roman" w:hAnsi="Times New Roman" w:eastAsia="宋体" w:cs="Times New Roman"/>
      <w:szCs w:val="24"/>
    </w:rPr>
  </w:style>
  <w:style w:type="character" w:customStyle="1" w:styleId="83">
    <w:name w:val="正文文本 3 字符"/>
    <w:basedOn w:val="52"/>
    <w:link w:val="17"/>
    <w:qFormat/>
    <w:uiPriority w:val="0"/>
    <w:rPr>
      <w:rFonts w:ascii="Times New Roman" w:hAnsi="Times New Roman" w:eastAsia="宋体" w:cs="Times New Roman"/>
      <w:sz w:val="16"/>
      <w:szCs w:val="16"/>
    </w:rPr>
  </w:style>
  <w:style w:type="character" w:customStyle="1" w:styleId="84">
    <w:name w:val="正文文本缩进 字符"/>
    <w:basedOn w:val="52"/>
    <w:link w:val="19"/>
    <w:qFormat/>
    <w:uiPriority w:val="0"/>
    <w:rPr>
      <w:rFonts w:ascii="Times New Roman" w:hAnsi="Times New Roman" w:eastAsia="宋体" w:cs="Times New Roman"/>
      <w:szCs w:val="24"/>
    </w:rPr>
  </w:style>
  <w:style w:type="character" w:customStyle="1" w:styleId="85">
    <w:name w:val="纯文本 字符"/>
    <w:basedOn w:val="52"/>
    <w:link w:val="24"/>
    <w:qFormat/>
    <w:uiPriority w:val="0"/>
    <w:rPr>
      <w:rFonts w:ascii="宋体" w:hAnsi="Courier New" w:eastAsia="宋体" w:cs="Courier New"/>
      <w:szCs w:val="21"/>
    </w:rPr>
  </w:style>
  <w:style w:type="character" w:customStyle="1" w:styleId="86">
    <w:name w:val="日期 字符"/>
    <w:basedOn w:val="52"/>
    <w:link w:val="27"/>
    <w:qFormat/>
    <w:uiPriority w:val="99"/>
    <w:rPr>
      <w:rFonts w:ascii="Times New Roman" w:hAnsi="Times New Roman" w:eastAsia="宋体" w:cs="Times New Roman"/>
      <w:szCs w:val="24"/>
    </w:rPr>
  </w:style>
  <w:style w:type="character" w:customStyle="1" w:styleId="87">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8">
    <w:name w:val="尾注文本 字符"/>
    <w:basedOn w:val="52"/>
    <w:link w:val="30"/>
    <w:qFormat/>
    <w:uiPriority w:val="0"/>
    <w:rPr>
      <w:rFonts w:ascii="Arial" w:hAnsi="Arial" w:eastAsia="宋体" w:cs="Arial"/>
      <w:kern w:val="0"/>
      <w:sz w:val="20"/>
      <w:szCs w:val="24"/>
      <w:lang w:eastAsia="en-US"/>
    </w:rPr>
  </w:style>
  <w:style w:type="character" w:customStyle="1" w:styleId="89">
    <w:name w:val="批注框文本 字符"/>
    <w:basedOn w:val="52"/>
    <w:link w:val="31"/>
    <w:qFormat/>
    <w:uiPriority w:val="99"/>
    <w:rPr>
      <w:rFonts w:ascii="Times New Roman" w:hAnsi="Times New Roman" w:eastAsia="宋体" w:cs="Times New Roman"/>
      <w:sz w:val="18"/>
      <w:szCs w:val="18"/>
    </w:rPr>
  </w:style>
  <w:style w:type="character" w:customStyle="1" w:styleId="90">
    <w:name w:val="页脚 字符"/>
    <w:basedOn w:val="52"/>
    <w:link w:val="32"/>
    <w:qFormat/>
    <w:uiPriority w:val="99"/>
    <w:rPr>
      <w:rFonts w:ascii="Times New Roman" w:hAnsi="Times New Roman" w:eastAsia="宋体" w:cs="Times New Roman"/>
      <w:sz w:val="18"/>
      <w:szCs w:val="18"/>
    </w:rPr>
  </w:style>
  <w:style w:type="character" w:customStyle="1" w:styleId="91">
    <w:name w:val="页眉 字符"/>
    <w:basedOn w:val="52"/>
    <w:link w:val="33"/>
    <w:qFormat/>
    <w:uiPriority w:val="99"/>
    <w:rPr>
      <w:rFonts w:ascii="Times New Roman" w:hAnsi="Times New Roman" w:eastAsia="宋体" w:cs="Times New Roman"/>
      <w:sz w:val="18"/>
      <w:szCs w:val="18"/>
    </w:rPr>
  </w:style>
  <w:style w:type="character" w:customStyle="1" w:styleId="92">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7"/>
    <w:qFormat/>
    <w:uiPriority w:val="0"/>
    <w:rPr>
      <w:rFonts w:ascii="Arial" w:hAnsi="Arial" w:eastAsia="宋体" w:cs="Arial"/>
      <w:kern w:val="0"/>
      <w:sz w:val="18"/>
      <w:szCs w:val="18"/>
      <w:lang w:eastAsia="en-US"/>
    </w:rPr>
  </w:style>
  <w:style w:type="character" w:customStyle="1" w:styleId="94">
    <w:name w:val="正文文本缩进 3 字符"/>
    <w:basedOn w:val="52"/>
    <w:link w:val="39"/>
    <w:qFormat/>
    <w:uiPriority w:val="0"/>
    <w:rPr>
      <w:rFonts w:ascii="宋体" w:hAnsi="宋体" w:eastAsia="宋体" w:cs="Times New Roman"/>
      <w:sz w:val="28"/>
      <w:szCs w:val="28"/>
    </w:rPr>
  </w:style>
  <w:style w:type="character" w:customStyle="1" w:styleId="95">
    <w:name w:val="正文文本 2 字符"/>
    <w:basedOn w:val="52"/>
    <w:link w:val="42"/>
    <w:qFormat/>
    <w:uiPriority w:val="0"/>
    <w:rPr>
      <w:rFonts w:ascii="Times New Roman" w:hAnsi="Times New Roman" w:eastAsia="宋体" w:cs="Times New Roman"/>
      <w:i/>
      <w:iCs/>
      <w:sz w:val="26"/>
      <w:szCs w:val="24"/>
    </w:rPr>
  </w:style>
  <w:style w:type="character" w:customStyle="1" w:styleId="96">
    <w:name w:val="HTML 预设格式 字符"/>
    <w:basedOn w:val="52"/>
    <w:link w:val="43"/>
    <w:qFormat/>
    <w:uiPriority w:val="0"/>
    <w:rPr>
      <w:rFonts w:ascii="宋体" w:hAnsi="宋体" w:eastAsia="宋体" w:cs="宋体"/>
      <w:color w:val="000000"/>
      <w:kern w:val="0"/>
      <w:sz w:val="24"/>
      <w:szCs w:val="24"/>
    </w:rPr>
  </w:style>
  <w:style w:type="character" w:customStyle="1" w:styleId="97">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7"/>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2"/>
    <w:next w:val="1"/>
    <w:unhideWhenUsed/>
    <w:qFormat/>
    <w:uiPriority w:val="0"/>
    <w:pPr>
      <w:outlineLvl w:val="9"/>
    </w:pPr>
    <w:rPr>
      <w:rFonts w:ascii="Calibri" w:hAnsi="Calibri"/>
    </w:rPr>
  </w:style>
  <w:style w:type="paragraph" w:customStyle="1" w:styleId="110">
    <w:name w:val="样式1"/>
    <w:basedOn w:val="1"/>
    <w:next w:val="5"/>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3"/>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4"/>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2"/>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8"/>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33732</Words>
  <Characters>36470</Characters>
  <Lines>760</Lines>
  <Paragraphs>214</Paragraphs>
  <TotalTime>0</TotalTime>
  <ScaleCrop>false</ScaleCrop>
  <LinksUpToDate>false</LinksUpToDate>
  <CharactersWithSpaces>39934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谭杨杰</cp:lastModifiedBy>
  <cp:lastPrinted>2024-02-08T02:46:00Z</cp:lastPrinted>
  <dcterms:modified xsi:type="dcterms:W3CDTF">2024-09-30T06:48:21Z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23A0A934A6A94A3B9F3ED02E2B498C84_13</vt:lpwstr>
  </property>
</Properties>
</file>