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highlight w:val="none"/>
        </w:rPr>
      </w:pPr>
    </w:p>
    <w:p>
      <w:pPr>
        <w:jc w:val="center"/>
        <w:rPr>
          <w:rFonts w:hint="eastAsia" w:ascii="宋体" w:hAnsi="宋体" w:eastAsia="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eastAsia="zh-CN"/>
        </w:rPr>
        <w:t>四公里办公大楼外墙综合整治、室内基装整改项目</w:t>
      </w:r>
    </w:p>
    <w:p>
      <w:pPr>
        <w:rPr>
          <w:rFonts w:ascii="宋体" w:hAnsi="宋体" w:cs="宋体"/>
          <w:sz w:val="28"/>
          <w:szCs w:val="2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竞</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性</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比</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选</w:t>
      </w:r>
    </w:p>
    <w:p>
      <w:pPr>
        <w:jc w:val="center"/>
        <w:rPr>
          <w:rFonts w:ascii="宋体" w:hAnsi="宋体" w:cs="宋体"/>
          <w:b/>
          <w:sz w:val="48"/>
          <w:szCs w:val="48"/>
          <w:highlight w:val="none"/>
        </w:rPr>
      </w:pPr>
    </w:p>
    <w:p>
      <w:pPr>
        <w:jc w:val="center"/>
        <w:rPr>
          <w:rFonts w:ascii="宋体" w:hAnsi="宋体" w:cs="宋体"/>
          <w:b/>
          <w:sz w:val="48"/>
          <w:szCs w:val="48"/>
          <w:highlight w:val="none"/>
        </w:rPr>
      </w:pPr>
      <w:r>
        <w:rPr>
          <w:rFonts w:hint="eastAsia" w:ascii="宋体" w:hAnsi="宋体" w:cs="宋体"/>
          <w:b/>
          <w:sz w:val="48"/>
          <w:szCs w:val="48"/>
          <w:highlight w:val="none"/>
        </w:rPr>
        <w:t>文</w:t>
      </w:r>
    </w:p>
    <w:p>
      <w:pPr>
        <w:jc w:val="center"/>
        <w:rPr>
          <w:rFonts w:ascii="宋体" w:hAnsi="宋体" w:cs="宋体"/>
          <w:b/>
          <w:sz w:val="48"/>
          <w:szCs w:val="48"/>
          <w:highlight w:val="none"/>
        </w:rPr>
      </w:pPr>
    </w:p>
    <w:p>
      <w:pPr>
        <w:jc w:val="center"/>
        <w:rPr>
          <w:rFonts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rPr>
          <w:highlight w:val="none"/>
        </w:rPr>
      </w:pPr>
    </w:p>
    <w:p>
      <w:pPr>
        <w:rPr>
          <w:highlight w:val="none"/>
        </w:rPr>
      </w:pPr>
    </w:p>
    <w:p>
      <w:pPr>
        <w:jc w:val="center"/>
        <w:rPr>
          <w:rFonts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lang w:val="en-US" w:eastAsia="zh-CN"/>
        </w:rPr>
        <w:t>9</w:t>
      </w:r>
      <w:r>
        <w:rPr>
          <w:rFonts w:hint="eastAsia" w:ascii="宋体" w:hAnsi="宋体" w:cs="宋体"/>
          <w:b/>
          <w:sz w:val="28"/>
          <w:szCs w:val="28"/>
          <w:highlight w:val="none"/>
        </w:rPr>
        <w:t>月</w:t>
      </w:r>
    </w:p>
    <w:p>
      <w:pPr>
        <w:pStyle w:val="28"/>
        <w:jc w:val="center"/>
        <w:rPr>
          <w:rFonts w:ascii="宋体" w:hAnsi="宋体" w:cs="宋体"/>
          <w:szCs w:val="21"/>
          <w:highlight w:val="none"/>
        </w:rPr>
      </w:pPr>
      <w:r>
        <w:rPr>
          <w:highlight w:val="none"/>
        </w:rPr>
        <w:br w:type="page"/>
      </w:r>
      <w:bookmarkStart w:id="0" w:name="_Toc246996898"/>
      <w:bookmarkStart w:id="1" w:name="_Toc507428442"/>
      <w:bookmarkStart w:id="2" w:name="_Toc296602400"/>
      <w:bookmarkStart w:id="3" w:name="_Toc507319889"/>
      <w:bookmarkStart w:id="4" w:name="_Toc247085669"/>
      <w:r>
        <w:rPr>
          <w:rFonts w:hint="eastAsia" w:ascii="宋体" w:hAnsi="宋体" w:cs="宋体"/>
          <w:b w:val="0"/>
          <w:sz w:val="32"/>
          <w:highlight w:val="none"/>
        </w:rPr>
        <w:t>目   录</w:t>
      </w:r>
      <w:bookmarkEnd w:id="0"/>
      <w:bookmarkEnd w:id="1"/>
      <w:bookmarkEnd w:id="2"/>
      <w:bookmarkEnd w:id="3"/>
      <w:bookmarkEnd w:id="4"/>
    </w:p>
    <w:p>
      <w:pPr>
        <w:pStyle w:val="28"/>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_Toc18378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_Toc18378 \h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_Toc29948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_Toc29948 \h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_Toc32070 </w:instrText>
      </w:r>
      <w:r>
        <w:rPr>
          <w:rFonts w:hint="eastAsia" w:ascii="宋体" w:hAnsi="宋体" w:cs="宋体"/>
          <w:bCs/>
          <w:caps/>
          <w:highlight w:val="none"/>
        </w:rPr>
        <w:fldChar w:fldCharType="separate"/>
      </w:r>
      <w:r>
        <w:rPr>
          <w:rFonts w:hint="eastAsia"/>
          <w:highlight w:val="none"/>
        </w:rPr>
        <w:t xml:space="preserve">第三章 </w:t>
      </w:r>
      <w:r>
        <w:rPr>
          <w:rFonts w:hint="eastAsia" w:ascii="宋体" w:hAnsi="宋体" w:cs="宋体"/>
          <w:highlight w:val="none"/>
        </w:rPr>
        <w:t>评标办法（综合评估法）</w:t>
      </w:r>
      <w:r>
        <w:rPr>
          <w:highlight w:val="none"/>
        </w:rPr>
        <w:tab/>
      </w:r>
      <w:r>
        <w:rPr>
          <w:highlight w:val="none"/>
        </w:rPr>
        <w:fldChar w:fldCharType="begin"/>
      </w:r>
      <w:r>
        <w:rPr>
          <w:highlight w:val="none"/>
        </w:rPr>
        <w:instrText xml:space="preserve"> PAGEREF _Toc32070 \h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_Toc32568 </w:instrText>
      </w:r>
      <w:r>
        <w:rPr>
          <w:rFonts w:hint="eastAsia" w:ascii="宋体" w:hAnsi="宋体" w:cs="宋体"/>
          <w:bCs/>
          <w:caps/>
          <w:highlight w:val="none"/>
        </w:rPr>
        <w:fldChar w:fldCharType="separate"/>
      </w:r>
      <w:r>
        <w:rPr>
          <w:rFonts w:hint="eastAsia"/>
          <w:bCs/>
          <w:highlight w:val="none"/>
        </w:rPr>
        <w:t>第四章 报价说明</w:t>
      </w:r>
      <w:r>
        <w:rPr>
          <w:highlight w:val="none"/>
        </w:rPr>
        <w:tab/>
      </w:r>
      <w:r>
        <w:rPr>
          <w:highlight w:val="none"/>
        </w:rPr>
        <w:fldChar w:fldCharType="begin"/>
      </w:r>
      <w:r>
        <w:rPr>
          <w:highlight w:val="none"/>
        </w:rPr>
        <w:instrText xml:space="preserve"> PAGEREF _Toc32568 \h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_Toc10838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highlight w:val="none"/>
        </w:rPr>
        <w:tab/>
      </w:r>
      <w:r>
        <w:rPr>
          <w:highlight w:val="none"/>
        </w:rPr>
        <w:fldChar w:fldCharType="begin"/>
      </w:r>
      <w:r>
        <w:rPr>
          <w:highlight w:val="none"/>
        </w:rPr>
        <w:instrText xml:space="preserve"> PAGEREF _Toc10838 \h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_Toc2064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_Toc2064 \h </w:instrText>
      </w:r>
      <w:r>
        <w:rPr>
          <w:highlight w:val="none"/>
        </w:rPr>
        <w:fldChar w:fldCharType="separate"/>
      </w:r>
      <w:r>
        <w:rPr>
          <w:highlight w:val="none"/>
        </w:rPr>
        <w:t>20</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_Toc15316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_Toc15316 \h </w:instrText>
      </w:r>
      <w:r>
        <w:rPr>
          <w:highlight w:val="none"/>
        </w:rPr>
        <w:fldChar w:fldCharType="separate"/>
      </w:r>
      <w:r>
        <w:rPr>
          <w:highlight w:val="none"/>
        </w:rPr>
        <w:t>21</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_Toc15140 </w:instrText>
      </w:r>
      <w:r>
        <w:rPr>
          <w:rFonts w:hint="eastAsia" w:ascii="宋体" w:hAnsi="宋体" w:cs="宋体"/>
          <w:bCs/>
          <w:caps/>
          <w:highlight w:val="none"/>
        </w:rPr>
        <w:fldChar w:fldCharType="separate"/>
      </w:r>
      <w:r>
        <w:rPr>
          <w:rFonts w:hint="eastAsia" w:ascii="宋体" w:hAnsi="宋体" w:cs="宋体"/>
          <w:highlight w:val="none"/>
        </w:rPr>
        <w:t>第八章  合同范本</w:t>
      </w:r>
      <w:r>
        <w:rPr>
          <w:highlight w:val="none"/>
        </w:rPr>
        <w:tab/>
      </w:r>
      <w:r>
        <w:rPr>
          <w:highlight w:val="none"/>
        </w:rPr>
        <w:fldChar w:fldCharType="begin"/>
      </w:r>
      <w:r>
        <w:rPr>
          <w:highlight w:val="none"/>
        </w:rPr>
        <w:instrText xml:space="preserve"> PAGEREF _Toc15140 \h </w:instrText>
      </w:r>
      <w:r>
        <w:rPr>
          <w:highlight w:val="none"/>
        </w:rPr>
        <w:fldChar w:fldCharType="separate"/>
      </w:r>
      <w:r>
        <w:rPr>
          <w:highlight w:val="none"/>
        </w:rPr>
        <w:t>22</w:t>
      </w:r>
      <w:r>
        <w:rPr>
          <w:highlight w:val="none"/>
        </w:rPr>
        <w:fldChar w:fldCharType="end"/>
      </w:r>
      <w:r>
        <w:rPr>
          <w:rFonts w:hint="eastAsia" w:ascii="宋体" w:hAnsi="宋体" w:cs="宋体"/>
          <w:bCs/>
          <w:caps/>
          <w:highlight w:val="none"/>
        </w:rPr>
        <w:fldChar w:fldCharType="end"/>
      </w:r>
    </w:p>
    <w:p>
      <w:pPr>
        <w:pStyle w:val="28"/>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_Toc10514 </w:instrText>
      </w:r>
      <w:r>
        <w:rPr>
          <w:rFonts w:hint="eastAsia" w:ascii="宋体" w:hAnsi="宋体" w:cs="宋体"/>
          <w:bCs/>
          <w:caps/>
          <w:highlight w:val="none"/>
        </w:rPr>
        <w:fldChar w:fldCharType="separate"/>
      </w:r>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r>
        <w:rPr>
          <w:highlight w:val="none"/>
        </w:rPr>
        <w:tab/>
      </w:r>
      <w:r>
        <w:rPr>
          <w:highlight w:val="none"/>
        </w:rPr>
        <w:fldChar w:fldCharType="begin"/>
      </w:r>
      <w:r>
        <w:rPr>
          <w:highlight w:val="none"/>
        </w:rPr>
        <w:instrText xml:space="preserve"> PAGEREF _Toc10514 \h </w:instrText>
      </w:r>
      <w:r>
        <w:rPr>
          <w:highlight w:val="none"/>
        </w:rPr>
        <w:fldChar w:fldCharType="separate"/>
      </w:r>
      <w:r>
        <w:rPr>
          <w:highlight w:val="none"/>
        </w:rPr>
        <w:t>23</w:t>
      </w:r>
      <w:r>
        <w:rPr>
          <w:highlight w:val="none"/>
        </w:rPr>
        <w:fldChar w:fldCharType="end"/>
      </w:r>
      <w:r>
        <w:rPr>
          <w:rFonts w:hint="eastAsia" w:ascii="宋体" w:hAnsi="宋体" w:cs="宋体"/>
          <w:bCs/>
          <w:caps/>
          <w:highlight w:val="none"/>
        </w:rPr>
        <w:fldChar w:fldCharType="end"/>
      </w:r>
    </w:p>
    <w:p>
      <w:pPr>
        <w:pStyle w:val="34"/>
        <w:tabs>
          <w:tab w:val="right" w:leader="dot" w:pos="9628"/>
        </w:tabs>
        <w:ind w:left="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ascii="宋体" w:hAnsi="宋体" w:cs="宋体"/>
          <w:highlight w:val="none"/>
        </w:rPr>
      </w:pPr>
      <w:bookmarkStart w:id="5" w:name="_Toc247085671"/>
      <w:bookmarkStart w:id="6" w:name="_Toc246996157"/>
      <w:bookmarkStart w:id="7" w:name="_Toc507319890"/>
      <w:bookmarkStart w:id="8" w:name="_Toc144974479"/>
      <w:bookmarkStart w:id="9" w:name="_Toc152045511"/>
      <w:bookmarkStart w:id="10" w:name="_Toc179632527"/>
      <w:bookmarkStart w:id="11" w:name="_Toc2000404"/>
      <w:bookmarkStart w:id="12" w:name="_Toc246996900"/>
      <w:bookmarkStart w:id="13" w:name="_Toc152042287"/>
      <w:bookmarkStart w:id="14" w:name="_Toc247096243"/>
      <w:bookmarkStart w:id="15" w:name="_Toc18378"/>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ascii="宋体" w:hAnsi="宋体" w:cs="宋体"/>
          <w:b/>
          <w:sz w:val="28"/>
          <w:szCs w:val="28"/>
          <w:highlight w:val="none"/>
        </w:rPr>
      </w:pPr>
      <w:bookmarkStart w:id="16" w:name="OLE_LINK2"/>
      <w:bookmarkStart w:id="17" w:name="OLE_LINK3"/>
    </w:p>
    <w:p>
      <w:pPr>
        <w:pStyle w:val="4"/>
        <w:spacing w:before="0" w:after="0" w:line="360" w:lineRule="auto"/>
        <w:rPr>
          <w:rFonts w:ascii="宋体" w:hAnsi="宋体" w:eastAsia="宋体" w:cs="宋体"/>
          <w:highlight w:val="none"/>
        </w:rPr>
      </w:pPr>
      <w:bookmarkStart w:id="18" w:name="_Toc152042288"/>
      <w:bookmarkStart w:id="19" w:name="_Toc246996901"/>
      <w:bookmarkStart w:id="20" w:name="_Toc247085672"/>
      <w:bookmarkStart w:id="21" w:name="_Toc24874"/>
      <w:bookmarkStart w:id="22" w:name="_Toc507319891"/>
      <w:bookmarkStart w:id="23" w:name="_Toc152045512"/>
      <w:bookmarkStart w:id="24" w:name="_Toc6549"/>
      <w:bookmarkStart w:id="25" w:name="_Toc10076"/>
      <w:bookmarkStart w:id="26" w:name="_Toc246996158"/>
      <w:bookmarkStart w:id="27" w:name="_Toc11329213"/>
      <w:bookmarkStart w:id="28" w:name="_Toc30430"/>
      <w:bookmarkStart w:id="29" w:name="_Toc179632528"/>
      <w:bookmarkStart w:id="30" w:name="_Toc144974480"/>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pPr>
        <w:spacing w:line="400" w:lineRule="exact"/>
        <w:rPr>
          <w:rFonts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四公里办公大楼外墙综合整治、室内基装整改项目</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w:t>
      </w:r>
      <w:bookmarkStart w:id="291" w:name="_GoBack"/>
      <w:bookmarkEnd w:id="291"/>
      <w:r>
        <w:rPr>
          <w:rFonts w:hint="eastAsia" w:ascii="宋体" w:hAnsi="宋体" w:cs="宋体"/>
          <w:szCs w:val="21"/>
          <w:highlight w:val="none"/>
        </w:rPr>
        <w:t>件，现对该项目进行竞争性比选。</w:t>
      </w:r>
    </w:p>
    <w:p>
      <w:pPr>
        <w:pStyle w:val="4"/>
        <w:spacing w:before="120" w:after="0" w:line="360" w:lineRule="auto"/>
        <w:rPr>
          <w:rFonts w:ascii="宋体" w:hAnsi="宋体" w:eastAsia="宋体" w:cs="宋体"/>
          <w:highlight w:val="none"/>
        </w:rPr>
      </w:pPr>
      <w:bookmarkStart w:id="31" w:name="_Toc11329214"/>
      <w:bookmarkStart w:id="32" w:name="_Toc13546"/>
      <w:bookmarkStart w:id="33" w:name="_Toc246996159"/>
      <w:bookmarkStart w:id="34" w:name="_Toc246996902"/>
      <w:bookmarkStart w:id="35" w:name="_Toc247085673"/>
      <w:bookmarkStart w:id="36" w:name="_Toc507319892"/>
      <w:bookmarkStart w:id="37" w:name="_Toc179632529"/>
      <w:bookmarkStart w:id="38" w:name="_Toc144974481"/>
      <w:bookmarkStart w:id="39" w:name="_Toc18109"/>
      <w:bookmarkStart w:id="40" w:name="_Toc10952"/>
      <w:bookmarkStart w:id="41" w:name="_Toc152042289"/>
      <w:bookmarkStart w:id="42" w:name="_Toc21343"/>
      <w:bookmarkStart w:id="43" w:name="_Toc152045513"/>
      <w:r>
        <w:rPr>
          <w:rFonts w:hint="eastAsia" w:ascii="宋体" w:hAnsi="宋体" w:eastAsia="宋体" w:cs="宋体"/>
          <w:highlight w:val="none"/>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pPr>
        <w:pStyle w:val="13"/>
        <w:adjustRightInd w:val="0"/>
        <w:spacing w:line="400" w:lineRule="exact"/>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bookmarkStart w:id="44" w:name="_Toc446247226"/>
      <w:r>
        <w:rPr>
          <w:rFonts w:hint="eastAsia" w:ascii="宋体" w:hAnsi="宋体" w:cs="宋体"/>
          <w:szCs w:val="21"/>
          <w:highlight w:val="none"/>
        </w:rPr>
        <w:t xml:space="preserve">2.1 </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项目地点：</w:t>
      </w:r>
      <w:bookmarkEnd w:id="44"/>
      <w:r>
        <w:rPr>
          <w:rFonts w:hint="eastAsia" w:ascii="宋体" w:hAnsi="宋体" w:cs="宋体"/>
          <w:color w:val="000000" w:themeColor="text1"/>
          <w:lang w:val="en-US" w:eastAsia="zh-CN"/>
          <w14:textFill>
            <w14:solidFill>
              <w14:schemeClr w14:val="tx1"/>
            </w14:solidFill>
          </w14:textFill>
        </w:rPr>
        <w:t>重庆首讯科技股份</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有限公司。</w:t>
      </w:r>
    </w:p>
    <w:p>
      <w:pPr>
        <w:pStyle w:val="13"/>
        <w:numPr>
          <w:ilvl w:val="0"/>
          <w:numId w:val="0"/>
        </w:numPr>
        <w:adjustRightInd w:val="0"/>
        <w:spacing w:line="400" w:lineRule="exact"/>
        <w:ind w:firstLine="420" w:firstLineChars="200"/>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2.2 项目概况：主要建设内容包括</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对首讯公司</w:t>
      </w:r>
      <w:r>
        <w:rPr>
          <w:rFonts w:hint="eastAsia" w:ascii="宋体" w:hAnsi="宋体" w:cs="宋体"/>
          <w:szCs w:val="21"/>
          <w:highlight w:val="none"/>
          <w:u w:val="single"/>
          <w:lang w:val="en-US" w:eastAsia="zh-CN"/>
        </w:rPr>
        <w:t>四公里办公大楼外墙综合整治、室内基装整改项目</w:t>
      </w:r>
      <w:r>
        <w:rPr>
          <w:rFonts w:hint="eastAsia" w:ascii="宋体" w:hAnsi="宋体" w:cs="宋体"/>
          <w:color w:val="000000" w:themeColor="text1"/>
          <w:kern w:val="2"/>
          <w:sz w:val="21"/>
          <w:szCs w:val="24"/>
          <w:highlight w:val="none"/>
          <w:lang w:val="en-US" w:eastAsia="zh-CN" w:bidi="ar-SA"/>
          <w14:textFill>
            <w14:solidFill>
              <w14:schemeClr w14:val="tx1"/>
            </w14:solidFill>
          </w14:textFill>
        </w:rPr>
        <w:t>等工作内容，详清单所示范围</w:t>
      </w:r>
      <w:r>
        <w:rPr>
          <w:rFonts w:hint="eastAsia" w:ascii="宋体" w:hAnsi="宋体" w:eastAsia="宋体" w:cs="宋体"/>
          <w:color w:val="000000" w:themeColor="text1"/>
          <w:kern w:val="2"/>
          <w:sz w:val="21"/>
          <w:szCs w:val="24"/>
          <w:highlight w:val="none"/>
          <w:lang w:val="en-US" w:eastAsia="zh-CN" w:bidi="ar-SA"/>
          <w14:textFill>
            <w14:solidFill>
              <w14:schemeClr w14:val="tx1"/>
            </w14:solidFill>
          </w14:textFill>
        </w:rPr>
        <w:t>。</w:t>
      </w:r>
    </w:p>
    <w:p>
      <w:pPr>
        <w:keepNext w:val="0"/>
        <w:keepLines w:val="0"/>
        <w:widowControl w:val="0"/>
        <w:suppressLineNumbers w:val="0"/>
        <w:adjustRightInd w:val="0"/>
        <w:spacing w:before="0" w:beforeAutospacing="0" w:after="0" w:afterAutospacing="0" w:line="520" w:lineRule="exact"/>
        <w:ind w:left="0" w:right="0" w:firstLine="420" w:firstLineChars="200"/>
        <w:jc w:val="both"/>
        <w:rPr>
          <w:rFonts w:hint="default"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highlight w:val="none"/>
          <w:lang w:val="en-US" w:eastAsia="zh-CN"/>
          <w14:textFill>
            <w14:solidFill>
              <w14:schemeClr w14:val="tx1"/>
            </w14:solidFill>
          </w14:textFill>
        </w:rPr>
        <w:t>采购预计金额：35.50万元。</w:t>
      </w:r>
    </w:p>
    <w:p>
      <w:pPr>
        <w:pStyle w:val="13"/>
        <w:adjustRightInd w:val="0"/>
        <w:spacing w:line="400" w:lineRule="exact"/>
        <w:rPr>
          <w:rFonts w:hint="eastAsia" w:ascii="宋体" w:hAnsi="宋体" w:cs="宋体"/>
          <w:szCs w:val="21"/>
          <w:highlight w:val="none"/>
          <w:lang w:val="en-US" w:eastAsia="zh-CN"/>
        </w:rPr>
      </w:pPr>
      <w:r>
        <w:rPr>
          <w:rFonts w:hint="eastAsia" w:ascii="宋体" w:hAnsi="宋体" w:cs="宋体"/>
          <w:highlight w:val="none"/>
        </w:rPr>
        <w:t>2.3 比选范围：</w:t>
      </w:r>
      <w:r>
        <w:rPr>
          <w:rFonts w:hint="eastAsia" w:ascii="宋体" w:hAnsi="宋体" w:cs="宋体"/>
          <w:szCs w:val="21"/>
          <w:highlight w:val="none"/>
          <w:lang w:val="en-US" w:eastAsia="zh-CN"/>
        </w:rPr>
        <w:t>以甲方指令的关于本工程的标准设计施工图、合同清单、图纸会审纪要、变更通知、通知单等为依据，由乙方承担本工程的首讯公司文化建设施工相关任务。作业人员的组织和机构设置、安全生产教育、现场文明施工和标准化建设、参加甲方组织的会议等一切与乙方相关联的工作亦属承包范围。承包方式：实行施工承包人包工、包料（以工程量清单为准）、包质量、包安装、包工期、包安全施工、包文明管理的一揽子承包方式。</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highlight w:val="none"/>
        </w:rPr>
        <w:t>2.4</w:t>
      </w:r>
      <w:r>
        <w:rPr>
          <w:rFonts w:hint="eastAsia" w:ascii="宋体" w:hAnsi="宋体" w:eastAsia="宋体" w:cs="宋体"/>
          <w:b w:val="0"/>
          <w:bCs w:val="0"/>
          <w:kern w:val="2"/>
          <w:sz w:val="21"/>
          <w:szCs w:val="24"/>
          <w:highlight w:val="none"/>
          <w:lang w:val="en-US" w:eastAsia="zh-CN" w:bidi="ar-SA"/>
        </w:rPr>
        <w:t xml:space="preserve"> </w:t>
      </w:r>
      <w:r>
        <w:rPr>
          <w:rFonts w:hint="eastAsia" w:ascii="宋体" w:hAnsi="宋体" w:cs="宋体"/>
          <w:b w:val="0"/>
          <w:bCs w:val="0"/>
          <w:kern w:val="2"/>
          <w:sz w:val="21"/>
          <w:szCs w:val="24"/>
          <w:highlight w:val="none"/>
          <w:lang w:val="en-US" w:eastAsia="zh-CN" w:bidi="ar-SA"/>
        </w:rPr>
        <w:t>工期要求：</w:t>
      </w:r>
      <w:r>
        <w:rPr>
          <w:rFonts w:hint="eastAsia" w:ascii="宋体" w:hAnsi="宋体" w:eastAsia="宋体" w:cs="宋体"/>
          <w:b w:val="0"/>
          <w:bCs w:val="0"/>
          <w:kern w:val="2"/>
          <w:sz w:val="21"/>
          <w:szCs w:val="24"/>
          <w:highlight w:val="none"/>
          <w:lang w:val="en-US" w:eastAsia="zh-CN" w:bidi="ar-SA"/>
        </w:rPr>
        <w:t>开工日期：以甲方实际下达的开工通知为准</w:t>
      </w:r>
      <w:r>
        <w:rPr>
          <w:rFonts w:hint="eastAsia" w:ascii="宋体" w:hAnsi="宋体" w:cs="宋体"/>
          <w:b w:val="0"/>
          <w:bCs w:val="0"/>
          <w:kern w:val="2"/>
          <w:sz w:val="21"/>
          <w:szCs w:val="24"/>
          <w:highlight w:val="none"/>
          <w:lang w:val="en-US" w:eastAsia="zh-CN" w:bidi="ar-SA"/>
        </w:rPr>
        <w:t>；暂定工期</w:t>
      </w:r>
      <w:r>
        <w:rPr>
          <w:rFonts w:hint="eastAsia" w:ascii="宋体" w:hAnsi="宋体" w:eastAsia="宋体" w:cs="宋体"/>
          <w:b w:val="0"/>
          <w:bCs w:val="0"/>
          <w:kern w:val="2"/>
          <w:sz w:val="21"/>
          <w:szCs w:val="24"/>
          <w:highlight w:val="none"/>
          <w:lang w:val="en-US" w:eastAsia="zh-CN" w:bidi="ar-SA"/>
        </w:rPr>
        <w:t>：</w:t>
      </w:r>
      <w:r>
        <w:rPr>
          <w:rFonts w:hint="eastAsia" w:ascii="宋体" w:hAnsi="宋体" w:cs="宋体"/>
          <w:b w:val="0"/>
          <w:bCs w:val="0"/>
          <w:kern w:val="2"/>
          <w:sz w:val="21"/>
          <w:szCs w:val="24"/>
          <w:highlight w:val="none"/>
          <w:lang w:val="en-US" w:eastAsia="zh-CN" w:bidi="ar-SA"/>
        </w:rPr>
        <w:t>30天</w:t>
      </w:r>
      <w:r>
        <w:rPr>
          <w:rFonts w:hint="eastAsia" w:ascii="宋体" w:hAnsi="宋体" w:eastAsia="宋体" w:cs="宋体"/>
          <w:b w:val="0"/>
          <w:bCs w:val="0"/>
          <w:kern w:val="2"/>
          <w:sz w:val="21"/>
          <w:szCs w:val="24"/>
          <w:highlight w:val="none"/>
          <w:lang w:val="en-US" w:eastAsia="zh-CN" w:bidi="ar-SA"/>
        </w:rPr>
        <w:t>。</w:t>
      </w:r>
    </w:p>
    <w:p>
      <w:pPr>
        <w:spacing w:line="400" w:lineRule="exact"/>
        <w:ind w:firstLine="420" w:firstLineChars="200"/>
        <w:rPr>
          <w:rFonts w:hint="default" w:ascii="宋体" w:hAnsi="宋体" w:eastAsia="宋体" w:cs="宋体"/>
          <w:b/>
          <w:bCs/>
          <w:highlight w:val="none"/>
          <w:lang w:val="en-US" w:eastAsia="zh-CN"/>
        </w:rPr>
      </w:pPr>
      <w:r>
        <w:rPr>
          <w:rFonts w:hint="eastAsia" w:ascii="宋体" w:hAnsi="宋体" w:cs="宋体"/>
          <w:b w:val="0"/>
          <w:bCs w:val="0"/>
          <w:kern w:val="2"/>
          <w:sz w:val="21"/>
          <w:szCs w:val="24"/>
          <w:highlight w:val="none"/>
          <w:lang w:val="en-US" w:eastAsia="zh-CN" w:bidi="ar-SA"/>
        </w:rPr>
        <w:t>2.5 标段划分：本项目划分为一个标段。</w:t>
      </w:r>
    </w:p>
    <w:p>
      <w:pPr>
        <w:pStyle w:val="4"/>
        <w:spacing w:before="120" w:after="0" w:line="360" w:lineRule="auto"/>
        <w:rPr>
          <w:rFonts w:ascii="宋体" w:hAnsi="宋体" w:eastAsia="宋体" w:cs="宋体"/>
          <w:highlight w:val="none"/>
        </w:rPr>
      </w:pPr>
      <w:bookmarkStart w:id="45" w:name="_Toc11874"/>
      <w:bookmarkStart w:id="46" w:name="_Toc247085674"/>
      <w:bookmarkStart w:id="47" w:name="_Toc11329215"/>
      <w:bookmarkStart w:id="48" w:name="_Toc30356"/>
      <w:bookmarkStart w:id="49" w:name="_Toc152042290"/>
      <w:bookmarkStart w:id="50" w:name="_Toc152045514"/>
      <w:bookmarkStart w:id="51" w:name="_Toc7065"/>
      <w:bookmarkStart w:id="52" w:name="_Toc507319893"/>
      <w:bookmarkStart w:id="53" w:name="_Toc179632530"/>
      <w:bookmarkStart w:id="54" w:name="_Toc10171"/>
      <w:bookmarkStart w:id="55" w:name="_Toc246996903"/>
      <w:bookmarkStart w:id="56" w:name="_Toc246996160"/>
      <w:bookmarkStart w:id="57" w:name="_Toc144974482"/>
      <w:r>
        <w:rPr>
          <w:rFonts w:hint="eastAsia" w:ascii="宋体" w:hAnsi="宋体" w:eastAsia="宋体" w:cs="宋体"/>
          <w:highlight w:val="none"/>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pPr>
        <w:pStyle w:val="13"/>
        <w:adjustRightInd w:val="0"/>
        <w:spacing w:line="400" w:lineRule="exact"/>
        <w:rPr>
          <w:rFonts w:hint="eastAsia" w:ascii="宋体" w:hAnsi="宋体" w:cs="宋体"/>
          <w:highlight w:val="none"/>
          <w:lang w:val="en-US" w:eastAsia="zh-CN"/>
        </w:rPr>
      </w:pPr>
      <w:bookmarkStart w:id="58" w:name="_Toc247085675"/>
      <w:bookmarkStart w:id="59" w:name="_Toc144974483"/>
      <w:bookmarkStart w:id="60" w:name="_Toc152045515"/>
      <w:bookmarkStart w:id="61" w:name="_Toc246996161"/>
      <w:bookmarkStart w:id="62" w:name="_Toc179632531"/>
      <w:bookmarkStart w:id="63" w:name="_Toc246996904"/>
      <w:bookmarkStart w:id="64" w:name="_Toc152042291"/>
      <w:r>
        <w:rPr>
          <w:rFonts w:hint="eastAsia" w:ascii="宋体" w:hAnsi="宋体" w:cs="宋体"/>
          <w:highlight w:val="none"/>
          <w:lang w:val="en-US" w:eastAsia="zh-CN"/>
        </w:rPr>
        <w:t>3.1 资质要求：</w:t>
      </w:r>
    </w:p>
    <w:p>
      <w:pPr>
        <w:pStyle w:val="13"/>
        <w:adjustRightInd w:val="0"/>
        <w:spacing w:line="400" w:lineRule="exact"/>
        <w:rPr>
          <w:rFonts w:hint="eastAsia" w:ascii="宋体" w:hAnsi="宋体" w:cs="宋体"/>
          <w:highlight w:val="none"/>
          <w:lang w:val="en-US" w:eastAsia="zh-CN"/>
        </w:rPr>
      </w:pPr>
      <w:r>
        <w:rPr>
          <w:rFonts w:hint="eastAsia" w:ascii="宋体" w:hAnsi="宋体" w:cs="宋体"/>
          <w:highlight w:val="none"/>
          <w:lang w:val="en-US" w:eastAsia="zh-CN"/>
        </w:rPr>
        <w:t>（1）具备独立法人资格，具有有效的营业执照；</w:t>
      </w:r>
    </w:p>
    <w:p>
      <w:pPr>
        <w:pStyle w:val="13"/>
        <w:adjustRightInd w:val="0"/>
        <w:spacing w:line="400" w:lineRule="exact"/>
        <w:rPr>
          <w:rFonts w:hint="eastAsia" w:ascii="宋体" w:hAnsi="宋体" w:cs="宋体"/>
          <w:highlight w:val="none"/>
          <w:lang w:val="en-US" w:eastAsia="zh-CN"/>
        </w:rPr>
      </w:pPr>
      <w:r>
        <w:rPr>
          <w:rFonts w:hint="eastAsia" w:ascii="宋体" w:hAnsi="宋体" w:cs="宋体"/>
          <w:highlight w:val="none"/>
          <w:lang w:val="en-US" w:eastAsia="zh-CN"/>
        </w:rPr>
        <w:t>（2）具备有效的安全生产许可证；</w:t>
      </w:r>
    </w:p>
    <w:p>
      <w:pPr>
        <w:pStyle w:val="13"/>
        <w:adjustRightInd w:val="0"/>
        <w:spacing w:line="400" w:lineRule="exact"/>
        <w:rPr>
          <w:rFonts w:hint="eastAsia" w:ascii="宋体" w:hAnsi="宋体" w:cs="宋体"/>
          <w:color w:val="auto"/>
          <w:highlight w:val="none"/>
          <w:lang w:val="en-US" w:eastAsia="zh-CN"/>
        </w:rPr>
      </w:pPr>
      <w:r>
        <w:rPr>
          <w:rFonts w:hint="eastAsia" w:ascii="宋体" w:hAnsi="宋体" w:cs="宋体"/>
          <w:color w:val="auto"/>
          <w:highlight w:val="none"/>
          <w:lang w:val="en-US" w:eastAsia="zh-CN"/>
        </w:rPr>
        <w:t>（3）具备建筑工程施工总承包叁级及以上或建筑幕墙工程专业承包贰级及以上资质；</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3.2 业绩要求：</w:t>
      </w:r>
      <w:r>
        <w:rPr>
          <w:rFonts w:hint="eastAsia" w:ascii="宋体" w:hAnsi="宋体" w:cs="宋体"/>
          <w:highlight w:val="none"/>
          <w:lang w:val="en-US" w:eastAsia="zh-CN"/>
        </w:rPr>
        <w:t>报价人自2021年1月1日至投标截止日(以合同签订时间为准）至少具有1个合同金额不低于25万元的类似外墙综合整治项目业绩（提供合同扫描件及对应增值税发票复印件，发票金额需达到25万元）</w:t>
      </w:r>
      <w:r>
        <w:rPr>
          <w:rFonts w:hint="eastAsia" w:ascii="宋体" w:hAnsi="宋体" w:eastAsia="宋体" w:cs="宋体"/>
          <w:highlight w:val="none"/>
          <w:lang w:val="en-US" w:eastAsia="zh-CN"/>
        </w:rPr>
        <w:t>。</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3.3 信誉要求：在国家企业信用信息公示系统（http://www.gsxt.gov.cn/）中未被列入严重违法失信企业名单（黑名单）信息；在“信用中国”网站（http://www.creditchina.gov.cn/）中未被列入失信惩戒执行人名单。</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3.4 报价人须提供采购人要求的所有资质要求、业绩要求、信誉要求的复印件并加盖单位鲜公章。</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3.5 本次比选不接受联合体报价。</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3.6 单位负责人为同一人或者存在控股、管理关系的不同单位，不得同时参加本项目报价，否则均按无效报价处理。</w:t>
      </w:r>
    </w:p>
    <w:p>
      <w:pPr>
        <w:pStyle w:val="4"/>
        <w:spacing w:before="120" w:after="0" w:line="360" w:lineRule="auto"/>
        <w:rPr>
          <w:rFonts w:hint="default" w:ascii="宋体" w:hAnsi="宋体" w:eastAsia="宋体" w:cs="宋体"/>
          <w:color w:val="000000" w:themeColor="text1"/>
          <w:highlight w:val="none"/>
          <w:lang w:val="en-US" w:eastAsia="zh-CN"/>
          <w14:textFill>
            <w14:solidFill>
              <w14:schemeClr w14:val="tx1"/>
            </w14:solidFill>
          </w14:textFill>
        </w:rPr>
      </w:pPr>
      <w:bookmarkStart w:id="65" w:name="_Toc9941"/>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lang w:val="en-US" w:eastAsia="zh-CN"/>
          <w14:textFill>
            <w14:solidFill>
              <w14:schemeClr w14:val="tx1"/>
            </w14:solidFill>
          </w14:textFill>
        </w:rPr>
        <w:t>评标办法</w:t>
      </w:r>
      <w:bookmarkEnd w:id="65"/>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本项目采用</w:t>
      </w:r>
      <w:r>
        <w:rPr>
          <w:rFonts w:hint="eastAsia" w:ascii="宋体" w:hAnsi="宋体" w:cs="宋体"/>
          <w:highlight w:val="none"/>
          <w:lang w:val="en-US" w:eastAsia="zh-CN"/>
        </w:rPr>
        <w:t>综合评估法</w:t>
      </w:r>
      <w:r>
        <w:rPr>
          <w:rFonts w:hint="eastAsia" w:ascii="宋体" w:hAnsi="宋体" w:eastAsia="宋体" w:cs="宋体"/>
          <w:highlight w:val="none"/>
          <w:lang w:val="en-US" w:eastAsia="zh-CN"/>
        </w:rPr>
        <w:t>。</w:t>
      </w:r>
    </w:p>
    <w:p>
      <w:pPr>
        <w:pStyle w:val="4"/>
        <w:spacing w:before="120" w:after="0" w:line="400" w:lineRule="exact"/>
        <w:rPr>
          <w:rFonts w:ascii="宋体" w:hAnsi="宋体" w:eastAsia="宋体" w:cs="宋体"/>
          <w:highlight w:val="none"/>
        </w:rPr>
      </w:pPr>
      <w:bookmarkStart w:id="66" w:name="_Toc14361"/>
      <w:bookmarkStart w:id="67" w:name="_Toc11329216"/>
      <w:bookmarkStart w:id="68" w:name="_Toc20441"/>
      <w:bookmarkStart w:id="69" w:name="_Toc507319894"/>
      <w:bookmarkStart w:id="70" w:name="_Toc12460"/>
      <w:bookmarkStart w:id="71" w:name="_Toc25619"/>
      <w:r>
        <w:rPr>
          <w:rFonts w:hint="eastAsia" w:ascii="宋体" w:hAnsi="宋体" w:eastAsia="宋体" w:cs="宋体"/>
          <w:highlight w:val="none"/>
          <w:lang w:val="en-US" w:eastAsia="zh-CN"/>
        </w:rPr>
        <w:t>5</w:t>
      </w:r>
      <w:r>
        <w:rPr>
          <w:rFonts w:hint="eastAsia" w:ascii="宋体" w:hAnsi="宋体" w:eastAsia="宋体" w:cs="宋体"/>
          <w:highlight w:val="none"/>
        </w:rPr>
        <w:t>. 比选文件的获取</w:t>
      </w:r>
      <w:bookmarkEnd w:id="58"/>
      <w:bookmarkEnd w:id="59"/>
      <w:bookmarkEnd w:id="60"/>
      <w:bookmarkEnd w:id="61"/>
      <w:bookmarkEnd w:id="62"/>
      <w:bookmarkEnd w:id="63"/>
      <w:bookmarkEnd w:id="64"/>
      <w:bookmarkEnd w:id="66"/>
      <w:bookmarkEnd w:id="67"/>
      <w:bookmarkEnd w:id="68"/>
      <w:bookmarkEnd w:id="69"/>
      <w:bookmarkEnd w:id="70"/>
      <w:bookmarkEnd w:id="71"/>
    </w:p>
    <w:p>
      <w:pPr>
        <w:pStyle w:val="13"/>
        <w:adjustRightInd w:val="0"/>
        <w:spacing w:line="400" w:lineRule="exact"/>
        <w:rPr>
          <w:rFonts w:hint="eastAsia" w:ascii="宋体" w:hAnsi="宋体" w:eastAsia="宋体" w:cs="宋体"/>
          <w:highlight w:val="none"/>
          <w:lang w:val="en-US" w:eastAsia="zh-CN"/>
        </w:rPr>
      </w:pPr>
      <w:bookmarkStart w:id="72" w:name="_Toc246996905"/>
      <w:bookmarkStart w:id="73" w:name="_Toc152045516"/>
      <w:bookmarkStart w:id="74" w:name="_Toc179632532"/>
      <w:bookmarkStart w:id="75" w:name="_Toc507319895"/>
      <w:bookmarkStart w:id="76" w:name="_Toc144974484"/>
      <w:bookmarkStart w:id="77" w:name="_Toc247085676"/>
      <w:bookmarkStart w:id="78" w:name="_Toc152042292"/>
      <w:bookmarkStart w:id="79" w:name="_Toc11329217"/>
      <w:bookmarkStart w:id="80" w:name="_Toc246996162"/>
      <w:bookmarkStart w:id="81" w:name="_Toc31493"/>
      <w:bookmarkStart w:id="82" w:name="_Toc16686"/>
      <w:bookmarkStart w:id="83" w:name="_Toc9131"/>
      <w:r>
        <w:rPr>
          <w:rFonts w:hint="eastAsia" w:ascii="宋体" w:hAnsi="宋体" w:eastAsia="宋体" w:cs="宋体"/>
          <w:highlight w:val="none"/>
          <w:lang w:val="en-US" w:eastAsia="zh-CN"/>
        </w:rPr>
        <w:t>凡愿意参加的潜在报价人，在202</w:t>
      </w:r>
      <w:r>
        <w:rPr>
          <w:rFonts w:hint="eastAsia" w:ascii="宋体" w:hAnsi="宋体" w:cs="宋体"/>
          <w:highlight w:val="none"/>
          <w:lang w:val="en-US" w:eastAsia="zh-CN"/>
        </w:rPr>
        <w:t>4</w:t>
      </w:r>
      <w:r>
        <w:rPr>
          <w:rFonts w:hint="eastAsia" w:ascii="宋体" w:hAnsi="宋体" w:eastAsia="宋体" w:cs="宋体"/>
          <w:highlight w:val="none"/>
          <w:lang w:val="en-US" w:eastAsia="zh-CN"/>
        </w:rPr>
        <w:t>年</w:t>
      </w:r>
      <w:r>
        <w:rPr>
          <w:rFonts w:hint="eastAsia" w:ascii="宋体" w:hAnsi="宋体" w:cs="宋体"/>
          <w:highlight w:val="none"/>
          <w:lang w:val="en-US" w:eastAsia="zh-CN"/>
        </w:rPr>
        <w:t>9</w:t>
      </w:r>
      <w:r>
        <w:rPr>
          <w:rFonts w:hint="eastAsia" w:ascii="宋体" w:hAnsi="宋体" w:eastAsia="宋体" w:cs="宋体"/>
          <w:highlight w:val="none"/>
          <w:lang w:val="en-US" w:eastAsia="zh-CN"/>
        </w:rPr>
        <w:t>月</w:t>
      </w:r>
      <w:r>
        <w:rPr>
          <w:rFonts w:hint="eastAsia" w:ascii="宋体" w:hAnsi="宋体" w:cs="宋体"/>
          <w:highlight w:val="none"/>
          <w:lang w:val="en-US" w:eastAsia="zh-CN"/>
        </w:rPr>
        <w:t>6</w:t>
      </w:r>
      <w:r>
        <w:rPr>
          <w:rFonts w:hint="eastAsia" w:ascii="宋体" w:hAnsi="宋体" w:eastAsia="宋体" w:cs="宋体"/>
          <w:highlight w:val="none"/>
          <w:lang w:val="en-US" w:eastAsia="zh-CN"/>
        </w:rPr>
        <w:t>日上午10:00前</w:t>
      </w:r>
      <w:r>
        <w:rPr>
          <w:rFonts w:hint="eastAsia" w:ascii="宋体" w:hAnsi="宋体" w:cs="宋体"/>
        </w:rPr>
        <w:t>前在重庆高速集团官网</w:t>
      </w:r>
      <w:r>
        <w:rPr>
          <w:rFonts w:hint="eastAsia" w:ascii="宋体" w:hAnsi="宋体" w:cs="宋体"/>
          <w:lang w:val="en-US" w:eastAsia="zh-CN"/>
        </w:rPr>
        <w:t>（</w:t>
      </w:r>
      <w:r>
        <w:rPr>
          <w:rFonts w:hint="eastAsia" w:ascii="宋体" w:hAnsi="宋体" w:eastAsia="宋体" w:cs="宋体"/>
          <w:highlight w:val="none"/>
          <w:lang w:val="en-US" w:eastAsia="zh-CN"/>
        </w:rPr>
        <w:t>https://www.cegc.com.cn/html/col1810480.html</w:t>
      </w:r>
      <w:r>
        <w:rPr>
          <w:rFonts w:hint="eastAsia" w:ascii="宋体" w:hAnsi="宋体" w:cs="宋体"/>
          <w:lang w:val="en-US" w:eastAsia="zh-CN"/>
        </w:rPr>
        <w:t>）上</w:t>
      </w:r>
      <w:r>
        <w:rPr>
          <w:rFonts w:hint="eastAsia" w:ascii="宋体" w:hAnsi="宋体" w:cs="宋体"/>
        </w:rPr>
        <w:t>获取竞争性比选文件，各报价人应随时关注网上发布的竞争性比选文件答疑、补遗、澄清等文件内容，不管报价人是否下载，均视为已知晓竞争性比选文件的全部内容和有关事宜</w:t>
      </w:r>
      <w:r>
        <w:rPr>
          <w:rFonts w:hint="eastAsia" w:ascii="宋体" w:hAnsi="宋体" w:cs="宋体"/>
          <w:lang w:eastAsia="zh-CN"/>
        </w:rPr>
        <w:t>。</w:t>
      </w:r>
    </w:p>
    <w:p>
      <w:pPr>
        <w:pStyle w:val="4"/>
        <w:spacing w:before="120" w:after="0" w:line="400" w:lineRule="exact"/>
        <w:rPr>
          <w:rFonts w:ascii="宋体" w:hAnsi="宋体" w:eastAsia="宋体" w:cs="宋体"/>
          <w:highlight w:val="none"/>
        </w:rPr>
      </w:pPr>
      <w:bookmarkStart w:id="84" w:name="_Toc6883"/>
      <w:r>
        <w:rPr>
          <w:rFonts w:hint="eastAsia" w:ascii="宋体" w:hAnsi="宋体" w:eastAsia="宋体" w:cs="宋体"/>
          <w:highlight w:val="none"/>
          <w:lang w:val="en-US" w:eastAsia="zh-CN"/>
        </w:rPr>
        <w:t>6</w:t>
      </w:r>
      <w:r>
        <w:rPr>
          <w:rFonts w:hint="eastAsia" w:ascii="宋体" w:hAnsi="宋体" w:eastAsia="宋体" w:cs="宋体"/>
          <w:highlight w:val="none"/>
        </w:rPr>
        <w:t>. 竞争性比选响应文件的递交</w:t>
      </w:r>
      <w:bookmarkEnd w:id="72"/>
      <w:bookmarkEnd w:id="73"/>
      <w:bookmarkEnd w:id="74"/>
      <w:bookmarkEnd w:id="75"/>
      <w:bookmarkEnd w:id="76"/>
      <w:bookmarkEnd w:id="77"/>
      <w:bookmarkEnd w:id="78"/>
      <w:bookmarkEnd w:id="79"/>
      <w:bookmarkEnd w:id="80"/>
      <w:r>
        <w:rPr>
          <w:rFonts w:hint="eastAsia" w:ascii="宋体" w:hAnsi="宋体" w:eastAsia="宋体" w:cs="宋体"/>
          <w:highlight w:val="none"/>
        </w:rPr>
        <w:t>及相关事宜</w:t>
      </w:r>
      <w:bookmarkEnd w:id="81"/>
      <w:bookmarkEnd w:id="82"/>
      <w:bookmarkEnd w:id="83"/>
      <w:bookmarkEnd w:id="84"/>
    </w:p>
    <w:p>
      <w:pPr>
        <w:pStyle w:val="13"/>
        <w:adjustRightInd w:val="0"/>
        <w:spacing w:line="400" w:lineRule="exact"/>
        <w:rPr>
          <w:rFonts w:hint="eastAsia" w:ascii="宋体" w:hAnsi="宋体" w:eastAsia="宋体" w:cs="宋体"/>
          <w:highlight w:val="none"/>
          <w:lang w:val="en-US" w:eastAsia="zh-CN"/>
        </w:rPr>
      </w:pPr>
      <w:bookmarkStart w:id="85" w:name="_Toc152042293"/>
      <w:bookmarkStart w:id="86" w:name="_Toc21615"/>
      <w:bookmarkStart w:id="87" w:name="_Toc246996907"/>
      <w:bookmarkStart w:id="88" w:name="_Toc152045517"/>
      <w:bookmarkStart w:id="89" w:name="_Toc11329219"/>
      <w:bookmarkStart w:id="90" w:name="_Toc247085678"/>
      <w:bookmarkStart w:id="91" w:name="_Toc507319897"/>
      <w:bookmarkStart w:id="92" w:name="_Toc179632534"/>
      <w:bookmarkStart w:id="93" w:name="_Toc393"/>
      <w:bookmarkStart w:id="94" w:name="_Toc246996164"/>
      <w:bookmarkStart w:id="95" w:name="_Toc144974485"/>
      <w:bookmarkStart w:id="96" w:name="_Toc18402"/>
      <w:r>
        <w:rPr>
          <w:rFonts w:hint="eastAsia" w:ascii="宋体" w:hAnsi="宋体" w:eastAsia="宋体" w:cs="宋体"/>
          <w:highlight w:val="none"/>
          <w:lang w:val="en-US" w:eastAsia="zh-CN"/>
        </w:rPr>
        <w:t>6.1报价截止时间和开标时间：202</w:t>
      </w:r>
      <w:r>
        <w:rPr>
          <w:rFonts w:hint="eastAsia" w:ascii="宋体" w:hAnsi="宋体" w:cs="宋体"/>
          <w:highlight w:val="none"/>
          <w:lang w:val="en-US" w:eastAsia="zh-CN"/>
        </w:rPr>
        <w:t>4</w:t>
      </w:r>
      <w:r>
        <w:rPr>
          <w:rFonts w:hint="eastAsia" w:ascii="宋体" w:hAnsi="宋体" w:eastAsia="宋体" w:cs="宋体"/>
          <w:highlight w:val="none"/>
          <w:lang w:val="en-US" w:eastAsia="zh-CN"/>
        </w:rPr>
        <w:t>年</w:t>
      </w:r>
      <w:r>
        <w:rPr>
          <w:rFonts w:hint="eastAsia" w:ascii="宋体" w:hAnsi="宋体" w:cs="宋体"/>
          <w:highlight w:val="none"/>
          <w:lang w:val="en-US" w:eastAsia="zh-CN"/>
        </w:rPr>
        <w:t>9</w:t>
      </w:r>
      <w:r>
        <w:rPr>
          <w:rFonts w:hint="eastAsia" w:ascii="宋体" w:hAnsi="宋体" w:eastAsia="宋体" w:cs="宋体"/>
          <w:highlight w:val="none"/>
          <w:lang w:val="en-US" w:eastAsia="zh-CN"/>
        </w:rPr>
        <w:t>月</w:t>
      </w:r>
      <w:r>
        <w:rPr>
          <w:rFonts w:hint="eastAsia" w:ascii="宋体" w:hAnsi="宋体" w:cs="宋体"/>
          <w:highlight w:val="none"/>
          <w:lang w:val="en-US" w:eastAsia="zh-CN"/>
        </w:rPr>
        <w:t>6</w:t>
      </w:r>
      <w:r>
        <w:rPr>
          <w:rFonts w:hint="eastAsia" w:ascii="宋体" w:hAnsi="宋体" w:eastAsia="宋体" w:cs="宋体"/>
          <w:highlight w:val="none"/>
          <w:lang w:val="en-US" w:eastAsia="zh-CN"/>
        </w:rPr>
        <w:t>日上午10时00分（北京时间）。</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w:t>
      </w:r>
      <w:r>
        <w:rPr>
          <w:rFonts w:hint="eastAsia" w:ascii="宋体" w:hAnsi="宋体" w:eastAsia="宋体" w:cs="宋体"/>
          <w:highlight w:val="none"/>
          <w:lang w:val="en-US" w:eastAsia="zh-CN"/>
        </w:rPr>
        <w:t>2</w:t>
      </w:r>
      <w:r>
        <w:rPr>
          <w:rFonts w:hint="default" w:ascii="宋体" w:hAnsi="宋体" w:eastAsia="宋体" w:cs="宋体"/>
          <w:highlight w:val="none"/>
          <w:lang w:val="en-US" w:eastAsia="zh-CN"/>
        </w:rPr>
        <w:t xml:space="preserve"> 报价的递交方式：现场递交或邮寄，若采用现场递交方式须在报价截止当天将文件送达并参与现场开标；若采用邮寄方式需在报价截止时间之前将响应文件邮寄到达递交地址，并按要求进行密封，否则采购人有权拒收，采用邮寄方式的报价人默认认可采购人的开标结果，不得由此提出任何质疑。</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.3 递交地址：重庆市渝北区新南路52号东界龙湖</w:t>
      </w:r>
      <w:r>
        <w:rPr>
          <w:rFonts w:hint="eastAsia" w:ascii="宋体" w:hAnsi="宋体" w:cs="宋体"/>
          <w:highlight w:val="none"/>
          <w:lang w:val="en-US" w:eastAsia="zh-CN"/>
        </w:rPr>
        <w:t>一</w:t>
      </w:r>
      <w:r>
        <w:rPr>
          <w:rFonts w:hint="default" w:ascii="宋体" w:hAnsi="宋体" w:eastAsia="宋体" w:cs="宋体"/>
          <w:highlight w:val="none"/>
          <w:lang w:val="en-US" w:eastAsia="zh-CN"/>
        </w:rPr>
        <w:t>楼。</w:t>
      </w:r>
    </w:p>
    <w:p>
      <w:pPr>
        <w:pStyle w:val="13"/>
        <w:adjustRightInd w:val="0"/>
        <w:spacing w:line="400" w:lineRule="exact"/>
        <w:rPr>
          <w:rFonts w:hint="default" w:ascii="宋体" w:hAnsi="宋体" w:eastAsia="宋体" w:cs="宋体"/>
          <w:highlight w:val="none"/>
          <w:lang w:val="en-US" w:eastAsia="zh-CN"/>
        </w:rPr>
      </w:pPr>
      <w:r>
        <w:rPr>
          <w:rFonts w:hint="eastAsia" w:ascii="宋体" w:hAnsi="宋体" w:eastAsia="宋体" w:cs="宋体"/>
          <w:highlight w:val="none"/>
          <w:lang w:val="en-US" w:eastAsia="zh-CN"/>
        </w:rPr>
        <w:t>6</w:t>
      </w:r>
      <w:r>
        <w:rPr>
          <w:rFonts w:hint="default" w:ascii="宋体" w:hAnsi="宋体" w:eastAsia="宋体" w:cs="宋体"/>
          <w:highlight w:val="none"/>
          <w:lang w:val="en-US" w:eastAsia="zh-CN"/>
        </w:rPr>
        <w:t>.4 逾期送达，或未送达指定地点，或未密封的竞争性比选响应文件，采购人不予受理。</w:t>
      </w:r>
    </w:p>
    <w:p>
      <w:pPr>
        <w:pStyle w:val="13"/>
        <w:adjustRightInd w:val="0"/>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6.5采购人不组织</w:t>
      </w:r>
      <w:r>
        <w:rPr>
          <w:rFonts w:hint="eastAsia" w:ascii="宋体" w:hAnsi="宋体" w:cs="宋体"/>
          <w:highlight w:val="none"/>
          <w:lang w:val="en-US" w:eastAsia="zh-CN"/>
        </w:rPr>
        <w:t>项目</w:t>
      </w:r>
      <w:r>
        <w:rPr>
          <w:rFonts w:hint="eastAsia" w:ascii="宋体" w:hAnsi="宋体" w:eastAsia="宋体" w:cs="宋体"/>
          <w:highlight w:val="none"/>
          <w:lang w:val="en-US" w:eastAsia="zh-CN"/>
        </w:rPr>
        <w:t>现场踏勘，不召开报价预备会。</w:t>
      </w:r>
    </w:p>
    <w:p>
      <w:pPr>
        <w:pStyle w:val="4"/>
        <w:spacing w:before="120" w:after="0" w:line="400" w:lineRule="exact"/>
        <w:rPr>
          <w:rFonts w:ascii="宋体" w:hAnsi="宋体" w:eastAsia="宋体" w:cs="宋体"/>
          <w:highlight w:val="none"/>
        </w:rPr>
      </w:pPr>
      <w:bookmarkStart w:id="97" w:name="_Toc12272"/>
      <w:r>
        <w:rPr>
          <w:rFonts w:hint="eastAsia" w:ascii="宋体" w:hAnsi="宋体" w:eastAsia="宋体" w:cs="宋体"/>
          <w:highlight w:val="none"/>
          <w:lang w:val="en-US" w:eastAsia="zh-CN"/>
        </w:rPr>
        <w:t>7</w:t>
      </w:r>
      <w:r>
        <w:rPr>
          <w:rFonts w:hint="eastAsia" w:ascii="宋体" w:hAnsi="宋体" w:eastAsia="宋体" w:cs="宋体"/>
          <w:highlight w:val="none"/>
        </w:rPr>
        <w:t>.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Style w:val="43"/>
        <w:tblW w:w="9388" w:type="dxa"/>
        <w:tblInd w:w="0" w:type="dxa"/>
        <w:tblLayout w:type="fixed"/>
        <w:tblCellMar>
          <w:top w:w="0" w:type="dxa"/>
          <w:left w:w="108" w:type="dxa"/>
          <w:bottom w:w="0" w:type="dxa"/>
          <w:right w:w="108" w:type="dxa"/>
        </w:tblCellMar>
      </w:tblPr>
      <w:tblGrid>
        <w:gridCol w:w="9388"/>
      </w:tblGrid>
      <w:tr>
        <w:tblPrEx>
          <w:tblCellMar>
            <w:top w:w="0" w:type="dxa"/>
            <w:left w:w="108" w:type="dxa"/>
            <w:bottom w:w="0" w:type="dxa"/>
            <w:right w:w="108" w:type="dxa"/>
          </w:tblCellMar>
        </w:tblPrEx>
        <w:trPr>
          <w:trHeight w:val="470" w:hRule="atLeast"/>
        </w:trPr>
        <w:tc>
          <w:tcPr>
            <w:tcW w:w="9388"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r>
      <w:tr>
        <w:tblPrEx>
          <w:tblCellMar>
            <w:top w:w="0" w:type="dxa"/>
            <w:left w:w="108" w:type="dxa"/>
            <w:bottom w:w="0" w:type="dxa"/>
            <w:right w:w="108" w:type="dxa"/>
          </w:tblCellMar>
        </w:tblPrEx>
        <w:trPr>
          <w:trHeight w:val="461" w:hRule="atLeast"/>
        </w:trPr>
        <w:tc>
          <w:tcPr>
            <w:tcW w:w="9388" w:type="dxa"/>
            <w:vAlign w:val="center"/>
          </w:tcPr>
          <w:p>
            <w:pPr>
              <w:keepNext w:val="0"/>
              <w:keepLines w:val="0"/>
              <w:widowControl w:val="0"/>
              <w:suppressLineNumbers w:val="0"/>
              <w:topLinePunct/>
              <w:spacing w:before="0" w:beforeAutospacing="0" w:after="0" w:afterAutospacing="0" w:line="400" w:lineRule="exact"/>
              <w:ind w:left="1050" w:leftChars="200" w:right="0" w:hanging="630" w:hangingChars="300"/>
              <w:jc w:val="both"/>
              <w:rPr>
                <w:rFonts w:hint="default" w:ascii="宋体" w:hAnsi="宋体" w:cs="宋体"/>
                <w:szCs w:val="21"/>
                <w:highlight w:val="none"/>
                <w:lang w:val="en-US"/>
              </w:rPr>
            </w:pPr>
            <w:r>
              <w:rPr>
                <w:rFonts w:hint="eastAsia" w:ascii="宋体" w:hAnsi="宋体" w:cs="宋体"/>
                <w:szCs w:val="21"/>
                <w:highlight w:val="none"/>
              </w:rPr>
              <w:t>地址：</w:t>
            </w:r>
            <w:r>
              <w:rPr>
                <w:rFonts w:hint="eastAsia" w:ascii="宋体" w:hAnsi="宋体" w:cs="宋体"/>
                <w:szCs w:val="21"/>
                <w:highlight w:val="none"/>
                <w:lang w:val="en-US" w:eastAsia="zh-CN"/>
              </w:rPr>
              <w:t>重庆市渝北区新南路52号东界龙湖三楼</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eastAsia="宋体"/>
                <w:highlight w:val="none"/>
                <w:lang w:val="en-US" w:eastAsia="zh-CN"/>
              </w:rPr>
            </w:pPr>
            <w:r>
              <w:rPr>
                <w:rFonts w:hint="eastAsia" w:ascii="宋体" w:hAnsi="宋体" w:cs="宋体"/>
                <w:szCs w:val="21"/>
                <w:highlight w:val="none"/>
              </w:rPr>
              <w:t>商务联系人：</w:t>
            </w:r>
            <w:r>
              <w:rPr>
                <w:rFonts w:hint="eastAsia" w:ascii="宋体" w:hAnsi="宋体" w:cs="宋体"/>
                <w:szCs w:val="21"/>
                <w:highlight w:val="none"/>
                <w:lang w:val="en-US" w:eastAsia="zh-CN"/>
              </w:rPr>
              <w:t>刘</w:t>
            </w:r>
            <w:r>
              <w:rPr>
                <w:rFonts w:hint="eastAsia" w:ascii="宋体" w:hAnsi="宋体" w:cs="宋体"/>
                <w:szCs w:val="21"/>
                <w:highlight w:val="none"/>
              </w:rPr>
              <w:t>老师  电 话：</w:t>
            </w:r>
            <w:r>
              <w:rPr>
                <w:rFonts w:hint="eastAsia" w:ascii="宋体" w:hAnsi="宋体" w:cs="宋体"/>
                <w:szCs w:val="21"/>
                <w:highlight w:val="none"/>
                <w:lang w:val="en-US" w:eastAsia="zh-CN"/>
              </w:rPr>
              <w:t>18623655450</w:t>
            </w:r>
          </w:p>
        </w:tc>
      </w:tr>
      <w:tr>
        <w:tblPrEx>
          <w:tblCellMar>
            <w:top w:w="0" w:type="dxa"/>
            <w:left w:w="108" w:type="dxa"/>
            <w:bottom w:w="0" w:type="dxa"/>
            <w:right w:w="108" w:type="dxa"/>
          </w:tblCellMar>
        </w:tblPrEx>
        <w:trPr>
          <w:trHeight w:val="405" w:hRule="atLeast"/>
        </w:trPr>
        <w:tc>
          <w:tcPr>
            <w:tcW w:w="9388" w:type="dxa"/>
            <w:vAlign w:val="center"/>
          </w:tcPr>
          <w:p>
            <w:pPr>
              <w:topLinePunct/>
              <w:spacing w:line="42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 xml:space="preserve">技术联系人：方老师  </w:t>
            </w:r>
            <w:r>
              <w:rPr>
                <w:rFonts w:hint="eastAsia" w:ascii="宋体" w:hAnsi="宋体" w:cs="宋体"/>
                <w:szCs w:val="21"/>
                <w:highlight w:val="none"/>
              </w:rPr>
              <w:t>电 话：</w:t>
            </w:r>
            <w:r>
              <w:rPr>
                <w:rFonts w:hint="eastAsia" w:ascii="宋体" w:hAnsi="宋体" w:cs="宋体"/>
                <w:szCs w:val="21"/>
                <w:highlight w:val="none"/>
                <w:lang w:val="en-US" w:eastAsia="zh-CN"/>
              </w:rPr>
              <w:t>18523811039</w:t>
            </w:r>
          </w:p>
        </w:tc>
      </w:tr>
    </w:tbl>
    <w:p>
      <w:pPr>
        <w:rPr>
          <w:highlight w:val="none"/>
        </w:rPr>
      </w:pPr>
    </w:p>
    <w:p>
      <w:pPr>
        <w:pStyle w:val="28"/>
        <w:rPr>
          <w:highlight w:val="none"/>
        </w:rPr>
      </w:pPr>
    </w:p>
    <w:p>
      <w:pPr>
        <w:rPr>
          <w:highlight w:val="none"/>
        </w:rPr>
      </w:pPr>
    </w:p>
    <w:p>
      <w:pPr>
        <w:pStyle w:val="12"/>
        <w:rPr>
          <w:highlight w:val="none"/>
        </w:rPr>
      </w:pPr>
    </w:p>
    <w:p>
      <w:pPr>
        <w:rPr>
          <w:highlight w:val="none"/>
        </w:rPr>
      </w:pPr>
    </w:p>
    <w:p>
      <w:pPr>
        <w:pStyle w:val="2"/>
        <w:rPr>
          <w:highlight w:val="none"/>
        </w:rPr>
      </w:pPr>
    </w:p>
    <w:p>
      <w:pPr>
        <w:rPr>
          <w:highlight w:val="none"/>
        </w:rPr>
      </w:pPr>
    </w:p>
    <w:p>
      <w:pPr>
        <w:pStyle w:val="2"/>
      </w:pPr>
    </w:p>
    <w:p>
      <w:pPr>
        <w:rPr>
          <w:highlight w:val="none"/>
        </w:rPr>
      </w:pPr>
    </w:p>
    <w:bookmarkEnd w:id="16"/>
    <w:bookmarkEnd w:id="17"/>
    <w:p>
      <w:pPr>
        <w:pStyle w:val="3"/>
        <w:spacing w:before="0" w:after="0" w:line="360" w:lineRule="auto"/>
        <w:jc w:val="both"/>
        <w:rPr>
          <w:rFonts w:hint="eastAsia" w:ascii="宋体" w:hAnsi="宋体" w:cs="宋体"/>
          <w:highlight w:val="none"/>
        </w:rPr>
      </w:pPr>
      <w:bookmarkStart w:id="98" w:name="_Toc247085687"/>
      <w:bookmarkStart w:id="99" w:name="_Toc29948"/>
      <w:bookmarkStart w:id="100" w:name="_Toc144974495"/>
      <w:bookmarkStart w:id="101" w:name="_Toc246996173"/>
      <w:bookmarkStart w:id="102" w:name="_Toc2000405"/>
      <w:bookmarkStart w:id="103" w:name="_Toc507319898"/>
      <w:bookmarkStart w:id="104" w:name="_Toc152045527"/>
      <w:bookmarkStart w:id="105" w:name="_Toc179632544"/>
      <w:bookmarkStart w:id="106" w:name="_Toc246996916"/>
      <w:bookmarkStart w:id="107" w:name="_Toc152042303"/>
    </w:p>
    <w:p>
      <w:pPr>
        <w:pStyle w:val="3"/>
        <w:spacing w:before="0" w:after="0" w:line="360" w:lineRule="auto"/>
        <w:jc w:val="center"/>
        <w:rPr>
          <w:rFonts w:ascii="宋体" w:hAnsi="宋体" w:cs="宋体"/>
          <w:highlight w:val="none"/>
        </w:rPr>
      </w:pPr>
      <w:r>
        <w:rPr>
          <w:rFonts w:hint="eastAsia" w:ascii="宋体" w:hAnsi="宋体" w:cs="宋体"/>
          <w:highlight w:val="none"/>
        </w:rPr>
        <w:t>第二章 报价人须知</w:t>
      </w:r>
      <w:bookmarkEnd w:id="98"/>
      <w:bookmarkEnd w:id="99"/>
      <w:bookmarkEnd w:id="100"/>
      <w:bookmarkEnd w:id="101"/>
      <w:bookmarkEnd w:id="102"/>
      <w:bookmarkEnd w:id="103"/>
      <w:bookmarkEnd w:id="104"/>
      <w:bookmarkEnd w:id="105"/>
      <w:bookmarkEnd w:id="106"/>
      <w:bookmarkEnd w:id="107"/>
    </w:p>
    <w:p>
      <w:pPr>
        <w:rPr>
          <w:highlight w:val="none"/>
        </w:rPr>
      </w:pPr>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092"/>
        <w:gridCol w:w="7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349" w:type="pct"/>
            <w:vAlign w:val="center"/>
          </w:tcPr>
          <w:p>
            <w:pPr>
              <w:spacing w:line="400" w:lineRule="exact"/>
              <w:jc w:val="center"/>
              <w:rPr>
                <w:rFonts w:ascii="宋体" w:hAnsi="宋体" w:cs="宋体"/>
                <w:b/>
                <w:kern w:val="0"/>
                <w:szCs w:val="21"/>
                <w:highlight w:val="none"/>
              </w:rPr>
            </w:pPr>
            <w:bookmarkStart w:id="108" w:name="_Toc326760840"/>
            <w:r>
              <w:rPr>
                <w:rFonts w:hint="eastAsia" w:ascii="宋体" w:hAnsi="宋体" w:cs="宋体"/>
                <w:b/>
                <w:kern w:val="0"/>
                <w:szCs w:val="21"/>
                <w:highlight w:val="none"/>
              </w:rPr>
              <w:t>序号</w:t>
            </w:r>
          </w:p>
        </w:tc>
        <w:tc>
          <w:tcPr>
            <w:tcW w:w="1062" w:type="pct"/>
            <w:vAlign w:val="center"/>
          </w:tcPr>
          <w:p>
            <w:pPr>
              <w:spacing w:line="40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3587" w:type="pct"/>
            <w:vAlign w:val="center"/>
          </w:tcPr>
          <w:p>
            <w:pPr>
              <w:spacing w:line="400" w:lineRule="exact"/>
              <w:ind w:firstLine="422" w:firstLineChars="200"/>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w:t>
            </w:r>
          </w:p>
        </w:tc>
        <w:tc>
          <w:tcPr>
            <w:tcW w:w="3587"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采购人：重庆首讯科技股份有限公司</w:t>
            </w:r>
          </w:p>
          <w:p>
            <w:pPr>
              <w:ind w:left="420"/>
              <w:rPr>
                <w:rFonts w:hint="eastAsia" w:ascii="宋体" w:hAnsi="宋体" w:eastAsia="宋体" w:cs="宋体"/>
                <w:szCs w:val="21"/>
                <w:highlight w:val="none"/>
                <w:shd w:val="clear" w:color="auto" w:fill="FFFFFF"/>
                <w:lang w:eastAsia="zh-CN"/>
              </w:rPr>
            </w:pPr>
            <w:r>
              <w:rPr>
                <w:rFonts w:hint="eastAsia" w:ascii="宋体" w:hAnsi="宋体" w:cs="宋体"/>
                <w:szCs w:val="21"/>
                <w:highlight w:val="none"/>
                <w:shd w:val="clear" w:color="auto" w:fill="FFFFFF"/>
              </w:rPr>
              <w:t>地  址：</w:t>
            </w:r>
            <w:r>
              <w:rPr>
                <w:rFonts w:hint="eastAsia" w:ascii="宋体" w:hAnsi="宋体" w:cs="宋体"/>
                <w:szCs w:val="21"/>
                <w:highlight w:val="none"/>
                <w:lang w:val="en-US" w:eastAsia="zh-CN"/>
              </w:rPr>
              <w:t>重庆市渝北区新南路52号东界龙湖三楼</w:t>
            </w:r>
          </w:p>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联系人：</w:t>
            </w:r>
            <w:r>
              <w:rPr>
                <w:rFonts w:hint="eastAsia" w:ascii="宋体" w:hAnsi="宋体" w:cs="宋体"/>
                <w:szCs w:val="21"/>
                <w:highlight w:val="none"/>
                <w:shd w:val="clear" w:color="auto" w:fill="FFFFFF"/>
                <w:lang w:val="en-US" w:eastAsia="zh-CN"/>
              </w:rPr>
              <w:t>刘</w:t>
            </w:r>
            <w:r>
              <w:rPr>
                <w:rFonts w:hint="eastAsia" w:ascii="宋体" w:hAnsi="宋体" w:cs="宋体"/>
                <w:szCs w:val="21"/>
                <w:highlight w:val="none"/>
                <w:shd w:val="clear" w:color="auto" w:fill="FFFFFF"/>
              </w:rPr>
              <w:t>老师</w:t>
            </w:r>
          </w:p>
          <w:p>
            <w:pPr>
              <w:ind w:left="420"/>
              <w:rPr>
                <w:rFonts w:hint="default" w:eastAsia="宋体"/>
                <w:highlight w:val="none"/>
                <w:lang w:val="en-US" w:eastAsia="zh-CN"/>
              </w:rPr>
            </w:pPr>
            <w:r>
              <w:rPr>
                <w:rFonts w:hint="eastAsia" w:ascii="宋体" w:hAnsi="宋体" w:cs="宋体"/>
                <w:szCs w:val="21"/>
                <w:highlight w:val="none"/>
                <w:shd w:val="clear" w:color="auto" w:fill="FFFFFF"/>
              </w:rPr>
              <w:t>电  话：</w:t>
            </w:r>
            <w:r>
              <w:rPr>
                <w:rFonts w:hint="eastAsia" w:ascii="宋体" w:hAnsi="宋体" w:cs="宋体"/>
                <w:szCs w:val="21"/>
                <w:highlight w:val="none"/>
                <w:shd w:val="clear" w:color="auto" w:fill="FFFFFF"/>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2</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项目名称</w:t>
            </w:r>
          </w:p>
        </w:tc>
        <w:tc>
          <w:tcPr>
            <w:tcW w:w="3587" w:type="pct"/>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val="en-US" w:eastAsia="zh-CN"/>
              </w:rPr>
              <w:t>四公里办公大楼外墙综合整治、室内基装整改项目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3</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项目地点</w:t>
            </w:r>
          </w:p>
        </w:tc>
        <w:tc>
          <w:tcPr>
            <w:tcW w:w="3587" w:type="pct"/>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4</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比选范围</w:t>
            </w:r>
          </w:p>
        </w:tc>
        <w:tc>
          <w:tcPr>
            <w:tcW w:w="3587" w:type="pct"/>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5</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工期要求</w:t>
            </w:r>
          </w:p>
        </w:tc>
        <w:tc>
          <w:tcPr>
            <w:tcW w:w="3587" w:type="pct"/>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6</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质量要求</w:t>
            </w:r>
          </w:p>
        </w:tc>
        <w:tc>
          <w:tcPr>
            <w:tcW w:w="3587" w:type="pct"/>
          </w:tcPr>
          <w:p>
            <w:pPr>
              <w:spacing w:line="400" w:lineRule="exact"/>
              <w:ind w:firstLine="420" w:firstLineChars="200"/>
              <w:rPr>
                <w:rFonts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7</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安全目标</w:t>
            </w:r>
          </w:p>
        </w:tc>
        <w:tc>
          <w:tcPr>
            <w:tcW w:w="3587" w:type="pct"/>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8</w:t>
            </w:r>
          </w:p>
        </w:tc>
        <w:tc>
          <w:tcPr>
            <w:tcW w:w="1062" w:type="pct"/>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报价人资质条件、能力与信誉</w:t>
            </w:r>
          </w:p>
        </w:tc>
        <w:tc>
          <w:tcPr>
            <w:tcW w:w="3587" w:type="pct"/>
            <w:vAlign w:val="center"/>
          </w:tcPr>
          <w:p>
            <w:pPr>
              <w:numPr>
                <w:ilvl w:val="0"/>
                <w:numId w:val="2"/>
              </w:numPr>
              <w:spacing w:line="400" w:lineRule="exact"/>
              <w:ind w:firstLine="420" w:firstLineChars="200"/>
              <w:rPr>
                <w:highlight w:val="none"/>
              </w:rPr>
            </w:pPr>
            <w:r>
              <w:rPr>
                <w:rFonts w:hint="eastAsia" w:ascii="宋体" w:hAnsi="宋体" w:cs="宋体"/>
                <w:szCs w:val="21"/>
                <w:highlight w:val="none"/>
              </w:rPr>
              <w:t>资质条件：见比选公告3.1</w:t>
            </w:r>
          </w:p>
          <w:p>
            <w:pPr>
              <w:spacing w:line="400" w:lineRule="exact"/>
              <w:ind w:firstLine="420" w:firstLineChars="200"/>
              <w:rPr>
                <w:highlight w:val="none"/>
              </w:rPr>
            </w:pPr>
            <w:r>
              <w:rPr>
                <w:rFonts w:hint="eastAsia" w:ascii="宋体" w:hAnsi="宋体" w:cs="宋体"/>
                <w:szCs w:val="21"/>
                <w:highlight w:val="none"/>
              </w:rPr>
              <w:t>（2）授权要求：见比选公告3.2</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（3）业绩要求：见比选公告3.3</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（4）信誉要求：见比选公告3.4</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（5）项目主要人员要求：见附录1</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（6）其他要求：见附录2、见附录3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9</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是否接受</w:t>
            </w:r>
          </w:p>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联合体报价</w:t>
            </w:r>
          </w:p>
        </w:tc>
        <w:tc>
          <w:tcPr>
            <w:tcW w:w="3587"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10</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踏勘现场</w:t>
            </w:r>
          </w:p>
        </w:tc>
        <w:tc>
          <w:tcPr>
            <w:tcW w:w="3587"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11</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分包</w:t>
            </w:r>
          </w:p>
        </w:tc>
        <w:tc>
          <w:tcPr>
            <w:tcW w:w="3587" w:type="pct"/>
            <w:vAlign w:val="center"/>
          </w:tcPr>
          <w:p>
            <w:pPr>
              <w:spacing w:line="400" w:lineRule="exact"/>
              <w:ind w:firstLine="420" w:firstLineChars="200"/>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12</w:t>
            </w:r>
          </w:p>
        </w:tc>
        <w:tc>
          <w:tcPr>
            <w:tcW w:w="1062" w:type="pct"/>
            <w:vAlign w:val="center"/>
          </w:tcPr>
          <w:p>
            <w:pPr>
              <w:ind w:left="420"/>
              <w:rPr>
                <w:rFonts w:ascii="宋体" w:hAnsi="宋体" w:cs="宋体"/>
                <w:szCs w:val="21"/>
                <w:highlight w:val="none"/>
                <w:shd w:val="clear" w:color="auto" w:fill="FFFFFF"/>
              </w:rPr>
            </w:pPr>
            <w:r>
              <w:rPr>
                <w:rFonts w:hint="eastAsia" w:ascii="宋体" w:hAnsi="宋体" w:cs="宋体"/>
                <w:szCs w:val="21"/>
                <w:highlight w:val="none"/>
                <w:shd w:val="clear" w:color="auto" w:fill="FFFFFF"/>
              </w:rPr>
              <w:t>偏差</w:t>
            </w:r>
          </w:p>
        </w:tc>
        <w:tc>
          <w:tcPr>
            <w:tcW w:w="3587" w:type="pct"/>
            <w:vAlign w:val="center"/>
          </w:tcPr>
          <w:p>
            <w:pPr>
              <w:spacing w:line="400" w:lineRule="exact"/>
              <w:ind w:firstLine="422" w:firstLineChars="200"/>
              <w:rPr>
                <w:rFonts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49" w:type="pct"/>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13</w:t>
            </w:r>
          </w:p>
        </w:tc>
        <w:tc>
          <w:tcPr>
            <w:tcW w:w="1062" w:type="pct"/>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构成比选文件的其他材料</w:t>
            </w:r>
          </w:p>
        </w:tc>
        <w:tc>
          <w:tcPr>
            <w:tcW w:w="3587" w:type="pct"/>
            <w:vAlign w:val="center"/>
          </w:tcPr>
          <w:p>
            <w:pPr>
              <w:spacing w:line="440" w:lineRule="exact"/>
              <w:ind w:firstLine="420" w:firstLineChars="200"/>
              <w:rPr>
                <w:rFonts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349" w:type="pct"/>
            <w:vAlign w:val="center"/>
          </w:tcPr>
          <w:p>
            <w:pPr>
              <w:spacing w:line="400" w:lineRule="exact"/>
              <w:jc w:val="center"/>
              <w:rPr>
                <w:rFonts w:ascii="宋体" w:hAnsi="宋体" w:cs="宋体"/>
                <w:kern w:val="0"/>
                <w:szCs w:val="21"/>
                <w:highlight w:val="none"/>
              </w:rPr>
            </w:pPr>
            <w:bookmarkStart w:id="109" w:name="_Hlt227984024"/>
            <w:bookmarkEnd w:id="109"/>
            <w:r>
              <w:rPr>
                <w:rFonts w:hint="eastAsia" w:ascii="宋体" w:hAnsi="宋体" w:cs="宋体"/>
                <w:kern w:val="0"/>
                <w:szCs w:val="21"/>
                <w:highlight w:val="none"/>
              </w:rPr>
              <w:t>14</w:t>
            </w:r>
          </w:p>
        </w:tc>
        <w:tc>
          <w:tcPr>
            <w:tcW w:w="1062" w:type="pct"/>
            <w:vAlign w:val="center"/>
          </w:tcPr>
          <w:p>
            <w:pPr>
              <w:rPr>
                <w:rFonts w:ascii="宋体" w:hAnsi="宋体" w:cs="宋体"/>
                <w:szCs w:val="21"/>
                <w:highlight w:val="none"/>
                <w:shd w:val="clear" w:color="auto" w:fill="FFFFFF"/>
              </w:rPr>
            </w:pPr>
            <w:r>
              <w:rPr>
                <w:rFonts w:hint="eastAsia" w:ascii="宋体" w:hAnsi="宋体" w:cs="宋体"/>
                <w:szCs w:val="21"/>
                <w:highlight w:val="none"/>
                <w:shd w:val="clear" w:color="auto" w:fill="FFFFFF"/>
              </w:rPr>
              <w:t>构成竞争性比选响应文件的其他材料</w:t>
            </w:r>
          </w:p>
        </w:tc>
        <w:tc>
          <w:tcPr>
            <w:tcW w:w="3587" w:type="pct"/>
            <w:vAlign w:val="center"/>
          </w:tcPr>
          <w:p>
            <w:pPr>
              <w:pStyle w:val="149"/>
              <w:spacing w:before="72" w:line="400" w:lineRule="exact"/>
              <w:ind w:firstLine="420" w:firstLineChars="200"/>
              <w:jc w:val="both"/>
              <w:rPr>
                <w:rFonts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15</w:t>
            </w:r>
          </w:p>
        </w:tc>
        <w:tc>
          <w:tcPr>
            <w:tcW w:w="1062" w:type="pct"/>
            <w:tcBorders>
              <w:bottom w:val="single" w:color="auto" w:sz="4" w:space="0"/>
            </w:tcBorders>
            <w:vAlign w:val="center"/>
          </w:tcPr>
          <w:p>
            <w:pPr>
              <w:jc w:val="center"/>
              <w:rPr>
                <w:rFonts w:ascii="宋体" w:hAnsi="宋体" w:cs="宋体"/>
                <w:szCs w:val="21"/>
                <w:highlight w:val="none"/>
                <w:shd w:val="clear" w:color="auto" w:fill="FFFFFF"/>
              </w:rPr>
            </w:pPr>
            <w:r>
              <w:rPr>
                <w:rFonts w:hint="eastAsia" w:ascii="宋体" w:hAnsi="宋体" w:cs="宋体"/>
                <w:szCs w:val="21"/>
                <w:highlight w:val="none"/>
                <w:shd w:val="clear" w:color="auto" w:fill="FFFFFF"/>
              </w:rPr>
              <w:t>工程量清单的填写方式</w:t>
            </w:r>
          </w:p>
        </w:tc>
        <w:tc>
          <w:tcPr>
            <w:tcW w:w="3587" w:type="pct"/>
            <w:tcBorders>
              <w:bottom w:val="single" w:color="auto" w:sz="4" w:space="0"/>
            </w:tcBorders>
          </w:tcPr>
          <w:p>
            <w:pPr>
              <w:spacing w:line="400" w:lineRule="exact"/>
              <w:ind w:firstLine="420" w:firstLineChars="200"/>
              <w:jc w:val="left"/>
              <w:rPr>
                <w:rFonts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16</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最高投标限价</w:t>
            </w:r>
          </w:p>
        </w:tc>
        <w:tc>
          <w:tcPr>
            <w:tcW w:w="3587" w:type="pct"/>
            <w:tcBorders>
              <w:bottom w:val="single" w:color="auto" w:sz="4" w:space="0"/>
            </w:tcBorders>
          </w:tcPr>
          <w:p>
            <w:pPr>
              <w:spacing w:line="400" w:lineRule="exact"/>
              <w:ind w:firstLine="422" w:firstLineChars="200"/>
              <w:rPr>
                <w:rFonts w:ascii="宋体" w:hAnsi="宋体" w:cs="宋体"/>
                <w:b/>
                <w:bCs/>
                <w:kern w:val="0"/>
                <w:szCs w:val="21"/>
                <w:highlight w:val="none"/>
              </w:rPr>
            </w:pPr>
            <w:r>
              <w:rPr>
                <w:rFonts w:hint="eastAsia" w:ascii="宋体" w:hAnsi="宋体"/>
                <w:b/>
                <w:bCs/>
                <w:szCs w:val="21"/>
                <w:highlight w:val="none"/>
                <w:lang w:val="en-US" w:eastAsia="zh-CN"/>
              </w:rPr>
              <w:t>四公里办公大楼外墙综合整治、室内基装整改项目</w:t>
            </w:r>
            <w:r>
              <w:rPr>
                <w:rFonts w:hint="eastAsia" w:ascii="宋体" w:hAnsi="宋体"/>
                <w:b/>
                <w:bCs/>
                <w:szCs w:val="21"/>
                <w:highlight w:val="none"/>
              </w:rPr>
              <w:t>最高限价355033.26元</w:t>
            </w:r>
            <w:r>
              <w:rPr>
                <w:rFonts w:hint="eastAsia" w:ascii="宋体" w:hAnsi="宋体"/>
                <w:b/>
                <w:bCs/>
                <w:szCs w:val="21"/>
                <w:highlight w:val="none"/>
                <w:lang w:eastAsia="zh-CN"/>
              </w:rPr>
              <w:t>，</w:t>
            </w:r>
            <w:r>
              <w:rPr>
                <w:rFonts w:hint="eastAsia" w:ascii="宋体" w:hAnsi="宋体"/>
                <w:b/>
                <w:bCs/>
                <w:szCs w:val="21"/>
                <w:highlight w:val="none"/>
                <w:lang w:val="en-US" w:eastAsia="zh-CN"/>
              </w:rPr>
              <w:t>其中安全生产费为12572.08元</w:t>
            </w:r>
            <w:r>
              <w:rPr>
                <w:rFonts w:hint="eastAsia" w:ascii="宋体" w:hAnsi="宋体"/>
                <w:b/>
                <w:bCs/>
                <w:szCs w:val="21"/>
                <w:highlight w:val="none"/>
              </w:rPr>
              <w:t>。</w:t>
            </w:r>
            <w:r>
              <w:rPr>
                <w:rFonts w:hint="eastAsia" w:ascii="宋体" w:hAnsi="宋体"/>
                <w:b/>
                <w:bCs/>
                <w:szCs w:val="21"/>
                <w:highlight w:val="none"/>
                <w:lang w:val="en-US" w:eastAsia="zh-CN"/>
              </w:rPr>
              <w:t>本项目采用单价限价方式，报价人所报单价不得超过采购人发布的单价限价，若有报价高于采购人发布的单价限价，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17</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合同支付办法</w:t>
            </w:r>
          </w:p>
        </w:tc>
        <w:tc>
          <w:tcPr>
            <w:tcW w:w="3587" w:type="pct"/>
            <w:tcBorders>
              <w:bottom w:val="single" w:color="auto" w:sz="4" w:space="0"/>
            </w:tcBorders>
          </w:tcPr>
          <w:p>
            <w:pPr>
              <w:spacing w:line="440" w:lineRule="exact"/>
              <w:ind w:firstLine="420" w:firstLineChars="200"/>
              <w:rPr>
                <w:rFonts w:hint="default" w:ascii="宋体" w:hAnsi="宋体" w:eastAsia="宋体" w:cs="宋体"/>
                <w:szCs w:val="21"/>
                <w:highlight w:val="none"/>
                <w:lang w:val="en-US" w:eastAsia="zh-CN"/>
              </w:rPr>
            </w:pPr>
            <w:bookmarkStart w:id="110" w:name="_Hlk132637631"/>
            <w:r>
              <w:rPr>
                <w:rFonts w:hint="eastAsia" w:ascii="宋体" w:hAnsi="宋体" w:eastAsia="宋体" w:cs="宋体"/>
                <w:szCs w:val="21"/>
                <w:highlight w:val="none"/>
                <w:lang w:val="en-US" w:eastAsia="zh-CN"/>
              </w:rPr>
              <w:t xml:space="preserve"> 一、工程费用支付：</w:t>
            </w:r>
          </w:p>
          <w:p>
            <w:pPr>
              <w:spacing w:line="44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1</w:t>
            </w:r>
            <w:r>
              <w:rPr>
                <w:rFonts w:hint="default" w:ascii="宋体" w:hAnsi="宋体" w:eastAsia="宋体" w:cs="宋体"/>
                <w:szCs w:val="21"/>
                <w:highlight w:val="none"/>
                <w:lang w:val="en-US" w:eastAsia="zh-CN"/>
              </w:rPr>
              <w:t>）整体交工验收合格，经乙方应提交书面支付申请并提交相关证明资料</w:t>
            </w:r>
            <w:r>
              <w:rPr>
                <w:rFonts w:hint="eastAsia" w:ascii="宋体" w:hAnsi="宋体" w:cs="宋体"/>
                <w:szCs w:val="21"/>
                <w:highlight w:val="none"/>
                <w:lang w:val="en-US" w:eastAsia="zh-CN"/>
              </w:rPr>
              <w:t>后，甲方向乙方支付</w:t>
            </w:r>
            <w:r>
              <w:rPr>
                <w:rFonts w:hint="default" w:ascii="宋体" w:hAnsi="宋体" w:eastAsia="宋体" w:cs="宋体"/>
                <w:szCs w:val="21"/>
                <w:highlight w:val="none"/>
                <w:lang w:val="en-US" w:eastAsia="zh-CN"/>
              </w:rPr>
              <w:t>支付至</w:t>
            </w:r>
            <w:r>
              <w:rPr>
                <w:rFonts w:hint="eastAsia" w:ascii="宋体" w:hAnsi="宋体" w:cs="宋体"/>
                <w:szCs w:val="21"/>
                <w:highlight w:val="none"/>
                <w:lang w:val="en-US" w:eastAsia="zh-CN"/>
              </w:rPr>
              <w:t>结算</w:t>
            </w:r>
            <w:r>
              <w:rPr>
                <w:rFonts w:hint="default" w:ascii="宋体" w:hAnsi="宋体" w:eastAsia="宋体" w:cs="宋体"/>
                <w:szCs w:val="21"/>
                <w:highlight w:val="none"/>
                <w:lang w:val="en-US" w:eastAsia="zh-CN"/>
              </w:rPr>
              <w:t>金额的97%。</w:t>
            </w:r>
          </w:p>
          <w:p>
            <w:pPr>
              <w:spacing w:line="44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2</w:t>
            </w:r>
            <w:r>
              <w:rPr>
                <w:rFonts w:hint="default" w:ascii="宋体" w:hAnsi="宋体" w:eastAsia="宋体" w:cs="宋体"/>
                <w:szCs w:val="21"/>
                <w:highlight w:val="none"/>
                <w:lang w:val="en-US" w:eastAsia="zh-CN"/>
              </w:rPr>
              <w:t>）双方已确认的结算价款的3%作为质量保证金，缺陷责任期（或质保期）两年（从本工程竣（交）工验收合格之日起计算）届满后，由乙方主动提出书面申请，经甲方确认后，30个工作日内全额支付（质量保证金不计任何利息），若乙方未提出书面申请，则相应的延迟责任由乙方自行承担。</w:t>
            </w:r>
          </w:p>
          <w:p>
            <w:pPr>
              <w:spacing w:line="440" w:lineRule="exact"/>
              <w:ind w:firstLine="420" w:firstLineChars="200"/>
              <w:rPr>
                <w:rFonts w:hint="default" w:ascii="宋体" w:hAnsi="宋体" w:eastAsia="宋体" w:cs="宋体"/>
                <w:szCs w:val="21"/>
                <w:highlight w:val="none"/>
                <w:lang w:val="en-US" w:eastAsia="zh-CN"/>
              </w:rPr>
            </w:pPr>
            <w:r>
              <w:rPr>
                <w:rFonts w:hint="default" w:ascii="宋体" w:hAnsi="宋体" w:eastAsia="宋体" w:cs="宋体"/>
                <w:szCs w:val="21"/>
                <w:highlight w:val="none"/>
                <w:lang w:val="en-US" w:eastAsia="zh-CN"/>
              </w:rPr>
              <w:t>（</w:t>
            </w:r>
            <w:r>
              <w:rPr>
                <w:rFonts w:hint="eastAsia" w:ascii="宋体" w:hAnsi="宋体" w:cs="宋体"/>
                <w:szCs w:val="21"/>
                <w:highlight w:val="none"/>
                <w:lang w:val="en-US" w:eastAsia="zh-CN"/>
              </w:rPr>
              <w:t>3</w:t>
            </w:r>
            <w:r>
              <w:rPr>
                <w:rFonts w:hint="default" w:ascii="宋体" w:hAnsi="宋体" w:eastAsia="宋体" w:cs="宋体"/>
                <w:szCs w:val="21"/>
                <w:highlight w:val="none"/>
                <w:lang w:val="en-US" w:eastAsia="zh-CN"/>
              </w:rPr>
              <w:t>）乙方应于甲方每次付款（预付款除外）前提供等额增值税专用发票给甲方。</w:t>
            </w:r>
            <w:bookmarkEnd w:id="110"/>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二、安全文明施工费支付</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（1）工程开工一个月内向乙方支付安全生产费用的50%。安全生产费按实结算，工程竣工结算后结余的安全生产费用，应当退回甲方。</w:t>
            </w:r>
          </w:p>
          <w:p>
            <w:pPr>
              <w:spacing w:line="440" w:lineRule="exact"/>
              <w:ind w:firstLine="420" w:firstLineChars="200"/>
              <w:rPr>
                <w:rFonts w:hint="default"/>
                <w:lang w:val="en-US" w:eastAsia="zh-CN"/>
              </w:rPr>
            </w:pPr>
            <w:r>
              <w:rPr>
                <w:rFonts w:hint="eastAsia" w:ascii="宋体" w:hAnsi="宋体" w:eastAsia="宋体" w:cs="宋体"/>
                <w:szCs w:val="21"/>
                <w:highlight w:val="none"/>
                <w:lang w:val="en-US" w:eastAsia="zh-CN"/>
              </w:rPr>
              <w:t>（2）</w:t>
            </w:r>
            <w:r>
              <w:rPr>
                <w:rFonts w:hint="default" w:ascii="宋体" w:hAnsi="宋体" w:eastAsia="宋体" w:cs="宋体"/>
                <w:szCs w:val="21"/>
                <w:highlight w:val="none"/>
                <w:lang w:val="en-US" w:eastAsia="zh-CN"/>
              </w:rPr>
              <w:t>乙方应按照甲方《关于工程(维护》类安全生产费据实支付的业务指》中安全生产法结算的要求，提供相应结算材料，确保安全生产投入。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349"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kern w:val="0"/>
                <w:szCs w:val="21"/>
                <w:highlight w:val="none"/>
              </w:rPr>
              <w:t>18</w:t>
            </w:r>
          </w:p>
        </w:tc>
        <w:tc>
          <w:tcPr>
            <w:tcW w:w="1062" w:type="pct"/>
            <w:tcBorders>
              <w:bottom w:val="single" w:color="auto" w:sz="4" w:space="0"/>
            </w:tcBorders>
            <w:vAlign w:val="center"/>
          </w:tcPr>
          <w:p>
            <w:pPr>
              <w:spacing w:line="400" w:lineRule="exact"/>
              <w:jc w:val="center"/>
              <w:rPr>
                <w:rFonts w:ascii="宋体" w:hAnsi="宋体" w:cs="宋体"/>
                <w:kern w:val="0"/>
                <w:szCs w:val="21"/>
                <w:highlight w:val="none"/>
              </w:rPr>
            </w:pPr>
            <w:r>
              <w:rPr>
                <w:rFonts w:hint="eastAsia" w:ascii="宋体" w:hAnsi="宋体" w:cs="宋体"/>
                <w:szCs w:val="21"/>
                <w:highlight w:val="none"/>
              </w:rPr>
              <w:t>乙方违约的处理</w:t>
            </w:r>
          </w:p>
        </w:tc>
        <w:tc>
          <w:tcPr>
            <w:tcW w:w="3587" w:type="pct"/>
            <w:tcBorders>
              <w:bottom w:val="single" w:color="auto" w:sz="4" w:space="0"/>
            </w:tcBorders>
          </w:tcPr>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1.乙方在本项目工作开展期间，其项目经理、项目安全负责人必须驻施工现场开展工作，其在岗驻场工作时间按计划工期的工作日天数按实计量，若不在岗将处以1千元/人·天的违约处理。若离开必须书面向业主请假，未经批准擅自离开，按1千元/人·天处违约处理。</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乙方在本项目工作开展期间，更换项目经理，甲方按5万元/人进行违约处理；更换安全负责人，甲方按2万元/人进行违约处理。新更换的人员不低于比选文件人员资质要求。</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乙方分包的工程项目，不得再行转包或分包，否则将无条件被认为乙方违约，由此引起的一切责任、事故和损失由乙方负责。此外，乙方还应当向甲方支付 1 万元违约金，甲方有权终止或解除合同。</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在施工过程中由乙方分包的工程项目质量经检验达不到验收规范和评定标准，不能保证工程质量，或因乙方分包的工程项目进度不能满足采购人和甲方制定的进度目标要求，则甲方有权终止合同，由此造成的损失由乙方承担。此外，乙方还应当向甲方支付  1 万元违约金。</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除上一条款外，合同签订后，不经双方协商同意，任何一方不得随意变更或解除。如乙方未经甲方同意，单方解除合同时（如中途未征得甲方同意无故退场），甲方将按照乙方完成工作量的80%进行结算，同时乙方还需支付甲方  1 万元违约金，并且由乙方赔偿甲方因影响施工计划造成的经济损失；如甲方中途无故解除合同，按乙方完成工作量的100%进行结算，应赔偿乙方因此造成的经济损失。</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因乙方原因，出现下列情况之一的，甲方有权采取认为合理的一切措施进行处理，由此引起的损失由乙方承担。</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4.1乙方的主要人员、机械设备及流动资金不能按时到位的，严重制约了工程的施工；</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4.2进度滞后该工程总体进度计划的10％或落到工程管理曲线下线以下的；</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4.3不按施工技术规范和标准要求施工，造成工程质量低劣的达不到验收标准的；</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4.4不遵守甲方的管理，不能服从采购人和监理人的指令，造成工程不能管理无法推进。</w:t>
            </w:r>
          </w:p>
          <w:p>
            <w:pPr>
              <w:spacing w:line="440" w:lineRule="exact"/>
              <w:ind w:firstLine="420" w:firstLineChars="200"/>
              <w:rPr>
                <w:highlight w:val="none"/>
              </w:rPr>
            </w:pPr>
            <w:r>
              <w:rPr>
                <w:rFonts w:hint="eastAsia" w:ascii="宋体" w:hAnsi="宋体" w:eastAsia="宋体" w:cs="宋体"/>
                <w:szCs w:val="21"/>
                <w:highlight w:val="none"/>
                <w:lang w:val="en-US" w:eastAsia="zh-CN"/>
              </w:rPr>
              <w:t>5.乙方应按本合同规定的工期及质量要求完成，否则应偿付给甲方10000元/天的逾期违约金，并承担甲方项目部延期完成任务以后后续发生的管理费用，限额为 5％本合同的签约合同价。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688" w:type="dxa"/>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color w:val="000000" w:themeColor="text1"/>
                <w:kern w:val="0"/>
                <w:szCs w:val="21"/>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9</w:t>
            </w:r>
          </w:p>
        </w:tc>
        <w:tc>
          <w:tcPr>
            <w:tcW w:w="2092" w:type="dxa"/>
            <w:vAlign w:val="center"/>
          </w:tcPr>
          <w:p>
            <w:pPr>
              <w:spacing w:line="400" w:lineRule="exact"/>
              <w:jc w:val="center"/>
              <w:rPr>
                <w:rFonts w:hint="eastAsia" w:ascii="宋体" w:hAnsi="宋体" w:cs="宋体"/>
                <w:szCs w:val="21"/>
                <w:highlight w:val="none"/>
              </w:rPr>
            </w:pPr>
            <w:r>
              <w:rPr>
                <w:rFonts w:hint="eastAsia" w:ascii="宋体" w:hAnsi="宋体" w:cs="宋体"/>
                <w:color w:val="000000" w:themeColor="text1"/>
                <w:szCs w:val="21"/>
                <w:lang w:val="en-US" w:eastAsia="zh-CN"/>
                <w14:textFill>
                  <w14:solidFill>
                    <w14:schemeClr w14:val="tx1"/>
                  </w14:solidFill>
                </w14:textFill>
              </w:rPr>
              <w:t>报价人须知</w:t>
            </w:r>
          </w:p>
        </w:tc>
        <w:tc>
          <w:tcPr>
            <w:tcW w:w="7068" w:type="dxa"/>
            <w:vAlign w:val="top"/>
          </w:tcPr>
          <w:p>
            <w:pPr>
              <w:spacing w:line="400" w:lineRule="exact"/>
              <w:ind w:firstLine="420" w:firstLineChars="200"/>
              <w:rPr>
                <w:rFonts w:hint="eastAsia" w:ascii="宋体" w:hAnsi="宋体" w:cs="宋体"/>
                <w:highlight w:val="none"/>
              </w:rPr>
            </w:pPr>
            <w:r>
              <w:rPr>
                <w:rFonts w:hint="eastAsia"/>
                <w:color w:val="000000" w:themeColor="text1"/>
                <w:lang w:val="en-US" w:eastAsia="zh-CN"/>
                <w14:textFill>
                  <w14:solidFill>
                    <w14:schemeClr w14:val="tx1"/>
                  </w14:solidFill>
                </w14:textFill>
              </w:rPr>
              <w:t>报价人</w:t>
            </w:r>
            <w:r>
              <w:rPr>
                <w:rFonts w:hint="eastAsia"/>
                <w:color w:val="000000" w:themeColor="text1"/>
                <w14:textFill>
                  <w14:solidFill>
                    <w14:schemeClr w14:val="tx1"/>
                  </w14:solidFill>
                </w14:textFill>
              </w:rPr>
              <w:t>应认真阅读</w:t>
            </w:r>
            <w:r>
              <w:rPr>
                <w:rFonts w:hint="eastAsia"/>
                <w:color w:val="000000" w:themeColor="text1"/>
                <w:lang w:val="en-US" w:eastAsia="zh-CN"/>
                <w14:textFill>
                  <w14:solidFill>
                    <w14:schemeClr w14:val="tx1"/>
                  </w14:solidFill>
                </w14:textFill>
              </w:rPr>
              <w:t>工作内容及图纸</w:t>
            </w:r>
            <w:r>
              <w:rPr>
                <w:rFonts w:hint="eastAsia"/>
                <w:color w:val="000000" w:themeColor="text1"/>
                <w14:textFill>
                  <w14:solidFill>
                    <w14:schemeClr w14:val="tx1"/>
                  </w14:solidFill>
                </w14:textFill>
              </w:rPr>
              <w:t>后以确认在填报单价和价格之前，设备的所在范围已被包括在每个项目内，报出的单价和价格应被认为包括所有劳务、材料、机械、运输、</w:t>
            </w:r>
            <w:r>
              <w:rPr>
                <w:rFonts w:hint="eastAsia"/>
                <w:color w:val="000000" w:themeColor="text1"/>
                <w:lang w:val="en-US" w:eastAsia="zh-CN"/>
                <w14:textFill>
                  <w14:solidFill>
                    <w14:schemeClr w14:val="tx1"/>
                  </w14:solidFill>
                </w14:textFill>
              </w:rPr>
              <w:t>卸货、</w:t>
            </w:r>
            <w:r>
              <w:rPr>
                <w:rFonts w:hint="eastAsia"/>
                <w:color w:val="000000" w:themeColor="text1"/>
                <w14:textFill>
                  <w14:solidFill>
                    <w14:schemeClr w14:val="tx1"/>
                  </w14:solidFill>
                </w14:textFill>
              </w:rPr>
              <w:t>出厂检验、相关税率、</w:t>
            </w:r>
            <w:r>
              <w:rPr>
                <w:rFonts w:hint="eastAsia"/>
                <w:color w:val="000000" w:themeColor="text1"/>
                <w:lang w:val="en-US" w:eastAsia="zh-CN"/>
                <w14:textFill>
                  <w14:solidFill>
                    <w14:schemeClr w14:val="tx1"/>
                  </w14:solidFill>
                </w14:textFill>
              </w:rPr>
              <w:t>调试、</w:t>
            </w:r>
            <w:r>
              <w:rPr>
                <w:rFonts w:hint="eastAsia"/>
                <w:color w:val="000000" w:themeColor="text1"/>
                <w14:textFill>
                  <w14:solidFill>
                    <w14:schemeClr w14:val="tx1"/>
                  </w14:solidFill>
                </w14:textFill>
              </w:rPr>
              <w:t>利润和明示或隐含的风险、保险、责任和义务。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349" w:type="pct"/>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1062" w:type="pct"/>
          </w:tcPr>
          <w:p>
            <w:pPr>
              <w:spacing w:line="400" w:lineRule="exact"/>
              <w:jc w:val="center"/>
              <w:rPr>
                <w:rFonts w:ascii="宋体" w:hAnsi="宋体" w:cs="宋体"/>
                <w:szCs w:val="21"/>
                <w:highlight w:val="none"/>
              </w:rPr>
            </w:pPr>
            <w:r>
              <w:rPr>
                <w:rFonts w:hint="eastAsia" w:ascii="宋体" w:hAnsi="宋体" w:cs="宋体"/>
                <w:szCs w:val="21"/>
                <w:highlight w:val="none"/>
              </w:rPr>
              <w:t>中标候选人的人数</w:t>
            </w:r>
          </w:p>
        </w:tc>
        <w:tc>
          <w:tcPr>
            <w:tcW w:w="3587" w:type="pct"/>
            <w:vAlign w:val="center"/>
          </w:tcPr>
          <w:p>
            <w:pPr>
              <w:spacing w:line="400" w:lineRule="exact"/>
              <w:ind w:firstLine="420" w:firstLineChars="200"/>
              <w:rPr>
                <w:rFonts w:ascii="宋体" w:hAnsi="宋体" w:cs="宋体"/>
                <w:highlight w:val="none"/>
              </w:rPr>
            </w:pPr>
            <w:r>
              <w:rPr>
                <w:rFonts w:hint="eastAsia" w:ascii="宋体" w:hAnsi="宋体" w:cs="宋体"/>
                <w:highlight w:val="none"/>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49" w:type="pct"/>
            <w:vAlign w:val="center"/>
          </w:tcPr>
          <w:p>
            <w:pPr>
              <w:pStyle w:val="149"/>
              <w:spacing w:line="400" w:lineRule="exact"/>
              <w:jc w:val="center"/>
              <w:rPr>
                <w:rFonts w:hint="eastAsia" w:hAnsi="宋体" w:eastAsia="宋体"/>
                <w:color w:val="auto"/>
                <w:kern w:val="2"/>
                <w:sz w:val="21"/>
                <w:szCs w:val="21"/>
                <w:highlight w:val="none"/>
                <w:lang w:eastAsia="zh-CN"/>
              </w:rPr>
            </w:pPr>
            <w:r>
              <w:rPr>
                <w:rFonts w:hint="eastAsia" w:hAnsi="宋体"/>
                <w:color w:val="auto"/>
                <w:kern w:val="2"/>
                <w:sz w:val="21"/>
                <w:szCs w:val="21"/>
                <w:highlight w:val="none"/>
              </w:rPr>
              <w:t>2</w:t>
            </w:r>
            <w:r>
              <w:rPr>
                <w:rFonts w:hint="eastAsia" w:hAnsi="宋体"/>
                <w:color w:val="auto"/>
                <w:kern w:val="2"/>
                <w:sz w:val="21"/>
                <w:szCs w:val="21"/>
                <w:highlight w:val="none"/>
                <w:lang w:val="en-US" w:eastAsia="zh-CN"/>
              </w:rPr>
              <w:t>1</w:t>
            </w:r>
          </w:p>
        </w:tc>
        <w:tc>
          <w:tcPr>
            <w:tcW w:w="1062" w:type="pct"/>
            <w:vAlign w:val="center"/>
          </w:tcPr>
          <w:p>
            <w:pPr>
              <w:pStyle w:val="149"/>
              <w:spacing w:line="400" w:lineRule="exact"/>
              <w:jc w:val="center"/>
              <w:rPr>
                <w:rFonts w:hAnsi="宋体"/>
                <w:color w:val="auto"/>
                <w:kern w:val="2"/>
                <w:sz w:val="21"/>
                <w:szCs w:val="21"/>
                <w:highlight w:val="none"/>
              </w:rPr>
            </w:pPr>
            <w:r>
              <w:rPr>
                <w:rFonts w:hint="eastAsia" w:hAnsi="宋体"/>
                <w:color w:val="auto"/>
                <w:kern w:val="2"/>
                <w:sz w:val="21"/>
                <w:szCs w:val="21"/>
                <w:highlight w:val="none"/>
              </w:rPr>
              <w:t>保证金</w:t>
            </w:r>
          </w:p>
        </w:tc>
        <w:tc>
          <w:tcPr>
            <w:tcW w:w="3587" w:type="pct"/>
            <w:vAlign w:val="center"/>
          </w:tcPr>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一、投标保证金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报价人是否提供投标保证金：</w:t>
            </w:r>
            <w:r>
              <w:rPr>
                <w:rFonts w:hint="eastAsia" w:ascii="宋体" w:hAnsi="宋体" w:eastAsia="宋体" w:cs="宋体"/>
                <w:b/>
                <w:bCs/>
                <w:szCs w:val="21"/>
                <w:highlight w:val="none"/>
                <w:lang w:val="en-US" w:eastAsia="zh-CN"/>
              </w:rPr>
              <w:t>是</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1、报价人须缴纳投标保证金</w:t>
            </w:r>
            <w:r>
              <w:rPr>
                <w:rFonts w:hint="eastAsia" w:ascii="宋体" w:hAnsi="宋体" w:eastAsia="宋体" w:cs="宋体"/>
                <w:szCs w:val="21"/>
                <w:highlight w:val="none"/>
                <w:u w:val="single"/>
                <w:lang w:val="en-US" w:eastAsia="zh-CN"/>
              </w:rPr>
              <w:t xml:space="preserve"> </w:t>
            </w:r>
            <w:r>
              <w:rPr>
                <w:rFonts w:hint="eastAsia" w:ascii="宋体" w:hAnsi="宋体" w:cs="宋体"/>
                <w:szCs w:val="21"/>
                <w:highlight w:val="none"/>
                <w:u w:val="single"/>
                <w:lang w:val="en-US" w:eastAsia="zh-CN"/>
              </w:rPr>
              <w:t>3</w:t>
            </w:r>
            <w:r>
              <w:rPr>
                <w:rFonts w:hint="eastAsia" w:ascii="宋体" w:hAnsi="宋体" w:eastAsia="宋体" w:cs="宋体"/>
                <w:szCs w:val="21"/>
                <w:highlight w:val="none"/>
                <w:u w:val="single"/>
                <w:lang w:val="en-US" w:eastAsia="zh-CN"/>
              </w:rPr>
              <w:t xml:space="preserve">000.00 </w:t>
            </w:r>
            <w:r>
              <w:rPr>
                <w:rFonts w:hint="eastAsia" w:ascii="宋体" w:hAnsi="宋体" w:eastAsia="宋体" w:cs="宋体"/>
                <w:szCs w:val="21"/>
                <w:highlight w:val="none"/>
                <w:lang w:val="en-US" w:eastAsia="zh-CN"/>
              </w:rPr>
              <w:t>元，由报价人从公司基本账户将投标保证金汇至以下指定账户：</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保证金到账截止时间：2024年</w:t>
            </w:r>
            <w:r>
              <w:rPr>
                <w:rFonts w:hint="eastAsia" w:ascii="宋体" w:hAnsi="宋体" w:cs="宋体"/>
                <w:szCs w:val="21"/>
                <w:highlight w:val="none"/>
                <w:lang w:val="en-US" w:eastAsia="zh-CN"/>
              </w:rPr>
              <w:t>9</w:t>
            </w:r>
            <w:r>
              <w:rPr>
                <w:rFonts w:hint="eastAsia" w:ascii="宋体" w:hAnsi="宋体" w:eastAsia="宋体" w:cs="宋体"/>
                <w:szCs w:val="21"/>
                <w:highlight w:val="none"/>
                <w:lang w:val="en-US" w:eastAsia="zh-CN"/>
              </w:rPr>
              <w:t>月</w:t>
            </w:r>
            <w:r>
              <w:rPr>
                <w:rFonts w:hint="eastAsia" w:ascii="宋体" w:hAnsi="宋体" w:cs="宋体"/>
                <w:szCs w:val="21"/>
                <w:highlight w:val="none"/>
                <w:lang w:val="en-US" w:eastAsia="zh-CN"/>
              </w:rPr>
              <w:t>6</w:t>
            </w:r>
            <w:r>
              <w:rPr>
                <w:rFonts w:hint="eastAsia" w:ascii="宋体" w:hAnsi="宋体" w:eastAsia="宋体" w:cs="宋体"/>
                <w:szCs w:val="21"/>
                <w:highlight w:val="none"/>
                <w:lang w:val="en-US" w:eastAsia="zh-CN"/>
              </w:rPr>
              <w:t>日上午10时00分前；</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若竞争性比选响应文件内无投标保证金缴纳凭证，采购人有权作废标处理，若投标保证金存在虚假不实情况，采购人有权作废标处理。</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若缴纳现金的，则需备注，转款备注：</w:t>
            </w:r>
            <w:r>
              <w:rPr>
                <w:rFonts w:hint="eastAsia" w:ascii="宋体" w:hAnsi="宋体" w:cs="宋体"/>
                <w:szCs w:val="21"/>
                <w:highlight w:val="none"/>
                <w:lang w:val="en-US" w:eastAsia="zh-CN"/>
              </w:rPr>
              <w:t>四公里办公大楼外墙综合整治、室内基装整改项目</w:t>
            </w:r>
            <w:r>
              <w:rPr>
                <w:rFonts w:hint="eastAsia" w:ascii="宋体" w:hAnsi="宋体" w:eastAsia="宋体" w:cs="宋体"/>
                <w:szCs w:val="21"/>
                <w:highlight w:val="none"/>
                <w:lang w:val="en-US" w:eastAsia="zh-CN"/>
              </w:rPr>
              <w:t>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参加第一次比选递交的投标保证金可自动延续至本次竞争性比选使用，无需重复递交。</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2、投标保证金退还方式</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为便于及时退还，报价人在递交响应文件的同时，递交本项目保证金银行回单和公司的开户许可证复印件。</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未中标报价人的投标保证金，于该项目结果公示期结束后15个工作日内无息退还至报价人基本账户。</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中标人的投标保证金，自合同签订后15个工作日内无息退还至中标人基本账户。</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3、有下列情形之一的，投标保证金将不予退还：</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（1）报价人在投标有效期内撤销投标文件；</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（2）中标人在收到中标通知书后，无正当理由不与采购人订立合同，在签订合同时向采购人提出附加条件，或者不按照招标文件要求提交履约保证金；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（3）中标人（或拟中标人）拒不提供或者不按时提供低价风险担保（适用于经评审的最低投标价法）；</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（4）报价人被发现本次投标存在串通投标、弄虚造假、行贿等违法行为的；</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（5）发生报价人须知前附表规定的其他可以不予退还投标保证金的情形。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二、履约保证金</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报价人是否提供履约保证金：</w:t>
            </w:r>
            <w:r>
              <w:rPr>
                <w:rFonts w:hint="eastAsia" w:ascii="宋体" w:hAnsi="宋体" w:eastAsia="宋体" w:cs="宋体"/>
                <w:b/>
                <w:bCs/>
                <w:szCs w:val="21"/>
                <w:highlight w:val="none"/>
                <w:lang w:val="en-US" w:eastAsia="zh-CN"/>
              </w:rPr>
              <w:t>是</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w:t>
            </w:r>
            <w:r>
              <w:rPr>
                <w:rFonts w:hint="default" w:ascii="宋体" w:hAnsi="宋体" w:eastAsia="宋体" w:cs="宋体"/>
                <w:szCs w:val="21"/>
                <w:highlight w:val="none"/>
                <w:lang w:val="en-US" w:eastAsia="zh-CN"/>
              </w:rPr>
              <w:t>履约担保作为本</w:t>
            </w:r>
            <w:r>
              <w:rPr>
                <w:rFonts w:hint="eastAsia" w:ascii="宋体" w:hAnsi="宋体" w:eastAsia="宋体" w:cs="宋体"/>
                <w:szCs w:val="21"/>
                <w:highlight w:val="none"/>
                <w:lang w:val="en-US" w:eastAsia="zh-CN"/>
              </w:rPr>
              <w:t>项目</w:t>
            </w:r>
            <w:r>
              <w:rPr>
                <w:rFonts w:hint="default" w:ascii="宋体" w:hAnsi="宋体" w:eastAsia="宋体" w:cs="宋体"/>
                <w:szCs w:val="21"/>
                <w:highlight w:val="none"/>
                <w:lang w:val="en-US" w:eastAsia="zh-CN"/>
              </w:rPr>
              <w:t>合同附件</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2、履约保证金的金额：</w:t>
            </w:r>
            <w:r>
              <w:rPr>
                <w:rFonts w:hint="eastAsia" w:ascii="宋体" w:hAnsi="宋体" w:eastAsia="宋体" w:cs="宋体"/>
                <w:b/>
                <w:bCs/>
                <w:szCs w:val="21"/>
                <w:highlight w:val="none"/>
                <w:lang w:val="en-US" w:eastAsia="zh-CN"/>
              </w:rPr>
              <w:t>中标人合同金额的10%</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3、履约保证金有效期：自双方签订的合同文件生效之日起，至合同约定的工程验收完成止。</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4、履约保证金缴纳方式：现金或保函</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5、履约保证金的提交：在甲方发出中标通知书后5个工作日内，中标人向采购人提供履约保证金</w:t>
            </w:r>
            <w:r>
              <w:rPr>
                <w:rFonts w:hint="default" w:ascii="宋体" w:hAnsi="宋体" w:eastAsia="宋体" w:cs="宋体"/>
                <w:szCs w:val="21"/>
                <w:highlight w:val="none"/>
                <w:lang w:val="en-US" w:eastAsia="zh-CN"/>
              </w:rPr>
              <w:t>缴纳凭证</w:t>
            </w:r>
            <w:r>
              <w:rPr>
                <w:rFonts w:hint="eastAsia" w:ascii="宋体" w:hAnsi="宋体" w:eastAsia="宋体" w:cs="宋体"/>
                <w:szCs w:val="21"/>
                <w:highlight w:val="none"/>
                <w:lang w:val="en-US" w:eastAsia="zh-CN"/>
              </w:rPr>
              <w:t>。若缴纳现金的，则需备注，转款备注：巫溪至开州高速公路项目机电工程等项目硅芯管、集束管采购履约保证金</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若提供保函的：纸质保函的开立人应当是具有相应资格的银行、保险机构、融资担保公司，其信用资质、履约能力、担保能力、赔付流程、安全保密等应符合工程保函业务条件。纸质保函应合法合规，符合招投标行政监督部门、行业主管部门和金融监管部门的相关规定，满足招标文件约定要求。报价人对所提交的纸质投标保函的真实性、合法性、有效性负责。</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r>
              <w:rPr>
                <w:rFonts w:hint="default" w:ascii="宋体" w:hAnsi="宋体" w:eastAsia="宋体" w:cs="宋体"/>
                <w:szCs w:val="21"/>
                <w:highlight w:val="none"/>
                <w:lang w:val="en-US" w:eastAsia="zh-CN"/>
              </w:rPr>
              <w:t>履约保证金退还：缴纳现金保函的，在完成合同约定的全部工作内容后28天后无息退还剩余部分。</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三、低价保证金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1．低价风险担保：中标价低于最高限价的85%时提供，如不按时足额提供，视为中标人放弃中标，采购人有权不退还其投标保证金。</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2．中标人提供低价风险担保的形式、金额及期限：</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低价风险担保的形式：现金或保函或现金+保函的组合；采用保函形式的，保函必须为不可撤销、不可转让且见索即付的独立保函，保函格式详见第四章合同条款及格式附件，中标人出具保函时，不得修改“低价风险担保保函”名称，也不得对低价风险担保保函示范文本中付款条件等实质性内容进行修改，否则视为不符合招标文件规定。</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（2）低价风险担保的金额：（最高限价×85%-中标价）×3，且最高不超过最高限价的85%。</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（3）低价风险担保送达采购人的时间：从采购人中标通知书送达拟中标人之日起20个工作日内。</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中标人因自身原因未按中标通知书规定的时限与采购人签订合同的，其以现金形式提交低价风险担保的，采购人有权扣除其低价风险担保金并取消其中标资格；以保函形式提交低价风险担保的，采购人有权要求保函开立人支付保函担保的与低价风险担保金额等额的款项并取消中标人中标资格；中标人因自身原因未按中标通知书规定的时限与采购人签订合同，且未提交低价风险担保金或低价风险保函的，采购人有权要求中标人承担低价风险担保金等额的损失并取消中标人资格。</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（5）低价风险担保的期限：自低价风险担保生效之日起至合同设备验收证书或验收款支付函签署之日止。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3.低价风险担保的退还时间：采用现金担保的，在现场工程师确认供货完成后28天内全额退还，合同履行期间允许乙方用符合要求的银行保函进行置换；若所供货物完全满足要求，经现场工程师确认后可在供货金额达到合同金额的一半时，可申请退还一半的低价风险担保金，剩余部分在在现场工程师确认供货完成后28天内全额退还。</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（5）低价风险担保的扣减：</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①乙方在合同履行期间，以其投标时填报的价格过低为由拒绝履行合同义务；或因其自身其他原因导致项目暂停等，给甲方造成直接经济损失且拒绝承担的，按低价风险担保金额的50～100%扣减，直至解除合同；</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②因乙方违约被解除合同的，低价风险担保将全额扣除；</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③因乙方原因导致的其他情形。</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采用经评审最低投标价法的项目，拟中标人或者中标人放弃中标项目，无正当理由不与采购人签订合同，在签订合同时向采购人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采购人造成的损失超过投标保证金数额的，拟中标人或中标人应对超过部分予以赔偿。</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备注：当中标人或拟中标人未按时提交低价风险担保，且属于可以延长低价风险担保提交期限的特殊情形时，经采购人同意，可适当延长低价风险担保的提交期限。</w:t>
            </w:r>
          </w:p>
          <w:p>
            <w:pPr>
              <w:spacing w:line="440" w:lineRule="exact"/>
              <w:ind w:firstLine="422" w:firstLineChars="200"/>
              <w:rPr>
                <w:rFonts w:hint="default" w:ascii="宋体" w:hAnsi="宋体" w:eastAsia="宋体" w:cs="宋体"/>
                <w:szCs w:val="21"/>
                <w:highlight w:val="none"/>
                <w:lang w:val="en-US" w:eastAsia="zh-CN"/>
              </w:rPr>
            </w:pPr>
            <w:r>
              <w:rPr>
                <w:rFonts w:hint="eastAsia" w:ascii="宋体" w:hAnsi="宋体" w:eastAsia="宋体" w:cs="宋体"/>
                <w:b/>
                <w:bCs/>
                <w:szCs w:val="21"/>
                <w:highlight w:val="none"/>
                <w:lang w:val="en-US" w:eastAsia="zh-CN"/>
              </w:rPr>
              <w:t>投标总报价低于最高限价85%的，报价人应在编制投标文件时，在投标函部分中递交低价风险担保提交承诺书。格式自拟</w:t>
            </w:r>
            <w:r>
              <w:rPr>
                <w:rFonts w:hint="eastAsia" w:ascii="宋体" w:hAnsi="宋体" w:eastAsia="宋体" w:cs="宋体"/>
                <w:szCs w:val="21"/>
                <w:highlight w:val="none"/>
                <w:lang w:val="en-US" w:eastAsia="zh-CN"/>
              </w:rPr>
              <w:t>。</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四、采购人指定的开户银行及账号如下：</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账户名称：重庆首讯科技股份有限公司</w:t>
            </w:r>
          </w:p>
          <w:p>
            <w:pPr>
              <w:spacing w:line="440" w:lineRule="exact"/>
              <w:ind w:firstLine="420" w:firstLineChars="200"/>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开户银行：兴业银行重庆分行营业部</w:t>
            </w:r>
          </w:p>
          <w:p>
            <w:pPr>
              <w:spacing w:line="44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帐    号：3460 1010 0100 4791 14</w:t>
            </w:r>
          </w:p>
          <w:p>
            <w:pPr>
              <w:spacing w:line="440" w:lineRule="exact"/>
              <w:ind w:firstLine="422" w:firstLineChars="200"/>
              <w:rPr>
                <w:rFonts w:hAnsi="宋体" w:cs="宋体"/>
                <w:highlight w:val="none"/>
              </w:rPr>
            </w:pPr>
            <w:r>
              <w:rPr>
                <w:rFonts w:hint="eastAsia" w:ascii="宋体" w:hAnsi="宋体" w:eastAsia="宋体" w:cs="宋体"/>
                <w:b/>
                <w:bCs/>
                <w:szCs w:val="21"/>
                <w:highlight w:val="none"/>
                <w:lang w:val="en-US" w:eastAsia="zh-CN"/>
              </w:rPr>
              <w:t>注：根据采购人《合格供方库管理办法》，符合免交投标保证金及履约保证金资格的报价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eastAsia" w:hAnsi="宋体" w:eastAsia="宋体"/>
                <w:color w:val="auto"/>
                <w:sz w:val="21"/>
                <w:szCs w:val="21"/>
                <w:highlight w:val="none"/>
                <w:lang w:eastAsia="zh-CN"/>
              </w:rPr>
            </w:pPr>
            <w:r>
              <w:rPr>
                <w:rFonts w:hint="eastAsia" w:hAnsi="宋体"/>
                <w:color w:val="auto"/>
                <w:sz w:val="21"/>
                <w:szCs w:val="21"/>
                <w:highlight w:val="none"/>
              </w:rPr>
              <w:t>2</w:t>
            </w:r>
            <w:r>
              <w:rPr>
                <w:rFonts w:hint="eastAsia" w:hAnsi="宋体"/>
                <w:color w:val="auto"/>
                <w:sz w:val="21"/>
                <w:szCs w:val="21"/>
                <w:highlight w:val="none"/>
                <w:lang w:val="en-US" w:eastAsia="zh-CN"/>
              </w:rPr>
              <w:t>2</w:t>
            </w:r>
          </w:p>
        </w:tc>
        <w:tc>
          <w:tcPr>
            <w:tcW w:w="1062" w:type="pct"/>
            <w:vAlign w:val="center"/>
          </w:tcPr>
          <w:p>
            <w:pPr>
              <w:pStyle w:val="149"/>
              <w:spacing w:line="400" w:lineRule="exact"/>
              <w:jc w:val="center"/>
              <w:rPr>
                <w:rFonts w:hAnsi="宋体"/>
                <w:color w:val="auto"/>
                <w:sz w:val="21"/>
                <w:szCs w:val="21"/>
                <w:highlight w:val="none"/>
              </w:rPr>
            </w:pPr>
            <w:r>
              <w:rPr>
                <w:rFonts w:hint="eastAsia" w:hAnsi="宋体"/>
                <w:color w:val="auto"/>
                <w:kern w:val="2"/>
                <w:sz w:val="21"/>
                <w:szCs w:val="21"/>
                <w:highlight w:val="none"/>
              </w:rPr>
              <w:t>监督部门</w:t>
            </w:r>
          </w:p>
        </w:tc>
        <w:tc>
          <w:tcPr>
            <w:tcW w:w="3587" w:type="pct"/>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监督部门：重庆首讯科技股份有限公司</w:t>
            </w:r>
            <w:r>
              <w:rPr>
                <w:rFonts w:hint="eastAsia" w:hAnsi="宋体"/>
                <w:color w:val="auto"/>
                <w:kern w:val="2"/>
                <w:sz w:val="21"/>
                <w:szCs w:val="21"/>
                <w:highlight w:val="none"/>
                <w:lang w:val="en-US" w:eastAsia="zh-CN"/>
              </w:rPr>
              <w:t>合规监管</w:t>
            </w:r>
            <w:r>
              <w:rPr>
                <w:rFonts w:hint="eastAsia" w:hAnsi="宋体"/>
                <w:color w:val="auto"/>
                <w:kern w:val="2"/>
                <w:sz w:val="21"/>
                <w:szCs w:val="21"/>
                <w:highlight w:val="none"/>
              </w:rPr>
              <w:t>部</w:t>
            </w:r>
          </w:p>
          <w:p>
            <w:pPr>
              <w:pStyle w:val="149"/>
              <w:spacing w:line="400" w:lineRule="exact"/>
              <w:ind w:firstLine="420" w:firstLineChars="200"/>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rPr>
              <w:t>地    址：重庆市</w:t>
            </w:r>
            <w:r>
              <w:rPr>
                <w:rFonts w:hint="eastAsia" w:hAnsi="宋体"/>
                <w:color w:val="auto"/>
                <w:kern w:val="2"/>
                <w:sz w:val="21"/>
                <w:szCs w:val="21"/>
                <w:highlight w:val="none"/>
                <w:lang w:val="en-US" w:eastAsia="zh-CN"/>
              </w:rPr>
              <w:t>渝北区新南路52号</w:t>
            </w:r>
          </w:p>
          <w:p>
            <w:pPr>
              <w:pStyle w:val="149"/>
              <w:spacing w:line="400" w:lineRule="exact"/>
              <w:ind w:firstLine="420" w:firstLineChars="200"/>
              <w:rPr>
                <w:rFonts w:hAnsi="宋体"/>
                <w:color w:val="auto"/>
                <w:sz w:val="21"/>
                <w:szCs w:val="21"/>
                <w:highlight w:val="none"/>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23</w:t>
            </w:r>
          </w:p>
        </w:tc>
        <w:tc>
          <w:tcPr>
            <w:tcW w:w="1062" w:type="pct"/>
            <w:vAlign w:val="center"/>
          </w:tcPr>
          <w:p>
            <w:pPr>
              <w:pStyle w:val="149"/>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hAnsi="宋体"/>
                <w:color w:val="auto"/>
                <w:kern w:val="2"/>
                <w:sz w:val="21"/>
                <w:szCs w:val="21"/>
                <w:highlight w:val="none"/>
              </w:rPr>
              <w:t>竞争性比选响应文件的递交</w:t>
            </w:r>
          </w:p>
        </w:tc>
        <w:tc>
          <w:tcPr>
            <w:tcW w:w="3587" w:type="pct"/>
            <w:vAlign w:val="center"/>
          </w:tcPr>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1.报价截止时间和开标时间：</w:t>
            </w:r>
            <w:r>
              <w:rPr>
                <w:rFonts w:hint="eastAsia" w:hAnsi="宋体"/>
                <w:sz w:val="21"/>
                <w:szCs w:val="18"/>
                <w:highlight w:val="none"/>
                <w:u w:val="single"/>
              </w:rPr>
              <w:t>202</w:t>
            </w:r>
            <w:r>
              <w:rPr>
                <w:rFonts w:hint="eastAsia" w:hAnsi="宋体"/>
                <w:sz w:val="21"/>
                <w:szCs w:val="18"/>
                <w:highlight w:val="none"/>
                <w:u w:val="single"/>
                <w:lang w:val="en-US" w:eastAsia="zh-CN"/>
              </w:rPr>
              <w:t>4</w:t>
            </w:r>
            <w:r>
              <w:rPr>
                <w:rFonts w:hint="eastAsia" w:hAnsi="宋体"/>
                <w:sz w:val="21"/>
                <w:szCs w:val="18"/>
                <w:highlight w:val="none"/>
                <w:u w:val="single"/>
              </w:rPr>
              <w:t xml:space="preserve"> </w:t>
            </w:r>
            <w:r>
              <w:rPr>
                <w:rFonts w:hint="eastAsia" w:hAnsi="宋体"/>
                <w:sz w:val="21"/>
                <w:szCs w:val="18"/>
                <w:highlight w:val="none"/>
              </w:rPr>
              <w:t>年</w:t>
            </w:r>
            <w:r>
              <w:rPr>
                <w:rFonts w:hint="eastAsia" w:hAnsi="宋体"/>
                <w:sz w:val="21"/>
                <w:szCs w:val="18"/>
                <w:highlight w:val="none"/>
                <w:u w:val="single"/>
              </w:rPr>
              <w:t xml:space="preserve"> </w:t>
            </w:r>
            <w:r>
              <w:rPr>
                <w:rFonts w:hint="eastAsia" w:hAnsi="宋体"/>
                <w:sz w:val="21"/>
                <w:szCs w:val="18"/>
                <w:highlight w:val="none"/>
                <w:u w:val="single"/>
                <w:lang w:val="en-US" w:eastAsia="zh-CN"/>
              </w:rPr>
              <w:t>9</w:t>
            </w:r>
            <w:r>
              <w:rPr>
                <w:rFonts w:hint="eastAsia" w:hAnsi="宋体"/>
                <w:sz w:val="21"/>
                <w:szCs w:val="18"/>
                <w:highlight w:val="none"/>
                <w:u w:val="single"/>
              </w:rPr>
              <w:t xml:space="preserve"> </w:t>
            </w:r>
            <w:r>
              <w:rPr>
                <w:rFonts w:hint="eastAsia" w:hAnsi="宋体"/>
                <w:sz w:val="21"/>
                <w:szCs w:val="18"/>
                <w:highlight w:val="none"/>
              </w:rPr>
              <w:t>月</w:t>
            </w:r>
            <w:r>
              <w:rPr>
                <w:rFonts w:hint="eastAsia" w:hAnsi="宋体"/>
                <w:sz w:val="21"/>
                <w:szCs w:val="18"/>
                <w:highlight w:val="none"/>
                <w:u w:val="single"/>
              </w:rPr>
              <w:t xml:space="preserve"> </w:t>
            </w:r>
            <w:r>
              <w:rPr>
                <w:rFonts w:hint="eastAsia" w:hAnsi="宋体"/>
                <w:sz w:val="21"/>
                <w:szCs w:val="18"/>
                <w:highlight w:val="none"/>
                <w:u w:val="single"/>
                <w:lang w:val="en-US" w:eastAsia="zh-CN"/>
              </w:rPr>
              <w:t>6</w:t>
            </w:r>
            <w:r>
              <w:rPr>
                <w:rFonts w:hint="eastAsia" w:hAnsi="宋体"/>
                <w:sz w:val="21"/>
                <w:szCs w:val="18"/>
                <w:highlight w:val="none"/>
                <w:u w:val="single"/>
              </w:rPr>
              <w:t xml:space="preserve"> </w:t>
            </w:r>
            <w:r>
              <w:rPr>
                <w:rFonts w:hint="eastAsia" w:hAnsi="宋体"/>
                <w:sz w:val="21"/>
                <w:szCs w:val="18"/>
                <w:highlight w:val="none"/>
              </w:rPr>
              <w:t>日</w:t>
            </w:r>
            <w:r>
              <w:rPr>
                <w:rFonts w:hint="eastAsia" w:hAnsi="宋体"/>
                <w:sz w:val="21"/>
                <w:szCs w:val="18"/>
                <w:highlight w:val="none"/>
                <w:lang w:val="en-US" w:eastAsia="zh-CN"/>
              </w:rPr>
              <w:t>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时 00分（北京时间）。</w:t>
            </w:r>
          </w:p>
          <w:p>
            <w:pPr>
              <w:pStyle w:val="149"/>
              <w:spacing w:line="400" w:lineRule="exact"/>
              <w:ind w:firstLine="420" w:firstLineChars="200"/>
              <w:rPr>
                <w:rFonts w:hAnsi="宋体"/>
                <w:color w:val="auto"/>
                <w:kern w:val="2"/>
                <w:sz w:val="21"/>
                <w:szCs w:val="21"/>
                <w:highlight w:val="none"/>
              </w:rPr>
            </w:pPr>
            <w:r>
              <w:rPr>
                <w:rFonts w:hint="eastAsia" w:hAnsi="宋体"/>
                <w:color w:val="auto"/>
                <w:kern w:val="2"/>
                <w:sz w:val="21"/>
                <w:szCs w:val="21"/>
                <w:highlight w:val="none"/>
              </w:rPr>
              <w:t>2.报价地点和开标地点：重庆首讯科技股份有限公司（重庆市渝北区新南路52号东界龙湖三楼）。</w:t>
            </w:r>
          </w:p>
          <w:p>
            <w:pPr>
              <w:pStyle w:val="149"/>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hAnsi="宋体"/>
                <w:color w:val="auto"/>
                <w:kern w:val="2"/>
                <w:sz w:val="21"/>
                <w:szCs w:val="21"/>
                <w:highlight w:val="none"/>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olor w:val="auto"/>
                <w:sz w:val="21"/>
                <w:szCs w:val="21"/>
                <w:highlight w:val="none"/>
                <w:lang w:val="en-US" w:eastAsia="zh-CN"/>
              </w:rPr>
              <w:t>24</w:t>
            </w:r>
          </w:p>
        </w:tc>
        <w:tc>
          <w:tcPr>
            <w:tcW w:w="1062" w:type="pct"/>
            <w:vAlign w:val="center"/>
          </w:tcPr>
          <w:p>
            <w:pPr>
              <w:pStyle w:val="149"/>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rPr>
              <w:t>本次竞争性比选响应文件的组成</w:t>
            </w:r>
          </w:p>
        </w:tc>
        <w:tc>
          <w:tcPr>
            <w:tcW w:w="3587" w:type="pct"/>
            <w:vAlign w:val="center"/>
          </w:tcPr>
          <w:p>
            <w:pPr>
              <w:pStyle w:val="149"/>
              <w:numPr>
                <w:ilvl w:val="0"/>
                <w:numId w:val="3"/>
              </w:numPr>
              <w:spacing w:line="400" w:lineRule="exact"/>
              <w:ind w:firstLine="422" w:firstLineChars="200"/>
              <w:rPr>
                <w:rFonts w:hAnsi="宋体"/>
                <w:color w:val="auto"/>
                <w:kern w:val="2"/>
                <w:sz w:val="21"/>
                <w:szCs w:val="21"/>
                <w:highlight w:val="none"/>
              </w:rPr>
            </w:pPr>
            <w:r>
              <w:rPr>
                <w:rFonts w:hint="eastAsia" w:hAnsi="宋体"/>
                <w:b/>
                <w:bCs/>
                <w:color w:val="000000" w:themeColor="text1"/>
                <w:sz w:val="21"/>
                <w:szCs w:val="21"/>
                <w:highlight w:val="none"/>
                <w14:textFill>
                  <w14:solidFill>
                    <w14:schemeClr w14:val="tx1"/>
                  </w14:solidFill>
                </w14:textFill>
              </w:rPr>
              <w:t>竞争性比选文件需逐页加盖报价人的公章</w:t>
            </w:r>
            <w:r>
              <w:rPr>
                <w:rFonts w:hint="eastAsia" w:hAnsi="宋体"/>
                <w:color w:val="000000" w:themeColor="text1"/>
                <w:sz w:val="21"/>
                <w:szCs w:val="21"/>
                <w:highlight w:val="none"/>
                <w14:textFill>
                  <w14:solidFill>
                    <w14:schemeClr w14:val="tx1"/>
                  </w14:solidFill>
                </w14:textFill>
              </w:rPr>
              <w:t>，竞争性比选响应文件提交正本1份，副本1份，副本可为正本的复印件，竞争性比选响应文件需装订成册，</w:t>
            </w:r>
            <w:r>
              <w:rPr>
                <w:rFonts w:hint="eastAsia" w:hAnsi="宋体"/>
                <w:color w:val="auto"/>
                <w:kern w:val="2"/>
                <w:sz w:val="21"/>
                <w:szCs w:val="21"/>
                <w:highlight w:val="none"/>
              </w:rPr>
              <w:t>封面右上角需标注“正本”、“副本”加以区别，所有报价文件需密封到一个封袋中。</w:t>
            </w:r>
          </w:p>
          <w:p>
            <w:pPr>
              <w:pStyle w:val="149"/>
              <w:numPr>
                <w:ilvl w:val="0"/>
                <w:numId w:val="3"/>
              </w:numPr>
              <w:spacing w:line="400" w:lineRule="exact"/>
              <w:ind w:firstLine="420" w:firstLineChars="200"/>
              <w:rPr>
                <w:rFonts w:hAnsi="宋体"/>
                <w:color w:val="auto"/>
                <w:kern w:val="2"/>
                <w:sz w:val="21"/>
                <w:szCs w:val="21"/>
                <w:highlight w:val="none"/>
              </w:rPr>
            </w:pPr>
            <w:r>
              <w:rPr>
                <w:rFonts w:hint="eastAsia" w:hAnsi="宋体"/>
                <w:color w:val="000000" w:themeColor="text1"/>
                <w:sz w:val="21"/>
                <w:szCs w:val="21"/>
                <w:highlight w:val="none"/>
                <w14:textFill>
                  <w14:solidFill>
                    <w14:schemeClr w14:val="tx1"/>
                  </w14:solidFill>
                </w14:textFill>
              </w:rPr>
              <w:t>报价人应提供竞争性比选响应文件</w:t>
            </w:r>
            <w:r>
              <w:rPr>
                <w:rFonts w:hint="eastAsia" w:hAnsi="宋体"/>
                <w:b/>
                <w:bCs/>
                <w:color w:val="000000" w:themeColor="text1"/>
                <w:sz w:val="21"/>
                <w:szCs w:val="21"/>
                <w:highlight w:val="none"/>
                <w14:textFill>
                  <w14:solidFill>
                    <w14:schemeClr w14:val="tx1"/>
                  </w14:solidFill>
                </w14:textFill>
              </w:rPr>
              <w:t>电子文件1份</w:t>
            </w:r>
            <w:r>
              <w:rPr>
                <w:rFonts w:hint="eastAsia" w:hAnsi="宋体"/>
                <w:b/>
                <w:bCs/>
                <w:color w:val="000000" w:themeColor="text1"/>
                <w:sz w:val="21"/>
                <w:szCs w:val="21"/>
                <w:highlight w:val="none"/>
                <w:lang w:eastAsia="zh-CN"/>
                <w14:textFill>
                  <w14:solidFill>
                    <w14:schemeClr w14:val="tx1"/>
                  </w14:solidFill>
                </w14:textFill>
              </w:rPr>
              <w:t>，</w:t>
            </w:r>
            <w:r>
              <w:rPr>
                <w:rFonts w:hint="eastAsia" w:hAnsi="宋体"/>
                <w:color w:val="auto"/>
                <w:kern w:val="2"/>
                <w:sz w:val="21"/>
                <w:szCs w:val="21"/>
                <w:highlight w:val="none"/>
                <w:lang w:val="en-US" w:eastAsia="zh-CN"/>
              </w:rPr>
              <w:t>应提供竞争性比选响应文件（正本盖章版）扫描版PDF电子版本和excel版本报价清单（U盘1份，电子文件内容须包括竞争性比选响应文件全部内容）</w:t>
            </w:r>
            <w:r>
              <w:rPr>
                <w:rFonts w:hint="eastAsia" w:hAnsi="宋体"/>
                <w:color w:val="000000" w:themeColor="text1"/>
                <w:sz w:val="21"/>
                <w:szCs w:val="21"/>
                <w:highlight w:val="none"/>
                <w14:textFill>
                  <w14:solidFill>
                    <w14:schemeClr w14:val="tx1"/>
                  </w14:solidFill>
                </w14:textFill>
              </w:rPr>
              <w:t>。当电子文件与纸质版竞争性比选响应文件不一致时，以纸质版竞争性比选响应文件为准，当正本与副本不一致时，以正本为准</w:t>
            </w:r>
            <w:r>
              <w:rPr>
                <w:rFonts w:hint="eastAsia" w:hAnsi="宋体"/>
                <w:color w:val="000000" w:themeColor="text1"/>
                <w:highlight w:val="none"/>
                <w14:textFill>
                  <w14:solidFill>
                    <w14:schemeClr w14:val="tx1"/>
                  </w14:solidFill>
                </w14:textFill>
              </w:rPr>
              <w:t>。</w:t>
            </w:r>
          </w:p>
          <w:p>
            <w:pPr>
              <w:pStyle w:val="149"/>
              <w:numPr>
                <w:ilvl w:val="0"/>
                <w:numId w:val="3"/>
              </w:numPr>
              <w:spacing w:line="400" w:lineRule="exact"/>
              <w:ind w:left="0" w:leftChars="0" w:firstLine="420" w:firstLineChars="200"/>
              <w:rPr>
                <w:rFonts w:hint="eastAsia" w:hAnsi="宋体"/>
                <w:color w:val="auto"/>
                <w:kern w:val="2"/>
                <w:sz w:val="21"/>
                <w:szCs w:val="21"/>
                <w:highlight w:val="none"/>
              </w:rPr>
            </w:pPr>
            <w:r>
              <w:rPr>
                <w:rFonts w:hint="eastAsia" w:hAnsi="宋体"/>
                <w:color w:val="auto"/>
                <w:kern w:val="2"/>
                <w:sz w:val="21"/>
                <w:szCs w:val="21"/>
                <w:highlight w:val="none"/>
              </w:rPr>
              <w:t>竞争性比选响应声明书、报价函、资格要求材料、报价人认为需要提供的其他相关文件（注：以上所有文件均须逐页加盖报价人的公章）。</w:t>
            </w:r>
          </w:p>
          <w:p>
            <w:pPr>
              <w:pStyle w:val="149"/>
              <w:spacing w:line="400" w:lineRule="exact"/>
              <w:ind w:firstLine="422" w:firstLineChars="200"/>
              <w:rPr>
                <w:rFonts w:hint="eastAsia" w:hAnsi="宋体"/>
                <w:b/>
                <w:bCs/>
                <w:color w:val="auto"/>
                <w:kern w:val="2"/>
                <w:sz w:val="21"/>
                <w:szCs w:val="21"/>
                <w:highlight w:val="none"/>
                <w:lang w:val="en-US" w:eastAsia="zh-CN"/>
              </w:rPr>
            </w:pPr>
            <w:r>
              <w:rPr>
                <w:rFonts w:hint="eastAsia" w:hAnsi="宋体"/>
                <w:b/>
                <w:bCs/>
                <w:color w:val="auto"/>
                <w:kern w:val="2"/>
                <w:sz w:val="21"/>
                <w:szCs w:val="21"/>
                <w:highlight w:val="none"/>
                <w:lang w:val="en-US" w:eastAsia="zh-CN"/>
              </w:rPr>
              <w:t>3.密封要求：</w:t>
            </w:r>
          </w:p>
          <w:p>
            <w:pPr>
              <w:pStyle w:val="149"/>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竞争性比选响应文件密封到一个封袋中，在封套上写明：</w:t>
            </w:r>
          </w:p>
          <w:p>
            <w:pPr>
              <w:pStyle w:val="149"/>
              <w:numPr>
                <w:ilvl w:val="0"/>
                <w:numId w:val="0"/>
              </w:numPr>
              <w:spacing w:line="400" w:lineRule="exact"/>
              <w:ind w:firstLine="420" w:firstLineChars="200"/>
              <w:rPr>
                <w:rFonts w:hint="eastAsia" w:hAnsi="宋体"/>
                <w:color w:val="auto"/>
                <w:kern w:val="2"/>
                <w:sz w:val="21"/>
                <w:szCs w:val="21"/>
                <w:highlight w:val="none"/>
              </w:rPr>
            </w:pPr>
            <w:r>
              <w:rPr>
                <w:rFonts w:hint="eastAsia" w:hAnsi="宋体"/>
                <w:color w:val="auto"/>
                <w:kern w:val="2"/>
                <w:sz w:val="21"/>
                <w:szCs w:val="21"/>
                <w:highlight w:val="none"/>
                <w:lang w:val="en-US" w:eastAsia="zh-CN"/>
              </w:rPr>
              <w:t>四公里办公大楼外墙综合整治、室内基装整改项目竞争性比选响应文件（加盖报价人的公章）</w:t>
            </w:r>
          </w:p>
          <w:p>
            <w:pPr>
              <w:pStyle w:val="149"/>
              <w:numPr>
                <w:ilvl w:val="0"/>
                <w:numId w:val="0"/>
              </w:numPr>
              <w:spacing w:line="400" w:lineRule="exact"/>
              <w:ind w:leftChars="200"/>
              <w:rPr>
                <w:rFonts w:hint="eastAsia" w:hAnsi="宋体"/>
                <w:color w:val="auto"/>
                <w:kern w:val="2"/>
                <w:sz w:val="21"/>
                <w:szCs w:val="21"/>
                <w:highlight w:val="none"/>
              </w:rPr>
            </w:pPr>
            <w:r>
              <w:rPr>
                <w:rFonts w:hint="eastAsia" w:hAnsi="宋体"/>
                <w:color w:val="auto"/>
                <w:kern w:val="2"/>
                <w:sz w:val="21"/>
                <w:szCs w:val="21"/>
                <w:highlight w:val="none"/>
              </w:rPr>
              <w:t>在</w:t>
            </w:r>
            <w:r>
              <w:rPr>
                <w:rFonts w:hint="eastAsia" w:hAnsi="宋体"/>
                <w:color w:val="auto"/>
                <w:kern w:val="2"/>
                <w:sz w:val="21"/>
                <w:szCs w:val="21"/>
                <w:highlight w:val="none"/>
                <w:u w:val="single"/>
              </w:rPr>
              <w:t xml:space="preserve"> </w:t>
            </w:r>
            <w:r>
              <w:rPr>
                <w:rFonts w:hint="eastAsia" w:hAnsi="宋体"/>
                <w:sz w:val="21"/>
                <w:szCs w:val="18"/>
                <w:highlight w:val="none"/>
                <w:u w:val="single"/>
              </w:rPr>
              <w:t>202</w:t>
            </w:r>
            <w:r>
              <w:rPr>
                <w:rFonts w:hint="eastAsia" w:hAnsi="宋体"/>
                <w:sz w:val="21"/>
                <w:szCs w:val="18"/>
                <w:highlight w:val="none"/>
                <w:u w:val="single"/>
                <w:lang w:val="en-US" w:eastAsia="zh-CN"/>
              </w:rPr>
              <w:t>4</w:t>
            </w:r>
            <w:r>
              <w:rPr>
                <w:rFonts w:hint="eastAsia" w:hAnsi="宋体"/>
                <w:sz w:val="21"/>
                <w:szCs w:val="18"/>
                <w:highlight w:val="none"/>
                <w:u w:val="single"/>
              </w:rPr>
              <w:t xml:space="preserve"> </w:t>
            </w:r>
            <w:r>
              <w:rPr>
                <w:rFonts w:hint="eastAsia" w:hAnsi="宋体"/>
                <w:sz w:val="21"/>
                <w:szCs w:val="18"/>
                <w:highlight w:val="none"/>
              </w:rPr>
              <w:t>年</w:t>
            </w:r>
            <w:r>
              <w:rPr>
                <w:rFonts w:hint="eastAsia" w:hAnsi="宋体"/>
                <w:sz w:val="21"/>
                <w:szCs w:val="18"/>
                <w:highlight w:val="none"/>
                <w:u w:val="single"/>
              </w:rPr>
              <w:t xml:space="preserve"> </w:t>
            </w:r>
            <w:r>
              <w:rPr>
                <w:rFonts w:hint="eastAsia" w:hAnsi="宋体"/>
                <w:sz w:val="21"/>
                <w:szCs w:val="18"/>
                <w:highlight w:val="none"/>
                <w:u w:val="single"/>
                <w:lang w:val="en-US" w:eastAsia="zh-CN"/>
              </w:rPr>
              <w:t>9</w:t>
            </w:r>
            <w:r>
              <w:rPr>
                <w:rFonts w:hint="eastAsia" w:hAnsi="宋体"/>
                <w:sz w:val="21"/>
                <w:szCs w:val="18"/>
                <w:highlight w:val="none"/>
                <w:u w:val="single"/>
              </w:rPr>
              <w:t xml:space="preserve"> </w:t>
            </w:r>
            <w:r>
              <w:rPr>
                <w:rFonts w:hint="eastAsia" w:hAnsi="宋体"/>
                <w:sz w:val="21"/>
                <w:szCs w:val="18"/>
                <w:highlight w:val="none"/>
              </w:rPr>
              <w:t>月</w:t>
            </w:r>
            <w:r>
              <w:rPr>
                <w:rFonts w:hint="eastAsia" w:hAnsi="宋体"/>
                <w:sz w:val="21"/>
                <w:szCs w:val="18"/>
                <w:highlight w:val="none"/>
                <w:u w:val="single"/>
              </w:rPr>
              <w:t xml:space="preserve"> </w:t>
            </w:r>
            <w:r>
              <w:rPr>
                <w:rFonts w:hint="eastAsia" w:hAnsi="宋体"/>
                <w:sz w:val="21"/>
                <w:szCs w:val="18"/>
                <w:highlight w:val="none"/>
                <w:u w:val="single"/>
                <w:lang w:val="en-US" w:eastAsia="zh-CN"/>
              </w:rPr>
              <w:t>6</w:t>
            </w:r>
            <w:r>
              <w:rPr>
                <w:rFonts w:hAnsi="宋体"/>
                <w:sz w:val="21"/>
                <w:szCs w:val="18"/>
                <w:highlight w:val="none"/>
                <w:u w:val="single"/>
              </w:rPr>
              <w:t xml:space="preserve"> </w:t>
            </w:r>
            <w:r>
              <w:rPr>
                <w:rFonts w:hint="eastAsia" w:hAnsi="宋体"/>
                <w:sz w:val="21"/>
                <w:szCs w:val="18"/>
                <w:highlight w:val="none"/>
              </w:rPr>
              <w:t>日</w:t>
            </w:r>
            <w:r>
              <w:rPr>
                <w:rFonts w:hint="eastAsia" w:hAnsi="宋体"/>
                <w:sz w:val="21"/>
                <w:szCs w:val="18"/>
                <w:highlight w:val="none"/>
                <w:lang w:val="en-US" w:eastAsia="zh-CN"/>
              </w:rPr>
              <w:t>上</w:t>
            </w:r>
            <w:r>
              <w:rPr>
                <w:rFonts w:hint="eastAsia" w:hAnsi="宋体"/>
                <w:color w:val="auto"/>
                <w:kern w:val="2"/>
                <w:sz w:val="21"/>
                <w:szCs w:val="21"/>
                <w:highlight w:val="none"/>
              </w:rPr>
              <w:t>午1</w:t>
            </w:r>
            <w:r>
              <w:rPr>
                <w:rFonts w:hint="eastAsia" w:hAnsi="宋体"/>
                <w:color w:val="auto"/>
                <w:kern w:val="2"/>
                <w:sz w:val="21"/>
                <w:szCs w:val="21"/>
                <w:highlight w:val="none"/>
                <w:lang w:val="en-US" w:eastAsia="zh-CN"/>
              </w:rPr>
              <w:t>0</w:t>
            </w:r>
            <w:r>
              <w:rPr>
                <w:rFonts w:hint="eastAsia" w:hAnsi="宋体"/>
                <w:color w:val="auto"/>
                <w:kern w:val="2"/>
                <w:sz w:val="21"/>
                <w:szCs w:val="21"/>
                <w:highlight w:val="none"/>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49" w:type="pct"/>
            <w:vAlign w:val="center"/>
          </w:tcPr>
          <w:p>
            <w:pPr>
              <w:pStyle w:val="149"/>
              <w:spacing w:line="400" w:lineRule="exact"/>
              <w:jc w:val="center"/>
              <w:rPr>
                <w:rFonts w:hint="default" w:hAnsi="宋体" w:eastAsia="宋体"/>
                <w:color w:val="auto"/>
                <w:sz w:val="21"/>
                <w:szCs w:val="21"/>
                <w:highlight w:val="none"/>
                <w:lang w:val="en-US" w:eastAsia="zh-CN"/>
              </w:rPr>
            </w:pPr>
            <w:r>
              <w:rPr>
                <w:rFonts w:hint="eastAsia" w:hAnsi="宋体" w:cs="宋体"/>
                <w:color w:val="auto"/>
                <w:sz w:val="21"/>
                <w:szCs w:val="21"/>
                <w:highlight w:val="none"/>
                <w:lang w:val="en-US" w:eastAsia="zh-CN" w:bidi="ar-SA"/>
              </w:rPr>
              <w:t>25</w:t>
            </w:r>
          </w:p>
        </w:tc>
        <w:tc>
          <w:tcPr>
            <w:tcW w:w="1062" w:type="pct"/>
            <w:vAlign w:val="center"/>
          </w:tcPr>
          <w:p>
            <w:pPr>
              <w:keepNext w:val="0"/>
              <w:keepLines w:val="0"/>
              <w:suppressLineNumbers w:val="0"/>
              <w:spacing w:before="0" w:beforeAutospacing="0" w:after="0" w:afterAutospacing="0" w:line="400" w:lineRule="exact"/>
              <w:ind w:left="0" w:leftChars="0" w:right="0" w:rightChars="0"/>
              <w:jc w:val="center"/>
              <w:rPr>
                <w:rFonts w:hint="eastAsia" w:hAnsi="宋体"/>
                <w:color w:val="auto"/>
                <w:kern w:val="2"/>
                <w:sz w:val="21"/>
                <w:szCs w:val="21"/>
                <w:highlight w:val="none"/>
              </w:rPr>
            </w:pPr>
            <w:r>
              <w:rPr>
                <w:rFonts w:hint="eastAsia"/>
                <w:highlight w:val="none"/>
              </w:rPr>
              <w:t>中标候选人公示</w:t>
            </w:r>
          </w:p>
        </w:tc>
        <w:tc>
          <w:tcPr>
            <w:tcW w:w="3587" w:type="pct"/>
            <w:vAlign w:val="center"/>
          </w:tcPr>
          <w:p>
            <w:pPr>
              <w:spacing w:line="400" w:lineRule="exact"/>
              <w:ind w:firstLine="420" w:firstLineChars="200"/>
              <w:rPr>
                <w:rFonts w:hint="eastAsia" w:hAnsi="宋体"/>
                <w:color w:val="auto"/>
                <w:kern w:val="2"/>
                <w:sz w:val="21"/>
                <w:szCs w:val="21"/>
                <w:highlight w:val="none"/>
              </w:rPr>
            </w:pPr>
            <w:r>
              <w:rPr>
                <w:rFonts w:hint="eastAsia"/>
                <w:highlight w:val="none"/>
              </w:rPr>
              <w:t>评标结果将在重庆高速集团官网（http://www.cegc.com.cn）上进行公示，公示期为3日。公示内容包括中标候选人名称、排序、投标报价；提出异议、投诉的渠道和方式。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9" w:type="pct"/>
            <w:vAlign w:val="center"/>
          </w:tcPr>
          <w:p>
            <w:pPr>
              <w:pStyle w:val="149"/>
              <w:spacing w:line="400" w:lineRule="exact"/>
              <w:jc w:val="center"/>
              <w:rPr>
                <w:rFonts w:hint="eastAsia" w:hAnsi="宋体"/>
                <w:color w:val="auto"/>
                <w:kern w:val="2"/>
                <w:sz w:val="21"/>
                <w:szCs w:val="21"/>
                <w:highlight w:val="none"/>
              </w:rPr>
            </w:pPr>
            <w:r>
              <w:rPr>
                <w:rFonts w:hint="eastAsia" w:hAnsi="宋体"/>
                <w:color w:val="000000" w:themeColor="text1"/>
                <w:kern w:val="2"/>
                <w:sz w:val="21"/>
                <w:szCs w:val="21"/>
                <w:highlight w:val="none"/>
                <w14:textFill>
                  <w14:solidFill>
                    <w14:schemeClr w14:val="tx1"/>
                  </w14:solidFill>
                </w14:textFill>
              </w:rPr>
              <w:t>2</w:t>
            </w:r>
            <w:r>
              <w:rPr>
                <w:rFonts w:hint="eastAsia" w:hAnsi="宋体"/>
                <w:color w:val="000000" w:themeColor="text1"/>
                <w:kern w:val="2"/>
                <w:sz w:val="21"/>
                <w:szCs w:val="21"/>
                <w:highlight w:val="none"/>
                <w:lang w:val="en-US" w:eastAsia="zh-CN"/>
                <w14:textFill>
                  <w14:solidFill>
                    <w14:schemeClr w14:val="tx1"/>
                  </w14:solidFill>
                </w14:textFill>
              </w:rPr>
              <w:t>6</w:t>
            </w:r>
          </w:p>
        </w:tc>
        <w:tc>
          <w:tcPr>
            <w:tcW w:w="4650" w:type="pct"/>
            <w:gridSpan w:val="2"/>
            <w:vAlign w:val="center"/>
          </w:tcPr>
          <w:p>
            <w:pPr>
              <w:pStyle w:val="149"/>
              <w:spacing w:line="400" w:lineRule="exact"/>
              <w:ind w:firstLine="482" w:firstLineChars="200"/>
              <w:jc w:val="center"/>
              <w:rPr>
                <w:rFonts w:hint="eastAsia" w:hAnsi="宋体"/>
                <w:sz w:val="21"/>
                <w:szCs w:val="21"/>
                <w:highlight w:val="none"/>
              </w:rPr>
            </w:pPr>
            <w:r>
              <w:rPr>
                <w:rFonts w:hAnsi="宋体"/>
                <w:b/>
                <w:bCs/>
                <w:color w:val="000000" w:themeColor="text1"/>
                <w:szCs w:val="21"/>
                <w:highlight w:val="none"/>
                <w14:textFill>
                  <w14:solidFill>
                    <w14:schemeClr w14:val="tx1"/>
                  </w14:solidFill>
                </w14:textFill>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49" w:type="pct"/>
            <w:vAlign w:val="center"/>
          </w:tcPr>
          <w:p>
            <w:pPr>
              <w:pStyle w:val="149"/>
              <w:spacing w:line="40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highlight w:val="none"/>
                <w14:textFill>
                  <w14:solidFill>
                    <w14:schemeClr w14:val="tx1"/>
                  </w14:solidFill>
                </w14:textFill>
              </w:rPr>
              <w:t>2</w:t>
            </w:r>
            <w:r>
              <w:rPr>
                <w:rFonts w:hint="eastAsia" w:hAnsi="宋体"/>
                <w:color w:val="000000" w:themeColor="text1"/>
                <w:kern w:val="2"/>
                <w:sz w:val="21"/>
                <w:szCs w:val="21"/>
                <w:highlight w:val="none"/>
                <w:lang w:val="en-US" w:eastAsia="zh-CN"/>
                <w14:textFill>
                  <w14:solidFill>
                    <w14:schemeClr w14:val="tx1"/>
                  </w14:solidFill>
                </w14:textFill>
              </w:rPr>
              <w:t>6</w:t>
            </w:r>
            <w:r>
              <w:rPr>
                <w:rFonts w:hint="eastAsia" w:hAnsi="宋体"/>
                <w:color w:val="000000" w:themeColor="text1"/>
                <w:kern w:val="2"/>
                <w:sz w:val="21"/>
                <w:szCs w:val="21"/>
                <w:highlight w:val="none"/>
                <w14:textFill>
                  <w14:solidFill>
                    <w14:schemeClr w14:val="tx1"/>
                  </w14:solidFill>
                </w14:textFill>
              </w:rPr>
              <w:t>.1</w:t>
            </w:r>
          </w:p>
        </w:tc>
        <w:tc>
          <w:tcPr>
            <w:tcW w:w="4650" w:type="pct"/>
            <w:gridSpan w:val="2"/>
            <w:vAlign w:val="center"/>
          </w:tcPr>
          <w:p>
            <w:pPr>
              <w:pStyle w:val="149"/>
              <w:spacing w:line="400" w:lineRule="exact"/>
              <w:ind w:firstLine="420" w:firstLineChars="200"/>
              <w:rPr>
                <w:rFonts w:hAnsi="宋体"/>
                <w:b/>
                <w:bCs/>
                <w:color w:val="000000" w:themeColor="text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8" w:type="dxa"/>
            <w:vAlign w:val="center"/>
          </w:tcPr>
          <w:p>
            <w:pPr>
              <w:pStyle w:val="149"/>
              <w:spacing w:line="40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14:textFill>
                  <w14:solidFill>
                    <w14:schemeClr w14:val="tx1"/>
                  </w14:solidFill>
                </w14:textFill>
              </w:rPr>
              <w:t>2</w:t>
            </w:r>
            <w:r>
              <w:rPr>
                <w:rFonts w:hint="eastAsia" w:hAnsi="宋体"/>
                <w:color w:val="000000" w:themeColor="text1"/>
                <w:kern w:val="2"/>
                <w:sz w:val="21"/>
                <w:szCs w:val="21"/>
                <w:lang w:val="en-US" w:eastAsia="zh-CN"/>
                <w14:textFill>
                  <w14:solidFill>
                    <w14:schemeClr w14:val="tx1"/>
                  </w14:solidFill>
                </w14:textFill>
              </w:rPr>
              <w:t>6</w:t>
            </w:r>
            <w:r>
              <w:rPr>
                <w:rFonts w:hint="eastAsia" w:hAnsi="宋体"/>
                <w:color w:val="000000" w:themeColor="text1"/>
                <w:kern w:val="2"/>
                <w:sz w:val="21"/>
                <w:szCs w:val="21"/>
                <w14:textFill>
                  <w14:solidFill>
                    <w14:schemeClr w14:val="tx1"/>
                  </w14:solidFill>
                </w14:textFill>
              </w:rPr>
              <w:t>.2</w:t>
            </w:r>
          </w:p>
        </w:tc>
        <w:tc>
          <w:tcPr>
            <w:tcW w:w="9160" w:type="dxa"/>
            <w:gridSpan w:val="2"/>
            <w:vAlign w:val="center"/>
          </w:tcPr>
          <w:p>
            <w:pPr>
              <w:pStyle w:val="149"/>
              <w:numPr>
                <w:ilvl w:val="0"/>
                <w:numId w:val="4"/>
              </w:numPr>
              <w:spacing w:line="400" w:lineRule="exact"/>
              <w:ind w:firstLine="420" w:firstLineChars="200"/>
              <w:rPr>
                <w:rFonts w:hint="eastAsia" w:hAnsi="宋体"/>
                <w:color w:val="000000" w:themeColor="text1"/>
                <w:sz w:val="21"/>
                <w:szCs w:val="21"/>
                <w:lang w:val="en-US" w:eastAsia="zh-CN"/>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如中标人无法满足工程量清单中任一参数要求，采购人有权退货、终止合同，并扣除合同总金额的10%。</w:t>
            </w:r>
          </w:p>
          <w:p>
            <w:pPr>
              <w:pStyle w:val="149"/>
              <w:numPr>
                <w:ilvl w:val="0"/>
                <w:numId w:val="4"/>
              </w:numPr>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采购人</w:t>
            </w:r>
            <w:r>
              <w:rPr>
                <w:rFonts w:hint="default" w:hAnsi="宋体"/>
                <w:color w:val="000000" w:themeColor="text1"/>
                <w:sz w:val="21"/>
                <w:szCs w:val="21"/>
                <w:lang w:val="en-US" w:eastAsia="zh-CN"/>
                <w14:textFill>
                  <w14:solidFill>
                    <w14:schemeClr w14:val="tx1"/>
                  </w14:solidFill>
                </w14:textFill>
              </w:rPr>
              <w:t>将现场验收和第三方检测相结合进行质量的把控，随机抽查到货产品质量。对于现场验收不合格的产品，该批次货物做退货处理，并有权扣除供货人部分履约担保和低价担保（如有）；对于随机抽取至第三方检测机构进行检测的产品，</w:t>
            </w:r>
            <w:r>
              <w:rPr>
                <w:rFonts w:hint="eastAsia" w:hAnsi="宋体"/>
                <w:color w:val="000000" w:themeColor="text1"/>
                <w:sz w:val="21"/>
                <w:szCs w:val="21"/>
                <w:lang w:val="en-US" w:eastAsia="zh-CN"/>
                <w14:textFill>
                  <w14:solidFill>
                    <w14:schemeClr w14:val="tx1"/>
                  </w14:solidFill>
                </w14:textFill>
              </w:rPr>
              <w:t>采购人</w:t>
            </w:r>
            <w:r>
              <w:rPr>
                <w:rFonts w:hint="default" w:hAnsi="宋体"/>
                <w:color w:val="000000" w:themeColor="text1"/>
                <w:sz w:val="21"/>
                <w:szCs w:val="21"/>
                <w:lang w:val="en-US" w:eastAsia="zh-CN"/>
                <w14:textFill>
                  <w14:solidFill>
                    <w14:schemeClr w14:val="tx1"/>
                  </w14:solidFill>
                </w14:textFill>
              </w:rPr>
              <w:t>将立即对该批次货物做退货处理，并扣除中标人的履约担保和低价担保（如有），若产品已安装完成，则由中标人赔偿相应损失。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88" w:type="dxa"/>
            <w:vAlign w:val="center"/>
          </w:tcPr>
          <w:p>
            <w:pPr>
              <w:pStyle w:val="149"/>
              <w:spacing w:line="400" w:lineRule="exact"/>
              <w:jc w:val="center"/>
              <w:rPr>
                <w:rFonts w:hint="eastAsia" w:hAnsi="宋体"/>
                <w:color w:val="000000" w:themeColor="text1"/>
                <w:kern w:val="2"/>
                <w:sz w:val="21"/>
                <w:szCs w:val="21"/>
                <w:highlight w:val="none"/>
                <w14:textFill>
                  <w14:solidFill>
                    <w14:schemeClr w14:val="tx1"/>
                  </w14:solidFill>
                </w14:textFill>
              </w:rPr>
            </w:pPr>
            <w:r>
              <w:rPr>
                <w:rFonts w:hint="eastAsia" w:hAnsi="宋体"/>
                <w:color w:val="000000" w:themeColor="text1"/>
                <w:kern w:val="2"/>
                <w:sz w:val="21"/>
                <w:szCs w:val="21"/>
                <w:lang w:val="en-US" w:eastAsia="zh-CN"/>
                <w14:textFill>
                  <w14:solidFill>
                    <w14:schemeClr w14:val="tx1"/>
                  </w14:solidFill>
                </w14:textFill>
              </w:rPr>
              <w:t>26.3</w:t>
            </w:r>
          </w:p>
        </w:tc>
        <w:tc>
          <w:tcPr>
            <w:tcW w:w="9160" w:type="dxa"/>
            <w:gridSpan w:val="2"/>
            <w:vAlign w:val="center"/>
          </w:tcPr>
          <w:p>
            <w:pPr>
              <w:pStyle w:val="149"/>
              <w:spacing w:line="400" w:lineRule="exact"/>
              <w:ind w:firstLine="420" w:firstLineChars="200"/>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lang w:val="en-US" w:eastAsia="zh-CN"/>
                <w14:textFill>
                  <w14:solidFill>
                    <w14:schemeClr w14:val="tx1"/>
                  </w14:solidFill>
                </w14:textFill>
              </w:rPr>
              <w:t>1、需提供投标保证金银行回执。</w:t>
            </w:r>
          </w:p>
        </w:tc>
      </w:tr>
      <w:bookmarkEnd w:id="108"/>
    </w:tbl>
    <w:p>
      <w:pPr>
        <w:spacing w:line="360" w:lineRule="auto"/>
        <w:jc w:val="center"/>
        <w:rPr>
          <w:rFonts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b/>
          <w:color w:val="000000" w:themeColor="text1"/>
          <w:highlight w:val="none"/>
          <w14:textFill>
            <w14:solidFill>
              <w14:schemeClr w14:val="tx1"/>
            </w14:solidFill>
          </w14:textFill>
        </w:rPr>
      </w:pPr>
      <w:bookmarkStart w:id="111" w:name="_Toc30198"/>
      <w:bookmarkStart w:id="112" w:name="_Toc11284"/>
      <w:bookmarkStart w:id="113" w:name="_Toc17532"/>
      <w:bookmarkStart w:id="114" w:name="_Toc11329222"/>
      <w:bookmarkStart w:id="115" w:name="_Toc9520"/>
      <w:bookmarkStart w:id="116" w:name="_Toc8293"/>
      <w:bookmarkStart w:id="117" w:name="_Toc387234996"/>
      <w:bookmarkStart w:id="118" w:name="_Toc11329227"/>
      <w:bookmarkStart w:id="119" w:name="_Toc388534043"/>
      <w:bookmarkStart w:id="120" w:name="_Toc27148"/>
      <w:bookmarkStart w:id="121" w:name="_Toc21487"/>
      <w:r>
        <w:rPr>
          <w:rFonts w:hint="eastAsia" w:ascii="宋体" w:hAnsi="宋体" w:eastAsia="宋体" w:cs="宋体"/>
          <w:color w:val="000000" w:themeColor="text1"/>
          <w:sz w:val="28"/>
          <w:szCs w:val="28"/>
          <w:highlight w:val="none"/>
          <w14:textFill>
            <w14:solidFill>
              <w14:schemeClr w14:val="tx1"/>
            </w14:solidFill>
          </w14:textFill>
        </w:rPr>
        <w:t xml:space="preserve">附录1  </w:t>
      </w:r>
      <w:bookmarkEnd w:id="111"/>
      <w:bookmarkEnd w:id="112"/>
      <w:bookmarkEnd w:id="113"/>
      <w:bookmarkEnd w:id="114"/>
      <w:bookmarkStart w:id="122" w:name="_Toc11329226"/>
      <w:bookmarkStart w:id="123" w:name="_Toc25591"/>
      <w:bookmarkStart w:id="124" w:name="_Toc12773"/>
      <w:bookmarkStart w:id="125" w:name="_Toc27096"/>
      <w:r>
        <w:rPr>
          <w:rFonts w:hint="eastAsia" w:ascii="宋体" w:hAnsi="宋体" w:eastAsia="宋体" w:cs="宋体"/>
          <w:bCs w:val="0"/>
          <w:color w:val="000000" w:themeColor="text1"/>
          <w:sz w:val="28"/>
          <w:szCs w:val="28"/>
          <w:highlight w:val="none"/>
          <w14:textFill>
            <w14:solidFill>
              <w14:schemeClr w14:val="tx1"/>
            </w14:solidFill>
          </w14:textFill>
        </w:rPr>
        <w:t>资格审查文件</w:t>
      </w:r>
      <w:bookmarkEnd w:id="115"/>
      <w:bookmarkEnd w:id="122"/>
      <w:bookmarkEnd w:id="123"/>
      <w:bookmarkEnd w:id="124"/>
      <w:bookmarkEnd w:id="125"/>
      <w:r>
        <w:rPr>
          <w:rFonts w:hint="eastAsia" w:ascii="宋体" w:hAnsi="宋体" w:eastAsia="宋体" w:cs="宋体"/>
          <w:bCs w:val="0"/>
          <w:color w:val="000000" w:themeColor="text1"/>
          <w:sz w:val="28"/>
          <w:szCs w:val="28"/>
          <w:highlight w:val="none"/>
          <w14:textFill>
            <w14:solidFill>
              <w14:schemeClr w14:val="tx1"/>
            </w14:solidFill>
          </w14:textFill>
        </w:rPr>
        <w:t>（项目主要管理人员最低要求）</w:t>
      </w:r>
    </w:p>
    <w:tbl>
      <w:tblPr>
        <w:tblStyle w:val="43"/>
        <w:tblW w:w="9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26" w:name="_Toc6945"/>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695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szCs w:val="21"/>
                <w:highlight w:val="none"/>
                <w:lang w:val="en-US" w:eastAsia="zh-CN"/>
              </w:rPr>
            </w:pPr>
            <w:r>
              <w:rPr>
                <w:rFonts w:hint="eastAsia" w:ascii="宋体" w:hAnsi="宋体" w:cs="宋体"/>
                <w:i w:val="0"/>
                <w:caps w:val="0"/>
                <w:color w:val="000000"/>
                <w:spacing w:val="0"/>
                <w:kern w:val="0"/>
                <w:sz w:val="21"/>
                <w:szCs w:val="21"/>
                <w:lang w:val="en-US" w:eastAsia="zh-CN" w:bidi="ar"/>
              </w:rPr>
              <w:t>具有二级建造师及以上执业资格；持有有效的省级建设主管部门颁发的安全生产考核合格证B证，提供社保证明。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技术负责人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rPr>
              <w:t>具有中级及以上职称，提供社保证明</w:t>
            </w:r>
            <w:r>
              <w:rPr>
                <w:rFonts w:hint="eastAsia" w:ascii="宋体" w:hAnsi="宋体" w:cs="宋体"/>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安全负责人</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1</w:t>
            </w:r>
          </w:p>
        </w:tc>
        <w:tc>
          <w:tcPr>
            <w:tcW w:w="6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持有有效的省级建设主管部门颁发的安全生产考核合格证C证，</w:t>
            </w:r>
            <w:r>
              <w:rPr>
                <w:rFonts w:hint="eastAsia" w:ascii="宋体" w:hAnsi="宋体" w:cs="宋体"/>
                <w:i w:val="0"/>
                <w:caps w:val="0"/>
                <w:color w:val="000000"/>
                <w:spacing w:val="0"/>
                <w:kern w:val="0"/>
                <w:sz w:val="21"/>
                <w:szCs w:val="21"/>
                <w:lang w:val="en-US" w:eastAsia="zh-CN" w:bidi="ar"/>
              </w:rPr>
              <w:t>提供社保证明</w:t>
            </w:r>
            <w:r>
              <w:rPr>
                <w:rFonts w:hint="eastAsia" w:ascii="宋体" w:hAnsi="宋体" w:cs="宋体"/>
                <w:szCs w:val="21"/>
                <w:highlight w:val="none"/>
                <w:lang w:val="en-US" w:eastAsia="zh-CN"/>
              </w:rPr>
              <w:t>。</w:t>
            </w:r>
          </w:p>
        </w:tc>
      </w:tr>
    </w:tbl>
    <w:p>
      <w:pPr>
        <w:spacing w:line="400" w:lineRule="exact"/>
        <w:jc w:val="left"/>
        <w:rPr>
          <w:rFonts w:hint="eastAsia" w:ascii="宋体" w:hAnsi="宋体" w:cs="宋体"/>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及由社保局出具的报价人为以上人员缴纳2024年5月至2024年7月连续三个月的养老保险证明（带有社保部门公章或社保部门的有效电子印章）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p>
    <w:p>
      <w:pPr>
        <w:pStyle w:val="4"/>
        <w:ind w:firstLine="1124" w:firstLineChars="400"/>
        <w:jc w:val="both"/>
        <w:rPr>
          <w:rFonts w:ascii="宋体" w:hAnsi="宋体" w:eastAsia="宋体" w:cs="宋体"/>
          <w:bCs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t>附录2 资格审查文件（项目其他人员最低要求）</w:t>
      </w:r>
      <w:bookmarkEnd w:id="12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27" w:name="_Toc413241584"/>
            <w:bookmarkStart w:id="128" w:name="_Toc507319900"/>
            <w:bookmarkStart w:id="129" w:name="_Toc23696"/>
            <w:bookmarkStart w:id="130" w:name="_Toc24393"/>
            <w:r>
              <w:rPr>
                <w:rFonts w:hint="eastAsia" w:ascii="宋体" w:hAnsi="宋体" w:cs="宋体"/>
                <w:szCs w:val="21"/>
                <w:highlight w:val="none"/>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numPr>
                <w:ilvl w:val="0"/>
                <w:numId w:val="5"/>
              </w:numPr>
              <w:ind w:firstLine="400"/>
              <w:rPr>
                <w:rFonts w:hint="eastAsia"/>
                <w:lang w:val="en-US" w:eastAsia="zh-CN"/>
              </w:rPr>
            </w:pPr>
            <w:r>
              <w:rPr>
                <w:rFonts w:hint="eastAsia"/>
                <w:lang w:val="en-US" w:eastAsia="zh-CN"/>
              </w:rPr>
              <w:t>施工劳务人员，至少1支队伍，现场至少配备10名施工劳务人员，必须为报价人自有员工或者劳务派遣员工； </w:t>
            </w:r>
          </w:p>
          <w:p>
            <w:pPr>
              <w:numPr>
                <w:ilvl w:val="0"/>
                <w:numId w:val="5"/>
              </w:numPr>
              <w:ind w:firstLine="400"/>
              <w:rPr>
                <w:rFonts w:hint="eastAsia" w:eastAsia="宋体"/>
                <w:highlight w:val="none"/>
                <w:lang w:val="en-US" w:eastAsia="zh-CN"/>
              </w:rPr>
            </w:pPr>
            <w:r>
              <w:rPr>
                <w:rFonts w:hint="eastAsia"/>
                <w:lang w:val="en-US" w:eastAsia="zh-CN"/>
              </w:rPr>
              <w:t>资料员1名，必须为报价人自有员工或者劳务派遣员工；</w:t>
            </w:r>
          </w:p>
          <w:p>
            <w:pPr>
              <w:numPr>
                <w:ilvl w:val="0"/>
                <w:numId w:val="5"/>
              </w:numPr>
              <w:ind w:firstLine="400"/>
              <w:rPr>
                <w:rFonts w:hint="eastAsia" w:eastAsia="宋体"/>
                <w:highlight w:val="none"/>
                <w:lang w:val="en-US" w:eastAsia="zh-CN"/>
              </w:rPr>
            </w:pPr>
            <w:r>
              <w:rPr>
                <w:rFonts w:hint="eastAsia"/>
                <w:lang w:val="en-US" w:eastAsia="zh-CN"/>
              </w:rPr>
              <w:t>质量员1名，须为报价人自有员工或者劳务派遣员工；</w:t>
            </w:r>
          </w:p>
          <w:p>
            <w:pPr>
              <w:numPr>
                <w:ilvl w:val="0"/>
                <w:numId w:val="5"/>
              </w:numPr>
              <w:ind w:firstLine="400"/>
              <w:rPr>
                <w:rFonts w:hint="eastAsia" w:eastAsia="宋体"/>
                <w:highlight w:val="none"/>
                <w:lang w:val="en-US" w:eastAsia="zh-CN"/>
              </w:rPr>
            </w:pPr>
            <w:r>
              <w:rPr>
                <w:rFonts w:hint="eastAsia"/>
                <w:lang w:val="en-US" w:eastAsia="zh-CN"/>
              </w:rPr>
              <w:t>另需根据项目实际施工进度情况及时增加人员。</w:t>
            </w:r>
          </w:p>
        </w:tc>
      </w:tr>
      <w:bookmarkEnd w:id="127"/>
      <w:bookmarkEnd w:id="128"/>
      <w:bookmarkEnd w:id="129"/>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rPr>
        <w:t>注：以上</w:t>
      </w:r>
      <w:r>
        <w:rPr>
          <w:rFonts w:hint="eastAsia" w:ascii="宋体" w:hAnsi="宋体" w:cs="宋体"/>
          <w:bCs/>
          <w:kern w:val="0"/>
          <w:szCs w:val="21"/>
          <w:lang w:val="en-US" w:eastAsia="zh-CN"/>
        </w:rPr>
        <w:t>人员</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r>
        <w:rPr>
          <w:rFonts w:hint="eastAsia" w:hAnsi="宋体"/>
          <w:b w:val="0"/>
          <w:bCs w:val="0"/>
          <w:color w:val="auto"/>
          <w:sz w:val="21"/>
          <w:szCs w:val="21"/>
          <w:highlight w:val="none"/>
        </w:rPr>
        <w:t>。</w:t>
      </w:r>
    </w:p>
    <w:p>
      <w:pPr>
        <w:pStyle w:val="4"/>
        <w:jc w:val="center"/>
        <w:rPr>
          <w:rFonts w:hAnsi="宋体"/>
          <w:b w:val="0"/>
          <w:color w:val="000000" w:themeColor="text1"/>
          <w:sz w:val="28"/>
          <w:szCs w:val="28"/>
          <w:highlight w:val="none"/>
          <w14:textFill>
            <w14:solidFill>
              <w14:schemeClr w14:val="tx1"/>
            </w14:solidFill>
          </w14:textFill>
        </w:rPr>
      </w:pPr>
      <w:r>
        <w:rPr>
          <w:rFonts w:hint="eastAsia" w:ascii="宋体" w:hAnsi="宋体" w:eastAsia="宋体" w:cs="宋体"/>
          <w:bCs w:val="0"/>
          <w:color w:val="000000" w:themeColor="text1"/>
          <w:sz w:val="28"/>
          <w:szCs w:val="28"/>
          <w:highlight w:val="none"/>
          <w14:textFill>
            <w14:solidFill>
              <w14:schemeClr w14:val="tx1"/>
            </w14:solidFill>
          </w14:textFill>
        </w:rPr>
        <w:t>附录3 资格审查文件（主要机械设备和试验检测设备最低要求）</w:t>
      </w:r>
      <w:bookmarkEnd w:id="130"/>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w:t>
            </w:r>
            <w:r>
              <w:rPr>
                <w:rFonts w:hint="eastAsia" w:ascii="宋体" w:hAnsi="宋体" w:cs="宋体"/>
                <w:caps/>
                <w:szCs w:val="21"/>
              </w:rPr>
              <w:t>根据项目实际施工进度情况及时增加相关机械设备和试验检测设备。</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spacing w:line="440" w:lineRule="exact"/>
        <w:jc w:val="center"/>
        <w:rPr>
          <w:rFonts w:hint="eastAsia" w:ascii="宋体" w:hAnsi="宋体" w:eastAsia="宋体" w:cs="宋体"/>
          <w:color w:val="000000" w:themeColor="text1"/>
          <w:szCs w:val="21"/>
          <w:highlight w:val="none"/>
          <w:lang w:eastAsia="zh-CN"/>
          <w14:textFill>
            <w14:solidFill>
              <w14:schemeClr w14:val="tx1"/>
            </w14:solidFill>
          </w14:textFill>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以上（附录1-附录3中的资格审查）的要求均为强制性条件，其中任何一条不满足要求，则按否决报价处理。</w:t>
      </w:r>
    </w:p>
    <w:bookmarkEnd w:id="116"/>
    <w:bookmarkEnd w:id="117"/>
    <w:bookmarkEnd w:id="118"/>
    <w:bookmarkEnd w:id="119"/>
    <w:bookmarkEnd w:id="120"/>
    <w:bookmarkEnd w:id="121"/>
    <w:p>
      <w:pPr>
        <w:pStyle w:val="3"/>
        <w:numPr>
          <w:ilvl w:val="0"/>
          <w:numId w:val="6"/>
        </w:numPr>
        <w:spacing w:before="0" w:after="0" w:line="360" w:lineRule="auto"/>
        <w:jc w:val="center"/>
        <w:rPr>
          <w:highlight w:val="none"/>
        </w:rPr>
      </w:pPr>
      <w:bookmarkStart w:id="131" w:name="_Toc247085745"/>
      <w:bookmarkStart w:id="132" w:name="_Toc144974554"/>
      <w:bookmarkStart w:id="133" w:name="_Toc2000406"/>
      <w:bookmarkStart w:id="134" w:name="_Toc152042364"/>
      <w:bookmarkStart w:id="135" w:name="_Toc507319957"/>
      <w:bookmarkStart w:id="136" w:name="_Toc32070"/>
      <w:bookmarkStart w:id="137" w:name="_Toc246996973"/>
      <w:bookmarkStart w:id="138" w:name="_Toc246996230"/>
      <w:bookmarkStart w:id="139" w:name="_Toc152045587"/>
      <w:bookmarkStart w:id="140" w:name="_Toc179632605"/>
      <w:r>
        <w:rPr>
          <w:rFonts w:hint="eastAsia" w:ascii="宋体" w:hAnsi="宋体" w:cs="宋体"/>
          <w:highlight w:val="none"/>
        </w:rPr>
        <w:t>评标办法（综合评估法）</w:t>
      </w:r>
      <w:bookmarkEnd w:id="131"/>
      <w:bookmarkEnd w:id="132"/>
      <w:bookmarkEnd w:id="133"/>
      <w:bookmarkEnd w:id="134"/>
      <w:bookmarkEnd w:id="135"/>
      <w:bookmarkEnd w:id="136"/>
      <w:bookmarkEnd w:id="137"/>
      <w:bookmarkEnd w:id="138"/>
      <w:bookmarkEnd w:id="139"/>
      <w:bookmarkEnd w:id="140"/>
    </w:p>
    <w:p>
      <w:pPr>
        <w:rPr>
          <w:highlight w:val="none"/>
        </w:rPr>
      </w:pPr>
    </w:p>
    <w:p>
      <w:pPr>
        <w:rPr>
          <w:b/>
          <w:bCs/>
          <w:highlight w:val="none"/>
        </w:rPr>
      </w:pPr>
      <w:r>
        <w:rPr>
          <w:rFonts w:hint="eastAsia"/>
          <w:b/>
          <w:bCs/>
          <w:highlight w:val="none"/>
        </w:rPr>
        <w:t>评标办法前附表</w:t>
      </w:r>
    </w:p>
    <w:tbl>
      <w:tblPr>
        <w:tblStyle w:val="43"/>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022"/>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条款名称</w:t>
            </w:r>
          </w:p>
        </w:tc>
        <w:tc>
          <w:tcPr>
            <w:tcW w:w="2022"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评审因素与评审标准</w:t>
            </w:r>
          </w:p>
        </w:tc>
        <w:tc>
          <w:tcPr>
            <w:tcW w:w="546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Cs/>
                <w:kern w:val="0"/>
                <w:szCs w:val="21"/>
                <w:highlight w:val="none"/>
              </w:rPr>
              <w:t>1</w:t>
            </w:r>
          </w:p>
        </w:tc>
        <w:tc>
          <w:tcPr>
            <w:tcW w:w="1159" w:type="dxa"/>
            <w:vAlign w:val="center"/>
          </w:tcPr>
          <w:p>
            <w:pPr>
              <w:snapToGrid w:val="0"/>
              <w:spacing w:line="320" w:lineRule="exact"/>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szCs w:val="21"/>
                <w:highlight w:val="none"/>
              </w:rPr>
              <w:t>评标办</w:t>
            </w:r>
            <w:r>
              <w:rPr>
                <w:rFonts w:hint="eastAsia" w:asciiTheme="minorEastAsia" w:hAnsiTheme="minorEastAsia" w:eastAsiaTheme="minorEastAsia" w:cstheme="minorEastAsia"/>
                <w:spacing w:val="-1"/>
                <w:szCs w:val="21"/>
                <w:highlight w:val="none"/>
              </w:rPr>
              <w:t>法</w:t>
            </w:r>
          </w:p>
        </w:tc>
        <w:tc>
          <w:tcPr>
            <w:tcW w:w="2022" w:type="dxa"/>
            <w:vAlign w:val="center"/>
          </w:tcPr>
          <w:p>
            <w:pPr>
              <w:snapToGrid w:val="0"/>
              <w:spacing w:line="320" w:lineRule="exact"/>
              <w:rPr>
                <w:rFonts w:asciiTheme="minorEastAsia" w:hAnsiTheme="minorEastAsia" w:eastAsiaTheme="minorEastAsia" w:cstheme="minorEastAsia"/>
                <w:b/>
                <w:kern w:val="0"/>
                <w:szCs w:val="21"/>
                <w:highlight w:val="none"/>
              </w:rPr>
            </w:pPr>
            <w:r>
              <w:rPr>
                <w:rFonts w:hint="eastAsia" w:ascii="宋体" w:hAnsi="宋体" w:cs="宋体"/>
                <w:szCs w:val="21"/>
                <w:highlight w:val="none"/>
              </w:rPr>
              <w:t>中标候选人排序方法</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（1）以评标价低的报价人优先；</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（2）如评标价也相同时，以技术得分较高的报价人优先；</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highlight w:val="none"/>
              </w:rPr>
            </w:pPr>
            <w:r>
              <w:rPr>
                <w:rFonts w:hint="eastAsia" w:ascii="宋体" w:hAnsi="宋体" w:cs="宋体"/>
                <w:szCs w:val="21"/>
                <w:highlight w:val="none"/>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评审因素</w:t>
            </w:r>
          </w:p>
        </w:tc>
        <w:tc>
          <w:tcPr>
            <w:tcW w:w="2022" w:type="dxa"/>
            <w:vAlign w:val="center"/>
          </w:tcPr>
          <w:p>
            <w:pPr>
              <w:snapToGrid w:val="0"/>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评审标准</w:t>
            </w:r>
          </w:p>
        </w:tc>
        <w:tc>
          <w:tcPr>
            <w:tcW w:w="5468" w:type="dxa"/>
            <w:vAlign w:val="center"/>
          </w:tcPr>
          <w:p>
            <w:pPr>
              <w:snapToGrid w:val="0"/>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b/>
                <w:kern w:val="0"/>
                <w:szCs w:val="21"/>
                <w:highlight w:val="none"/>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2.1</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资格评审标准</w:t>
            </w: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营业执照</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资质要求</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业绩要求</w:t>
            </w:r>
          </w:p>
        </w:tc>
        <w:tc>
          <w:tcPr>
            <w:tcW w:w="5468" w:type="dxa"/>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信誉要求</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项目主要管理人员最低要求</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其他人员最低要求</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主要机械设备和试验检测设备最低要求</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2.2</w:t>
            </w:r>
          </w:p>
        </w:tc>
        <w:tc>
          <w:tcPr>
            <w:tcW w:w="1159" w:type="dxa"/>
            <w:vMerge w:val="restart"/>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形式评审标准</w:t>
            </w: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报价人名称</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报价函签字盖章</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竞争性比选响应文件格式</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符合第九章“竞争性比选响应文件格式”的要求，字迹清晰可辨。</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1.竞争性比选响应声明书的所有数据均符合比选文件的规定；</w:t>
            </w:r>
          </w:p>
          <w:p>
            <w:pPr>
              <w:spacing w:line="400" w:lineRule="exact"/>
              <w:ind w:firstLine="420" w:firstLineChars="200"/>
              <w:rPr>
                <w:rFonts w:ascii="宋体" w:hAnsi="宋体" w:cs="宋体"/>
                <w:szCs w:val="21"/>
                <w:highlight w:val="none"/>
              </w:rPr>
            </w:pPr>
            <w:r>
              <w:rPr>
                <w:rFonts w:hint="eastAsia" w:ascii="宋体" w:hAnsi="宋体" w:cs="宋体"/>
                <w:szCs w:val="21"/>
                <w:highlight w:val="none"/>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已标价工程量清单</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报价其它要求</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kern w:val="0"/>
                <w:szCs w:val="21"/>
                <w:highlight w:val="none"/>
              </w:rPr>
            </w:pPr>
            <w:r>
              <w:rPr>
                <w:rFonts w:hint="eastAsia" w:asciiTheme="minorEastAsia" w:hAnsiTheme="minorEastAsia" w:eastAsiaTheme="minorEastAsia" w:cstheme="minorEastAsia"/>
                <w:szCs w:val="21"/>
                <w:highlight w:val="none"/>
              </w:rPr>
              <w:t>竞争性比选响应文件正本中法定代表人或其授权代理人签署</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其它材料</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响应性评审标准</w:t>
            </w: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投标内容</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报价</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工期</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质量标准</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vAlign w:val="center"/>
          </w:tcPr>
          <w:p>
            <w:pPr>
              <w:spacing w:line="320" w:lineRule="exact"/>
              <w:jc w:val="center"/>
              <w:rPr>
                <w:rFonts w:asciiTheme="minorEastAsia" w:hAnsiTheme="minorEastAsia" w:eastAsiaTheme="minorEastAsia" w:cstheme="minorEastAsia"/>
                <w:szCs w:val="21"/>
                <w:highlight w:val="none"/>
              </w:rPr>
            </w:pPr>
          </w:p>
        </w:tc>
        <w:tc>
          <w:tcPr>
            <w:tcW w:w="2022"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安全目标</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w:t>
            </w:r>
          </w:p>
        </w:tc>
        <w:tc>
          <w:tcPr>
            <w:tcW w:w="1159" w:type="dxa"/>
            <w:vAlign w:val="center"/>
          </w:tcPr>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分值构</w:t>
            </w:r>
          </w:p>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（总分 100 分） </w:t>
            </w:r>
          </w:p>
        </w:tc>
        <w:tc>
          <w:tcPr>
            <w:tcW w:w="7490" w:type="dxa"/>
            <w:gridSpan w:val="2"/>
            <w:vAlign w:val="center"/>
          </w:tcPr>
          <w:p>
            <w:pPr>
              <w:numPr>
                <w:ilvl w:val="0"/>
                <w:numId w:val="0"/>
              </w:num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r>
              <w:rPr>
                <w:rFonts w:hint="eastAsia" w:asciiTheme="minorEastAsia" w:hAnsiTheme="minorEastAsia" w:eastAsiaTheme="minorEastAsia" w:cstheme="minorEastAsia"/>
                <w:szCs w:val="21"/>
                <w:highlight w:val="none"/>
                <w:lang w:val="en-US" w:eastAsia="zh-CN"/>
              </w:rPr>
              <w:t>7</w:t>
            </w:r>
            <w:r>
              <w:rPr>
                <w:rFonts w:hint="default"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pPr>
              <w:numPr>
                <w:ilvl w:val="0"/>
                <w:numId w:val="0"/>
              </w:num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商务部分</w:t>
            </w:r>
            <w:r>
              <w:rPr>
                <w:rFonts w:hint="eastAsia" w:asciiTheme="minorEastAsia" w:hAnsiTheme="minorEastAsia" w:eastAsiaTheme="minorEastAsia" w:cstheme="minorEastAsia"/>
                <w:szCs w:val="21"/>
                <w:highlight w:val="none"/>
                <w:lang w:val="en-US" w:eastAsia="zh-CN"/>
              </w:rPr>
              <w:t>1</w:t>
            </w:r>
            <w:r>
              <w:rPr>
                <w:rFonts w:hint="default"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分；</w:t>
            </w:r>
          </w:p>
          <w:p>
            <w:pPr>
              <w:spacing w:line="320" w:lineRule="exact"/>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w:t>
            </w:r>
            <w:r>
              <w:rPr>
                <w:rFonts w:hint="eastAsia" w:asciiTheme="minorEastAsia" w:hAnsiTheme="minorEastAsia" w:eastAsiaTheme="minorEastAsia" w:cstheme="minorEastAsia"/>
                <w:szCs w:val="21"/>
                <w:highlight w:val="none"/>
                <w:lang w:val="en-US" w:eastAsia="zh-CN"/>
              </w:rPr>
              <w:t>20</w:t>
            </w:r>
            <w:r>
              <w:rPr>
                <w:rFonts w:hint="eastAsia" w:asciiTheme="minorEastAsia" w:hAnsiTheme="minorEastAsia" w:eastAsiaTheme="minorEastAsia" w:cstheme="minorEastAsia"/>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tcBorders>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3.1</w:t>
            </w:r>
          </w:p>
        </w:tc>
        <w:tc>
          <w:tcPr>
            <w:tcW w:w="1159" w:type="dxa"/>
            <w:vMerge w:val="restart"/>
            <w:tcBorders>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投标报价（</w:t>
            </w:r>
            <w:r>
              <w:rPr>
                <w:rFonts w:hint="eastAsia" w:asciiTheme="minorEastAsia" w:hAnsiTheme="minorEastAsia" w:eastAsiaTheme="minorEastAsia" w:cstheme="minorEastAsia"/>
                <w:szCs w:val="21"/>
                <w:highlight w:val="none"/>
                <w:lang w:val="en-US" w:eastAsia="zh-CN"/>
              </w:rPr>
              <w:t>7</w:t>
            </w:r>
            <w:r>
              <w:rPr>
                <w:rFonts w:hint="eastAsia" w:asciiTheme="minorEastAsia" w:hAnsiTheme="minorEastAsia" w:eastAsiaTheme="minorEastAsia" w:cstheme="minorEastAsia"/>
                <w:szCs w:val="21"/>
                <w:highlight w:val="none"/>
              </w:rPr>
              <w:t>0分）</w:t>
            </w:r>
          </w:p>
        </w:tc>
        <w:tc>
          <w:tcPr>
            <w:tcW w:w="2022" w:type="dxa"/>
            <w:tcBorders>
              <w:left w:val="single" w:color="auto" w:sz="4" w:space="0"/>
              <w:bottom w:val="single" w:color="auto" w:sz="4" w:space="0"/>
              <w:right w:val="single" w:color="auto" w:sz="4" w:space="0"/>
            </w:tcBorders>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kern w:val="0"/>
                <w:sz w:val="21"/>
                <w:szCs w:val="21"/>
                <w:highlight w:val="none"/>
                <w:lang w:val="en-US" w:eastAsia="zh-CN"/>
              </w:rPr>
              <w:t>评标基准价计算方法</w:t>
            </w:r>
          </w:p>
        </w:tc>
        <w:tc>
          <w:tcPr>
            <w:tcW w:w="5468" w:type="dxa"/>
            <w:tcBorders>
              <w:left w:val="single" w:color="auto" w:sz="4" w:space="0"/>
              <w:bottom w:val="single" w:color="auto" w:sz="4" w:space="0"/>
              <w:right w:val="single" w:color="auto" w:sz="4" w:space="0"/>
            </w:tcBorders>
            <w:vAlign w:val="top"/>
          </w:tcPr>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由评标委员会计算评标基准价：</w:t>
            </w:r>
          </w:p>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（1）评标价的确定：评标价＝投标函文字报价</w:t>
            </w:r>
          </w:p>
          <w:p>
            <w:pPr>
              <w:snapToGrid w:val="0"/>
              <w:spacing w:line="400" w:lineRule="exact"/>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（2）评标基准价的确定：</w:t>
            </w:r>
          </w:p>
          <w:p>
            <w:pPr>
              <w:snapToGrid w:val="0"/>
              <w:spacing w:line="400" w:lineRule="exact"/>
              <w:ind w:firstLine="420" w:firstLineChars="200"/>
              <w:rPr>
                <w:rFonts w:ascii="宋体" w:hAnsi="宋体" w:cs="宋体"/>
                <w:szCs w:val="21"/>
                <w:highlight w:val="none"/>
              </w:rPr>
            </w:pPr>
            <w:r>
              <w:rPr>
                <w:rFonts w:hint="eastAsia" w:ascii="宋体" w:hAnsi="宋体" w:eastAsia="宋体" w:cs="宋体"/>
                <w:kern w:val="0"/>
                <w:sz w:val="21"/>
                <w:szCs w:val="21"/>
                <w:highlight w:val="none"/>
              </w:rPr>
              <w:t>在通过初步评审后且不高于最高限价</w:t>
            </w:r>
            <w:r>
              <w:rPr>
                <w:rFonts w:hint="eastAsia" w:ascii="宋体" w:hAnsi="宋体" w:eastAsia="宋体" w:cs="宋体"/>
                <w:kern w:val="0"/>
                <w:sz w:val="21"/>
                <w:szCs w:val="21"/>
                <w:highlight w:val="none"/>
                <w:lang w:val="en-US" w:eastAsia="zh-CN"/>
              </w:rPr>
              <w:t>和不低于最高限价85%的投标报价</w:t>
            </w:r>
            <w:r>
              <w:rPr>
                <w:rFonts w:hint="eastAsia" w:ascii="宋体" w:hAnsi="宋体" w:eastAsia="宋体" w:cs="宋体"/>
                <w:kern w:val="0"/>
                <w:sz w:val="21"/>
                <w:szCs w:val="21"/>
                <w:highlight w:val="none"/>
              </w:rPr>
              <w:t>中去掉六分之一（不能整除的按小数前整数取整，不足六家报价则不去掉）的最低价和相同家数的最高价后的算术平均值</w:t>
            </w:r>
            <w:r>
              <w:rPr>
                <w:rFonts w:hint="eastAsia" w:ascii="宋体" w:hAnsi="宋体" w:eastAsia="宋体" w:cs="宋体"/>
                <w:kern w:val="0"/>
                <w:sz w:val="21"/>
                <w:szCs w:val="21"/>
                <w:highlight w:val="none"/>
                <w:lang w:val="en-US" w:eastAsia="zh-CN"/>
              </w:rPr>
              <w:t>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ind w:left="0" w:leftChars="0" w:firstLine="0" w:firstLineChars="0"/>
              <w:jc w:val="center"/>
              <w:rPr>
                <w:rFonts w:hint="eastAsia" w:asciiTheme="minorEastAsia" w:hAnsiTheme="minorEastAsia" w:eastAsiaTheme="minorEastAsia" w:cstheme="minorEastAsia"/>
                <w:szCs w:val="21"/>
                <w:highlight w:val="none"/>
              </w:rPr>
            </w:pPr>
            <w:r>
              <w:rPr>
                <w:rFonts w:hint="eastAsia" w:ascii="宋体" w:hAnsi="宋体" w:eastAsia="宋体" w:cs="宋体"/>
                <w:color w:val="auto"/>
                <w:kern w:val="0"/>
                <w:sz w:val="21"/>
                <w:szCs w:val="21"/>
                <w:highlight w:val="none"/>
                <w:lang w:val="en-US" w:eastAsia="zh-CN"/>
              </w:rPr>
              <w:t>评标价的偏差率计算公式</w:t>
            </w:r>
          </w:p>
        </w:tc>
        <w:tc>
          <w:tcPr>
            <w:tcW w:w="5468" w:type="dxa"/>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宋体" w:hAnsi="宋体" w:cs="宋体"/>
                <w:szCs w:val="21"/>
                <w:highlight w:val="none"/>
              </w:rPr>
            </w:pPr>
            <w:r>
              <w:rPr>
                <w:rFonts w:hint="eastAsia" w:ascii="宋体" w:hAnsi="宋体" w:eastAsia="宋体" w:cs="宋体"/>
                <w:b/>
                <w:bCs/>
                <w:sz w:val="21"/>
                <w:szCs w:val="21"/>
                <w:highlight w:val="none"/>
              </w:rPr>
              <w:t>偏差率＝100%×（投标价-评标基准价）/评标基准价，偏差率为百分率（示例：xx.xx%)，偏差率计算保留小数点后两位，小数点后第三位“四舍五入”。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both"/>
              <w:rPr>
                <w:rFonts w:hint="eastAsia" w:asciiTheme="minorEastAsia" w:hAnsiTheme="minorEastAsia" w:eastAsiaTheme="minorEastAsia" w:cstheme="minorEastAsia"/>
                <w:szCs w:val="21"/>
                <w:highlight w:val="none"/>
              </w:rPr>
            </w:pPr>
            <w:r>
              <w:rPr>
                <w:rFonts w:hint="eastAsia" w:ascii="宋体" w:hAnsi="宋体" w:eastAsia="宋体" w:cs="宋体"/>
                <w:kern w:val="0"/>
                <w:sz w:val="21"/>
                <w:szCs w:val="21"/>
                <w:highlight w:val="none"/>
                <w:lang w:val="en-US" w:eastAsia="zh-CN"/>
              </w:rPr>
              <w:t>报价（70</w:t>
            </w:r>
            <w:r>
              <w:rPr>
                <w:rFonts w:hint="default" w:ascii="宋体" w:hAnsi="宋体" w:eastAsia="宋体" w:cs="宋体"/>
                <w:kern w:val="0"/>
                <w:sz w:val="21"/>
                <w:szCs w:val="21"/>
                <w:highlight w:val="none"/>
                <w:lang w:eastAsia="zh-CN"/>
              </w:rPr>
              <w:t>分</w:t>
            </w:r>
            <w:r>
              <w:rPr>
                <w:rFonts w:hint="eastAsia" w:ascii="宋体" w:hAnsi="宋体" w:eastAsia="宋体" w:cs="宋体"/>
                <w:kern w:val="0"/>
                <w:sz w:val="21"/>
                <w:szCs w:val="21"/>
                <w:highlight w:val="none"/>
                <w:lang w:val="en-US" w:eastAsia="zh-CN"/>
              </w:rPr>
              <w:t>）</w:t>
            </w:r>
          </w:p>
        </w:tc>
        <w:tc>
          <w:tcPr>
            <w:tcW w:w="5468" w:type="dxa"/>
            <w:tcBorders>
              <w:top w:val="single" w:color="auto" w:sz="4" w:space="0"/>
              <w:left w:val="single" w:color="auto" w:sz="4" w:space="0"/>
              <w:bottom w:val="single" w:color="auto" w:sz="4" w:space="0"/>
              <w:right w:val="single" w:color="auto" w:sz="4" w:space="0"/>
            </w:tcBorders>
            <w:vAlign w:val="center"/>
          </w:tcPr>
          <w:p>
            <w:pPr>
              <w:pStyle w:val="41"/>
              <w:spacing w:after="0" w:line="320" w:lineRule="exact"/>
              <w:ind w:firstLine="420" w:firstLineChars="200"/>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所有有效投标报价分别与评标基准价相比较，等于基准价得70分，每增加1%扣0.5分；每减少1%扣0.2分，</w:t>
            </w:r>
            <w:r>
              <w:rPr>
                <w:rFonts w:hint="default" w:ascii="宋体" w:hAnsi="宋体" w:eastAsia="宋体" w:cs="宋体"/>
                <w:kern w:val="0"/>
                <w:sz w:val="21"/>
                <w:szCs w:val="21"/>
                <w:highlight w:val="none"/>
                <w:lang w:eastAsia="zh-CN" w:bidi="ar-SA"/>
              </w:rPr>
              <w:t>最多扣10分</w:t>
            </w:r>
            <w:r>
              <w:rPr>
                <w:rFonts w:hint="eastAsia" w:ascii="宋体" w:hAnsi="宋体" w:eastAsia="宋体" w:cs="宋体"/>
                <w:kern w:val="0"/>
                <w:sz w:val="21"/>
                <w:szCs w:val="21"/>
                <w:highlight w:val="none"/>
                <w:lang w:val="en-US" w:eastAsia="zh-CN" w:bidi="ar-SA"/>
              </w:rPr>
              <w:t>。按插入法计算得分。</w:t>
            </w:r>
          </w:p>
          <w:p>
            <w:pPr>
              <w:pStyle w:val="42"/>
              <w:keepNext w:val="0"/>
              <w:keepLines w:val="0"/>
              <w:pageBreakBefore w:val="0"/>
              <w:widowControl w:val="0"/>
              <w:kinsoku/>
              <w:wordWrap/>
              <w:overflowPunct/>
              <w:topLinePunct w:val="0"/>
              <w:autoSpaceDE/>
              <w:autoSpaceDN/>
              <w:bidi w:val="0"/>
              <w:adjustRightInd w:val="0"/>
              <w:snapToGrid/>
              <w:spacing w:line="400" w:lineRule="exact"/>
              <w:ind w:left="0" w:leftChars="0" w:firstLine="420" w:firstLineChars="200"/>
              <w:textAlignment w:val="baseline"/>
              <w:rPr>
                <w:rFonts w:hint="eastAsia" w:ascii="宋体" w:hAnsi="宋体" w:eastAsia="宋体" w:cs="宋体"/>
                <w:szCs w:val="21"/>
                <w:highlight w:val="none"/>
                <w:lang w:eastAsia="zh-CN"/>
              </w:rPr>
            </w:pPr>
            <w:r>
              <w:rPr>
                <w:rFonts w:hint="eastAsia" w:ascii="宋体" w:hAnsi="宋体" w:eastAsia="宋体" w:cs="宋体"/>
                <w:kern w:val="0"/>
                <w:sz w:val="21"/>
                <w:szCs w:val="21"/>
                <w:highlight w:val="none"/>
                <w:lang w:val="en-US" w:eastAsia="zh-CN" w:bidi="ar-SA"/>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3.2</w:t>
            </w:r>
          </w:p>
        </w:tc>
        <w:tc>
          <w:tcPr>
            <w:tcW w:w="1159"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rPr>
                <w:rFonts w:asciiTheme="minorEastAsia" w:hAnsiTheme="minorEastAsia" w:eastAsiaTheme="minorEastAsia" w:cstheme="minorEastAsia"/>
                <w:szCs w:val="21"/>
                <w:highlight w:val="none"/>
              </w:rPr>
            </w:pPr>
            <w:r>
              <w:rPr>
                <w:rFonts w:hint="eastAsia" w:ascii="宋体" w:hAnsi="宋体" w:eastAsia="宋体" w:cs="宋体"/>
                <w:sz w:val="21"/>
                <w:szCs w:val="21"/>
                <w:highlight w:val="none"/>
              </w:rPr>
              <w:t>商务部分评分标准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10</w:t>
            </w:r>
            <w:r>
              <w:rPr>
                <w:rFonts w:hint="default" w:ascii="宋体" w:hAnsi="宋体" w:eastAsia="宋体" w:cs="宋体"/>
                <w:sz w:val="21"/>
                <w:szCs w:val="21"/>
                <w:highlight w:val="none"/>
                <w:lang w:eastAsia="zh-CN"/>
              </w:rPr>
              <w:t>分</w:t>
            </w:r>
            <w:r>
              <w:rPr>
                <w:rFonts w:hint="eastAsia" w:ascii="宋体" w:hAnsi="宋体" w:eastAsia="宋体" w:cs="宋体"/>
                <w:sz w:val="21"/>
                <w:szCs w:val="21"/>
                <w:highlight w:val="none"/>
                <w:lang w:val="en-US" w:eastAsia="zh-CN"/>
              </w:rPr>
              <w:t>）</w:t>
            </w:r>
          </w:p>
        </w:tc>
        <w:tc>
          <w:tcPr>
            <w:tcW w:w="202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业绩要求（</w:t>
            </w:r>
            <w:r>
              <w:rPr>
                <w:rFonts w:hint="default" w:ascii="宋体" w:hAnsi="宋体" w:eastAsia="宋体" w:cs="宋体"/>
                <w:sz w:val="21"/>
                <w:szCs w:val="21"/>
                <w:highlight w:val="none"/>
              </w:rPr>
              <w:t>8</w:t>
            </w:r>
            <w:r>
              <w:rPr>
                <w:rFonts w:hint="eastAsia" w:ascii="宋体" w:hAnsi="宋体" w:eastAsia="宋体" w:cs="宋体"/>
                <w:sz w:val="21"/>
                <w:szCs w:val="21"/>
                <w:highlight w:val="none"/>
              </w:rPr>
              <w:t>分）</w:t>
            </w:r>
          </w:p>
          <w:p>
            <w:pPr>
              <w:spacing w:line="320" w:lineRule="exact"/>
              <w:jc w:val="center"/>
              <w:rPr>
                <w:rFonts w:hint="eastAsia" w:asciiTheme="minorEastAsia" w:hAnsiTheme="minorEastAsia" w:eastAsiaTheme="minorEastAsia" w:cstheme="minorEastAsia"/>
                <w:szCs w:val="21"/>
                <w:highlight w:val="none"/>
                <w:lang w:eastAsia="zh-CN"/>
              </w:rPr>
            </w:pPr>
          </w:p>
        </w:tc>
        <w:tc>
          <w:tcPr>
            <w:tcW w:w="546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1.满足资格条件的业绩要求得</w:t>
            </w:r>
            <w:r>
              <w:rPr>
                <w:rFonts w:hint="eastAsia" w:ascii="宋体" w:hAnsi="宋体" w:cs="宋体"/>
                <w:szCs w:val="21"/>
                <w:highlight w:val="none"/>
                <w:lang w:val="en-US" w:eastAsia="zh-CN"/>
              </w:rPr>
              <w:t>4</w:t>
            </w:r>
            <w:r>
              <w:rPr>
                <w:rFonts w:hint="eastAsia" w:ascii="宋体" w:hAnsi="宋体" w:eastAsia="宋体" w:cs="宋体"/>
                <w:szCs w:val="21"/>
                <w:highlight w:val="none"/>
                <w:lang w:val="en-US" w:eastAsia="zh-CN"/>
              </w:rPr>
              <w:t>分；</w:t>
            </w:r>
          </w:p>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2.在满足资格要求基础上</w:t>
            </w:r>
            <w:r>
              <w:rPr>
                <w:rFonts w:hint="eastAsia" w:ascii="宋体" w:hAnsi="宋体" w:cs="宋体"/>
                <w:szCs w:val="21"/>
                <w:highlight w:val="none"/>
                <w:lang w:val="en-US" w:eastAsia="zh-CN"/>
              </w:rPr>
              <w:t>，报价人在2021年1月1日至投标截止日(以合同签订时间为准）每增加1个合同金额不低于25万元的类似外墙综合整治施工项目业绩</w:t>
            </w:r>
            <w:r>
              <w:rPr>
                <w:rFonts w:hint="eastAsia" w:ascii="宋体" w:hAnsi="宋体" w:eastAsia="宋体" w:cs="宋体"/>
                <w:szCs w:val="21"/>
                <w:highlight w:val="none"/>
                <w:lang w:val="en-US" w:eastAsia="zh-CN"/>
              </w:rPr>
              <w:t>的得</w:t>
            </w:r>
            <w:r>
              <w:rPr>
                <w:rFonts w:hint="default" w:ascii="宋体" w:hAnsi="宋体" w:eastAsia="宋体" w:cs="宋体"/>
                <w:szCs w:val="21"/>
                <w:highlight w:val="none"/>
                <w:lang w:eastAsia="zh-CN"/>
              </w:rPr>
              <w:t>2</w:t>
            </w:r>
            <w:r>
              <w:rPr>
                <w:rFonts w:hint="eastAsia" w:ascii="宋体" w:hAnsi="宋体" w:eastAsia="宋体" w:cs="宋体"/>
                <w:szCs w:val="21"/>
                <w:highlight w:val="none"/>
                <w:lang w:val="en-US" w:eastAsia="zh-CN"/>
              </w:rPr>
              <w:t>分，满分</w:t>
            </w:r>
            <w:r>
              <w:rPr>
                <w:rFonts w:hint="default" w:ascii="宋体" w:hAnsi="宋体" w:eastAsia="宋体" w:cs="宋体"/>
                <w:szCs w:val="21"/>
                <w:highlight w:val="none"/>
                <w:lang w:eastAsia="zh-CN"/>
              </w:rPr>
              <w:t>4</w:t>
            </w:r>
            <w:r>
              <w:rPr>
                <w:rFonts w:hint="eastAsia" w:ascii="宋体" w:hAnsi="宋体" w:eastAsia="宋体" w:cs="宋体"/>
                <w:szCs w:val="21"/>
                <w:highlight w:val="none"/>
                <w:lang w:val="en-US" w:eastAsia="zh-CN"/>
              </w:rPr>
              <w:t>分。</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注：</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.合同</w:t>
            </w:r>
            <w:r>
              <w:rPr>
                <w:rFonts w:hint="eastAsia" w:ascii="宋体" w:hAnsi="宋体" w:eastAsia="宋体" w:cs="宋体"/>
                <w:szCs w:val="21"/>
                <w:highlight w:val="none"/>
                <w:lang w:val="en-US" w:eastAsia="zh-CN"/>
              </w:rPr>
              <w:t>复印件</w:t>
            </w:r>
            <w:r>
              <w:rPr>
                <w:rFonts w:hint="eastAsia" w:ascii="宋体" w:hAnsi="宋体" w:eastAsia="宋体" w:cs="宋体"/>
                <w:szCs w:val="21"/>
                <w:highlight w:val="none"/>
                <w:lang w:eastAsia="zh-CN"/>
              </w:rPr>
              <w:t>（合同需清晰反映上述业绩要求的主要内容，包括但不限于合同金额及</w:t>
            </w:r>
            <w:r>
              <w:rPr>
                <w:rFonts w:hint="eastAsia" w:ascii="宋体" w:hAnsi="宋体" w:eastAsia="宋体" w:cs="宋体"/>
                <w:szCs w:val="21"/>
                <w:highlight w:val="none"/>
                <w:lang w:val="en-US" w:eastAsia="zh-CN"/>
              </w:rPr>
              <w:t>工作内容</w:t>
            </w:r>
            <w:r>
              <w:rPr>
                <w:rFonts w:hint="eastAsia" w:ascii="宋体" w:hAnsi="宋体" w:eastAsia="宋体" w:cs="宋体"/>
                <w:szCs w:val="21"/>
                <w:highlight w:val="none"/>
                <w:lang w:eastAsia="zh-CN"/>
              </w:rPr>
              <w:t>），合同原件备查。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Cs w:val="21"/>
                <w:highlight w:val="none"/>
              </w:rPr>
            </w:pPr>
          </w:p>
        </w:tc>
        <w:tc>
          <w:tcPr>
            <w:tcW w:w="1159" w:type="dxa"/>
            <w:vMerge w:val="continue"/>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stheme="minorEastAsia"/>
                <w:szCs w:val="21"/>
                <w:highlight w:val="none"/>
              </w:rPr>
            </w:pPr>
          </w:p>
        </w:tc>
        <w:tc>
          <w:tcPr>
            <w:tcW w:w="20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eastAsiaTheme="minorEastAsia" w:cstheme="minorEastAsia"/>
                <w:szCs w:val="21"/>
                <w:highlight w:val="none"/>
                <w:lang w:val="en-US" w:eastAsia="zh-CN"/>
              </w:rPr>
              <w:t>项目团队</w:t>
            </w:r>
            <w:r>
              <w:rPr>
                <w:rFonts w:hint="eastAsia" w:asciiTheme="minorEastAsia" w:hAnsiTheme="minorEastAsia" w:eastAsiaTheme="minorEastAsia" w:cstheme="minorEastAsia"/>
                <w:szCs w:val="21"/>
                <w:highlight w:val="none"/>
              </w:rPr>
              <w:t>（</w:t>
            </w:r>
            <w:r>
              <w:rPr>
                <w:rFonts w:hint="default" w:asciiTheme="minorEastAsia" w:hAnsiTheme="minorEastAsia" w:eastAsiaTheme="minorEastAsia" w:cstheme="minorEastAsia"/>
                <w:szCs w:val="21"/>
                <w:highlight w:val="none"/>
              </w:rPr>
              <w:t>2</w:t>
            </w:r>
            <w:r>
              <w:rPr>
                <w:rFonts w:hint="eastAsia" w:asciiTheme="minorEastAsia" w:hAnsiTheme="minorEastAsia" w:eastAsiaTheme="minorEastAsia" w:cstheme="minorEastAsia"/>
                <w:szCs w:val="21"/>
                <w:highlight w:val="none"/>
              </w:rPr>
              <w:t>分）</w:t>
            </w:r>
          </w:p>
        </w:tc>
        <w:tc>
          <w:tcPr>
            <w:tcW w:w="546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1.满足资格条件的</w:t>
            </w:r>
            <w:r>
              <w:rPr>
                <w:rFonts w:hint="eastAsia" w:ascii="宋体" w:hAnsi="宋体" w:cs="宋体"/>
                <w:szCs w:val="21"/>
                <w:highlight w:val="none"/>
                <w:lang w:val="en-US" w:eastAsia="zh-CN"/>
              </w:rPr>
              <w:t>人员</w:t>
            </w:r>
            <w:r>
              <w:rPr>
                <w:rFonts w:hint="eastAsia" w:ascii="宋体" w:hAnsi="宋体" w:eastAsia="宋体" w:cs="宋体"/>
                <w:szCs w:val="21"/>
                <w:highlight w:val="none"/>
                <w:lang w:val="en-US" w:eastAsia="zh-CN"/>
              </w:rPr>
              <w:t>要求得</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分；</w:t>
            </w:r>
          </w:p>
          <w:p>
            <w:pPr>
              <w:spacing w:line="400" w:lineRule="exact"/>
              <w:ind w:firstLine="420" w:firstLineChars="200"/>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eastAsia="宋体" w:cs="宋体"/>
                <w:szCs w:val="21"/>
                <w:highlight w:val="none"/>
                <w:lang w:val="en-US" w:eastAsia="zh-CN"/>
              </w:rPr>
              <w:t>在满足资格要求基础上</w:t>
            </w:r>
            <w:r>
              <w:rPr>
                <w:rFonts w:hint="eastAsia" w:ascii="宋体" w:hAnsi="宋体" w:cs="宋体"/>
                <w:szCs w:val="21"/>
                <w:highlight w:val="none"/>
                <w:lang w:val="en-US" w:eastAsia="zh-CN"/>
              </w:rPr>
              <w:t>，报价人的项目管理团队成员增加1人，得1分，满分1分。（需提供项目人员身份证、职称证书或执业资格证书及劳动合同相关证明材料，并加盖单位公章）。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3.3</w:t>
            </w:r>
          </w:p>
        </w:tc>
        <w:tc>
          <w:tcPr>
            <w:tcW w:w="115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技术部分</w:t>
            </w:r>
            <w:r>
              <w:rPr>
                <w:rFonts w:hint="eastAsia" w:ascii="宋体" w:hAnsi="宋体" w:eastAsia="宋体" w:cs="宋体"/>
                <w:sz w:val="21"/>
                <w:szCs w:val="21"/>
                <w:highlight w:val="none"/>
              </w:rPr>
              <w:t>评分标准</w:t>
            </w:r>
            <w:r>
              <w:rPr>
                <w:rFonts w:hint="eastAsia" w:asciiTheme="minorEastAsia" w:hAnsiTheme="minorEastAsia" w:eastAsiaTheme="minorEastAsia" w:cstheme="minorEastAsia"/>
                <w:szCs w:val="21"/>
                <w:highlight w:val="none"/>
              </w:rPr>
              <w:t>（</w:t>
            </w:r>
            <w:r>
              <w:rPr>
                <w:rFonts w:hint="eastAsia" w:asciiTheme="minorEastAsia" w:hAnsiTheme="minorEastAsia" w:eastAsiaTheme="minorEastAsia" w:cstheme="minorEastAsia"/>
                <w:szCs w:val="21"/>
                <w:highlight w:val="none"/>
                <w:lang w:val="en-US" w:eastAsia="zh-CN"/>
              </w:rPr>
              <w:t>2</w:t>
            </w:r>
            <w:r>
              <w:rPr>
                <w:rFonts w:hint="eastAsia" w:asciiTheme="minorEastAsia" w:hAnsiTheme="minorEastAsia" w:eastAsiaTheme="minorEastAsia" w:cstheme="minorEastAsia"/>
                <w:szCs w:val="21"/>
                <w:highlight w:val="none"/>
              </w:rPr>
              <w:t>0分）</w:t>
            </w:r>
          </w:p>
        </w:tc>
        <w:tc>
          <w:tcPr>
            <w:tcW w:w="20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i w:val="0"/>
                <w:iCs w:val="0"/>
                <w:kern w:val="2"/>
                <w:sz w:val="21"/>
                <w:szCs w:val="21"/>
                <w:highlight w:val="none"/>
                <w:u w:val="none"/>
                <w:lang w:val="en-US" w:eastAsia="zh-CN" w:bidi="ar"/>
              </w:rPr>
              <w:t>施工组织设计方案（20分）</w:t>
            </w:r>
          </w:p>
        </w:tc>
        <w:tc>
          <w:tcPr>
            <w:tcW w:w="54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left="399" w:leftChars="190" w:firstLine="0" w:firstLineChars="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施工组织设计方案需包含以下内容：</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1.施工方案与技术措施，包括工程特点、重点与难点描述的准确性及相应针对性措施；</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2.质量、安全、文明施工及环境保护管理体系与防噪音施工措施；</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3.施工总进度计划及保证措施；</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4.资源配备计划，包括主要施工设备、检测试验和仪表设备、主要材料及劳动力计划；</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5.对重大危险源的识别分析管理措施</w:t>
            </w:r>
            <w:r>
              <w:rPr>
                <w:rFonts w:hint="eastAsia" w:ascii="宋体" w:hAnsi="宋体" w:cs="宋体"/>
                <w:i w:val="0"/>
                <w:iCs w:val="0"/>
                <w:kern w:val="2"/>
                <w:sz w:val="21"/>
                <w:szCs w:val="21"/>
                <w:highlight w:val="none"/>
                <w:u w:val="none"/>
                <w:lang w:val="en-US" w:eastAsia="zh-CN" w:bidi="ar"/>
              </w:rPr>
              <w:t>(外墙整改过程中的脚手架工程）</w:t>
            </w:r>
            <w:r>
              <w:rPr>
                <w:rFonts w:hint="eastAsia" w:ascii="宋体" w:hAnsi="宋体" w:eastAsia="宋体" w:cs="宋体"/>
                <w:i w:val="0"/>
                <w:iCs w:val="0"/>
                <w:kern w:val="2"/>
                <w:sz w:val="21"/>
                <w:szCs w:val="21"/>
                <w:highlight w:val="none"/>
                <w:u w:val="none"/>
                <w:lang w:val="en-US" w:eastAsia="zh-CN" w:bidi="ar"/>
              </w:rPr>
              <w:t>；特殊气候条件下的施工方案；紧急情况的处理措施、预案以及抵抗风险的措施；成品保护和工程保修工作的管理措施和承诺；</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6.对专业工程的配合、协调、管理、服务方案；与采购人、设计人的配合；</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7.项目管理机构（含项目负责人、技术负责人、质量负责人、安全负责人及其他主要人员的资格与业绩）；对项目管理机构人员的到位情况承诺</w:t>
            </w:r>
            <w:r>
              <w:rPr>
                <w:rFonts w:hint="eastAsia" w:ascii="宋体" w:hAnsi="宋体" w:cs="宋体"/>
                <w:i w:val="0"/>
                <w:iCs w:val="0"/>
                <w:kern w:val="2"/>
                <w:sz w:val="21"/>
                <w:szCs w:val="21"/>
                <w:highlight w:val="none"/>
                <w:u w:val="none"/>
                <w:lang w:val="en-US" w:eastAsia="zh-CN" w:bidi="ar"/>
              </w:rPr>
              <w:t>；</w:t>
            </w:r>
            <w:r>
              <w:rPr>
                <w:rFonts w:hint="eastAsia" w:ascii="宋体" w:hAnsi="宋体" w:eastAsia="宋体" w:cs="宋体"/>
                <w:i w:val="0"/>
                <w:iCs w:val="0"/>
                <w:kern w:val="2"/>
                <w:sz w:val="21"/>
                <w:szCs w:val="21"/>
                <w:highlight w:val="none"/>
                <w:u w:val="none"/>
                <w:lang w:val="en-US" w:eastAsia="zh-CN" w:bidi="ar"/>
              </w:rPr>
              <w:t xml:space="preserve"> </w:t>
            </w:r>
          </w:p>
          <w:p>
            <w:pPr>
              <w:keepNext w:val="0"/>
              <w:keepLines w:val="0"/>
              <w:widowControl/>
              <w:suppressLineNumbers w:val="0"/>
              <w:ind w:left="0" w:leftChars="0" w:firstLine="420" w:firstLineChars="200"/>
              <w:jc w:val="left"/>
              <w:textAlignment w:val="center"/>
              <w:rPr>
                <w:rFonts w:hint="eastAsia" w:ascii="宋体" w:hAnsi="宋体" w:eastAsia="宋体" w:cs="宋体"/>
                <w:i w:val="0"/>
                <w:iCs w:val="0"/>
                <w:kern w:val="2"/>
                <w:sz w:val="21"/>
                <w:szCs w:val="21"/>
                <w:highlight w:val="none"/>
                <w:u w:val="none"/>
                <w:lang w:val="en-US" w:eastAsia="zh-CN" w:bidi="ar"/>
              </w:rPr>
            </w:pPr>
            <w:r>
              <w:rPr>
                <w:rFonts w:hint="eastAsia" w:ascii="宋体" w:hAnsi="宋体" w:eastAsia="宋体" w:cs="宋体"/>
                <w:i w:val="0"/>
                <w:iCs w:val="0"/>
                <w:kern w:val="2"/>
                <w:sz w:val="21"/>
                <w:szCs w:val="21"/>
                <w:highlight w:val="none"/>
                <w:u w:val="none"/>
                <w:lang w:val="en-US" w:eastAsia="zh-CN" w:bidi="ar"/>
              </w:rPr>
              <w:t>8.施工总平面布置规划，包括施工现场总平面布置和临时用地布置；</w:t>
            </w:r>
          </w:p>
          <w:p>
            <w:pPr>
              <w:keepNext w:val="0"/>
              <w:keepLines w:val="0"/>
              <w:widowControl/>
              <w:suppressLineNumbers w:val="0"/>
              <w:ind w:left="0" w:leftChars="0" w:firstLine="420" w:firstLineChars="200"/>
              <w:jc w:val="left"/>
              <w:textAlignment w:val="center"/>
              <w:rPr>
                <w:rFonts w:hint="eastAsia" w:ascii="宋体" w:hAnsi="宋体" w:eastAsia="宋体" w:cs="宋体"/>
                <w:szCs w:val="21"/>
                <w:highlight w:val="none"/>
                <w:lang w:val="en-US" w:eastAsia="zh-CN"/>
              </w:rPr>
            </w:pPr>
            <w:r>
              <w:rPr>
                <w:rFonts w:hint="eastAsia" w:ascii="宋体" w:hAnsi="宋体" w:eastAsia="宋体" w:cs="宋体"/>
                <w:i w:val="0"/>
                <w:iCs w:val="0"/>
                <w:kern w:val="2"/>
                <w:sz w:val="21"/>
                <w:szCs w:val="21"/>
                <w:highlight w:val="none"/>
                <w:u w:val="none"/>
                <w:lang w:val="en-US" w:eastAsia="zh-CN" w:bidi="ar"/>
              </w:rPr>
              <w:t>综合比较打分：方案描述清晰、完整，可操作性强得</w:t>
            </w:r>
            <w:r>
              <w:rPr>
                <w:rFonts w:hint="eastAsia" w:ascii="宋体" w:hAnsi="宋体" w:cs="宋体"/>
                <w:i w:val="0"/>
                <w:iCs w:val="0"/>
                <w:kern w:val="2"/>
                <w:sz w:val="21"/>
                <w:szCs w:val="21"/>
                <w:highlight w:val="none"/>
                <w:u w:val="none"/>
                <w:lang w:val="en-US" w:eastAsia="zh-CN" w:bidi="ar"/>
              </w:rPr>
              <w:t>20</w:t>
            </w:r>
            <w:r>
              <w:rPr>
                <w:rFonts w:hint="eastAsia" w:ascii="宋体" w:hAnsi="宋体" w:eastAsia="宋体" w:cs="宋体"/>
                <w:i w:val="0"/>
                <w:iCs w:val="0"/>
                <w:kern w:val="2"/>
                <w:sz w:val="21"/>
                <w:szCs w:val="21"/>
                <w:highlight w:val="none"/>
                <w:u w:val="none"/>
                <w:lang w:val="en-US" w:eastAsia="zh-CN" w:bidi="ar"/>
              </w:rPr>
              <w:t>-</w:t>
            </w:r>
            <w:r>
              <w:rPr>
                <w:rFonts w:hint="eastAsia" w:ascii="宋体" w:hAnsi="宋体" w:cs="宋体"/>
                <w:i w:val="0"/>
                <w:iCs w:val="0"/>
                <w:kern w:val="2"/>
                <w:sz w:val="21"/>
                <w:szCs w:val="21"/>
                <w:highlight w:val="none"/>
                <w:u w:val="none"/>
                <w:lang w:val="en-US" w:eastAsia="zh-CN" w:bidi="ar"/>
              </w:rPr>
              <w:t>16</w:t>
            </w:r>
            <w:r>
              <w:rPr>
                <w:rFonts w:hint="eastAsia" w:ascii="宋体" w:hAnsi="宋体" w:eastAsia="宋体" w:cs="宋体"/>
                <w:i w:val="0"/>
                <w:iCs w:val="0"/>
                <w:kern w:val="2"/>
                <w:sz w:val="21"/>
                <w:szCs w:val="21"/>
                <w:highlight w:val="none"/>
                <w:u w:val="none"/>
                <w:lang w:val="en-US" w:eastAsia="zh-CN" w:bidi="ar"/>
              </w:rPr>
              <w:t>分，方案描述较清晰、较完整，可操作性较强得</w:t>
            </w:r>
            <w:r>
              <w:rPr>
                <w:rFonts w:hint="eastAsia" w:ascii="宋体" w:hAnsi="宋体" w:cs="宋体"/>
                <w:i w:val="0"/>
                <w:iCs w:val="0"/>
                <w:kern w:val="2"/>
                <w:sz w:val="21"/>
                <w:szCs w:val="21"/>
                <w:highlight w:val="none"/>
                <w:u w:val="none"/>
                <w:lang w:val="en-US" w:eastAsia="zh-CN" w:bidi="ar"/>
              </w:rPr>
              <w:t>16</w:t>
            </w:r>
            <w:r>
              <w:rPr>
                <w:rFonts w:hint="eastAsia" w:ascii="宋体" w:hAnsi="宋体" w:eastAsia="宋体" w:cs="宋体"/>
                <w:i w:val="0"/>
                <w:iCs w:val="0"/>
                <w:kern w:val="2"/>
                <w:sz w:val="21"/>
                <w:szCs w:val="21"/>
                <w:highlight w:val="none"/>
                <w:u w:val="none"/>
                <w:lang w:val="en-US" w:eastAsia="zh-CN" w:bidi="ar"/>
              </w:rPr>
              <w:t>-</w:t>
            </w:r>
            <w:r>
              <w:rPr>
                <w:rFonts w:hint="eastAsia" w:ascii="宋体" w:hAnsi="宋体" w:cs="宋体"/>
                <w:i w:val="0"/>
                <w:iCs w:val="0"/>
                <w:kern w:val="2"/>
                <w:sz w:val="21"/>
                <w:szCs w:val="21"/>
                <w:highlight w:val="none"/>
                <w:u w:val="none"/>
                <w:lang w:val="en-US" w:eastAsia="zh-CN" w:bidi="ar"/>
              </w:rPr>
              <w:t>12</w:t>
            </w:r>
            <w:r>
              <w:rPr>
                <w:rFonts w:hint="eastAsia" w:ascii="宋体" w:hAnsi="宋体" w:eastAsia="宋体" w:cs="宋体"/>
                <w:i w:val="0"/>
                <w:iCs w:val="0"/>
                <w:kern w:val="2"/>
                <w:sz w:val="21"/>
                <w:szCs w:val="21"/>
                <w:highlight w:val="none"/>
                <w:u w:val="none"/>
                <w:lang w:val="en-US" w:eastAsia="zh-CN" w:bidi="ar"/>
              </w:rPr>
              <w:t>分；方案描述不够清晰，不够完整得</w:t>
            </w:r>
            <w:r>
              <w:rPr>
                <w:rFonts w:hint="eastAsia" w:ascii="宋体" w:hAnsi="宋体" w:cs="宋体"/>
                <w:i w:val="0"/>
                <w:iCs w:val="0"/>
                <w:kern w:val="2"/>
                <w:sz w:val="21"/>
                <w:szCs w:val="21"/>
                <w:highlight w:val="none"/>
                <w:u w:val="none"/>
                <w:lang w:val="en-US" w:eastAsia="zh-CN" w:bidi="ar"/>
              </w:rPr>
              <w:t>12</w:t>
            </w:r>
            <w:r>
              <w:rPr>
                <w:rFonts w:hint="eastAsia" w:ascii="宋体" w:hAnsi="宋体" w:eastAsia="宋体" w:cs="宋体"/>
                <w:i w:val="0"/>
                <w:iCs w:val="0"/>
                <w:kern w:val="2"/>
                <w:sz w:val="21"/>
                <w:szCs w:val="21"/>
                <w:highlight w:val="none"/>
                <w:u w:val="none"/>
                <w:lang w:val="en-US" w:eastAsia="zh-CN" w:bidi="ar"/>
              </w:rPr>
              <w:t>-0分</w:t>
            </w:r>
            <w:r>
              <w:rPr>
                <w:rFonts w:hint="eastAsia" w:ascii="宋体" w:hAnsi="宋体" w:cs="宋体"/>
                <w:i w:val="0"/>
                <w:iCs w:val="0"/>
                <w:kern w:val="2"/>
                <w:sz w:val="21"/>
                <w:szCs w:val="21"/>
                <w:highlight w:val="none"/>
                <w:u w:val="none"/>
                <w:lang w:val="en-US" w:eastAsia="zh-CN" w:bidi="ar"/>
              </w:rPr>
              <w:t>；不提供不得分</w:t>
            </w:r>
            <w:r>
              <w:rPr>
                <w:rFonts w:hint="eastAsia" w:ascii="宋体" w:hAnsi="宋体" w:eastAsia="宋体" w:cs="宋体"/>
                <w:i w:val="0"/>
                <w:iCs w:val="0"/>
                <w:kern w:val="2"/>
                <w:sz w:val="21"/>
                <w:szCs w:val="21"/>
                <w:highlight w:val="none"/>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条款号</w:t>
            </w:r>
          </w:p>
        </w:tc>
        <w:tc>
          <w:tcPr>
            <w:tcW w:w="3181"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kern w:val="0"/>
                <w:szCs w:val="21"/>
                <w:highlight w:val="none"/>
              </w:rPr>
              <w:t>条款名称</w:t>
            </w:r>
          </w:p>
        </w:tc>
        <w:tc>
          <w:tcPr>
            <w:tcW w:w="5468"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w:t>
            </w:r>
          </w:p>
        </w:tc>
        <w:tc>
          <w:tcPr>
            <w:tcW w:w="3181" w:type="dxa"/>
            <w:gridSpan w:val="2"/>
            <w:tcBorders>
              <w:top w:val="single" w:color="auto" w:sz="4" w:space="0"/>
              <w:left w:val="single" w:color="auto" w:sz="4" w:space="0"/>
              <w:right w:val="single" w:color="auto" w:sz="4" w:space="0"/>
            </w:tcBorders>
            <w:vAlign w:val="center"/>
          </w:tcPr>
          <w:p>
            <w:pPr>
              <w:spacing w:line="320" w:lineRule="exact"/>
              <w:jc w:val="center"/>
              <w:rPr>
                <w:rFonts w:asciiTheme="minorEastAsia" w:hAnsiTheme="minorEastAsia" w:eastAsiaTheme="minorEastAsia" w:cstheme="minorEastAsia"/>
                <w:szCs w:val="21"/>
                <w:highlight w:val="none"/>
              </w:rPr>
            </w:pPr>
            <w:r>
              <w:rPr>
                <w:rFonts w:hint="eastAsia"/>
                <w:spacing w:val="-5"/>
                <w:kern w:val="0"/>
                <w:sz w:val="20"/>
                <w:highlight w:val="none"/>
              </w:rPr>
              <w:t>评标程序</w:t>
            </w:r>
          </w:p>
        </w:tc>
        <w:tc>
          <w:tcPr>
            <w:tcW w:w="5468" w:type="dxa"/>
            <w:tcBorders>
              <w:top w:val="single" w:color="auto" w:sz="4" w:space="0"/>
              <w:left w:val="single" w:color="auto" w:sz="4" w:space="0"/>
              <w:right w:val="single" w:color="auto" w:sz="4" w:space="0"/>
            </w:tcBorders>
            <w:vAlign w:val="center"/>
          </w:tcPr>
          <w:p>
            <w:pPr>
              <w:pStyle w:val="168"/>
              <w:spacing w:before="70" w:line="320" w:lineRule="exact"/>
              <w:ind w:left="119" w:right="83" w:firstLine="420"/>
              <w:rPr>
                <w:rFonts w:ascii="宋体" w:hAnsi="宋体" w:cs="宋体"/>
                <w:szCs w:val="21"/>
                <w:highlight w:val="none"/>
              </w:rPr>
            </w:pPr>
            <w:r>
              <w:rPr>
                <w:rFonts w:hint="eastAsia" w:ascii="宋体" w:hAnsi="宋体" w:cs="宋体"/>
                <w:szCs w:val="21"/>
                <w:highlight w:val="none"/>
              </w:rPr>
              <w:t xml:space="preserve">1.按本章评标办法第2.1款、2.2款及2.3款进行初步评审，未通过初步评审或评标委员会认定为无效的投标文件的不再进行后续评审。 </w:t>
            </w:r>
          </w:p>
          <w:p>
            <w:pPr>
              <w:pStyle w:val="168"/>
              <w:spacing w:before="42" w:line="320" w:lineRule="exact"/>
              <w:ind w:left="119" w:right="72" w:firstLine="420"/>
              <w:rPr>
                <w:rFonts w:ascii="宋体" w:hAnsi="宋体" w:cs="宋体"/>
                <w:szCs w:val="21"/>
                <w:highlight w:val="none"/>
              </w:rPr>
            </w:pPr>
            <w:r>
              <w:rPr>
                <w:rFonts w:hint="eastAsia" w:ascii="宋体" w:hAnsi="宋体" w:cs="宋体"/>
                <w:szCs w:val="21"/>
                <w:highlight w:val="none"/>
              </w:rPr>
              <w:t>2.按本章评标办法前附表第3.1款的规定进行报价投标报价部分评审；</w:t>
            </w:r>
          </w:p>
          <w:p>
            <w:pPr>
              <w:pStyle w:val="168"/>
              <w:spacing w:before="15" w:line="320" w:lineRule="exact"/>
              <w:ind w:left="119" w:right="72" w:firstLine="420"/>
              <w:rPr>
                <w:rFonts w:ascii="宋体" w:hAnsi="宋体" w:cs="宋体"/>
                <w:szCs w:val="21"/>
                <w:highlight w:val="none"/>
              </w:rPr>
            </w:pPr>
            <w:r>
              <w:rPr>
                <w:rFonts w:hint="eastAsia" w:ascii="宋体" w:hAnsi="宋体" w:cs="宋体"/>
                <w:szCs w:val="21"/>
                <w:highlight w:val="none"/>
              </w:rPr>
              <w:t>3.按本章评标办法前附表第3.2款的规定进行商务部分的评审；</w:t>
            </w:r>
          </w:p>
          <w:p>
            <w:pPr>
              <w:pStyle w:val="168"/>
              <w:spacing w:before="15" w:line="320" w:lineRule="exact"/>
              <w:ind w:left="119" w:right="72" w:firstLine="420"/>
              <w:rPr>
                <w:rFonts w:ascii="宋体" w:hAnsi="宋体" w:cs="宋体"/>
                <w:szCs w:val="21"/>
                <w:highlight w:val="none"/>
              </w:rPr>
            </w:pPr>
            <w:r>
              <w:rPr>
                <w:rFonts w:hint="eastAsia" w:ascii="宋体" w:hAnsi="宋体" w:cs="宋体"/>
                <w:szCs w:val="21"/>
                <w:highlight w:val="none"/>
              </w:rPr>
              <w:t>4.按本章评标办法前附表第 3.3款的规定进行技术部分的评审；</w:t>
            </w:r>
          </w:p>
          <w:p>
            <w:pPr>
              <w:pStyle w:val="168"/>
              <w:spacing w:before="42" w:line="320" w:lineRule="exact"/>
              <w:ind w:left="119" w:right="-23" w:firstLine="420"/>
              <w:rPr>
                <w:rFonts w:ascii="宋体" w:hAnsi="宋体" w:cs="宋体"/>
                <w:szCs w:val="21"/>
                <w:highlight w:val="none"/>
              </w:rPr>
            </w:pPr>
            <w:r>
              <w:rPr>
                <w:rFonts w:hint="eastAsia" w:ascii="宋体" w:hAnsi="宋体" w:cs="宋体"/>
                <w:szCs w:val="21"/>
                <w:highlight w:val="none"/>
              </w:rPr>
              <w:t>5.因评标委员会作否决投标处理导致有效</w:t>
            </w:r>
            <w:r>
              <w:rPr>
                <w:rFonts w:hint="eastAsia" w:ascii="宋体" w:hAnsi="宋体" w:cs="宋体"/>
                <w:szCs w:val="21"/>
                <w:highlight w:val="none"/>
                <w:lang w:eastAsia="zh-CN"/>
              </w:rPr>
              <w:t>报价人</w:t>
            </w:r>
            <w:r>
              <w:rPr>
                <w:rFonts w:hint="eastAsia" w:ascii="宋体" w:hAnsi="宋体" w:cs="宋体"/>
                <w:szCs w:val="21"/>
                <w:highlight w:val="none"/>
              </w:rPr>
              <w:t>不足三个的，评标委员会应当否决所有投标。但是有效</w:t>
            </w:r>
            <w:r>
              <w:rPr>
                <w:rFonts w:hint="eastAsia" w:ascii="宋体" w:hAnsi="宋体" w:cs="宋体"/>
                <w:szCs w:val="21"/>
                <w:highlight w:val="none"/>
                <w:lang w:eastAsia="zh-CN"/>
              </w:rPr>
              <w:t>报价人</w:t>
            </w:r>
            <w:r>
              <w:rPr>
                <w:rFonts w:hint="eastAsia" w:ascii="宋体" w:hAnsi="宋体" w:cs="宋体"/>
                <w:szCs w:val="21"/>
                <w:highlight w:val="none"/>
              </w:rPr>
              <w:t xml:space="preserve">的经济、技术等指标仍然具有市场竞争力，能够满足采购文件要求的，评标委员会可以继续评标并确定中标候选人。 </w:t>
            </w:r>
          </w:p>
          <w:p>
            <w:pPr>
              <w:pStyle w:val="168"/>
              <w:spacing w:before="47" w:line="320" w:lineRule="exact"/>
              <w:ind w:left="119" w:firstLine="420"/>
              <w:rPr>
                <w:rFonts w:ascii="宋体" w:hAnsi="宋体" w:cs="宋体"/>
                <w:szCs w:val="21"/>
                <w:highlight w:val="none"/>
              </w:rPr>
            </w:pPr>
            <w:r>
              <w:rPr>
                <w:rFonts w:hint="eastAsia" w:ascii="宋体" w:hAnsi="宋体" w:cs="宋体"/>
                <w:szCs w:val="21"/>
                <w:highlight w:val="none"/>
              </w:rPr>
              <w:t>6.对技术部分、商务部分、投标总报价得分进行汇总，确定得分由高至低前2名</w:t>
            </w:r>
            <w:r>
              <w:rPr>
                <w:rFonts w:hint="eastAsia" w:ascii="宋体" w:hAnsi="宋体" w:cs="宋体"/>
                <w:szCs w:val="21"/>
                <w:highlight w:val="none"/>
                <w:lang w:eastAsia="zh-CN"/>
              </w:rPr>
              <w:t>报价人</w:t>
            </w:r>
            <w:r>
              <w:rPr>
                <w:rFonts w:hint="eastAsia" w:ascii="宋体" w:hAnsi="宋体" w:cs="宋体"/>
                <w:szCs w:val="21"/>
                <w:highlight w:val="none"/>
              </w:rPr>
              <w:t xml:space="preserve">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w:t>
            </w:r>
          </w:p>
        </w:tc>
        <w:tc>
          <w:tcPr>
            <w:tcW w:w="3181" w:type="dxa"/>
            <w:gridSpan w:val="2"/>
            <w:vAlign w:val="center"/>
          </w:tcPr>
          <w:p>
            <w:pPr>
              <w:spacing w:line="320" w:lineRule="exact"/>
              <w:jc w:val="center"/>
              <w:rPr>
                <w:rFonts w:asciiTheme="minorEastAsia" w:hAnsiTheme="minorEastAsia" w:eastAsiaTheme="minorEastAsia" w:cstheme="minorEastAsia"/>
                <w:szCs w:val="21"/>
                <w:highlight w:val="none"/>
              </w:rPr>
            </w:pPr>
            <w:r>
              <w:rPr>
                <w:rFonts w:hint="eastAsia"/>
                <w:spacing w:val="-5"/>
                <w:kern w:val="0"/>
                <w:sz w:val="20"/>
                <w:highlight w:val="none"/>
                <w:lang w:eastAsia="zh-CN"/>
              </w:rPr>
              <w:t>报价人</w:t>
            </w:r>
            <w:r>
              <w:rPr>
                <w:rFonts w:hint="eastAsia"/>
                <w:spacing w:val="-5"/>
                <w:kern w:val="0"/>
                <w:sz w:val="20"/>
                <w:highlight w:val="none"/>
              </w:rPr>
              <w:t>得分</w:t>
            </w:r>
          </w:p>
        </w:tc>
        <w:tc>
          <w:tcPr>
            <w:tcW w:w="5468" w:type="dxa"/>
            <w:vAlign w:val="center"/>
          </w:tcPr>
          <w:p>
            <w:pPr>
              <w:spacing w:line="400" w:lineRule="exact"/>
              <w:ind w:firstLine="420" w:firstLineChars="200"/>
              <w:rPr>
                <w:rFonts w:ascii="宋体" w:hAnsi="宋体" w:cs="宋体"/>
                <w:szCs w:val="21"/>
                <w:highlight w:val="none"/>
              </w:rPr>
            </w:pPr>
            <w:r>
              <w:rPr>
                <w:rFonts w:hint="eastAsia" w:ascii="宋体" w:hAnsi="宋体" w:cs="宋体"/>
                <w:szCs w:val="21"/>
                <w:highlight w:val="none"/>
                <w:lang w:eastAsia="zh-CN"/>
              </w:rPr>
              <w:t>报价人</w:t>
            </w:r>
            <w:r>
              <w:rPr>
                <w:rFonts w:hint="eastAsia" w:ascii="宋体" w:hAnsi="宋体" w:cs="宋体"/>
                <w:szCs w:val="21"/>
                <w:highlight w:val="none"/>
              </w:rPr>
              <w:t>得分=投标报价得分+商务部分得分+技术部分得分</w:t>
            </w:r>
          </w:p>
        </w:tc>
      </w:tr>
    </w:tbl>
    <w:p>
      <w:pPr>
        <w:pStyle w:val="9"/>
        <w:spacing w:line="418" w:lineRule="exact"/>
        <w:rPr>
          <w:rFonts w:ascii="宋体" w:hAnsi="宋体" w:eastAsia="宋体" w:cs="宋体"/>
          <w:kern w:val="2"/>
          <w:sz w:val="21"/>
          <w:szCs w:val="21"/>
          <w:highlight w:val="none"/>
        </w:rPr>
      </w:pPr>
      <w:r>
        <w:rPr>
          <w:rFonts w:hint="eastAsia" w:ascii="宋体" w:hAnsi="宋体" w:eastAsia="宋体" w:cs="宋体"/>
          <w:kern w:val="2"/>
          <w:sz w:val="21"/>
          <w:szCs w:val="21"/>
          <w:highlight w:val="none"/>
        </w:rPr>
        <w:t xml:space="preserve">1. 评标方法 </w:t>
      </w:r>
    </w:p>
    <w:p>
      <w:pPr>
        <w:pStyle w:val="2"/>
        <w:spacing w:before="119" w:line="352" w:lineRule="auto"/>
        <w:ind w:firstLine="420" w:firstLineChars="200"/>
        <w:rPr>
          <w:rFonts w:ascii="宋体" w:hAnsi="宋体" w:cs="宋体"/>
          <w:kern w:val="2"/>
          <w:sz w:val="21"/>
          <w:szCs w:val="21"/>
          <w:highlight w:val="none"/>
        </w:rPr>
      </w:pPr>
      <w:r>
        <w:rPr>
          <w:rFonts w:hint="eastAsia" w:ascii="宋体" w:hAnsi="宋体" w:cs="宋体"/>
          <w:kern w:val="2"/>
          <w:sz w:val="21"/>
          <w:szCs w:val="21"/>
          <w:highlight w:val="none"/>
        </w:rPr>
        <w:t>本次评标采用综合评分法。评标委员会按照本章评标办法前附表规定的评分标准进行打分，按得分由高到 低顺序推荐中标候选人，若出现</w:t>
      </w:r>
      <w:r>
        <w:rPr>
          <w:rFonts w:hint="eastAsia" w:ascii="宋体" w:hAnsi="宋体" w:cs="宋体"/>
          <w:kern w:val="2"/>
          <w:sz w:val="21"/>
          <w:szCs w:val="21"/>
          <w:highlight w:val="none"/>
          <w:lang w:eastAsia="zh-CN"/>
        </w:rPr>
        <w:t>报价人</w:t>
      </w:r>
      <w:r>
        <w:rPr>
          <w:rFonts w:hint="eastAsia" w:ascii="宋体" w:hAnsi="宋体" w:cs="宋体"/>
          <w:kern w:val="2"/>
          <w:sz w:val="21"/>
          <w:szCs w:val="21"/>
          <w:highlight w:val="none"/>
        </w:rPr>
        <w:t xml:space="preserve">投标报价相同的，以评标办法前附表约定的原则确定排序。 </w:t>
      </w:r>
    </w:p>
    <w:p>
      <w:pPr>
        <w:pStyle w:val="9"/>
        <w:spacing w:before="56"/>
        <w:rPr>
          <w:rFonts w:ascii="宋体" w:hAnsi="宋体" w:eastAsia="宋体" w:cs="宋体"/>
          <w:kern w:val="2"/>
          <w:sz w:val="21"/>
          <w:szCs w:val="21"/>
          <w:highlight w:val="none"/>
        </w:rPr>
      </w:pPr>
      <w:bookmarkStart w:id="141" w:name="2._评审标准"/>
      <w:bookmarkEnd w:id="141"/>
      <w:r>
        <w:rPr>
          <w:rFonts w:hint="eastAsia" w:ascii="宋体" w:hAnsi="宋体" w:eastAsia="宋体" w:cs="宋体"/>
          <w:kern w:val="2"/>
          <w:sz w:val="21"/>
          <w:szCs w:val="21"/>
          <w:highlight w:val="none"/>
        </w:rPr>
        <w:t xml:space="preserve">2. 评审标准 </w:t>
      </w:r>
    </w:p>
    <w:p>
      <w:pPr>
        <w:spacing w:before="156"/>
        <w:ind w:left="106"/>
        <w:rPr>
          <w:rFonts w:ascii="宋体" w:hAnsi="宋体" w:cs="宋体"/>
          <w:szCs w:val="21"/>
          <w:highlight w:val="none"/>
        </w:rPr>
      </w:pPr>
      <w:bookmarkStart w:id="142" w:name="2.1_初步评审标准"/>
      <w:bookmarkEnd w:id="142"/>
      <w:r>
        <w:rPr>
          <w:rFonts w:hint="eastAsia" w:ascii="宋体" w:hAnsi="宋体" w:cs="宋体"/>
          <w:szCs w:val="21"/>
          <w:highlight w:val="none"/>
        </w:rPr>
        <w:t xml:space="preserve">2.1 初步评审标准 </w:t>
      </w:r>
    </w:p>
    <w:p>
      <w:pPr>
        <w:pStyle w:val="2"/>
        <w:spacing w:before="61"/>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2.1.1 资格评审标准：见评标办法前附表。 </w:t>
      </w:r>
    </w:p>
    <w:p>
      <w:pPr>
        <w:pStyle w:val="2"/>
        <w:spacing w:before="130"/>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2.1.2 形式评审标准：见评标办法前附表。 </w:t>
      </w:r>
    </w:p>
    <w:p>
      <w:pPr>
        <w:pStyle w:val="2"/>
        <w:spacing w:before="130"/>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2.1.3 响应性评审标准：见评标办法前附表。 </w:t>
      </w:r>
    </w:p>
    <w:p>
      <w:pPr>
        <w:rPr>
          <w:rFonts w:ascii="宋体" w:hAnsi="宋体" w:cs="宋体"/>
          <w:caps/>
          <w:szCs w:val="21"/>
          <w:highlight w:val="none"/>
        </w:rPr>
      </w:pPr>
    </w:p>
    <w:p>
      <w:pPr>
        <w:ind w:left="106"/>
        <w:rPr>
          <w:rFonts w:ascii="宋体" w:hAnsi="宋体" w:cs="宋体"/>
          <w:caps/>
          <w:szCs w:val="21"/>
          <w:highlight w:val="none"/>
        </w:rPr>
      </w:pPr>
      <w:bookmarkStart w:id="143" w:name="2.2_分值构成与评分标准"/>
      <w:bookmarkEnd w:id="143"/>
      <w:r>
        <w:rPr>
          <w:rFonts w:hint="eastAsia" w:ascii="宋体" w:hAnsi="宋体" w:cs="宋体"/>
          <w:caps/>
          <w:szCs w:val="21"/>
          <w:highlight w:val="none"/>
        </w:rPr>
        <w:t xml:space="preserve">2.2 分值构成与评分标准 </w:t>
      </w:r>
    </w:p>
    <w:p>
      <w:pPr>
        <w:pStyle w:val="2"/>
        <w:spacing w:before="62"/>
        <w:ind w:left="632"/>
        <w:rPr>
          <w:rFonts w:ascii="宋体" w:hAnsi="宋体" w:cs="宋体"/>
          <w:caps/>
          <w:kern w:val="2"/>
          <w:sz w:val="21"/>
          <w:szCs w:val="21"/>
          <w:highlight w:val="none"/>
        </w:rPr>
      </w:pPr>
      <w:r>
        <w:rPr>
          <w:rFonts w:hint="eastAsia" w:ascii="宋体" w:hAnsi="宋体" w:cs="宋体"/>
          <w:caps/>
          <w:kern w:val="2"/>
          <w:sz w:val="21"/>
          <w:szCs w:val="21"/>
          <w:highlight w:val="none"/>
        </w:rPr>
        <w:t xml:space="preserve">2.2.1 分值构成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（1）技术部分：见评标办法前附表； </w:t>
      </w:r>
    </w:p>
    <w:p>
      <w:pPr>
        <w:pStyle w:val="2"/>
        <w:spacing w:before="145"/>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（2）商务部分：见评标办法前附表； </w:t>
      </w:r>
    </w:p>
    <w:p>
      <w:pPr>
        <w:pStyle w:val="2"/>
        <w:spacing w:before="29" w:line="367" w:lineRule="auto"/>
        <w:ind w:firstLine="526"/>
        <w:rPr>
          <w:rFonts w:ascii="宋体" w:hAnsi="宋体" w:cs="宋体"/>
          <w:caps/>
          <w:kern w:val="2"/>
          <w:sz w:val="21"/>
          <w:szCs w:val="21"/>
          <w:highlight w:val="none"/>
        </w:rPr>
      </w:pPr>
      <w:r>
        <w:rPr>
          <w:rFonts w:hint="eastAsia" w:ascii="宋体" w:hAnsi="宋体" w:cs="宋体"/>
          <w:caps/>
          <w:kern w:val="2"/>
          <w:sz w:val="21"/>
          <w:szCs w:val="21"/>
          <w:highlight w:val="none"/>
        </w:rPr>
        <w:t>（3）投标总报价：见评标办法前附表。</w:t>
      </w:r>
    </w:p>
    <w:p>
      <w:pPr>
        <w:pStyle w:val="2"/>
        <w:spacing w:before="145" w:line="355" w:lineRule="auto"/>
        <w:ind w:left="632" w:right="5004" w:hanging="106"/>
        <w:rPr>
          <w:rFonts w:ascii="宋体" w:hAnsi="宋体" w:cs="宋体"/>
          <w:caps/>
          <w:kern w:val="2"/>
          <w:sz w:val="21"/>
          <w:szCs w:val="21"/>
          <w:highlight w:val="none"/>
        </w:rPr>
      </w:pPr>
      <w:r>
        <w:rPr>
          <w:rFonts w:hint="eastAsia" w:ascii="宋体" w:hAnsi="宋体" w:cs="宋体"/>
          <w:caps/>
          <w:kern w:val="2"/>
          <w:sz w:val="21"/>
          <w:szCs w:val="21"/>
          <w:highlight w:val="none"/>
        </w:rPr>
        <w:t xml:space="preserve"> 2.2.2 评审标准 </w:t>
      </w:r>
    </w:p>
    <w:p>
      <w:pPr>
        <w:pStyle w:val="2"/>
        <w:spacing w:before="29" w:line="367" w:lineRule="auto"/>
        <w:ind w:firstLine="526"/>
        <w:rPr>
          <w:rFonts w:ascii="宋体" w:hAnsi="宋体" w:cs="宋体"/>
          <w:caps/>
          <w:kern w:val="2"/>
          <w:sz w:val="21"/>
          <w:szCs w:val="21"/>
          <w:highlight w:val="none"/>
        </w:rPr>
      </w:pPr>
      <w:r>
        <w:rPr>
          <w:rFonts w:hint="eastAsia" w:ascii="宋体" w:hAnsi="宋体" w:cs="宋体"/>
          <w:caps/>
          <w:kern w:val="2"/>
          <w:sz w:val="21"/>
          <w:szCs w:val="21"/>
          <w:highlight w:val="none"/>
        </w:rPr>
        <w:t xml:space="preserve">（1）技术部分评分标准：见评标办法前附表； </w:t>
      </w:r>
    </w:p>
    <w:p>
      <w:pPr>
        <w:pStyle w:val="2"/>
        <w:spacing w:before="19"/>
        <w:ind w:left="647"/>
        <w:rPr>
          <w:rFonts w:ascii="宋体" w:hAnsi="宋体" w:cs="宋体"/>
          <w:caps/>
          <w:kern w:val="2"/>
          <w:sz w:val="21"/>
          <w:szCs w:val="21"/>
          <w:highlight w:val="none"/>
        </w:rPr>
      </w:pPr>
      <w:r>
        <w:rPr>
          <w:rFonts w:hint="eastAsia" w:ascii="宋体" w:hAnsi="宋体" w:cs="宋体"/>
          <w:caps/>
          <w:kern w:val="2"/>
          <w:sz w:val="21"/>
          <w:szCs w:val="21"/>
          <w:highlight w:val="none"/>
        </w:rPr>
        <w:t xml:space="preserve">（2） 商务部分评分标准：见评标办法前附表； </w:t>
      </w:r>
    </w:p>
    <w:p>
      <w:pPr>
        <w:pStyle w:val="2"/>
        <w:spacing w:before="130" w:line="360" w:lineRule="auto"/>
        <w:ind w:left="647" w:right="2891"/>
        <w:rPr>
          <w:rFonts w:ascii="宋体" w:hAnsi="宋体" w:cs="宋体"/>
          <w:caps/>
          <w:kern w:val="2"/>
          <w:sz w:val="21"/>
          <w:szCs w:val="21"/>
          <w:highlight w:val="none"/>
        </w:rPr>
      </w:pPr>
      <w:r>
        <w:rPr>
          <w:rFonts w:hint="eastAsia" w:ascii="宋体" w:hAnsi="宋体" w:cs="宋体"/>
          <w:caps/>
          <w:kern w:val="2"/>
          <w:sz w:val="21"/>
          <w:szCs w:val="21"/>
          <w:highlight w:val="none"/>
        </w:rPr>
        <w:t xml:space="preserve">（3） 报价评审标准：见评标办法前附表； </w:t>
      </w:r>
    </w:p>
    <w:p>
      <w:pPr>
        <w:pStyle w:val="2"/>
        <w:spacing w:before="119" w:line="352"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2.2.3 评标基准价计算 评标基准价的计算方法：见评标办法前附表。 </w:t>
      </w:r>
    </w:p>
    <w:p>
      <w:pPr>
        <w:pStyle w:val="2"/>
        <w:spacing w:before="119" w:line="352"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2.2.4 投标报价的偏差率计算 投标报价的偏差率计算公式：见评标办法前附表。 </w:t>
      </w:r>
    </w:p>
    <w:p>
      <w:pPr>
        <w:pStyle w:val="9"/>
        <w:spacing w:before="54"/>
        <w:rPr>
          <w:rFonts w:ascii="宋体" w:hAnsi="宋体" w:eastAsia="宋体" w:cs="宋体"/>
          <w:caps/>
          <w:kern w:val="2"/>
          <w:sz w:val="21"/>
          <w:szCs w:val="21"/>
          <w:highlight w:val="none"/>
        </w:rPr>
      </w:pPr>
      <w:bookmarkStart w:id="144" w:name="3._评标程序"/>
      <w:bookmarkEnd w:id="144"/>
      <w:r>
        <w:rPr>
          <w:rFonts w:hint="eastAsia" w:ascii="宋体" w:hAnsi="宋体" w:eastAsia="宋体" w:cs="宋体"/>
          <w:caps/>
          <w:kern w:val="2"/>
          <w:sz w:val="21"/>
          <w:szCs w:val="21"/>
          <w:highlight w:val="none"/>
        </w:rPr>
        <w:t xml:space="preserve">3. 评标程序 </w:t>
      </w:r>
    </w:p>
    <w:p>
      <w:pPr>
        <w:spacing w:before="157"/>
        <w:ind w:left="106"/>
        <w:rPr>
          <w:rFonts w:ascii="宋体" w:hAnsi="宋体" w:cs="宋体"/>
          <w:caps/>
          <w:szCs w:val="21"/>
          <w:highlight w:val="none"/>
        </w:rPr>
      </w:pPr>
      <w:bookmarkStart w:id="145" w:name="3.1_初步评审"/>
      <w:bookmarkEnd w:id="145"/>
      <w:r>
        <w:rPr>
          <w:rFonts w:hint="eastAsia" w:ascii="宋体" w:hAnsi="宋体" w:cs="宋体"/>
          <w:caps/>
          <w:szCs w:val="21"/>
          <w:highlight w:val="none"/>
        </w:rPr>
        <w:t xml:space="preserve">3.1 初步评审 </w:t>
      </w:r>
    </w:p>
    <w:p>
      <w:pPr>
        <w:pStyle w:val="2"/>
        <w:spacing w:before="61"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3.1.1 评标委员会依据本章第2.1款、2.2款及2.3款规定的标准对投标文件进行初步评审。有一项不符合评审标准的，作否决投标处理。</w:t>
      </w:r>
    </w:p>
    <w:p>
      <w:pPr>
        <w:pStyle w:val="2"/>
        <w:spacing w:before="32"/>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3.1.2 </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有以下情形之一的，其投标作否决投标处理： </w:t>
      </w:r>
    </w:p>
    <w:p>
      <w:pPr>
        <w:pStyle w:val="2"/>
        <w:spacing w:before="145"/>
        <w:ind w:left="526"/>
        <w:rPr>
          <w:rFonts w:ascii="宋体" w:hAnsi="宋体" w:cs="宋体"/>
          <w:caps/>
          <w:kern w:val="2"/>
          <w:sz w:val="21"/>
          <w:szCs w:val="21"/>
          <w:highlight w:val="none"/>
        </w:rPr>
      </w:pPr>
      <w:r>
        <w:rPr>
          <w:rFonts w:hint="eastAsia" w:ascii="宋体" w:hAnsi="宋体" w:cs="宋体"/>
          <w:caps/>
          <w:kern w:val="2"/>
          <w:sz w:val="21"/>
          <w:szCs w:val="21"/>
          <w:highlight w:val="none"/>
        </w:rPr>
        <w:t>（1）第二章“</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须知”第1.4.3项规定的任何一种情形的；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（2）本次投标有串通投标、弄虚作假等其他违反招投标相关法律、法规行为的；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（3）拒绝按评标委员会要求澄清、说明或补正的。 </w:t>
      </w:r>
    </w:p>
    <w:p>
      <w:pPr>
        <w:pStyle w:val="2"/>
        <w:spacing w:before="6" w:line="352" w:lineRule="auto"/>
        <w:ind w:firstLine="630" w:firstLineChars="300"/>
        <w:rPr>
          <w:rFonts w:ascii="宋体" w:hAnsi="宋体" w:cs="宋体"/>
          <w:caps/>
          <w:kern w:val="2"/>
          <w:sz w:val="21"/>
          <w:szCs w:val="21"/>
          <w:highlight w:val="none"/>
        </w:rPr>
      </w:pPr>
      <w:r>
        <w:rPr>
          <w:rFonts w:hint="eastAsia" w:ascii="宋体" w:hAnsi="宋体" w:cs="宋体"/>
          <w:caps/>
          <w:kern w:val="2"/>
          <w:sz w:val="21"/>
          <w:szCs w:val="21"/>
          <w:highlight w:val="none"/>
        </w:rPr>
        <w:t>3.1.3 投标报价有算术错误的，评标委员会按以下原则对投标报价进行修正，修正的价格经</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 书面确认后具有约束力，修正原则如下： </w:t>
      </w:r>
    </w:p>
    <w:p>
      <w:pPr>
        <w:pStyle w:val="2"/>
        <w:spacing w:before="32"/>
        <w:ind w:firstLine="420" w:firstLineChars="200"/>
        <w:rPr>
          <w:rFonts w:ascii="宋体" w:hAnsi="宋体" w:cs="宋体"/>
          <w:caps/>
          <w:kern w:val="2"/>
          <w:sz w:val="21"/>
          <w:szCs w:val="21"/>
          <w:highlight w:val="none"/>
        </w:rPr>
      </w:pPr>
      <w:r>
        <w:rPr>
          <w:rFonts w:hint="eastAsia" w:ascii="宋体" w:hAnsi="宋体" w:cs="宋体"/>
          <w:caps/>
          <w:kern w:val="2"/>
          <w:sz w:val="21"/>
          <w:szCs w:val="21"/>
          <w:highlight w:val="none"/>
        </w:rPr>
        <w:t xml:space="preserve">（1）投标文件中的大写金额与小写金额不一致的，以大写金额为准； </w:t>
      </w:r>
    </w:p>
    <w:p>
      <w:pPr>
        <w:pStyle w:val="2"/>
        <w:spacing w:before="145"/>
        <w:ind w:firstLine="420"/>
        <w:rPr>
          <w:rFonts w:ascii="宋体" w:hAnsi="宋体" w:cs="宋体"/>
          <w:caps/>
          <w:kern w:val="2"/>
          <w:sz w:val="21"/>
          <w:szCs w:val="21"/>
          <w:highlight w:val="none"/>
        </w:rPr>
      </w:pPr>
      <w:r>
        <w:rPr>
          <w:rFonts w:hint="eastAsia" w:ascii="宋体" w:hAnsi="宋体" w:cs="宋体"/>
          <w:caps/>
          <w:kern w:val="2"/>
          <w:sz w:val="21"/>
          <w:szCs w:val="21"/>
          <w:highlight w:val="none"/>
        </w:rPr>
        <w:t xml:space="preserve">（2）竞争性比选响应声明书的总报价与已标价工程量清单总报价不一致的，由评标委员会作否决投标处理。 </w:t>
      </w:r>
    </w:p>
    <w:p>
      <w:pPr>
        <w:spacing w:before="169"/>
        <w:ind w:left="106"/>
        <w:rPr>
          <w:rFonts w:ascii="宋体" w:hAnsi="宋体" w:cs="宋体"/>
          <w:caps/>
          <w:szCs w:val="21"/>
          <w:highlight w:val="none"/>
        </w:rPr>
      </w:pPr>
      <w:bookmarkStart w:id="146" w:name="3.2_详细评审"/>
      <w:bookmarkEnd w:id="146"/>
      <w:r>
        <w:rPr>
          <w:rFonts w:hint="eastAsia" w:ascii="宋体" w:hAnsi="宋体" w:cs="宋体"/>
          <w:caps/>
          <w:szCs w:val="21"/>
          <w:highlight w:val="none"/>
        </w:rPr>
        <w:t xml:space="preserve">3.2 详细评审 </w:t>
      </w:r>
    </w:p>
    <w:p>
      <w:pPr>
        <w:pStyle w:val="2"/>
        <w:spacing w:before="61"/>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3.2.1 评标委员会按本章第3.1款、3.2款及3.3款规定的量化因素和分值进行打分，并计算出综合评估得分。 </w:t>
      </w:r>
    </w:p>
    <w:p>
      <w:pPr>
        <w:pStyle w:val="2"/>
        <w:spacing w:before="130" w:line="367"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（1）按本章第3.3目规定的评审因素和分值对技术部分计算出得分A（所有评委打分中去掉一个最高和一个最低分，余下评委打分取算术平均值为该</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技术部分得分。） </w:t>
      </w:r>
    </w:p>
    <w:p>
      <w:pPr>
        <w:pStyle w:val="2"/>
        <w:spacing w:before="19"/>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（2）按本章第3.2目规定的评审因素和分值对商务部分计算出得分B。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（3）按本章第3.1目规定的评审因素和分值对投标总报价计算出得分C。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3.2.2 各类评分分值的最终计算结果保留小数点后两位，小数点后第三位“四舍五入”。 </w:t>
      </w:r>
    </w:p>
    <w:p>
      <w:pPr>
        <w:pStyle w:val="2"/>
        <w:spacing w:before="130"/>
        <w:ind w:left="526"/>
        <w:rPr>
          <w:rFonts w:ascii="宋体" w:hAnsi="宋体" w:cs="宋体"/>
          <w:caps/>
          <w:kern w:val="2"/>
          <w:sz w:val="21"/>
          <w:szCs w:val="21"/>
          <w:highlight w:val="none"/>
        </w:rPr>
      </w:pPr>
      <w:r>
        <w:rPr>
          <w:rFonts w:hint="eastAsia" w:ascii="宋体" w:hAnsi="宋体" w:cs="宋体"/>
          <w:caps/>
          <w:kern w:val="2"/>
          <w:sz w:val="21"/>
          <w:szCs w:val="21"/>
          <w:highlight w:val="none"/>
        </w:rPr>
        <w:t xml:space="preserve">3.2.3  </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得分=A+B+C。 </w:t>
      </w:r>
    </w:p>
    <w:p>
      <w:pPr>
        <w:spacing w:before="1"/>
        <w:rPr>
          <w:rFonts w:ascii="宋体" w:hAnsi="宋体" w:cs="宋体"/>
          <w:caps/>
          <w:szCs w:val="21"/>
          <w:highlight w:val="none"/>
        </w:rPr>
      </w:pPr>
    </w:p>
    <w:p>
      <w:pPr>
        <w:ind w:left="106"/>
        <w:rPr>
          <w:rFonts w:ascii="宋体" w:hAnsi="宋体" w:cs="宋体"/>
          <w:caps/>
          <w:szCs w:val="21"/>
          <w:highlight w:val="none"/>
        </w:rPr>
      </w:pPr>
      <w:bookmarkStart w:id="147" w:name="3.3_投标文件的澄清和补正"/>
      <w:bookmarkEnd w:id="147"/>
      <w:r>
        <w:rPr>
          <w:rFonts w:hint="eastAsia" w:ascii="宋体" w:hAnsi="宋体" w:cs="宋体"/>
          <w:caps/>
          <w:szCs w:val="21"/>
          <w:highlight w:val="none"/>
        </w:rPr>
        <w:t xml:space="preserve">3.3 投标文件的澄清和补正 </w:t>
      </w:r>
    </w:p>
    <w:p>
      <w:pPr>
        <w:pStyle w:val="2"/>
        <w:spacing w:before="61"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3.3.1 在评标过程中，评标委员会可以书面形式要求</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对所提交投标文件中不明确的内容进行 书面澄清或说明，或者对细微偏差进行补正。评标委员会不接受</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主动提出的澄清、说明或补正。 </w:t>
      </w:r>
    </w:p>
    <w:p>
      <w:pPr>
        <w:pStyle w:val="2"/>
        <w:spacing w:before="29" w:line="367"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3.3.2 澄清、说明和补正不得改变投标文件的实质性内容（算术性错误修正的除外）。</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的书 面澄清、说明和补正属于投标文件的组成部分。 </w:t>
      </w:r>
    </w:p>
    <w:p>
      <w:pPr>
        <w:pStyle w:val="2"/>
        <w:spacing w:before="19" w:line="355" w:lineRule="auto"/>
        <w:ind w:firstLine="420"/>
        <w:rPr>
          <w:rFonts w:ascii="宋体" w:hAnsi="宋体" w:cs="宋体"/>
          <w:caps/>
          <w:kern w:val="2"/>
          <w:sz w:val="21"/>
          <w:szCs w:val="21"/>
          <w:highlight w:val="none"/>
        </w:rPr>
      </w:pPr>
      <w:r>
        <w:rPr>
          <w:rFonts w:hint="eastAsia" w:ascii="宋体" w:hAnsi="宋体" w:cs="宋体"/>
          <w:caps/>
          <w:kern w:val="2"/>
          <w:sz w:val="21"/>
          <w:szCs w:val="21"/>
          <w:highlight w:val="none"/>
        </w:rPr>
        <w:t>3.3.3 评标委员会对</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提交的澄清、说明或补正有疑问的，可以要求</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进一步澄清、说明或补正，直至满足评标委员会的要求。 </w:t>
      </w:r>
    </w:p>
    <w:p>
      <w:pPr>
        <w:spacing w:before="68"/>
        <w:ind w:left="106"/>
        <w:rPr>
          <w:rFonts w:ascii="宋体" w:hAnsi="宋体" w:cs="宋体"/>
          <w:caps/>
          <w:szCs w:val="21"/>
          <w:highlight w:val="none"/>
        </w:rPr>
      </w:pPr>
      <w:bookmarkStart w:id="148" w:name="3.4_评标结果"/>
      <w:bookmarkEnd w:id="148"/>
      <w:r>
        <w:rPr>
          <w:rFonts w:hint="eastAsia" w:ascii="宋体" w:hAnsi="宋体" w:cs="宋体"/>
          <w:caps/>
          <w:szCs w:val="21"/>
          <w:highlight w:val="none"/>
        </w:rPr>
        <w:t xml:space="preserve">3.4 评标结果 </w:t>
      </w:r>
    </w:p>
    <w:p>
      <w:pPr>
        <w:pStyle w:val="2"/>
        <w:spacing w:before="76" w:line="355" w:lineRule="auto"/>
        <w:ind w:firstLine="420"/>
        <w:rPr>
          <w:rFonts w:hint="eastAsia" w:ascii="宋体" w:hAnsi="宋体" w:cs="宋体"/>
          <w:caps/>
          <w:kern w:val="2"/>
          <w:sz w:val="21"/>
          <w:szCs w:val="21"/>
          <w:highlight w:val="none"/>
        </w:rPr>
      </w:pPr>
      <w:r>
        <w:rPr>
          <w:rFonts w:hint="eastAsia" w:ascii="宋体" w:hAnsi="宋体" w:cs="宋体"/>
          <w:caps/>
          <w:kern w:val="2"/>
          <w:sz w:val="21"/>
          <w:szCs w:val="21"/>
          <w:highlight w:val="none"/>
        </w:rPr>
        <w:t>3.4.1 除第二章“</w:t>
      </w:r>
      <w:r>
        <w:rPr>
          <w:rFonts w:hint="eastAsia" w:ascii="宋体" w:hAnsi="宋体" w:cs="宋体"/>
          <w:caps/>
          <w:kern w:val="2"/>
          <w:sz w:val="21"/>
          <w:szCs w:val="21"/>
          <w:highlight w:val="none"/>
          <w:lang w:eastAsia="zh-CN"/>
        </w:rPr>
        <w:t>报价人</w:t>
      </w:r>
      <w:r>
        <w:rPr>
          <w:rFonts w:hint="eastAsia" w:ascii="宋体" w:hAnsi="宋体" w:cs="宋体"/>
          <w:caps/>
          <w:kern w:val="2"/>
          <w:sz w:val="21"/>
          <w:szCs w:val="21"/>
          <w:highlight w:val="none"/>
        </w:rPr>
        <w:t xml:space="preserve">须知”前附表授权直接确定中标人外，评标委员会按照得分由高到低的顺 序推荐中标候选人。 </w:t>
      </w:r>
    </w:p>
    <w:p>
      <w:pPr>
        <w:pStyle w:val="2"/>
        <w:spacing w:before="76" w:line="355" w:lineRule="auto"/>
        <w:ind w:firstLine="420"/>
        <w:jc w:val="both"/>
        <w:rPr>
          <w:rFonts w:hint="eastAsia" w:ascii="宋体" w:hAnsi="宋体" w:cs="宋体"/>
          <w:b w:val="0"/>
          <w:bCs w:val="0"/>
          <w:sz w:val="21"/>
          <w:szCs w:val="21"/>
          <w:highlight w:val="none"/>
        </w:rPr>
      </w:pPr>
      <w:r>
        <w:rPr>
          <w:rFonts w:hint="eastAsia" w:ascii="宋体" w:hAnsi="宋体" w:cs="宋体"/>
          <w:b w:val="0"/>
          <w:bCs w:val="0"/>
          <w:sz w:val="21"/>
          <w:szCs w:val="21"/>
          <w:highlight w:val="none"/>
        </w:rPr>
        <w:t>3.4.2 评标委员会完成评标后，应当向</w:t>
      </w:r>
      <w:r>
        <w:rPr>
          <w:rFonts w:hint="eastAsia" w:ascii="宋体" w:hAnsi="宋体" w:cs="宋体"/>
          <w:b w:val="0"/>
          <w:bCs w:val="0"/>
          <w:sz w:val="21"/>
          <w:szCs w:val="21"/>
          <w:highlight w:val="none"/>
          <w:lang w:eastAsia="zh-CN"/>
        </w:rPr>
        <w:t>采购人</w:t>
      </w:r>
      <w:r>
        <w:rPr>
          <w:rFonts w:hint="eastAsia" w:ascii="宋体" w:hAnsi="宋体" w:cs="宋体"/>
          <w:b w:val="0"/>
          <w:bCs w:val="0"/>
          <w:sz w:val="21"/>
          <w:szCs w:val="21"/>
          <w:highlight w:val="none"/>
        </w:rPr>
        <w:t>提交书面评标报告。</w:t>
      </w:r>
    </w:p>
    <w:p>
      <w:pPr>
        <w:pStyle w:val="2"/>
        <w:spacing w:before="76" w:line="355" w:lineRule="auto"/>
        <w:ind w:firstLine="420"/>
        <w:jc w:val="center"/>
        <w:rPr>
          <w:highlight w:val="none"/>
        </w:rPr>
      </w:pPr>
      <w:r>
        <w:rPr>
          <w:rFonts w:hint="eastAsia" w:ascii="宋体" w:hAnsi="宋体" w:cs="宋体"/>
          <w:b w:val="0"/>
          <w:bCs w:val="0"/>
          <w:sz w:val="21"/>
          <w:szCs w:val="21"/>
          <w:highlight w:val="none"/>
        </w:rPr>
        <w:t xml:space="preserve"> </w:t>
      </w:r>
      <w:r>
        <w:rPr>
          <w:rFonts w:hint="eastAsia"/>
          <w:highlight w:val="none"/>
        </w:rPr>
        <w:br w:type="page"/>
      </w:r>
      <w:bookmarkStart w:id="149" w:name="_Toc32568"/>
      <w:r>
        <w:rPr>
          <w:rStyle w:val="82"/>
          <w:rFonts w:hint="eastAsia"/>
          <w:b/>
          <w:bCs/>
          <w:highlight w:val="none"/>
        </w:rPr>
        <w:t>第四章 报价说明</w:t>
      </w:r>
      <w:bookmarkEnd w:id="149"/>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2、本竞争性比选报价采用综合单价报价。综合单价是指完成工程量清单中一个规定计量单位的分部分项工程量清单费用、措施项目清单费用、其他项目清单费用、规费、税金</w:t>
      </w:r>
      <w:r>
        <w:rPr>
          <w:rFonts w:hint="eastAsia" w:ascii="宋体" w:hAnsi="宋体" w:cs="宋体"/>
          <w:b w:val="0"/>
          <w:bCs w:val="0"/>
          <w:sz w:val="21"/>
          <w:szCs w:val="21"/>
          <w:highlight w:val="none"/>
          <w:lang w:val="en-US" w:eastAsia="zh-CN"/>
        </w:rPr>
        <w:t>（税率为9%）</w:t>
      </w:r>
      <w:r>
        <w:rPr>
          <w:rFonts w:hint="eastAsia" w:ascii="宋体" w:hAnsi="宋体" w:eastAsia="宋体" w:cs="宋体"/>
          <w:b w:val="0"/>
          <w:bCs w:val="0"/>
          <w:sz w:val="21"/>
          <w:szCs w:val="21"/>
          <w:highlight w:val="none"/>
          <w:lang w:val="en-US" w:eastAsia="zh-CN"/>
        </w:rPr>
        <w:t>等完成本项目的一切费用（即本项目除安全生产费以外的人工费、材料设备及采管费和二次转运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3、“安全生产费”</w:t>
      </w:r>
      <w:r>
        <w:rPr>
          <w:rFonts w:hint="eastAsia" w:ascii="宋体" w:hAnsi="宋体" w:cs="宋体"/>
          <w:b w:val="0"/>
          <w:bCs w:val="0"/>
          <w:sz w:val="21"/>
          <w:szCs w:val="21"/>
          <w:highlight w:val="none"/>
          <w:lang w:val="en-US" w:eastAsia="zh-CN"/>
        </w:rPr>
        <w:t>为不可竞争性费用，</w:t>
      </w:r>
      <w:r>
        <w:rPr>
          <w:rFonts w:hint="eastAsia" w:ascii="宋体" w:hAnsi="宋体" w:eastAsia="宋体" w:cs="宋体"/>
          <w:b w:val="0"/>
          <w:bCs w:val="0"/>
          <w:sz w:val="21"/>
          <w:szCs w:val="21"/>
          <w:highlight w:val="none"/>
          <w:lang w:val="en-US" w:eastAsia="zh-CN"/>
        </w:rPr>
        <w:t>不得</w:t>
      </w:r>
      <w:r>
        <w:rPr>
          <w:rFonts w:hint="eastAsia" w:ascii="宋体" w:hAnsi="宋体" w:cs="宋体"/>
          <w:b w:val="0"/>
          <w:bCs w:val="0"/>
          <w:sz w:val="21"/>
          <w:szCs w:val="21"/>
          <w:highlight w:val="none"/>
          <w:lang w:val="en-US" w:eastAsia="zh-CN"/>
        </w:rPr>
        <w:t>随意</w:t>
      </w:r>
      <w:r>
        <w:rPr>
          <w:rFonts w:hint="eastAsia" w:ascii="宋体" w:hAnsi="宋体" w:eastAsia="宋体" w:cs="宋体"/>
          <w:b w:val="0"/>
          <w:bCs w:val="0"/>
          <w:sz w:val="21"/>
          <w:szCs w:val="21"/>
          <w:highlight w:val="none"/>
          <w:lang w:val="en-US" w:eastAsia="zh-CN"/>
        </w:rPr>
        <w:t>调整</w:t>
      </w:r>
      <w:r>
        <w:rPr>
          <w:rFonts w:hint="eastAsia" w:ascii="宋体" w:hAnsi="宋体" w:cs="宋体"/>
          <w:b w:val="0"/>
          <w:bCs w:val="0"/>
          <w:sz w:val="21"/>
          <w:szCs w:val="21"/>
          <w:highlight w:val="none"/>
          <w:lang w:val="en-US" w:eastAsia="zh-CN"/>
        </w:rPr>
        <w:t>，据实结算，</w:t>
      </w:r>
      <w:r>
        <w:rPr>
          <w:rFonts w:hint="eastAsia" w:ascii="宋体" w:hAnsi="宋体" w:eastAsia="宋体" w:cs="宋体"/>
          <w:b w:val="0"/>
          <w:bCs w:val="0"/>
          <w:sz w:val="21"/>
          <w:szCs w:val="21"/>
          <w:highlight w:val="none"/>
          <w:lang w:val="en-US" w:eastAsia="zh-CN"/>
        </w:rPr>
        <w:t>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5、报价人应结合施工现场实际和现在的市场情况、自身技术及管理水平、经营状况、机械设备及制定的施工方案的要求自行报价，该报价不低于报价人完成该项目的成本。</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6、工程量清单中所列工程数量是估算的数量，仅作为报价的共同基础，不能作为最终结算与支付的依据。实际支付应按实际完成的工程量*工程量清单的单价来计算支付金额。</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7、工程量清单中所列工程量的变动，丝毫不会降低或影响合同条款的效力，也不免除报价人按规定的标准进行施工和修复缺陷的责任。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9、不同单项及单位工程中的分部分项工程量清单中相同项目（项目特征及工作内容相同）的应报价统一，如有差异，按最低的一个报价进行结算；材料设备单价处理办法相同。</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0</w:t>
      </w:r>
      <w:r>
        <w:rPr>
          <w:rFonts w:hint="eastAsia" w:ascii="宋体" w:hAnsi="宋体" w:eastAsia="宋体" w:cs="宋体"/>
          <w:b w:val="0"/>
          <w:bCs w:val="0"/>
          <w:sz w:val="21"/>
          <w:szCs w:val="21"/>
          <w:highlight w:val="none"/>
          <w:lang w:val="en-US" w:eastAsia="zh-CN"/>
        </w:rPr>
        <w:t>、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、工程量清单中的任何内容不得随意删除或涂改，若有误，在有效时间内书面向采购人提出，以“补遗”资料为准。</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、对于报价人报价中明显高于市场价的单项报价，采购人有权进行价格审核后调整。调整后应以取得报价人的同意，并确认修正后的最终报价。如果报价人拒绝确认，则其竞争性响应文件将不予评审。</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5</w:t>
      </w:r>
      <w:r>
        <w:rPr>
          <w:rFonts w:hint="eastAsia" w:ascii="宋体" w:hAnsi="宋体" w:eastAsia="宋体" w:cs="宋体"/>
          <w:b w:val="0"/>
          <w:bCs w:val="0"/>
          <w:sz w:val="21"/>
          <w:szCs w:val="21"/>
          <w:highlight w:val="none"/>
          <w:lang w:val="en-US" w:eastAsia="zh-CN"/>
        </w:rPr>
        <w:t>、合同为单价合同，合同期间不予调价。</w:t>
      </w:r>
    </w:p>
    <w:p>
      <w:pPr>
        <w:pStyle w:val="28"/>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6</w:t>
      </w:r>
      <w:r>
        <w:rPr>
          <w:rFonts w:hint="eastAsia" w:ascii="宋体" w:hAnsi="宋体" w:eastAsia="宋体" w:cs="宋体"/>
          <w:b w:val="0"/>
          <w:bCs w:val="0"/>
          <w:sz w:val="21"/>
          <w:szCs w:val="21"/>
          <w:highlight w:val="none"/>
          <w:lang w:val="en-US" w:eastAsia="zh-CN"/>
        </w:rPr>
        <w:t>、报价人应严格按照工程量清单进行报价，不得随意修改采购人发布的工程量清单数量、公式及相关内容。</w:t>
      </w:r>
    </w:p>
    <w:p>
      <w:pPr>
        <w:pStyle w:val="28"/>
        <w:spacing w:line="380" w:lineRule="exact"/>
        <w:ind w:firstLine="420" w:firstLineChars="200"/>
        <w:rPr>
          <w:rFonts w:hint="eastAsia" w:ascii="宋体" w:hAnsi="宋体" w:cs="宋体"/>
          <w:b w:val="0"/>
          <w:bCs w:val="0"/>
          <w:sz w:val="21"/>
          <w:szCs w:val="21"/>
          <w:highlight w:val="none"/>
        </w:rPr>
      </w:pPr>
      <w:r>
        <w:rPr>
          <w:rFonts w:hint="eastAsia" w:ascii="宋体" w:hAnsi="宋体" w:eastAsia="宋体" w:cs="宋体"/>
          <w:b w:val="0"/>
          <w:bCs w:val="0"/>
          <w:sz w:val="21"/>
          <w:szCs w:val="21"/>
          <w:highlight w:val="none"/>
          <w:lang w:val="en-US" w:eastAsia="zh-CN"/>
        </w:rPr>
        <w:t>1</w:t>
      </w:r>
      <w:r>
        <w:rPr>
          <w:rFonts w:hint="eastAsia" w:ascii="宋体" w:hAnsi="宋体" w:cs="宋体"/>
          <w:b w:val="0"/>
          <w:bCs w:val="0"/>
          <w:sz w:val="21"/>
          <w:szCs w:val="21"/>
          <w:highlight w:val="none"/>
          <w:lang w:val="en-US" w:eastAsia="zh-CN"/>
        </w:rPr>
        <w:t>7</w:t>
      </w:r>
      <w:r>
        <w:rPr>
          <w:rFonts w:hint="eastAsia" w:ascii="宋体" w:hAnsi="宋体" w:eastAsia="宋体" w:cs="宋体"/>
          <w:b w:val="0"/>
          <w:bCs w:val="0"/>
          <w:sz w:val="21"/>
          <w:szCs w:val="21"/>
          <w:highlight w:val="none"/>
          <w:lang w:val="en-US" w:eastAsia="zh-CN"/>
        </w:rPr>
        <w:t>、报价人提供的材料设备需在报价清单中明确品牌及型号</w:t>
      </w:r>
      <w:r>
        <w:rPr>
          <w:rFonts w:hint="eastAsia" w:ascii="宋体" w:hAnsi="宋体" w:cs="宋体"/>
          <w:b w:val="0"/>
          <w:bCs w:val="0"/>
          <w:sz w:val="21"/>
          <w:szCs w:val="21"/>
          <w:highlight w:val="none"/>
          <w:lang w:val="en-US" w:eastAsia="zh-CN"/>
        </w:rPr>
        <w:t>，且报价人提供的设备质保期为2年，自本项目交工验收合格之日起计算</w:t>
      </w:r>
      <w:r>
        <w:rPr>
          <w:rFonts w:hint="eastAsia" w:ascii="宋体" w:hAnsi="宋体" w:eastAsia="宋体" w:cs="宋体"/>
          <w:b w:val="0"/>
          <w:bCs w:val="0"/>
          <w:sz w:val="21"/>
          <w:szCs w:val="21"/>
          <w:highlight w:val="none"/>
          <w:lang w:val="en-US" w:eastAsia="zh-CN"/>
        </w:rPr>
        <w:t>。</w:t>
      </w:r>
    </w:p>
    <w:p>
      <w:pPr>
        <w:rPr>
          <w:rFonts w:hint="eastAsia" w:ascii="宋体" w:hAnsi="宋体" w:cs="宋体"/>
          <w:b w:val="0"/>
          <w:bCs w:val="0"/>
          <w:sz w:val="21"/>
          <w:szCs w:val="21"/>
          <w:highlight w:val="none"/>
        </w:rPr>
      </w:pPr>
    </w:p>
    <w:p>
      <w:pPr>
        <w:pStyle w:val="28"/>
        <w:rPr>
          <w:rFonts w:hint="eastAsia"/>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rPr>
          <w:rFonts w:hint="eastAsia" w:ascii="宋体" w:hAnsi="宋体" w:cs="宋体"/>
          <w:b w:val="0"/>
          <w:bCs w:val="0"/>
          <w:sz w:val="21"/>
          <w:szCs w:val="21"/>
          <w:highlight w:val="none"/>
        </w:rPr>
      </w:pPr>
    </w:p>
    <w:p>
      <w:pPr>
        <w:pStyle w:val="28"/>
        <w:rPr>
          <w:rFonts w:hint="eastAsia" w:ascii="宋体" w:hAnsi="宋体" w:cs="宋体"/>
          <w:b w:val="0"/>
          <w:bCs w:val="0"/>
          <w:sz w:val="21"/>
          <w:szCs w:val="21"/>
          <w:highlight w:val="none"/>
        </w:rPr>
      </w:pPr>
    </w:p>
    <w:p>
      <w:pPr>
        <w:spacing w:before="0" w:after="0" w:line="360" w:lineRule="auto"/>
        <w:jc w:val="center"/>
        <w:rPr>
          <w:rFonts w:hint="eastAsia" w:ascii="宋体" w:hAnsi="宋体" w:cs="宋体"/>
          <w:highlight w:val="none"/>
        </w:rPr>
      </w:pPr>
      <w:bookmarkStart w:id="150" w:name="_Toc247085855"/>
      <w:bookmarkStart w:id="151" w:name="_Toc179632789"/>
      <w:bookmarkStart w:id="152" w:name="_Toc246996340"/>
      <w:bookmarkStart w:id="153" w:name="_Toc152042554"/>
      <w:bookmarkStart w:id="154" w:name="_Toc144974834"/>
      <w:bookmarkStart w:id="155" w:name="_Toc152045772"/>
      <w:bookmarkStart w:id="156" w:name="_Toc514858705"/>
      <w:bookmarkStart w:id="157" w:name="_Toc246997083"/>
      <w:bookmarkStart w:id="158" w:name="_Toc10838"/>
      <w:bookmarkStart w:id="159" w:name="_Toc2000409"/>
      <w:bookmarkStart w:id="160" w:name="_Toc152042575"/>
      <w:bookmarkStart w:id="161" w:name="_Toc152045786"/>
      <w:bookmarkStart w:id="162" w:name="_Toc144974855"/>
      <w:bookmarkStart w:id="163" w:name="_Toc179632806"/>
      <w:bookmarkStart w:id="164" w:name="_Toc247085872"/>
      <w:bookmarkStart w:id="165" w:name="_Toc246996354"/>
      <w:bookmarkStart w:id="166" w:name="_Toc246997097"/>
      <w:r>
        <w:rPr>
          <w:rFonts w:hint="eastAsia" w:ascii="宋体" w:hAnsi="宋体" w:cs="宋体"/>
          <w:highlight w:val="none"/>
        </w:rPr>
        <w:br w:type="page"/>
      </w:r>
    </w:p>
    <w:p>
      <w:pPr>
        <w:pStyle w:val="3"/>
        <w:spacing w:before="0" w:after="0" w:line="360" w:lineRule="auto"/>
        <w:jc w:val="center"/>
        <w:rPr>
          <w:rFonts w:ascii="宋体" w:hAnsi="宋体" w:cs="宋体"/>
          <w:highlight w:val="none"/>
        </w:rPr>
      </w:pPr>
      <w:r>
        <w:rPr>
          <w:rFonts w:hint="eastAsia" w:ascii="宋体" w:hAnsi="宋体" w:cs="宋体"/>
          <w:highlight w:val="none"/>
        </w:rPr>
        <w:t>第五章  工程量清单</w:t>
      </w:r>
      <w:bookmarkEnd w:id="150"/>
      <w:bookmarkEnd w:id="151"/>
      <w:bookmarkEnd w:id="152"/>
      <w:bookmarkEnd w:id="153"/>
      <w:bookmarkEnd w:id="154"/>
      <w:bookmarkEnd w:id="155"/>
      <w:bookmarkEnd w:id="156"/>
      <w:bookmarkEnd w:id="157"/>
      <w:bookmarkEnd w:id="158"/>
      <w:bookmarkEnd w:id="159"/>
    </w:p>
    <w:p>
      <w:pPr>
        <w:jc w:val="center"/>
        <w:rPr>
          <w:rFonts w:hint="eastAsia" w:ascii="宋体" w:hAnsi="宋体" w:cs="宋体"/>
          <w:b/>
          <w:highlight w:val="none"/>
        </w:rPr>
      </w:pPr>
      <w:bookmarkStart w:id="167" w:name="_Toc179632800"/>
      <w:bookmarkStart w:id="168" w:name="_Toc152045782"/>
      <w:bookmarkStart w:id="169" w:name="_Toc152042571"/>
      <w:bookmarkStart w:id="170" w:name="_Toc247085866"/>
      <w:bookmarkStart w:id="171" w:name="_Toc246996350"/>
      <w:bookmarkStart w:id="172" w:name="_Toc144974851"/>
      <w:bookmarkStart w:id="173" w:name="_Toc247096438"/>
      <w:bookmarkStart w:id="174" w:name="_Toc246997093"/>
      <w:bookmarkStart w:id="175" w:name="_Toc503951042"/>
      <w:bookmarkStart w:id="176" w:name="_Toc447827048"/>
      <w:bookmarkStart w:id="177" w:name="_Toc514858706"/>
      <w:bookmarkStart w:id="178" w:name="_Toc2000410"/>
      <w:bookmarkStart w:id="179" w:name="_Toc513633963"/>
      <w:r>
        <w:rPr>
          <w:rFonts w:hint="eastAsia" w:ascii="宋体" w:hAnsi="宋体" w:cs="宋体"/>
          <w:b/>
          <w:kern w:val="0"/>
          <w:sz w:val="24"/>
          <w:highlight w:val="none"/>
        </w:rPr>
        <w:t>详见竞争性比选文件附件。</w:t>
      </w: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ascii="宋体" w:hAnsi="宋体" w:cs="宋体"/>
          <w:b/>
          <w:color w:val="000000" w:themeColor="text1"/>
          <w:kern w:val="0"/>
          <w:sz w:val="24"/>
          <w:highlight w:val="none"/>
          <w14:textFill>
            <w14:solidFill>
              <w14:schemeClr w14:val="tx1"/>
            </w14:solidFill>
          </w14:textFill>
        </w:rPr>
      </w:pPr>
    </w:p>
    <w:p>
      <w:pPr>
        <w:pStyle w:val="2"/>
        <w:rPr>
          <w:rFonts w:hint="eastAsia" w:ascii="宋体" w:hAnsi="宋体" w:cs="宋体"/>
          <w:b/>
          <w:color w:val="000000" w:themeColor="text1"/>
          <w:kern w:val="0"/>
          <w:sz w:val="24"/>
          <w:highlight w:val="none"/>
          <w14:textFill>
            <w14:solidFill>
              <w14:schemeClr w14:val="tx1"/>
            </w14:solidFill>
          </w14:textFill>
        </w:rPr>
      </w:pPr>
    </w:p>
    <w:p>
      <w:pPr>
        <w:rPr>
          <w:rFonts w:hint="eastAsia"/>
        </w:rPr>
      </w:pPr>
    </w:p>
    <w:p>
      <w:pPr>
        <w:pStyle w:val="3"/>
        <w:spacing w:before="0" w:after="0" w:line="360" w:lineRule="auto"/>
        <w:jc w:val="center"/>
        <w:rPr>
          <w:rFonts w:ascii="宋体" w:hAnsi="宋体" w:cs="宋体"/>
          <w:highlight w:val="none"/>
        </w:rPr>
      </w:pPr>
      <w:bookmarkStart w:id="180" w:name="_Toc2064"/>
      <w:r>
        <w:rPr>
          <w:rFonts w:hint="eastAsia" w:ascii="宋体" w:hAnsi="宋体" w:cs="宋体"/>
          <w:highlight w:val="none"/>
        </w:rPr>
        <w:t>第六章  图  纸</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jc w:val="center"/>
        <w:rPr>
          <w:rFonts w:hint="eastAsia" w:ascii="宋体" w:hAnsi="宋体" w:cs="宋体"/>
          <w:b/>
          <w:highlight w:val="none"/>
        </w:rPr>
      </w:pPr>
      <w:bookmarkStart w:id="181" w:name="_Toc2000411"/>
      <w:bookmarkStart w:id="182" w:name="_Toc144974854"/>
      <w:bookmarkStart w:id="183" w:name="_Toc503951043"/>
      <w:bookmarkStart w:id="184" w:name="_Toc246997096"/>
      <w:bookmarkStart w:id="185" w:name="_Toc513633964"/>
      <w:bookmarkStart w:id="186" w:name="_Toc179632804"/>
      <w:bookmarkStart w:id="187" w:name="_Toc514858707"/>
      <w:bookmarkStart w:id="188" w:name="_Toc15316"/>
      <w:bookmarkStart w:id="189" w:name="_Toc447827049"/>
      <w:bookmarkStart w:id="190" w:name="_Toc152045785"/>
      <w:bookmarkStart w:id="191" w:name="_Toc247085870"/>
      <w:bookmarkStart w:id="192" w:name="_Toc152042574"/>
      <w:bookmarkStart w:id="193" w:name="_Toc246996353"/>
      <w:r>
        <w:rPr>
          <w:rFonts w:hint="eastAsia" w:ascii="宋体" w:hAnsi="宋体" w:cs="宋体"/>
          <w:b/>
          <w:kern w:val="0"/>
          <w:sz w:val="24"/>
          <w:highlight w:val="none"/>
        </w:rPr>
        <w:t>详见竞争性比选文件附件。</w:t>
      </w: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pStyle w:val="3"/>
        <w:spacing w:before="0" w:after="0" w:line="360" w:lineRule="auto"/>
        <w:jc w:val="center"/>
        <w:rPr>
          <w:rFonts w:hint="eastAsia" w:ascii="宋体" w:hAnsi="宋体" w:cs="宋体"/>
          <w:highlight w:val="none"/>
        </w:rPr>
      </w:pPr>
    </w:p>
    <w:p>
      <w:pPr>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42"/>
        <w:rPr>
          <w:rFonts w:hint="eastAsia" w:ascii="宋体" w:hAnsi="宋体" w:cs="宋体"/>
          <w:highlight w:val="none"/>
        </w:rPr>
      </w:pPr>
    </w:p>
    <w:p>
      <w:pPr>
        <w:pStyle w:val="3"/>
        <w:spacing w:before="0" w:after="0" w:line="360" w:lineRule="auto"/>
        <w:jc w:val="center"/>
        <w:rPr>
          <w:rFonts w:ascii="宋体" w:hAnsi="宋体" w:cs="宋体"/>
          <w:highlight w:val="none"/>
        </w:rPr>
      </w:pPr>
      <w:r>
        <w:rPr>
          <w:rFonts w:hint="eastAsia" w:ascii="宋体" w:hAnsi="宋体" w:cs="宋体"/>
          <w:highlight w:val="none"/>
        </w:rPr>
        <w:t>第七章  技术标准和工作要求</w:t>
      </w:r>
      <w:bookmarkEnd w:id="181"/>
      <w:bookmarkEnd w:id="182"/>
      <w:bookmarkEnd w:id="183"/>
      <w:bookmarkEnd w:id="184"/>
      <w:bookmarkEnd w:id="185"/>
      <w:bookmarkEnd w:id="186"/>
      <w:bookmarkEnd w:id="187"/>
      <w:bookmarkEnd w:id="188"/>
      <w:bookmarkEnd w:id="189"/>
      <w:bookmarkEnd w:id="190"/>
      <w:bookmarkEnd w:id="191"/>
      <w:bookmarkEnd w:id="192"/>
      <w:bookmarkEnd w:id="193"/>
    </w:p>
    <w:bookmarkEnd w:id="160"/>
    <w:bookmarkEnd w:id="161"/>
    <w:bookmarkEnd w:id="162"/>
    <w:bookmarkEnd w:id="163"/>
    <w:bookmarkEnd w:id="164"/>
    <w:bookmarkEnd w:id="165"/>
    <w:bookmarkEnd w:id="166"/>
    <w:p>
      <w:pPr>
        <w:jc w:val="center"/>
        <w:rPr>
          <w:rFonts w:hint="eastAsia" w:ascii="宋体" w:hAnsi="宋体" w:eastAsia="宋体" w:cs="宋体"/>
          <w:b/>
          <w:kern w:val="0"/>
          <w:sz w:val="24"/>
          <w:highlight w:val="none"/>
          <w:lang w:val="en-US" w:eastAsia="zh-CN"/>
        </w:rPr>
      </w:pPr>
      <w:bookmarkStart w:id="194" w:name="_Toc513633965"/>
      <w:bookmarkStart w:id="195" w:name="_Toc246996355"/>
      <w:bookmarkStart w:id="196" w:name="_Toc507320039"/>
      <w:bookmarkStart w:id="197" w:name="_Toc152042576"/>
      <w:bookmarkStart w:id="198" w:name="_Toc152045787"/>
      <w:bookmarkStart w:id="199" w:name="_Toc247085873"/>
      <w:bookmarkStart w:id="200" w:name="_Toc246997098"/>
      <w:bookmarkStart w:id="201" w:name="_Toc144974856"/>
      <w:bookmarkStart w:id="202" w:name="_Toc179632807"/>
      <w:r>
        <w:rPr>
          <w:rFonts w:hint="eastAsia" w:ascii="宋体" w:hAnsi="宋体" w:eastAsia="宋体" w:cs="宋体"/>
          <w:b/>
          <w:kern w:val="0"/>
          <w:sz w:val="24"/>
          <w:highlight w:val="none"/>
          <w:lang w:val="en-US" w:eastAsia="zh-CN"/>
        </w:rPr>
        <w:t>见图纸和清单说明。</w:t>
      </w:r>
    </w:p>
    <w:p>
      <w:pPr>
        <w:pStyle w:val="3"/>
        <w:spacing w:before="0" w:after="0" w:line="360" w:lineRule="auto"/>
        <w:jc w:val="center"/>
        <w:rPr>
          <w:rFonts w:hint="eastAsia" w:ascii="宋体" w:hAnsi="宋体" w:cs="宋体"/>
          <w:color w:val="000000" w:themeColor="text1"/>
          <w:highlight w:val="none"/>
          <w14:textFill>
            <w14:solidFill>
              <w14:schemeClr w14:val="tx1"/>
            </w14:solidFill>
          </w14:textFill>
        </w:rPr>
      </w:pPr>
      <w:bookmarkStart w:id="203" w:name="_Toc15140"/>
    </w:p>
    <w:p>
      <w:pPr>
        <w:rPr>
          <w:rFonts w:hint="eastAsia" w:ascii="宋体" w:hAnsi="宋体" w:cs="宋体"/>
          <w:color w:val="000000" w:themeColor="text1"/>
          <w:highlight w:val="none"/>
          <w14:textFill>
            <w14:solidFill>
              <w14:schemeClr w14:val="tx1"/>
            </w14:solidFill>
          </w14:textFill>
        </w:rPr>
      </w:pPr>
    </w:p>
    <w:p>
      <w:pPr>
        <w:pStyle w:val="2"/>
        <w:rPr>
          <w:rFonts w:hint="eastAsia"/>
        </w:rPr>
      </w:pPr>
    </w:p>
    <w:p>
      <w:pPr>
        <w:rPr>
          <w:rFonts w:hint="eastAsia" w:ascii="宋体" w:hAnsi="宋体" w:cs="宋体"/>
          <w:color w:val="000000" w:themeColor="text1"/>
          <w:highlight w:val="none"/>
          <w14:textFill>
            <w14:solidFill>
              <w14:schemeClr w14:val="tx1"/>
            </w14:solidFill>
          </w14:textFill>
        </w:rPr>
      </w:pPr>
    </w:p>
    <w:p>
      <w:pPr>
        <w:pStyle w:val="2"/>
        <w:rPr>
          <w:rFonts w:hint="eastAsia"/>
        </w:rPr>
      </w:pPr>
    </w:p>
    <w:p>
      <w:pPr>
        <w:pStyle w:val="3"/>
        <w:spacing w:before="0" w:after="0" w:line="360" w:lineRule="auto"/>
        <w:jc w:val="center"/>
        <w:rPr>
          <w:rFonts w:hint="eastAsia" w:ascii="宋体" w:hAnsi="宋体" w:cs="宋体"/>
          <w:color w:val="000000" w:themeColor="text1"/>
          <w:highlight w:val="none"/>
          <w14:textFill>
            <w14:solidFill>
              <w14:schemeClr w14:val="tx1"/>
            </w14:solidFill>
          </w14:textFill>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3"/>
        <w:spacing w:before="0" w:after="0"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第八章  合同范本</w:t>
      </w:r>
      <w:bookmarkEnd w:id="203"/>
    </w:p>
    <w:p>
      <w:pPr>
        <w:jc w:val="center"/>
        <w:rPr>
          <w:rFonts w:hint="eastAsia" w:ascii="宋体" w:hAnsi="宋体" w:cs="宋体"/>
          <w:b/>
          <w:kern w:val="0"/>
          <w:sz w:val="24"/>
          <w:highlight w:val="none"/>
        </w:rPr>
      </w:pPr>
      <w:r>
        <w:rPr>
          <w:rFonts w:hint="eastAsia" w:ascii="宋体" w:hAnsi="宋体" w:cs="宋体"/>
          <w:b/>
          <w:kern w:val="0"/>
          <w:sz w:val="24"/>
          <w:highlight w:val="none"/>
        </w:rPr>
        <w:t>详见竞争性比选文件附件。</w:t>
      </w:r>
    </w:p>
    <w:p>
      <w:pPr>
        <w:pStyle w:val="2"/>
        <w:rPr>
          <w:highlight w:val="none"/>
        </w:rPr>
      </w:pPr>
    </w:p>
    <w:p>
      <w:pPr>
        <w:spacing w:line="400" w:lineRule="exact"/>
        <w:ind w:firstLine="420" w:firstLineChars="200"/>
        <w:rPr>
          <w:rFonts w:ascii="宋体" w:hAnsi="宋体" w:cs="宋体"/>
          <w:highlight w:val="none"/>
        </w:rPr>
      </w:pPr>
    </w:p>
    <w:p>
      <w:pPr>
        <w:pStyle w:val="12"/>
        <w:rPr>
          <w:rFonts w:ascii="宋体" w:hAnsi="宋体" w:cs="宋体"/>
          <w:highlight w:val="none"/>
        </w:rPr>
      </w:pPr>
    </w:p>
    <w:p>
      <w:pPr>
        <w:rPr>
          <w:rFonts w:ascii="宋体" w:hAnsi="宋体" w:cs="宋体"/>
          <w:highlight w:val="none"/>
        </w:rPr>
      </w:pPr>
    </w:p>
    <w:p>
      <w:pPr>
        <w:pStyle w:val="12"/>
        <w:rPr>
          <w:rFonts w:ascii="宋体" w:hAnsi="宋体" w:cs="宋体"/>
          <w:highlight w:val="none"/>
        </w:rPr>
      </w:pPr>
    </w:p>
    <w:p>
      <w:pPr>
        <w:pStyle w:val="12"/>
        <w:ind w:left="0" w:leftChars="0" w:firstLine="0" w:firstLineChars="0"/>
        <w:rPr>
          <w:rFonts w:ascii="宋体" w:hAnsi="宋体" w:cs="宋体"/>
          <w:highlight w:val="none"/>
        </w:rPr>
      </w:pPr>
    </w:p>
    <w:p>
      <w:pPr>
        <w:rPr>
          <w:rFonts w:ascii="宋体" w:hAnsi="宋体" w:cs="宋体"/>
          <w:highlight w:val="none"/>
        </w:rPr>
      </w:pPr>
    </w:p>
    <w:p>
      <w:pPr>
        <w:pStyle w:val="28"/>
        <w:rPr>
          <w:highlight w:val="none"/>
        </w:rPr>
      </w:pPr>
    </w:p>
    <w:p>
      <w:pPr>
        <w:rPr>
          <w:highlight w:val="none"/>
        </w:rPr>
      </w:pPr>
    </w:p>
    <w:p>
      <w:pPr>
        <w:pStyle w:val="2"/>
        <w:rPr>
          <w:highlight w:val="none"/>
        </w:rPr>
      </w:pPr>
    </w:p>
    <w:p>
      <w:pPr>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42"/>
        <w:rPr>
          <w:highlight w:val="none"/>
        </w:rPr>
      </w:pPr>
    </w:p>
    <w:p>
      <w:pPr>
        <w:pStyle w:val="3"/>
        <w:spacing w:before="0" w:after="0" w:line="360" w:lineRule="auto"/>
        <w:jc w:val="center"/>
        <w:rPr>
          <w:rFonts w:ascii="宋体" w:hAnsi="宋体" w:cs="宋体"/>
          <w:highlight w:val="none"/>
        </w:rPr>
      </w:pPr>
      <w:bookmarkStart w:id="204" w:name="_Toc514858709"/>
      <w:bookmarkStart w:id="205" w:name="_Toc2000413"/>
      <w:bookmarkStart w:id="206" w:name="_Toc10514"/>
      <w:r>
        <w:rPr>
          <w:rFonts w:hint="eastAsia" w:ascii="宋体" w:hAnsi="宋体" w:cs="宋体"/>
          <w:highlight w:val="none"/>
        </w:rPr>
        <w:t>第</w:t>
      </w:r>
      <w:r>
        <w:rPr>
          <w:rFonts w:hint="eastAsia" w:ascii="宋体" w:hAnsi="宋体" w:cs="宋体"/>
          <w:highlight w:val="none"/>
          <w:lang w:val="en-US" w:eastAsia="zh-CN"/>
        </w:rPr>
        <w:t>九</w:t>
      </w:r>
      <w:r>
        <w:rPr>
          <w:rFonts w:hint="eastAsia" w:ascii="宋体" w:hAnsi="宋体" w:cs="宋体"/>
          <w:highlight w:val="none"/>
        </w:rPr>
        <w:t>章  竞争性比选响应文件格式</w:t>
      </w:r>
      <w:bookmarkEnd w:id="194"/>
      <w:bookmarkEnd w:id="204"/>
      <w:bookmarkEnd w:id="205"/>
      <w:bookmarkEnd w:id="206"/>
    </w:p>
    <w:p>
      <w:pPr>
        <w:rPr>
          <w:rFonts w:ascii="宋体" w:hAnsi="宋体" w:cs="宋体"/>
          <w:highlight w:val="none"/>
        </w:rPr>
        <w:sectPr>
          <w:footerReference r:id="rId9" w:type="default"/>
          <w:pgSz w:w="11906" w:h="16838"/>
          <w:pgMar w:top="1440" w:right="1803" w:bottom="1440" w:left="1803" w:header="851" w:footer="992" w:gutter="0"/>
          <w:cols w:space="720" w:num="1"/>
          <w:titlePg/>
          <w:docGrid w:type="lines" w:linePitch="319" w:charSpace="0"/>
        </w:sectPr>
      </w:pPr>
    </w:p>
    <w:p>
      <w:pPr>
        <w:jc w:val="center"/>
        <w:rPr>
          <w:rFonts w:ascii="宋体" w:hAnsi="宋体" w:cs="宋体"/>
          <w:sz w:val="52"/>
          <w:szCs w:val="52"/>
          <w:highlight w:val="none"/>
          <w:u w:val="single"/>
        </w:rPr>
      </w:pPr>
      <w:bookmarkStart w:id="207" w:name="_Toc503971829"/>
      <w:bookmarkStart w:id="208" w:name="_Toc514858710"/>
      <w:bookmarkStart w:id="209" w:name="_Toc513646738"/>
      <w:bookmarkStart w:id="210" w:name="_Toc513633967"/>
      <w:bookmarkStart w:id="211" w:name="_Toc503951046"/>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07"/>
      <w:bookmarkEnd w:id="208"/>
      <w:bookmarkEnd w:id="209"/>
      <w:bookmarkEnd w:id="210"/>
      <w:bookmarkEnd w:id="211"/>
      <w:r>
        <w:rPr>
          <w:rFonts w:hint="eastAsia" w:ascii="宋体" w:hAnsi="宋体" w:cs="宋体"/>
          <w:sz w:val="52"/>
          <w:szCs w:val="52"/>
          <w:highlight w:val="none"/>
          <w:u w:val="single"/>
        </w:rPr>
        <w:t xml:space="preserve"> </w:t>
      </w:r>
    </w:p>
    <w:p>
      <w:pPr>
        <w:rPr>
          <w:rFonts w:ascii="宋体" w:hAnsi="宋体" w:cs="宋体"/>
          <w:sz w:val="20"/>
          <w:szCs w:val="20"/>
          <w:highlight w:val="none"/>
        </w:rPr>
      </w:pPr>
    </w:p>
    <w:p>
      <w:pPr>
        <w:jc w:val="center"/>
        <w:rPr>
          <w:rFonts w:ascii="宋体" w:hAnsi="宋体" w:cs="宋体"/>
          <w:sz w:val="44"/>
          <w:szCs w:val="44"/>
          <w:highlight w:val="none"/>
        </w:rPr>
      </w:pPr>
      <w:r>
        <w:rPr>
          <w:rFonts w:hint="eastAsia" w:ascii="宋体" w:hAnsi="宋体" w:cs="宋体"/>
          <w:sz w:val="44"/>
          <w:szCs w:val="44"/>
          <w:highlight w:val="none"/>
        </w:rPr>
        <w:t xml:space="preserve"> </w:t>
      </w: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jc w:val="center"/>
        <w:rPr>
          <w:rFonts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ascii="宋体" w:hAnsi="宋体" w:cs="宋体"/>
          <w:b/>
          <w:sz w:val="32"/>
          <w:szCs w:val="32"/>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rPr>
          <w:rFonts w:ascii="宋体" w:hAnsi="宋体" w:cs="宋体"/>
          <w:sz w:val="28"/>
          <w:szCs w:val="28"/>
          <w:highlight w:val="none"/>
        </w:rPr>
      </w:pPr>
    </w:p>
    <w:p>
      <w:pPr>
        <w:pStyle w:val="28"/>
        <w:rPr>
          <w:highlight w:val="none"/>
        </w:rPr>
      </w:pPr>
    </w:p>
    <w:p>
      <w:pPr>
        <w:rPr>
          <w:highlight w:val="none"/>
        </w:rPr>
      </w:pPr>
    </w:p>
    <w:p>
      <w:pPr>
        <w:pStyle w:val="28"/>
        <w:rPr>
          <w:highlight w:val="none"/>
        </w:rPr>
      </w:pPr>
    </w:p>
    <w:p>
      <w:pPr>
        <w:rPr>
          <w:highlight w:val="none"/>
        </w:rPr>
      </w:pPr>
    </w:p>
    <w:p>
      <w:pPr>
        <w:pStyle w:val="28"/>
        <w:rPr>
          <w:highlight w:val="none"/>
        </w:rPr>
      </w:pPr>
    </w:p>
    <w:p>
      <w:pPr>
        <w:jc w:val="center"/>
        <w:rPr>
          <w:rFonts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pStyle w:val="4"/>
        <w:jc w:val="center"/>
        <w:rPr>
          <w:rFonts w:ascii="宋体" w:hAnsi="宋体" w:eastAsia="宋体" w:cs="宋体"/>
          <w:highlight w:val="none"/>
        </w:rPr>
      </w:pPr>
      <w:bookmarkStart w:id="212" w:name="_Toc1368"/>
      <w:bookmarkStart w:id="213" w:name="_Toc10395"/>
      <w:bookmarkStart w:id="214" w:name="_Toc28780"/>
      <w:bookmarkStart w:id="215" w:name="_Toc11329273"/>
      <w:bookmarkStart w:id="216" w:name="_Toc5459"/>
      <w:r>
        <w:rPr>
          <w:rFonts w:hint="eastAsia" w:ascii="宋体" w:hAnsi="宋体" w:eastAsia="宋体" w:cs="宋体"/>
          <w:highlight w:val="none"/>
        </w:rPr>
        <w:t>目    录</w:t>
      </w:r>
      <w:bookmarkEnd w:id="195"/>
      <w:bookmarkEnd w:id="196"/>
      <w:bookmarkEnd w:id="197"/>
      <w:bookmarkEnd w:id="198"/>
      <w:bookmarkEnd w:id="199"/>
      <w:bookmarkEnd w:id="200"/>
      <w:bookmarkEnd w:id="201"/>
      <w:bookmarkEnd w:id="202"/>
      <w:bookmarkEnd w:id="212"/>
      <w:bookmarkEnd w:id="213"/>
      <w:bookmarkEnd w:id="214"/>
      <w:bookmarkEnd w:id="215"/>
      <w:bookmarkEnd w:id="216"/>
    </w:p>
    <w:p>
      <w:pPr>
        <w:numPr>
          <w:ilvl w:val="0"/>
          <w:numId w:val="7"/>
        </w:numPr>
        <w:spacing w:line="400" w:lineRule="exact"/>
        <w:rPr>
          <w:rFonts w:ascii="宋体" w:hAnsi="宋体" w:cs="宋体"/>
          <w:highlight w:val="none"/>
        </w:rPr>
      </w:pPr>
      <w:r>
        <w:rPr>
          <w:rFonts w:hint="eastAsia" w:ascii="宋体" w:hAnsi="宋体" w:cs="宋体"/>
          <w:highlight w:val="none"/>
        </w:rPr>
        <w:t>竞争性响应声明书</w:t>
      </w:r>
    </w:p>
    <w:p>
      <w:pPr>
        <w:numPr>
          <w:ilvl w:val="0"/>
          <w:numId w:val="7"/>
        </w:numPr>
        <w:spacing w:line="400" w:lineRule="exact"/>
        <w:rPr>
          <w:rFonts w:ascii="宋体" w:hAnsi="宋体" w:cs="宋体"/>
          <w:highlight w:val="none"/>
        </w:rPr>
      </w:pPr>
      <w:r>
        <w:rPr>
          <w:rFonts w:ascii="宋体" w:hAnsi="宋体" w:cs="宋体"/>
          <w:highlight w:val="none"/>
        </w:rPr>
        <w:t>法定代表人身份证明或法定代表人授权委托书</w:t>
      </w:r>
    </w:p>
    <w:p>
      <w:pPr>
        <w:spacing w:line="400" w:lineRule="exact"/>
        <w:rPr>
          <w:rFonts w:ascii="宋体" w:hAnsi="宋体" w:cs="宋体"/>
          <w:highlight w:val="none"/>
        </w:rPr>
      </w:pPr>
      <w:r>
        <w:rPr>
          <w:rFonts w:hint="eastAsia" w:ascii="宋体" w:hAnsi="宋体" w:cs="宋体"/>
          <w:highlight w:val="none"/>
        </w:rPr>
        <w:t>三、报价一览表</w:t>
      </w:r>
    </w:p>
    <w:p>
      <w:pPr>
        <w:spacing w:line="400" w:lineRule="exact"/>
        <w:rPr>
          <w:rFonts w:ascii="宋体" w:hAnsi="宋体" w:cs="宋体"/>
          <w:highlight w:val="none"/>
        </w:rPr>
      </w:pPr>
      <w:r>
        <w:rPr>
          <w:rFonts w:hint="eastAsia" w:ascii="宋体" w:hAnsi="宋体" w:cs="宋体"/>
          <w:highlight w:val="none"/>
        </w:rPr>
        <w:t>四、资格审查资料</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五、报价人须知前附表规定要求的资料</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 xml:space="preserve">六、报价人基本信息及其他材料 </w:t>
      </w:r>
    </w:p>
    <w:p>
      <w:pPr>
        <w:spacing w:line="400" w:lineRule="exact"/>
        <w:rPr>
          <w:rFonts w:hint="eastAsia" w:ascii="宋体" w:hAnsi="宋体" w:eastAsia="宋体" w:cs="宋体"/>
          <w:szCs w:val="21"/>
          <w:highlight w:val="none"/>
        </w:rPr>
      </w:pPr>
      <w:r>
        <w:rPr>
          <w:rFonts w:hint="eastAsia" w:ascii="宋体" w:hAnsi="宋体" w:eastAsia="宋体" w:cs="宋体"/>
          <w:szCs w:val="21"/>
          <w:highlight w:val="none"/>
        </w:rPr>
        <w:t>七、现场安全负责人承诺书</w:t>
      </w:r>
    </w:p>
    <w:p>
      <w:pPr>
        <w:pStyle w:val="2"/>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p>
    <w:p>
      <w:pPr>
        <w:spacing w:line="400" w:lineRule="exact"/>
        <w:rPr>
          <w:rFonts w:ascii="宋体" w:hAnsi="宋体" w:cs="宋体"/>
          <w:highlight w:val="none"/>
        </w:rPr>
      </w:pPr>
      <w:r>
        <w:rPr>
          <w:rFonts w:ascii="宋体" w:hAnsi="宋体" w:cs="宋体"/>
          <w:highlight w:val="none"/>
        </w:rPr>
        <w:br w:type="page"/>
      </w:r>
    </w:p>
    <w:p>
      <w:pPr>
        <w:pStyle w:val="4"/>
        <w:spacing w:before="0" w:after="0" w:line="360" w:lineRule="auto"/>
        <w:jc w:val="center"/>
        <w:rPr>
          <w:rFonts w:ascii="宋体" w:hAnsi="宋体" w:eastAsia="宋体" w:cs="宋体"/>
          <w:sz w:val="28"/>
          <w:highlight w:val="none"/>
        </w:rPr>
      </w:pPr>
      <w:bookmarkStart w:id="217" w:name="_Toc8870"/>
      <w:bookmarkStart w:id="218" w:name="_Toc11329274"/>
      <w:bookmarkStart w:id="219" w:name="_Toc29547"/>
      <w:bookmarkStart w:id="220" w:name="_Toc25874"/>
      <w:bookmarkStart w:id="221" w:name="_Toc15863"/>
      <w:bookmarkStart w:id="222" w:name="_Toc26417"/>
      <w:bookmarkStart w:id="223" w:name="_Toc503951048"/>
      <w:bookmarkStart w:id="224" w:name="_Toc513633969"/>
      <w:bookmarkStart w:id="225" w:name="_Toc447827053"/>
      <w:r>
        <w:rPr>
          <w:rFonts w:hint="eastAsia" w:ascii="宋体" w:hAnsi="宋体" w:eastAsia="宋体" w:cs="宋体"/>
          <w:sz w:val="28"/>
          <w:highlight w:val="none"/>
        </w:rPr>
        <w:t>一、</w:t>
      </w:r>
      <w:bookmarkEnd w:id="217"/>
      <w:bookmarkEnd w:id="218"/>
      <w:r>
        <w:rPr>
          <w:rFonts w:hint="eastAsia" w:ascii="宋体" w:hAnsi="宋体" w:eastAsia="宋体" w:cs="宋体"/>
          <w:sz w:val="28"/>
          <w:highlight w:val="none"/>
        </w:rPr>
        <w:t>竞争比选响应声明书</w:t>
      </w:r>
      <w:bookmarkEnd w:id="219"/>
      <w:bookmarkEnd w:id="220"/>
      <w:bookmarkEnd w:id="221"/>
      <w:bookmarkEnd w:id="222"/>
    </w:p>
    <w:p>
      <w:pPr>
        <w:tabs>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rPr>
        <w:t>重庆首讯科技股份有限公司</w:t>
      </w:r>
    </w:p>
    <w:p>
      <w:pPr>
        <w:spacing w:line="700" w:lineRule="atLeast"/>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根据贵</w:t>
      </w:r>
      <w:r>
        <w:rPr>
          <w:rFonts w:hint="eastAsia" w:ascii="宋体" w:hAnsi="宋体" w:eastAsia="宋体" w:cs="宋体"/>
          <w:sz w:val="21"/>
          <w:szCs w:val="21"/>
          <w:highlight w:val="none"/>
        </w:rPr>
        <w:t>方为</w:t>
      </w:r>
      <w:r>
        <w:rPr>
          <w:rFonts w:hint="eastAsia" w:ascii="宋体" w:hAnsi="宋体" w:cs="宋体"/>
          <w:sz w:val="21"/>
          <w:szCs w:val="21"/>
          <w:highlight w:val="none"/>
          <w:u w:val="single"/>
          <w:lang w:val="en-US" w:eastAsia="zh-CN"/>
        </w:rPr>
        <w:t>四公里办公大楼外墙综合整治、室内基装整改项目</w:t>
      </w:r>
      <w:r>
        <w:rPr>
          <w:rFonts w:hint="eastAsia" w:ascii="宋体" w:hAnsi="宋体" w:eastAsia="宋体" w:cs="宋体"/>
          <w:sz w:val="21"/>
          <w:szCs w:val="21"/>
          <w:highlight w:val="none"/>
        </w:rPr>
        <w:t>竞争比选项目及服</w:t>
      </w:r>
      <w:r>
        <w:rPr>
          <w:rFonts w:hint="eastAsia" w:ascii="宋体" w:hAnsi="宋体" w:eastAsia="宋体" w:cs="宋体"/>
          <w:color w:val="000000"/>
          <w:sz w:val="21"/>
          <w:szCs w:val="21"/>
          <w:highlight w:val="none"/>
        </w:rPr>
        <w:t>务的竞争比选邀请，签字代表</w:t>
      </w:r>
      <w:r>
        <w:rPr>
          <w:rFonts w:hint="eastAsia" w:ascii="宋体" w:hAnsi="宋体" w:eastAsia="宋体" w:cs="宋体"/>
          <w:color w:val="000000"/>
          <w:sz w:val="21"/>
          <w:szCs w:val="21"/>
          <w:highlight w:val="none"/>
          <w:u w:val="single"/>
        </w:rPr>
        <w:t xml:space="preserve">          （全名、职务）</w:t>
      </w:r>
      <w:r>
        <w:rPr>
          <w:rFonts w:hint="eastAsia" w:ascii="宋体" w:hAnsi="宋体" w:eastAsia="宋体" w:cs="宋体"/>
          <w:color w:val="000000"/>
          <w:sz w:val="21"/>
          <w:szCs w:val="21"/>
          <w:highlight w:val="none"/>
        </w:rPr>
        <w:t>经正式授权并代表竞争比选响应单位</w:t>
      </w:r>
      <w:r>
        <w:rPr>
          <w:rFonts w:hint="eastAsia" w:ascii="宋体" w:hAnsi="宋体" w:eastAsia="宋体" w:cs="宋体"/>
          <w:color w:val="000000"/>
          <w:sz w:val="21"/>
          <w:szCs w:val="21"/>
          <w:highlight w:val="none"/>
          <w:u w:val="single"/>
        </w:rPr>
        <w:t xml:space="preserve">（竞争比选响应单位名称） </w:t>
      </w:r>
      <w:r>
        <w:rPr>
          <w:rFonts w:hint="eastAsia" w:ascii="宋体" w:hAnsi="宋体" w:eastAsia="宋体" w:cs="宋体"/>
          <w:color w:val="000000"/>
          <w:sz w:val="21"/>
          <w:szCs w:val="21"/>
          <w:highlight w:val="none"/>
        </w:rPr>
        <w:t>提交报价文件。</w:t>
      </w:r>
    </w:p>
    <w:p>
      <w:pPr>
        <w:spacing w:line="700" w:lineRule="atLeast"/>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u w:val="single"/>
        </w:rPr>
        <w:t>我方愿以人民币：              元（大写              元）的报价总价按照竞争比选文件的要求，承担本次竞争比选文件要求的</w:t>
      </w:r>
      <w:r>
        <w:rPr>
          <w:rFonts w:hint="eastAsia" w:ascii="宋体" w:hAnsi="宋体" w:cs="宋体"/>
          <w:color w:val="000000"/>
          <w:sz w:val="21"/>
          <w:szCs w:val="21"/>
          <w:highlight w:val="none"/>
          <w:u w:val="single"/>
          <w:lang w:val="en-US" w:eastAsia="zh-CN"/>
        </w:rPr>
        <w:t>项目</w:t>
      </w:r>
      <w:r>
        <w:rPr>
          <w:rFonts w:hint="eastAsia" w:ascii="宋体" w:hAnsi="宋体" w:eastAsia="宋体" w:cs="宋体"/>
          <w:color w:val="000000"/>
          <w:sz w:val="21"/>
          <w:szCs w:val="21"/>
          <w:highlight w:val="none"/>
          <w:u w:val="single"/>
        </w:rPr>
        <w:t>。</w:t>
      </w:r>
    </w:p>
    <w:p>
      <w:pPr>
        <w:tabs>
          <w:tab w:val="left" w:pos="540"/>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w:t>
      </w:r>
    </w:p>
    <w:p>
      <w:pPr>
        <w:tabs>
          <w:tab w:val="left" w:pos="540"/>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据此函，签字代表宣布同意如下：</w:t>
      </w:r>
    </w:p>
    <w:p>
      <w:pPr>
        <w:tabs>
          <w:tab w:val="left" w:pos="540"/>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1、竞争比选响应单位将按竞争比选文件规定履行合同责任和义务。</w:t>
      </w:r>
    </w:p>
    <w:p>
      <w:pPr>
        <w:tabs>
          <w:tab w:val="left" w:pos="900"/>
        </w:tabs>
        <w:spacing w:line="30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2、竞争比选响应单位已详细审查全部竞争比选文件，包括修改文件（如有的话）以及全部参考资料和相关附件。我们完全理解并同意放弃对这方面有不明及误解的权利。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4、与本竞争比选响应有关的一切正式往来通讯请寄：</w:t>
      </w:r>
    </w:p>
    <w:p>
      <w:pPr>
        <w:tabs>
          <w:tab w:val="left" w:pos="900"/>
        </w:tabs>
        <w:spacing w:line="300" w:lineRule="auto"/>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地址：</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邮编：</w:t>
      </w:r>
      <w:r>
        <w:rPr>
          <w:rFonts w:hint="eastAsia" w:ascii="宋体" w:hAnsi="宋体" w:eastAsia="宋体" w:cs="宋体"/>
          <w:color w:val="000000"/>
          <w:sz w:val="21"/>
          <w:szCs w:val="21"/>
          <w:highlight w:val="none"/>
          <w:u w:val="single"/>
        </w:rPr>
        <w:t xml:space="preserve">            </w:t>
      </w:r>
      <w:r>
        <w:rPr>
          <w:rFonts w:hint="eastAsia" w:ascii="宋体" w:hAnsi="宋体" w:eastAsia="宋体" w:cs="宋体"/>
          <w:b/>
          <w:color w:val="000000"/>
          <w:sz w:val="21"/>
          <w:szCs w:val="21"/>
          <w:highlight w:val="none"/>
        </w:rPr>
        <w:t xml:space="preserve">  </w:t>
      </w:r>
    </w:p>
    <w:p>
      <w:pPr>
        <w:tabs>
          <w:tab w:val="left" w:pos="900"/>
        </w:tabs>
        <w:spacing w:line="300" w:lineRule="auto"/>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电话：</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         传真：</w:t>
      </w:r>
      <w:r>
        <w:rPr>
          <w:rFonts w:hint="eastAsia" w:ascii="宋体" w:hAnsi="宋体" w:eastAsia="宋体" w:cs="宋体"/>
          <w:color w:val="000000"/>
          <w:sz w:val="21"/>
          <w:szCs w:val="21"/>
          <w:highlight w:val="none"/>
          <w:u w:val="single"/>
        </w:rPr>
        <w:t xml:space="preserve">            </w:t>
      </w:r>
    </w:p>
    <w:p>
      <w:pPr>
        <w:tabs>
          <w:tab w:val="left" w:pos="900"/>
        </w:tabs>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竞争比选响应单位法定代表人或授权代表人（签字）：</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tabs>
          <w:tab w:val="left" w:pos="900"/>
        </w:tabs>
        <w:spacing w:line="30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竞争比选响应单位法定代表人或授权代表人职务：</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 xml:space="preserve">               </w:t>
      </w:r>
    </w:p>
    <w:p>
      <w:pPr>
        <w:tabs>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竞争比选响应单位名称（加盖公章）：</w:t>
      </w:r>
      <w:r>
        <w:rPr>
          <w:rFonts w:hint="eastAsia" w:ascii="宋体" w:hAnsi="宋体" w:eastAsia="宋体" w:cs="宋体"/>
          <w:sz w:val="21"/>
          <w:szCs w:val="21"/>
          <w:highlight w:val="none"/>
          <w:u w:val="single"/>
        </w:rPr>
        <w:t xml:space="preserve">               </w:t>
      </w:r>
      <w:r>
        <w:rPr>
          <w:rFonts w:hint="eastAsia" w:ascii="宋体" w:hAnsi="宋体" w:eastAsia="宋体" w:cs="宋体"/>
          <w:color w:val="000000"/>
          <w:sz w:val="21"/>
          <w:szCs w:val="21"/>
          <w:highlight w:val="none"/>
          <w:u w:val="single"/>
        </w:rPr>
        <w:t xml:space="preserve">                  </w:t>
      </w:r>
    </w:p>
    <w:p>
      <w:pPr>
        <w:tabs>
          <w:tab w:val="left" w:pos="900"/>
        </w:tabs>
        <w:spacing w:line="300" w:lineRule="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年</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月</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rPr>
        <w:t xml:space="preserve">日 </w:t>
      </w:r>
    </w:p>
    <w:p>
      <w:pPr>
        <w:outlineLvl w:val="0"/>
        <w:rPr>
          <w:b/>
          <w:sz w:val="24"/>
          <w:highlight w:val="none"/>
        </w:rPr>
      </w:pPr>
    </w:p>
    <w:p>
      <w:pPr>
        <w:outlineLvl w:val="0"/>
        <w:rPr>
          <w:b/>
          <w:sz w:val="24"/>
          <w:highlight w:val="none"/>
        </w:rPr>
      </w:pPr>
    </w:p>
    <w:p>
      <w:pPr>
        <w:pStyle w:val="28"/>
        <w:rPr>
          <w:highlight w:val="none"/>
        </w:rPr>
      </w:pPr>
    </w:p>
    <w:p>
      <w:pPr>
        <w:outlineLvl w:val="0"/>
        <w:rPr>
          <w:b/>
          <w:sz w:val="24"/>
          <w:highlight w:val="none"/>
        </w:rPr>
      </w:pPr>
    </w:p>
    <w:p>
      <w:pPr>
        <w:pStyle w:val="4"/>
        <w:jc w:val="center"/>
        <w:rPr>
          <w:rFonts w:ascii="宋体" w:hAnsi="宋体" w:eastAsia="宋体" w:cs="宋体"/>
          <w:sz w:val="28"/>
          <w:szCs w:val="28"/>
          <w:highlight w:val="none"/>
        </w:rPr>
      </w:pPr>
      <w:bookmarkStart w:id="226" w:name="_Toc27815"/>
      <w:bookmarkStart w:id="227" w:name="_Toc26697"/>
      <w:bookmarkStart w:id="228" w:name="_Toc491883232"/>
      <w:r>
        <w:rPr>
          <w:rFonts w:hint="eastAsia" w:ascii="宋体" w:hAnsi="宋体" w:eastAsia="宋体" w:cs="宋体"/>
          <w:sz w:val="28"/>
          <w:szCs w:val="28"/>
          <w:highlight w:val="none"/>
        </w:rPr>
        <w:t>二、法定代表人身份证明或法定代表人授权委托书</w:t>
      </w:r>
      <w:bookmarkEnd w:id="226"/>
      <w:bookmarkEnd w:id="227"/>
    </w:p>
    <w:p>
      <w:pPr>
        <w:pStyle w:val="4"/>
        <w:jc w:val="center"/>
        <w:rPr>
          <w:rFonts w:ascii="宋体" w:hAnsi="宋体" w:eastAsia="宋体" w:cs="宋体"/>
          <w:sz w:val="24"/>
          <w:szCs w:val="24"/>
          <w:highlight w:val="none"/>
        </w:rPr>
      </w:pPr>
      <w:bookmarkStart w:id="229" w:name="_Toc4391"/>
      <w:bookmarkStart w:id="230" w:name="_Toc14141"/>
      <w:r>
        <w:rPr>
          <w:rFonts w:hint="eastAsia" w:ascii="宋体" w:hAnsi="宋体" w:eastAsia="宋体" w:cs="宋体"/>
          <w:sz w:val="24"/>
          <w:szCs w:val="24"/>
          <w:highlight w:val="none"/>
        </w:rPr>
        <w:t>（一）法定代表人身份证明</w:t>
      </w:r>
      <w:bookmarkEnd w:id="228"/>
      <w:bookmarkEnd w:id="229"/>
      <w:bookmarkEnd w:id="230"/>
    </w:p>
    <w:p>
      <w:pPr>
        <w:spacing w:line="440" w:lineRule="exact"/>
        <w:rPr>
          <w:rFonts w:ascii="宋体" w:hAnsi="宋体"/>
          <w:sz w:val="21"/>
          <w:szCs w:val="21"/>
          <w:highlight w:val="none"/>
        </w:rPr>
      </w:pPr>
      <w:r>
        <w:rPr>
          <w:rFonts w:hint="eastAsia" w:ascii="宋体" w:hAnsi="宋体"/>
          <w:sz w:val="21"/>
          <w:szCs w:val="21"/>
          <w:highlight w:val="none"/>
        </w:rPr>
        <w:t>报价人</w:t>
      </w:r>
      <w:r>
        <w:rPr>
          <w:rFonts w:ascii="宋体" w:hAnsi="宋体"/>
          <w:sz w:val="21"/>
          <w:szCs w:val="21"/>
          <w:highlight w:val="none"/>
        </w:rPr>
        <w:t>名称：</w:t>
      </w:r>
      <w:r>
        <w:rPr>
          <w:rFonts w:ascii="宋体" w:hAnsi="宋体"/>
          <w:sz w:val="21"/>
          <w:szCs w:val="21"/>
          <w:highlight w:val="none"/>
          <w:u w:val="single"/>
        </w:rPr>
        <w:t xml:space="preserve">                        </w:t>
      </w:r>
    </w:p>
    <w:p>
      <w:pPr>
        <w:spacing w:line="440" w:lineRule="exact"/>
        <w:rPr>
          <w:rFonts w:ascii="宋体" w:hAnsi="宋体"/>
          <w:sz w:val="21"/>
          <w:szCs w:val="21"/>
          <w:highlight w:val="none"/>
        </w:rPr>
      </w:pPr>
      <w:r>
        <w:rPr>
          <w:rFonts w:ascii="宋体" w:hAnsi="宋体"/>
          <w:sz w:val="21"/>
          <w:szCs w:val="21"/>
          <w:highlight w:val="none"/>
        </w:rPr>
        <w:t>姓名：</w:t>
      </w:r>
      <w:r>
        <w:rPr>
          <w:rFonts w:ascii="宋体" w:hAnsi="宋体"/>
          <w:sz w:val="21"/>
          <w:szCs w:val="21"/>
          <w:highlight w:val="none"/>
          <w:u w:val="single"/>
        </w:rPr>
        <w:t xml:space="preserve">                </w:t>
      </w:r>
      <w:r>
        <w:rPr>
          <w:rFonts w:ascii="宋体" w:hAnsi="宋体"/>
          <w:sz w:val="21"/>
          <w:szCs w:val="21"/>
          <w:highlight w:val="none"/>
        </w:rPr>
        <w:t>性别：</w:t>
      </w:r>
      <w:bookmarkStart w:id="231" w:name="_Toc369531698"/>
      <w:bookmarkStart w:id="232" w:name="_Toc27897"/>
      <w:bookmarkStart w:id="233" w:name="_Toc352691662"/>
      <w:r>
        <w:rPr>
          <w:rFonts w:ascii="宋体" w:hAnsi="宋体"/>
          <w:sz w:val="21"/>
          <w:szCs w:val="21"/>
          <w:highlight w:val="none"/>
          <w:u w:val="single"/>
        </w:rPr>
        <w:t xml:space="preserve">        </w:t>
      </w:r>
      <w:r>
        <w:rPr>
          <w:rFonts w:ascii="宋体" w:hAnsi="宋体"/>
          <w:sz w:val="21"/>
          <w:szCs w:val="21"/>
          <w:highlight w:val="none"/>
        </w:rPr>
        <w:t>年</w:t>
      </w:r>
      <w:bookmarkEnd w:id="231"/>
      <w:bookmarkEnd w:id="232"/>
      <w:bookmarkEnd w:id="233"/>
      <w:r>
        <w:rPr>
          <w:rFonts w:ascii="宋体" w:hAnsi="宋体"/>
          <w:sz w:val="21"/>
          <w:szCs w:val="21"/>
          <w:highlight w:val="none"/>
        </w:rPr>
        <w:t>龄</w:t>
      </w:r>
      <w:bookmarkStart w:id="234" w:name="_Toc247514248"/>
      <w:bookmarkStart w:id="235" w:name="_Toc15573"/>
      <w:bookmarkStart w:id="236" w:name="_Toc300835211"/>
      <w:bookmarkStart w:id="237" w:name="_Toc361508754"/>
      <w:bookmarkStart w:id="238" w:name="_Toc152042578"/>
      <w:bookmarkStart w:id="239" w:name="_Toc247527829"/>
      <w:bookmarkStart w:id="240" w:name="_Toc369531699"/>
      <w:bookmarkStart w:id="241" w:name="_Toc152045789"/>
      <w:bookmarkStart w:id="242" w:name="_Toc144974858"/>
      <w:bookmarkStart w:id="243" w:name="_Toc352691663"/>
      <w:bookmarkStart w:id="244" w:name="_Toc384308377"/>
      <w:r>
        <w:rPr>
          <w:rFonts w:ascii="宋体" w:hAnsi="宋体"/>
          <w:sz w:val="21"/>
          <w:szCs w:val="21"/>
          <w:highlight w:val="none"/>
        </w:rPr>
        <w:t>：</w:t>
      </w:r>
      <w:bookmarkEnd w:id="234"/>
      <w:bookmarkEnd w:id="235"/>
      <w:bookmarkEnd w:id="236"/>
      <w:bookmarkEnd w:id="237"/>
      <w:bookmarkEnd w:id="238"/>
      <w:bookmarkEnd w:id="239"/>
      <w:bookmarkEnd w:id="240"/>
      <w:bookmarkEnd w:id="241"/>
      <w:bookmarkEnd w:id="242"/>
      <w:bookmarkEnd w:id="243"/>
      <w:bookmarkEnd w:id="244"/>
      <w:r>
        <w:rPr>
          <w:rFonts w:ascii="宋体" w:hAnsi="宋体"/>
          <w:sz w:val="21"/>
          <w:szCs w:val="21"/>
          <w:highlight w:val="none"/>
          <w:u w:val="single"/>
        </w:rPr>
        <w:t xml:space="preserve">        </w:t>
      </w:r>
      <w:r>
        <w:rPr>
          <w:rFonts w:ascii="宋体" w:hAnsi="宋体"/>
          <w:sz w:val="21"/>
          <w:szCs w:val="21"/>
          <w:highlight w:val="none"/>
        </w:rPr>
        <w:t>职务：</w:t>
      </w:r>
      <w:r>
        <w:rPr>
          <w:rFonts w:ascii="宋体" w:hAnsi="宋体"/>
          <w:sz w:val="21"/>
          <w:szCs w:val="21"/>
          <w:highlight w:val="none"/>
          <w:u w:val="single"/>
        </w:rPr>
        <w:t xml:space="preserve">        </w:t>
      </w:r>
    </w:p>
    <w:p>
      <w:pPr>
        <w:spacing w:line="440" w:lineRule="exact"/>
        <w:rPr>
          <w:rFonts w:ascii="宋体" w:hAnsi="宋体"/>
          <w:sz w:val="21"/>
          <w:szCs w:val="21"/>
          <w:highlight w:val="none"/>
        </w:rPr>
      </w:pPr>
      <w:r>
        <w:rPr>
          <w:rFonts w:ascii="宋体" w:hAnsi="宋体"/>
          <w:sz w:val="21"/>
          <w:szCs w:val="21"/>
          <w:highlight w:val="none"/>
        </w:rPr>
        <w:t>系</w:t>
      </w:r>
      <w:r>
        <w:rPr>
          <w:rFonts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报价人</w:t>
      </w:r>
      <w:r>
        <w:rPr>
          <w:rFonts w:ascii="宋体" w:hAnsi="宋体"/>
          <w:sz w:val="21"/>
          <w:szCs w:val="21"/>
          <w:highlight w:val="none"/>
        </w:rPr>
        <w:t>名称）的法定代表人。</w:t>
      </w:r>
    </w:p>
    <w:p>
      <w:pPr>
        <w:spacing w:line="440" w:lineRule="exact"/>
        <w:ind w:firstLine="420" w:firstLineChars="200"/>
        <w:rPr>
          <w:rFonts w:ascii="宋体" w:hAnsi="宋体"/>
          <w:sz w:val="21"/>
          <w:szCs w:val="21"/>
          <w:highlight w:val="none"/>
        </w:rPr>
      </w:pPr>
      <w:r>
        <w:rPr>
          <w:rFonts w:ascii="宋体" w:hAnsi="宋体"/>
          <w:sz w:val="21"/>
          <w:szCs w:val="21"/>
          <w:highlight w:val="none"/>
        </w:rPr>
        <w:t>特此证明。</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附：法定代表人身份证复印件</w:t>
      </w:r>
      <w:r>
        <w:rPr>
          <w:rFonts w:hint="eastAsia" w:ascii="宋体" w:hAnsi="宋体"/>
          <w:sz w:val="21"/>
          <w:szCs w:val="21"/>
          <w:highlight w:val="none"/>
        </w:rPr>
        <w:t>（正、反面）</w:t>
      </w:r>
      <w:r>
        <w:rPr>
          <w:rFonts w:ascii="宋体" w:hAnsi="宋体"/>
          <w:sz w:val="21"/>
          <w:szCs w:val="21"/>
          <w:highlight w:val="none"/>
        </w:rPr>
        <w:t>。</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jc w:val="center"/>
        <w:rPr>
          <w:rFonts w:ascii="宋体" w:hAnsi="宋体"/>
          <w:sz w:val="21"/>
          <w:szCs w:val="21"/>
          <w:highlight w:val="none"/>
        </w:rPr>
      </w:pPr>
      <w:r>
        <w:rPr>
          <w:rFonts w:ascii="宋体" w:hAnsi="宋体"/>
          <w:sz w:val="21"/>
          <w:szCs w:val="21"/>
          <w:highlight w:val="none"/>
        </w:rPr>
        <w:t xml:space="preserve">                              </w:t>
      </w:r>
      <w:r>
        <w:rPr>
          <w:rFonts w:hint="eastAsia" w:ascii="宋体" w:hAnsi="宋体"/>
          <w:sz w:val="21"/>
          <w:szCs w:val="21"/>
          <w:highlight w:val="none"/>
        </w:rPr>
        <w:t>报价人</w:t>
      </w:r>
      <w:r>
        <w:rPr>
          <w:rFonts w:ascii="宋体" w:hAnsi="宋体"/>
          <w:sz w:val="21"/>
          <w:szCs w:val="21"/>
          <w:highlight w:val="none"/>
        </w:rPr>
        <w:t>：</w:t>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w:t>
      </w:r>
      <w:r>
        <w:rPr>
          <w:rFonts w:hint="eastAsia" w:ascii="宋体" w:hAnsi="宋体"/>
          <w:sz w:val="21"/>
          <w:szCs w:val="21"/>
          <w:highlight w:val="none"/>
        </w:rPr>
        <w:t>盖</w:t>
      </w:r>
      <w:r>
        <w:rPr>
          <w:rFonts w:ascii="宋体" w:hAnsi="宋体"/>
          <w:sz w:val="21"/>
          <w:szCs w:val="21"/>
          <w:highlight w:val="none"/>
        </w:rPr>
        <w:t>单位</w:t>
      </w:r>
      <w:r>
        <w:rPr>
          <w:rFonts w:hint="eastAsia" w:ascii="宋体" w:hAnsi="宋体"/>
          <w:sz w:val="21"/>
          <w:szCs w:val="21"/>
          <w:highlight w:val="none"/>
        </w:rPr>
        <w:t>公章</w:t>
      </w:r>
      <w:r>
        <w:rPr>
          <w:rFonts w:ascii="宋体" w:hAnsi="宋体"/>
          <w:sz w:val="21"/>
          <w:szCs w:val="21"/>
          <w:highlight w:val="none"/>
        </w:rPr>
        <w:t>）</w:t>
      </w:r>
    </w:p>
    <w:p>
      <w:pPr>
        <w:spacing w:line="440" w:lineRule="exact"/>
        <w:rPr>
          <w:rFonts w:ascii="宋体" w:hAnsi="宋体"/>
          <w:sz w:val="21"/>
          <w:szCs w:val="21"/>
          <w:highlight w:val="none"/>
        </w:rPr>
      </w:pPr>
    </w:p>
    <w:p>
      <w:pPr>
        <w:spacing w:line="440" w:lineRule="exact"/>
        <w:ind w:firstLine="4620" w:firstLineChars="2200"/>
        <w:rPr>
          <w:rFonts w:ascii="宋体" w:hAnsi="宋体"/>
          <w:sz w:val="21"/>
          <w:szCs w:val="21"/>
          <w:highlight w:val="none"/>
        </w:rPr>
      </w:pP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p>
    <w:p>
      <w:pPr>
        <w:rPr>
          <w:rFonts w:ascii="宋体" w:hAnsi="宋体"/>
          <w:sz w:val="21"/>
          <w:szCs w:val="21"/>
          <w:highlight w:val="none"/>
        </w:rPr>
      </w:pPr>
    </w:p>
    <w:p>
      <w:pPr>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注：本身份证明需由</w:t>
      </w:r>
      <w:r>
        <w:rPr>
          <w:rFonts w:hint="eastAsia" w:ascii="宋体" w:hAnsi="宋体"/>
          <w:sz w:val="21"/>
          <w:szCs w:val="21"/>
          <w:highlight w:val="none"/>
        </w:rPr>
        <w:t>报价人</w:t>
      </w:r>
      <w:r>
        <w:rPr>
          <w:rFonts w:ascii="宋体" w:hAnsi="宋体"/>
          <w:sz w:val="21"/>
          <w:szCs w:val="21"/>
          <w:highlight w:val="none"/>
        </w:rPr>
        <w:t>加盖单位</w:t>
      </w:r>
      <w:r>
        <w:rPr>
          <w:rFonts w:hint="eastAsia" w:ascii="宋体" w:hAnsi="宋体"/>
          <w:sz w:val="21"/>
          <w:szCs w:val="21"/>
          <w:highlight w:val="none"/>
        </w:rPr>
        <w:t>公章</w:t>
      </w:r>
      <w:r>
        <w:rPr>
          <w:rFonts w:ascii="宋体" w:hAnsi="宋体"/>
          <w:sz w:val="21"/>
          <w:szCs w:val="21"/>
          <w:highlight w:val="none"/>
        </w:rPr>
        <w:t>。</w:t>
      </w:r>
    </w:p>
    <w:p>
      <w:pPr>
        <w:spacing w:line="440" w:lineRule="exact"/>
        <w:rPr>
          <w:rFonts w:ascii="宋体" w:hAnsi="宋体"/>
          <w:sz w:val="21"/>
          <w:szCs w:val="21"/>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5" w:name="_Toc491883233"/>
      <w:bookmarkStart w:id="246" w:name="_Toc58"/>
      <w:bookmarkStart w:id="247" w:name="_Toc10767"/>
      <w:r>
        <w:rPr>
          <w:rFonts w:hint="eastAsia" w:ascii="宋体" w:hAnsi="宋体" w:eastAsia="宋体" w:cs="宋体"/>
          <w:sz w:val="24"/>
          <w:szCs w:val="24"/>
          <w:highlight w:val="none"/>
        </w:rPr>
        <w:t>（二）</w:t>
      </w:r>
      <w:bookmarkEnd w:id="245"/>
      <w:r>
        <w:rPr>
          <w:rFonts w:hint="eastAsia" w:ascii="宋体" w:hAnsi="宋体" w:eastAsia="宋体" w:cs="宋体"/>
          <w:sz w:val="24"/>
          <w:szCs w:val="24"/>
          <w:highlight w:val="none"/>
        </w:rPr>
        <w:t>法定代表人授权委托书</w:t>
      </w:r>
      <w:bookmarkEnd w:id="246"/>
      <w:bookmarkEnd w:id="247"/>
    </w:p>
    <w:p>
      <w:pPr>
        <w:topLinePunct/>
        <w:spacing w:line="440" w:lineRule="exact"/>
        <w:ind w:firstLine="420" w:firstLineChars="200"/>
        <w:rPr>
          <w:rFonts w:ascii="宋体" w:hAnsi="宋体"/>
          <w:sz w:val="21"/>
          <w:szCs w:val="21"/>
          <w:highlight w:val="none"/>
        </w:rPr>
      </w:pPr>
      <w:r>
        <w:rPr>
          <w:rFonts w:ascii="宋体" w:hAnsi="宋体"/>
          <w:sz w:val="21"/>
          <w:szCs w:val="21"/>
          <w:highlight w:val="none"/>
        </w:rPr>
        <w:t>本人</w:t>
      </w:r>
      <w:r>
        <w:rPr>
          <w:rFonts w:ascii="宋体" w:hAnsi="宋体"/>
          <w:sz w:val="21"/>
          <w:szCs w:val="21"/>
          <w:highlight w:val="none"/>
          <w:u w:val="single"/>
        </w:rPr>
        <w:t xml:space="preserve">              </w:t>
      </w:r>
      <w:r>
        <w:rPr>
          <w:rFonts w:ascii="宋体" w:hAnsi="宋体"/>
          <w:sz w:val="21"/>
          <w:szCs w:val="21"/>
          <w:highlight w:val="none"/>
        </w:rPr>
        <w:t>（姓名）系</w:t>
      </w:r>
      <w:r>
        <w:rPr>
          <w:rFonts w:ascii="宋体" w:hAnsi="宋体"/>
          <w:sz w:val="21"/>
          <w:szCs w:val="21"/>
          <w:highlight w:val="none"/>
          <w:u w:val="single"/>
        </w:rPr>
        <w:t xml:space="preserve">                    </w:t>
      </w:r>
      <w:r>
        <w:rPr>
          <w:rFonts w:ascii="宋体" w:hAnsi="宋体"/>
          <w:sz w:val="21"/>
          <w:szCs w:val="21"/>
          <w:highlight w:val="none"/>
        </w:rPr>
        <w:t>（</w:t>
      </w:r>
      <w:r>
        <w:rPr>
          <w:rFonts w:hint="eastAsia" w:ascii="宋体" w:hAnsi="宋体"/>
          <w:sz w:val="21"/>
          <w:szCs w:val="21"/>
          <w:highlight w:val="none"/>
        </w:rPr>
        <w:t>报价人</w:t>
      </w:r>
      <w:r>
        <w:rPr>
          <w:rFonts w:ascii="宋体" w:hAnsi="宋体"/>
          <w:sz w:val="21"/>
          <w:szCs w:val="21"/>
          <w:highlight w:val="none"/>
        </w:rPr>
        <w:t>名称）的法定代表人，现委托</w:t>
      </w:r>
      <w:r>
        <w:rPr>
          <w:rFonts w:ascii="宋体" w:hAnsi="宋体"/>
          <w:sz w:val="21"/>
          <w:szCs w:val="21"/>
          <w:highlight w:val="none"/>
          <w:u w:val="single"/>
        </w:rPr>
        <w:t xml:space="preserve">            </w:t>
      </w:r>
      <w:r>
        <w:rPr>
          <w:rFonts w:ascii="宋体" w:hAnsi="宋体"/>
          <w:sz w:val="21"/>
          <w:szCs w:val="21"/>
          <w:highlight w:val="none"/>
        </w:rPr>
        <w:t>（姓名）为我方代理人。代理人根据授权，以我方名义签署、澄清确认、递交、撤回、修改招标项目</w:t>
      </w:r>
      <w:r>
        <w:rPr>
          <w:rFonts w:hint="eastAsia" w:ascii="宋体" w:hAnsi="宋体"/>
          <w:sz w:val="21"/>
          <w:szCs w:val="21"/>
          <w:highlight w:val="none"/>
        </w:rPr>
        <w:t>比选</w:t>
      </w:r>
      <w:r>
        <w:rPr>
          <w:rFonts w:ascii="宋体" w:hAnsi="宋体"/>
          <w:sz w:val="21"/>
          <w:szCs w:val="21"/>
          <w:highlight w:val="none"/>
        </w:rPr>
        <w:t>文件、签订合同和处理有关事宜，其法律后果由我方承担。</w:t>
      </w:r>
    </w:p>
    <w:p>
      <w:pPr>
        <w:spacing w:line="440" w:lineRule="exact"/>
        <w:rPr>
          <w:rFonts w:ascii="宋体" w:hAnsi="宋体"/>
          <w:sz w:val="21"/>
          <w:szCs w:val="21"/>
          <w:highlight w:val="none"/>
        </w:rPr>
      </w:pPr>
      <w:r>
        <w:rPr>
          <w:rFonts w:ascii="宋体" w:hAnsi="宋体"/>
          <w:sz w:val="21"/>
          <w:szCs w:val="21"/>
          <w:highlight w:val="none"/>
        </w:rPr>
        <w:t>委托期限：</w:t>
      </w:r>
      <w:r>
        <w:rPr>
          <w:rFonts w:ascii="宋体" w:hAnsi="宋体"/>
          <w:sz w:val="21"/>
          <w:szCs w:val="21"/>
          <w:highlight w:val="none"/>
          <w:u w:val="single"/>
        </w:rPr>
        <w:t xml:space="preserve">                       </w:t>
      </w:r>
      <w:r>
        <w:rPr>
          <w:rFonts w:ascii="宋体" w:hAnsi="宋体"/>
          <w:sz w:val="21"/>
          <w:szCs w:val="21"/>
          <w:highlight w:val="none"/>
        </w:rPr>
        <w:t>。</w:t>
      </w:r>
    </w:p>
    <w:p>
      <w:pPr>
        <w:spacing w:line="440" w:lineRule="exact"/>
        <w:ind w:firstLine="420" w:firstLineChars="200"/>
        <w:rPr>
          <w:rFonts w:ascii="宋体" w:hAnsi="宋体"/>
          <w:sz w:val="21"/>
          <w:szCs w:val="21"/>
          <w:highlight w:val="none"/>
        </w:rPr>
      </w:pPr>
      <w:r>
        <w:rPr>
          <w:rFonts w:ascii="宋体" w:hAnsi="宋体"/>
          <w:sz w:val="21"/>
          <w:szCs w:val="21"/>
          <w:highlight w:val="none"/>
        </w:rPr>
        <w:t>代理人无转委托权。</w:t>
      </w:r>
    </w:p>
    <w:p>
      <w:pPr>
        <w:spacing w:line="440" w:lineRule="exact"/>
        <w:ind w:firstLine="420" w:firstLineChars="200"/>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附：法定代表人身份证复印件及委托代理人身份证复印件</w:t>
      </w:r>
      <w:r>
        <w:rPr>
          <w:rFonts w:hint="eastAsia" w:ascii="宋体" w:hAnsi="宋体"/>
          <w:sz w:val="21"/>
          <w:szCs w:val="21"/>
          <w:highlight w:val="none"/>
        </w:rPr>
        <w:t>（正、反面）</w:t>
      </w: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rPr>
          <w:rFonts w:ascii="宋体" w:hAnsi="宋体"/>
          <w:sz w:val="21"/>
          <w:szCs w:val="21"/>
          <w:highlight w:val="none"/>
        </w:rPr>
      </w:pPr>
    </w:p>
    <w:p>
      <w:pPr>
        <w:spacing w:line="440" w:lineRule="exact"/>
        <w:ind w:firstLine="2692" w:firstLineChars="1282"/>
        <w:rPr>
          <w:rFonts w:ascii="宋体" w:hAnsi="宋体"/>
          <w:sz w:val="21"/>
          <w:szCs w:val="21"/>
          <w:highlight w:val="none"/>
        </w:rPr>
      </w:pPr>
      <w:r>
        <w:rPr>
          <w:rFonts w:hint="eastAsia" w:ascii="宋体" w:hAnsi="宋体"/>
          <w:sz w:val="21"/>
          <w:szCs w:val="21"/>
          <w:highlight w:val="none"/>
        </w:rPr>
        <w:t>报  价  人</w:t>
      </w:r>
      <w:r>
        <w:rPr>
          <w:rFonts w:ascii="宋体" w:hAnsi="宋体"/>
          <w:sz w:val="21"/>
          <w:szCs w:val="21"/>
          <w:highlight w:val="none"/>
        </w:rPr>
        <w:t>：</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w:t>
      </w:r>
      <w:r>
        <w:rPr>
          <w:rFonts w:hint="eastAsia" w:ascii="宋体" w:hAnsi="宋体"/>
          <w:sz w:val="21"/>
          <w:szCs w:val="21"/>
          <w:highlight w:val="none"/>
        </w:rPr>
        <w:t>盖</w:t>
      </w:r>
      <w:r>
        <w:rPr>
          <w:rFonts w:ascii="宋体" w:hAnsi="宋体"/>
          <w:sz w:val="21"/>
          <w:szCs w:val="21"/>
          <w:highlight w:val="none"/>
        </w:rPr>
        <w:t>单位</w:t>
      </w:r>
      <w:r>
        <w:rPr>
          <w:rFonts w:hint="eastAsia" w:ascii="宋体" w:hAnsi="宋体"/>
          <w:sz w:val="21"/>
          <w:szCs w:val="21"/>
          <w:highlight w:val="none"/>
        </w:rPr>
        <w:t>公章</w:t>
      </w:r>
      <w:r>
        <w:rPr>
          <w:rFonts w:ascii="宋体" w:hAnsi="宋体"/>
          <w:sz w:val="21"/>
          <w:szCs w:val="21"/>
          <w:highlight w:val="none"/>
        </w:rPr>
        <w:t>）</w:t>
      </w:r>
    </w:p>
    <w:p>
      <w:pPr>
        <w:spacing w:line="440" w:lineRule="exact"/>
        <w:ind w:firstLine="2690" w:firstLineChars="1281"/>
        <w:jc w:val="left"/>
        <w:rPr>
          <w:rFonts w:ascii="宋体" w:hAnsi="宋体"/>
          <w:sz w:val="21"/>
          <w:szCs w:val="21"/>
          <w:highlight w:val="none"/>
        </w:rPr>
      </w:pPr>
      <w:r>
        <w:rPr>
          <w:rFonts w:ascii="宋体" w:hAnsi="宋体"/>
          <w:sz w:val="21"/>
          <w:szCs w:val="21"/>
          <w:highlight w:val="none"/>
        </w:rPr>
        <w:t>法定代表人：</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 xml:space="preserve"> </w:t>
      </w:r>
      <w:r>
        <w:rPr>
          <w:rFonts w:hint="eastAsia"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（签字</w:t>
      </w:r>
      <w:r>
        <w:rPr>
          <w:rFonts w:hint="eastAsia" w:ascii="宋体" w:hAnsi="宋体"/>
          <w:sz w:val="21"/>
          <w:szCs w:val="21"/>
          <w:highlight w:val="none"/>
        </w:rPr>
        <w:t xml:space="preserve"> </w:t>
      </w:r>
      <w:r>
        <w:rPr>
          <w:rFonts w:ascii="宋体" w:hAnsi="宋体"/>
          <w:sz w:val="21"/>
          <w:szCs w:val="21"/>
          <w:highlight w:val="none"/>
        </w:rPr>
        <w:t>）</w:t>
      </w:r>
    </w:p>
    <w:p>
      <w:pPr>
        <w:spacing w:line="440" w:lineRule="exact"/>
        <w:ind w:firstLine="2692" w:firstLineChars="1282"/>
        <w:rPr>
          <w:rFonts w:ascii="宋体" w:hAnsi="宋体"/>
          <w:sz w:val="21"/>
          <w:szCs w:val="21"/>
          <w:highlight w:val="none"/>
        </w:rPr>
      </w:pPr>
      <w:r>
        <w:rPr>
          <w:rFonts w:ascii="宋体" w:hAnsi="宋体"/>
          <w:sz w:val="21"/>
          <w:szCs w:val="21"/>
          <w:highlight w:val="none"/>
        </w:rPr>
        <w:t>身份证号码：</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p>
    <w:p>
      <w:pPr>
        <w:spacing w:line="440" w:lineRule="exact"/>
        <w:ind w:firstLine="2692" w:firstLineChars="1282"/>
        <w:rPr>
          <w:rFonts w:ascii="宋体" w:hAnsi="宋体"/>
          <w:sz w:val="21"/>
          <w:szCs w:val="21"/>
          <w:highlight w:val="none"/>
        </w:rPr>
      </w:pPr>
      <w:r>
        <w:rPr>
          <w:rFonts w:ascii="宋体" w:hAnsi="宋体"/>
          <w:sz w:val="21"/>
          <w:szCs w:val="21"/>
          <w:highlight w:val="none"/>
        </w:rPr>
        <w:t>委托代理人：</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r>
        <w:rPr>
          <w:rFonts w:ascii="宋体" w:hAnsi="宋体"/>
          <w:sz w:val="21"/>
          <w:szCs w:val="21"/>
          <w:highlight w:val="none"/>
        </w:rPr>
        <w:t>（签字）</w:t>
      </w:r>
    </w:p>
    <w:p>
      <w:pPr>
        <w:spacing w:line="440" w:lineRule="exact"/>
        <w:ind w:firstLine="2692" w:firstLineChars="1282"/>
        <w:rPr>
          <w:rFonts w:ascii="宋体" w:hAnsi="宋体"/>
          <w:sz w:val="21"/>
          <w:szCs w:val="21"/>
          <w:highlight w:val="none"/>
        </w:rPr>
      </w:pPr>
      <w:r>
        <w:rPr>
          <w:rFonts w:ascii="宋体" w:hAnsi="宋体"/>
          <w:sz w:val="21"/>
          <w:szCs w:val="21"/>
          <w:highlight w:val="none"/>
        </w:rPr>
        <w:t>身份证号码：</w:t>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ab/>
      </w:r>
      <w:r>
        <w:rPr>
          <w:rFonts w:ascii="宋体" w:hAnsi="宋体"/>
          <w:sz w:val="21"/>
          <w:szCs w:val="21"/>
          <w:highlight w:val="none"/>
          <w:u w:val="single"/>
        </w:rPr>
        <w:t xml:space="preserve">                            </w:t>
      </w:r>
      <w:r>
        <w:rPr>
          <w:rFonts w:ascii="宋体" w:hAnsi="宋体"/>
          <w:sz w:val="21"/>
          <w:szCs w:val="21"/>
          <w:highlight w:val="none"/>
          <w:u w:val="single"/>
        </w:rPr>
        <w:tab/>
      </w:r>
    </w:p>
    <w:p>
      <w:pPr>
        <w:spacing w:line="440" w:lineRule="exact"/>
        <w:ind w:firstLine="2692" w:firstLineChars="1282"/>
        <w:rPr>
          <w:rFonts w:ascii="宋体" w:hAnsi="宋体"/>
          <w:sz w:val="21"/>
          <w:szCs w:val="21"/>
          <w:highlight w:val="none"/>
        </w:rPr>
      </w:pPr>
    </w:p>
    <w:p>
      <w:pPr>
        <w:spacing w:line="440" w:lineRule="exact"/>
        <w:ind w:firstLine="4057" w:firstLineChars="1932"/>
        <w:jc w:val="right"/>
        <w:rPr>
          <w:rFonts w:ascii="宋体" w:hAnsi="宋体"/>
          <w:sz w:val="21"/>
          <w:szCs w:val="21"/>
          <w:highlight w:val="none"/>
        </w:rPr>
      </w:pPr>
      <w:r>
        <w:rPr>
          <w:rFonts w:ascii="宋体" w:hAnsi="宋体"/>
          <w:sz w:val="21"/>
          <w:szCs w:val="21"/>
          <w:highlight w:val="none"/>
          <w:u w:val="single"/>
        </w:rPr>
        <w:t xml:space="preserve">       </w:t>
      </w:r>
      <w:r>
        <w:rPr>
          <w:rFonts w:ascii="宋体" w:hAnsi="宋体"/>
          <w:sz w:val="21"/>
          <w:szCs w:val="21"/>
          <w:highlight w:val="none"/>
        </w:rPr>
        <w:t>年</w:t>
      </w:r>
      <w:r>
        <w:rPr>
          <w:rFonts w:ascii="宋体" w:hAnsi="宋体"/>
          <w:sz w:val="21"/>
          <w:szCs w:val="21"/>
          <w:highlight w:val="none"/>
          <w:u w:val="single"/>
        </w:rPr>
        <w:t xml:space="preserve">       </w:t>
      </w:r>
      <w:r>
        <w:rPr>
          <w:rFonts w:ascii="宋体" w:hAnsi="宋体"/>
          <w:sz w:val="21"/>
          <w:szCs w:val="21"/>
          <w:highlight w:val="none"/>
        </w:rPr>
        <w:t>月</w:t>
      </w:r>
      <w:r>
        <w:rPr>
          <w:rFonts w:ascii="宋体" w:hAnsi="宋体"/>
          <w:sz w:val="21"/>
          <w:szCs w:val="21"/>
          <w:highlight w:val="none"/>
          <w:u w:val="single"/>
        </w:rPr>
        <w:t xml:space="preserve">       </w:t>
      </w:r>
      <w:r>
        <w:rPr>
          <w:rFonts w:ascii="宋体" w:hAnsi="宋体"/>
          <w:sz w:val="21"/>
          <w:szCs w:val="21"/>
          <w:highlight w:val="none"/>
        </w:rPr>
        <w:t>日</w:t>
      </w:r>
    </w:p>
    <w:p>
      <w:pPr>
        <w:rPr>
          <w:rFonts w:ascii="宋体" w:hAnsi="宋体"/>
          <w:sz w:val="21"/>
          <w:szCs w:val="21"/>
          <w:highlight w:val="none"/>
        </w:rPr>
      </w:pPr>
    </w:p>
    <w:p>
      <w:pPr>
        <w:rPr>
          <w:rFonts w:ascii="宋体" w:hAnsi="宋体"/>
          <w:sz w:val="21"/>
          <w:szCs w:val="21"/>
          <w:highlight w:val="none"/>
        </w:rPr>
      </w:pPr>
    </w:p>
    <w:p>
      <w:pPr>
        <w:spacing w:line="440" w:lineRule="exact"/>
        <w:rPr>
          <w:rFonts w:ascii="宋体" w:hAnsi="宋体"/>
          <w:sz w:val="21"/>
          <w:szCs w:val="21"/>
          <w:highlight w:val="none"/>
        </w:rPr>
      </w:pPr>
      <w:r>
        <w:rPr>
          <w:rFonts w:ascii="宋体" w:hAnsi="宋体"/>
          <w:sz w:val="21"/>
          <w:szCs w:val="21"/>
          <w:highlight w:val="none"/>
        </w:rPr>
        <w:t>注：本授权委托书需由</w:t>
      </w:r>
      <w:r>
        <w:rPr>
          <w:rFonts w:hint="eastAsia" w:ascii="宋体" w:hAnsi="宋体"/>
          <w:sz w:val="21"/>
          <w:szCs w:val="21"/>
          <w:highlight w:val="none"/>
        </w:rPr>
        <w:t>报价人</w:t>
      </w:r>
      <w:r>
        <w:rPr>
          <w:rFonts w:ascii="宋体" w:hAnsi="宋体"/>
          <w:sz w:val="21"/>
          <w:szCs w:val="21"/>
          <w:highlight w:val="none"/>
        </w:rPr>
        <w:t>加盖单位</w:t>
      </w:r>
      <w:r>
        <w:rPr>
          <w:rFonts w:hint="eastAsia" w:ascii="宋体" w:hAnsi="宋体"/>
          <w:sz w:val="21"/>
          <w:szCs w:val="21"/>
          <w:highlight w:val="none"/>
        </w:rPr>
        <w:t>公章</w:t>
      </w:r>
      <w:r>
        <w:rPr>
          <w:rFonts w:ascii="宋体" w:hAnsi="宋体"/>
          <w:sz w:val="21"/>
          <w:szCs w:val="21"/>
          <w:highlight w:val="none"/>
        </w:rPr>
        <w:t>并由其法定代表人和委托代理人签字。</w:t>
      </w:r>
    </w:p>
    <w:p>
      <w:pPr>
        <w:pStyle w:val="28"/>
        <w:rPr>
          <w:sz w:val="21"/>
          <w:szCs w:val="21"/>
          <w:highlight w:val="none"/>
        </w:rPr>
        <w:sectPr>
          <w:pgSz w:w="11906" w:h="16838"/>
          <w:pgMar w:top="1440" w:right="1803" w:bottom="1440" w:left="1803" w:header="851" w:footer="992" w:gutter="0"/>
          <w:cols w:space="720" w:num="1"/>
          <w:titlePg/>
          <w:docGrid w:type="lines" w:linePitch="319" w:charSpace="0"/>
        </w:sectPr>
      </w:pPr>
    </w:p>
    <w:p>
      <w:pPr>
        <w:jc w:val="center"/>
        <w:rPr>
          <w:rFonts w:ascii="宋体" w:hAnsi="宋体" w:cs="宋体"/>
          <w:b/>
          <w:highlight w:val="none"/>
        </w:rPr>
      </w:pPr>
      <w:bookmarkStart w:id="248" w:name="_Toc11329275"/>
      <w:r>
        <w:rPr>
          <w:rFonts w:hint="eastAsia" w:ascii="宋体" w:hAnsi="宋体" w:cs="宋体"/>
          <w:b/>
          <w:bCs/>
          <w:kern w:val="0"/>
          <w:sz w:val="28"/>
          <w:szCs w:val="32"/>
          <w:highlight w:val="none"/>
        </w:rPr>
        <w:t>三、</w:t>
      </w:r>
      <w:bookmarkEnd w:id="223"/>
      <w:bookmarkEnd w:id="224"/>
      <w:bookmarkEnd w:id="225"/>
      <w:bookmarkEnd w:id="248"/>
      <w:r>
        <w:rPr>
          <w:rFonts w:hint="eastAsia" w:ascii="宋体" w:hAnsi="宋体" w:cs="宋体"/>
          <w:b/>
          <w:bCs/>
          <w:kern w:val="0"/>
          <w:sz w:val="28"/>
          <w:szCs w:val="32"/>
          <w:highlight w:val="none"/>
        </w:rPr>
        <w:t>报价一览表</w:t>
      </w:r>
    </w:p>
    <w:p>
      <w:pPr>
        <w:ind w:left="765"/>
        <w:jc w:val="center"/>
        <w:rPr>
          <w:rFonts w:ascii="宋体" w:hAnsi="宋体" w:cs="宋体"/>
          <w:szCs w:val="21"/>
          <w:highlight w:val="none"/>
        </w:rPr>
      </w:pPr>
    </w:p>
    <w:p>
      <w:pPr>
        <w:pStyle w:val="38"/>
        <w:jc w:val="both"/>
        <w:rPr>
          <w:rFonts w:hAnsi="宋体"/>
          <w:highlight w:val="none"/>
        </w:rPr>
      </w:pPr>
      <w:r>
        <w:rPr>
          <w:rFonts w:hint="eastAsia" w:hAnsi="宋体"/>
          <w:highlight w:val="none"/>
        </w:rPr>
        <w:t>重庆首讯科技股份有限公司：</w:t>
      </w:r>
    </w:p>
    <w:p>
      <w:pPr>
        <w:spacing w:line="360" w:lineRule="auto"/>
        <w:ind w:firstLine="420" w:firstLineChars="200"/>
        <w:jc w:val="left"/>
        <w:rPr>
          <w:rFonts w:ascii="宋体" w:hAnsi="宋体"/>
          <w:b/>
          <w:color w:val="000000"/>
          <w:sz w:val="24"/>
          <w:highlight w:val="none"/>
        </w:rPr>
      </w:pPr>
      <w:r>
        <w:rPr>
          <w:rFonts w:hint="eastAsia" w:ascii="宋体" w:hAnsi="宋体" w:eastAsia="宋体" w:cs="Times New Roman"/>
          <w:highlight w:val="none"/>
        </w:rPr>
        <w:t>在研究了竞争比选文件中所有文件后，我司对</w:t>
      </w:r>
      <w:r>
        <w:rPr>
          <w:rFonts w:hint="eastAsia" w:ascii="宋体" w:hAnsi="宋体" w:cs="Times New Roman"/>
          <w:highlight w:val="none"/>
          <w:u w:val="single"/>
          <w:lang w:val="en-US" w:eastAsia="zh-CN"/>
        </w:rPr>
        <w:t>四公里办公大楼外墙综合整治、室内基装整改项目</w:t>
      </w:r>
      <w:r>
        <w:rPr>
          <w:rFonts w:hint="eastAsia" w:ascii="宋体" w:hAnsi="宋体" w:eastAsia="宋体" w:cs="Times New Roman"/>
          <w:highlight w:val="none"/>
        </w:rPr>
        <w:t>竞争比选响应报价如下：</w:t>
      </w:r>
      <w:r>
        <w:rPr>
          <w:rFonts w:hint="eastAsia" w:ascii="宋体" w:hAnsi="宋体"/>
          <w:b/>
          <w:color w:val="000000"/>
          <w:sz w:val="24"/>
          <w:highlight w:val="none"/>
        </w:rPr>
        <w:t xml:space="preserve"> </w:t>
      </w:r>
    </w:p>
    <w:p>
      <w:pPr>
        <w:spacing w:line="360" w:lineRule="auto"/>
        <w:ind w:firstLine="422" w:firstLineChars="200"/>
        <w:jc w:val="left"/>
        <w:rPr>
          <w:rFonts w:hint="eastAsia" w:ascii="宋体" w:hAnsi="宋体" w:eastAsia="宋体" w:cs="Times New Roman"/>
          <w:b/>
          <w:bCs/>
          <w:highlight w:val="none"/>
        </w:rPr>
      </w:pPr>
      <w:r>
        <w:rPr>
          <w:rFonts w:hint="eastAsia" w:ascii="宋体" w:hAnsi="宋体" w:eastAsia="宋体" w:cs="Times New Roman"/>
          <w:b/>
          <w:bCs/>
          <w:highlight w:val="none"/>
        </w:rPr>
        <w:t xml:space="preserve"> </w:t>
      </w:r>
      <w:r>
        <w:rPr>
          <w:rFonts w:hint="eastAsia" w:ascii="宋体" w:hAnsi="宋体" w:eastAsia="宋体" w:cs="Times New Roman"/>
          <w:b/>
          <w:bCs/>
          <w:highlight w:val="none"/>
          <w:lang w:eastAsia="zh-CN"/>
        </w:rPr>
        <w:t>报价采用表格形式，见“工程量清单”。</w:t>
      </w:r>
      <w:r>
        <w:rPr>
          <w:rFonts w:hint="eastAsia" w:ascii="宋体" w:hAnsi="宋体" w:eastAsia="宋体" w:cs="Times New Roman"/>
          <w:b/>
          <w:bCs/>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firstLineChars="200"/>
        <w:rPr>
          <w:rFonts w:ascii="宋体" w:hAnsi="宋体" w:cs="宋体"/>
          <w:kern w:val="0"/>
          <w:szCs w:val="21"/>
          <w:highlight w:val="none"/>
        </w:rPr>
      </w:pPr>
    </w:p>
    <w:p>
      <w:pPr>
        <w:pStyle w:val="4"/>
        <w:spacing w:before="0" w:after="0" w:line="360" w:lineRule="auto"/>
        <w:jc w:val="center"/>
        <w:rPr>
          <w:rFonts w:ascii="宋体" w:hAnsi="宋体" w:eastAsia="宋体" w:cs="宋体"/>
          <w:sz w:val="28"/>
          <w:highlight w:val="none"/>
        </w:rPr>
      </w:pPr>
      <w:bookmarkStart w:id="249" w:name="_Toc503951050"/>
      <w:bookmarkStart w:id="250" w:name="_Toc513633971"/>
      <w:bookmarkStart w:id="251" w:name="_Toc11329278"/>
      <w:bookmarkStart w:id="252" w:name="_Toc246997112"/>
      <w:bookmarkStart w:id="253" w:name="_Toc247085887"/>
      <w:bookmarkStart w:id="254" w:name="_Toc246996369"/>
      <w:bookmarkStart w:id="255" w:name="_Toc179632823"/>
      <w:bookmarkStart w:id="256" w:name="_Toc152045803"/>
      <w:bookmarkStart w:id="257" w:name="_Toc152042592"/>
      <w:bookmarkStart w:id="258" w:name="_Toc144974871"/>
      <w:bookmarkStart w:id="259" w:name="_Toc447827058"/>
      <w:r>
        <w:rPr>
          <w:rFonts w:hint="eastAsia" w:ascii="宋体" w:hAnsi="宋体" w:eastAsia="宋体" w:cs="宋体"/>
          <w:sz w:val="28"/>
          <w:highlight w:val="none"/>
        </w:rPr>
        <w:br w:type="page"/>
      </w:r>
      <w:bookmarkStart w:id="260" w:name="_Toc11961"/>
      <w:bookmarkStart w:id="261" w:name="_Toc18757"/>
      <w:bookmarkStart w:id="262" w:name="_Toc7430"/>
      <w:bookmarkStart w:id="263" w:name="_Toc12910"/>
      <w:r>
        <w:rPr>
          <w:rFonts w:hint="eastAsia" w:ascii="宋体" w:hAnsi="宋体" w:eastAsia="宋体" w:cs="宋体"/>
          <w:sz w:val="28"/>
          <w:highlight w:val="none"/>
        </w:rPr>
        <w:t>四、资格审查资料</w:t>
      </w:r>
      <w:bookmarkEnd w:id="249"/>
      <w:bookmarkEnd w:id="250"/>
      <w:bookmarkEnd w:id="251"/>
      <w:bookmarkEnd w:id="260"/>
      <w:bookmarkEnd w:id="261"/>
      <w:bookmarkEnd w:id="262"/>
      <w:bookmarkEnd w:id="263"/>
    </w:p>
    <w:p>
      <w:pPr>
        <w:pStyle w:val="4"/>
        <w:spacing w:before="0" w:after="0" w:line="360" w:lineRule="auto"/>
        <w:jc w:val="center"/>
        <w:rPr>
          <w:rFonts w:ascii="宋体" w:hAnsi="宋体" w:eastAsia="宋体" w:cs="宋体"/>
          <w:sz w:val="28"/>
          <w:highlight w:val="none"/>
        </w:rPr>
      </w:pPr>
      <w:bookmarkStart w:id="264" w:name="_Toc22003"/>
      <w:bookmarkStart w:id="265" w:name="_Toc25219"/>
      <w:bookmarkStart w:id="266" w:name="_Toc17915"/>
      <w:bookmarkStart w:id="267" w:name="_Toc32456"/>
      <w:r>
        <w:rPr>
          <w:rFonts w:hint="eastAsia" w:ascii="宋体" w:hAnsi="宋体" w:eastAsia="宋体" w:cs="宋体"/>
          <w:sz w:val="28"/>
          <w:highlight w:val="none"/>
        </w:rPr>
        <w:t>（营业执照、资质证书、业绩要求、</w:t>
      </w:r>
      <w:r>
        <w:rPr>
          <w:rFonts w:hint="eastAsia" w:ascii="宋体" w:hAnsi="宋体" w:eastAsia="宋体" w:cs="宋体"/>
          <w:sz w:val="28"/>
          <w:highlight w:val="none"/>
          <w:lang w:val="en-US" w:eastAsia="zh-CN"/>
        </w:rPr>
        <w:t>信誉要求</w:t>
      </w:r>
      <w:r>
        <w:rPr>
          <w:rFonts w:hint="eastAsia" w:ascii="宋体" w:hAnsi="宋体" w:eastAsia="宋体" w:cs="宋体"/>
          <w:sz w:val="28"/>
          <w:highlight w:val="none"/>
        </w:rPr>
        <w:t>等）</w:t>
      </w:r>
      <w:bookmarkEnd w:id="264"/>
      <w:bookmarkEnd w:id="265"/>
      <w:bookmarkEnd w:id="266"/>
      <w:bookmarkEnd w:id="267"/>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rPr>
        <w:t>营业执照</w:t>
      </w:r>
      <w:r>
        <w:rPr>
          <w:rFonts w:hint="eastAsia" w:ascii="宋体" w:hAnsi="宋体" w:eastAsia="宋体" w:cs="Times New Roman"/>
          <w:sz w:val="21"/>
          <w:szCs w:val="21"/>
          <w:highlight w:val="none"/>
          <w:lang w:val="en-US" w:eastAsia="zh-CN"/>
        </w:rPr>
        <w:t>及资质证书</w:t>
      </w:r>
    </w:p>
    <w:p>
      <w:pPr>
        <w:spacing w:line="360" w:lineRule="auto"/>
        <w:ind w:left="840" w:leftChars="200" w:hanging="420" w:hanging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注：</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1</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具有独立法人资格和有效的营业执照</w:t>
      </w:r>
      <w:r>
        <w:rPr>
          <w:rFonts w:hint="eastAsia" w:ascii="宋体" w:hAnsi="宋体" w:eastAsia="宋体" w:cs="Times New Roman"/>
          <w:sz w:val="21"/>
          <w:szCs w:val="21"/>
          <w:highlight w:val="none"/>
        </w:rPr>
        <w:t>，并加盖报价人公章；</w:t>
      </w:r>
    </w:p>
    <w:p>
      <w:pPr>
        <w:spacing w:line="360" w:lineRule="auto"/>
        <w:ind w:left="840" w:leftChars="400" w:firstLine="0" w:firstLineChars="0"/>
        <w:jc w:val="left"/>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（2）</w:t>
      </w:r>
      <w:r>
        <w:rPr>
          <w:rFonts w:hint="eastAsia" w:ascii="宋体" w:hAnsi="宋体" w:eastAsia="宋体" w:cs="Times New Roman"/>
          <w:sz w:val="21"/>
          <w:szCs w:val="21"/>
          <w:highlight w:val="none"/>
        </w:rPr>
        <w:t>具备有效的安全生产许可证；</w:t>
      </w:r>
    </w:p>
    <w:p>
      <w:pPr>
        <w:spacing w:line="360" w:lineRule="auto"/>
        <w:ind w:left="840" w:leftChars="400" w:firstLine="0" w:firstLineChars="0"/>
        <w:jc w:val="left"/>
        <w:rPr>
          <w:rFonts w:hint="eastAsia" w:ascii="宋体" w:hAnsi="宋体" w:eastAsia="宋体" w:cs="Times New Roman"/>
          <w:sz w:val="21"/>
          <w:szCs w:val="21"/>
          <w:highlight w:val="none"/>
        </w:rPr>
      </w:pPr>
      <w:r>
        <w:rPr>
          <w:rFonts w:hint="eastAsia" w:ascii="宋体" w:hAnsi="宋体" w:cs="Times New Roman"/>
          <w:sz w:val="21"/>
          <w:szCs w:val="21"/>
          <w:highlight w:val="none"/>
          <w:lang w:val="en-US" w:eastAsia="zh-CN"/>
        </w:rPr>
        <w:t>（3）</w:t>
      </w:r>
      <w:r>
        <w:rPr>
          <w:rFonts w:hint="eastAsia" w:ascii="宋体" w:hAnsi="宋体" w:eastAsia="宋体" w:cs="Times New Roman"/>
          <w:sz w:val="21"/>
          <w:szCs w:val="21"/>
          <w:highlight w:val="none"/>
        </w:rPr>
        <w:t>具备建筑工程施工总承包叁级及以上或建筑幕墙工程专业承包贰级及以上资质；</w:t>
      </w:r>
    </w:p>
    <w:p>
      <w:pPr>
        <w:spacing w:line="360" w:lineRule="auto"/>
        <w:ind w:left="842" w:leftChars="200" w:hanging="422" w:hanging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提供公司营业执照及资质证书复印件，并加盖报价人鲜章。</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2.</w:t>
      </w:r>
      <w:r>
        <w:rPr>
          <w:rFonts w:hint="eastAsia" w:ascii="宋体" w:hAnsi="宋体" w:eastAsia="宋体" w:cs="Times New Roman"/>
          <w:sz w:val="21"/>
          <w:szCs w:val="21"/>
          <w:highlight w:val="none"/>
        </w:rPr>
        <w:t>业绩要求</w:t>
      </w:r>
    </w:p>
    <w:p>
      <w:pPr>
        <w:spacing w:line="360" w:lineRule="auto"/>
        <w:ind w:firstLine="420" w:firstLineChars="200"/>
        <w:jc w:val="left"/>
        <w:rPr>
          <w:rFonts w:hint="eastAsia" w:ascii="宋体" w:hAnsi="宋体" w:cs="宋体"/>
          <w:highlight w:val="none"/>
          <w:lang w:val="en-US" w:eastAsia="zh-CN"/>
        </w:rPr>
      </w:pPr>
      <w:r>
        <w:rPr>
          <w:rFonts w:hint="eastAsia" w:ascii="宋体" w:hAnsi="宋体" w:eastAsia="宋体" w:cs="Times New Roman"/>
          <w:sz w:val="21"/>
          <w:szCs w:val="21"/>
          <w:highlight w:val="none"/>
        </w:rPr>
        <w:t>注：</w:t>
      </w:r>
      <w:r>
        <w:rPr>
          <w:rFonts w:hint="eastAsia" w:ascii="宋体" w:hAnsi="宋体" w:eastAsia="宋体" w:cs="Times New Roman"/>
          <w:sz w:val="21"/>
          <w:szCs w:val="21"/>
          <w:highlight w:val="none"/>
          <w:lang w:val="en-US" w:eastAsia="zh-CN"/>
        </w:rPr>
        <w:t>报价人自2021年1月1日至投标截止日(以合同签订时间为准）至少具有1个合同金额不低于30万元的</w:t>
      </w:r>
      <w:r>
        <w:rPr>
          <w:rFonts w:hint="eastAsia" w:ascii="宋体" w:hAnsi="宋体" w:cs="宋体"/>
          <w:szCs w:val="21"/>
          <w:highlight w:val="none"/>
          <w:lang w:val="en-US" w:eastAsia="zh-CN"/>
        </w:rPr>
        <w:t>外墙综合整治</w:t>
      </w:r>
      <w:r>
        <w:rPr>
          <w:rFonts w:hint="eastAsia" w:ascii="宋体" w:hAnsi="宋体" w:eastAsia="宋体" w:cs="Times New Roman"/>
          <w:sz w:val="21"/>
          <w:szCs w:val="21"/>
          <w:highlight w:val="none"/>
          <w:lang w:val="en-US" w:eastAsia="zh-CN"/>
        </w:rPr>
        <w:t>施工项目业绩（提供合同扫描件及对应增值税发票复印件，发票金额需达到30万元）</w:t>
      </w:r>
      <w:r>
        <w:rPr>
          <w:rFonts w:hint="eastAsia" w:ascii="宋体" w:hAnsi="宋体" w:cs="宋体"/>
          <w:highlight w:val="none"/>
          <w:lang w:val="en-US" w:eastAsia="zh-CN"/>
        </w:rPr>
        <w:t>。</w:t>
      </w:r>
    </w:p>
    <w:p>
      <w:pPr>
        <w:spacing w:line="360" w:lineRule="auto"/>
        <w:ind w:firstLine="422" w:firstLineChars="200"/>
        <w:jc w:val="left"/>
        <w:rPr>
          <w:rFonts w:hint="eastAsia" w:ascii="宋体" w:hAnsi="宋体" w:eastAsia="宋体" w:cs="Times New Roman"/>
          <w:b/>
          <w:bCs/>
          <w:sz w:val="21"/>
          <w:szCs w:val="21"/>
          <w:highlight w:val="none"/>
          <w:lang w:val="en-US" w:eastAsia="zh-CN"/>
        </w:rPr>
      </w:pPr>
      <w:r>
        <w:rPr>
          <w:rFonts w:hint="eastAsia" w:ascii="宋体" w:hAnsi="宋体" w:eastAsia="宋体" w:cs="Times New Roman"/>
          <w:b/>
          <w:bCs/>
          <w:sz w:val="21"/>
          <w:szCs w:val="21"/>
          <w:highlight w:val="none"/>
          <w:lang w:val="en-US" w:eastAsia="zh-CN"/>
        </w:rPr>
        <w:t>提供合同复印件（合同需清晰反映上述业绩要求的主要内容，包括但不限于合同金额及工作内容）</w:t>
      </w:r>
      <w:r>
        <w:rPr>
          <w:rFonts w:hint="eastAsia" w:ascii="宋体" w:hAnsi="宋体" w:cs="Times New Roman"/>
          <w:b/>
          <w:bCs/>
          <w:sz w:val="21"/>
          <w:szCs w:val="21"/>
          <w:highlight w:val="none"/>
          <w:lang w:val="en-US" w:eastAsia="zh-CN"/>
        </w:rPr>
        <w:t>及增值税发票复印件</w:t>
      </w:r>
      <w:r>
        <w:rPr>
          <w:rFonts w:hint="eastAsia" w:ascii="宋体" w:hAnsi="宋体" w:eastAsia="宋体" w:cs="Times New Roman"/>
          <w:b/>
          <w:bCs/>
          <w:sz w:val="21"/>
          <w:szCs w:val="21"/>
          <w:highlight w:val="none"/>
          <w:lang w:val="en-US" w:eastAsia="zh-CN"/>
        </w:rPr>
        <w:t>，并加盖报价人鲜章。</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lang w:val="en-US" w:eastAsia="zh-CN"/>
        </w:rPr>
        <w:t>3.</w:t>
      </w:r>
      <w:r>
        <w:rPr>
          <w:rFonts w:hint="eastAsia" w:ascii="宋体" w:hAnsi="宋体" w:eastAsia="宋体" w:cs="Times New Roman"/>
          <w:sz w:val="21"/>
          <w:szCs w:val="21"/>
          <w:highlight w:val="none"/>
        </w:rPr>
        <w:t>信誉要求</w:t>
      </w:r>
    </w:p>
    <w:p>
      <w:pPr>
        <w:spacing w:line="360" w:lineRule="auto"/>
        <w:ind w:firstLine="420" w:firstLineChars="200"/>
        <w:jc w:val="left"/>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注：请附在国家企业信用信息公示系统（http://www.gsxt.gov.cn/）中未被列入严重违法失信企业名单（黑名单）信息，及在“信用中国”网站（http://www.creditchina.gov.cn/）中未被列入失信惩戒执行人名单截图，并加盖报价人公章；</w:t>
      </w:r>
    </w:p>
    <w:p>
      <w:pPr>
        <w:spacing w:line="360" w:lineRule="auto"/>
        <w:ind w:firstLine="420" w:firstLineChars="200"/>
        <w:jc w:val="left"/>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4.人员资料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tbl>
      <w:tblPr>
        <w:tblStyle w:val="43"/>
        <w:tblW w:w="94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334"/>
        <w:gridCol w:w="1191"/>
        <w:gridCol w:w="2808"/>
        <w:gridCol w:w="230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序号</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2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项目经理</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2</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技术负责人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3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r>
              <w:rPr>
                <w:rFonts w:hint="default" w:ascii="宋体" w:hAnsi="宋体" w:cs="宋体"/>
                <w:szCs w:val="21"/>
                <w:highlight w:val="none"/>
                <w:lang w:val="en-US" w:eastAsia="zh-CN"/>
              </w:rPr>
              <w:t>安全负责人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2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p>
        </w:tc>
      </w:tr>
    </w:tbl>
    <w:p>
      <w:pPr>
        <w:pStyle w:val="149"/>
        <w:adjustRightInd/>
        <w:spacing w:line="360" w:lineRule="auto"/>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注：</w:t>
      </w:r>
      <w:r>
        <w:rPr>
          <w:rFonts w:hint="eastAsia" w:ascii="Times New Roman" w:hAnsi="宋体" w:cs="Times New Roman"/>
          <w:b w:val="0"/>
          <w:bCs w:val="0"/>
          <w:color w:val="auto"/>
          <w:sz w:val="21"/>
          <w:szCs w:val="21"/>
          <w:highlight w:val="none"/>
          <w:lang w:val="en-US" w:eastAsia="zh-CN"/>
        </w:rPr>
        <w:t>注：需提供项目主要管理人员</w:t>
      </w:r>
      <w:r>
        <w:rPr>
          <w:rFonts w:hint="eastAsia" w:hAnsi="宋体" w:cs="Times New Roman"/>
          <w:b w:val="0"/>
          <w:bCs w:val="0"/>
          <w:color w:val="auto"/>
          <w:sz w:val="21"/>
          <w:szCs w:val="21"/>
          <w:highlight w:val="none"/>
          <w:lang w:val="en-US" w:eastAsia="zh-CN"/>
        </w:rPr>
        <w:t>名单（表格形式），</w:t>
      </w:r>
      <w:r>
        <w:rPr>
          <w:rFonts w:hint="eastAsia" w:ascii="Times New Roman" w:hAnsi="宋体" w:cs="Times New Roman"/>
          <w:b w:val="0"/>
          <w:bCs w:val="0"/>
          <w:color w:val="auto"/>
          <w:sz w:val="21"/>
          <w:szCs w:val="21"/>
          <w:highlight w:val="none"/>
          <w:lang w:val="en-US" w:eastAsia="zh-CN"/>
        </w:rPr>
        <w:t>以上人员相关资质证件</w:t>
      </w:r>
      <w:r>
        <w:rPr>
          <w:rFonts w:hint="eastAsia" w:hAnsi="宋体" w:cs="Times New Roman"/>
          <w:b w:val="0"/>
          <w:bCs w:val="0"/>
          <w:color w:val="auto"/>
          <w:sz w:val="21"/>
          <w:szCs w:val="21"/>
          <w:highlight w:val="none"/>
          <w:lang w:val="en-US" w:eastAsia="zh-CN"/>
        </w:rPr>
        <w:t>、</w:t>
      </w:r>
      <w:r>
        <w:rPr>
          <w:rFonts w:hint="eastAsia" w:ascii="Times New Roman" w:hAnsi="宋体" w:cs="Times New Roman"/>
          <w:b w:val="0"/>
          <w:bCs w:val="0"/>
          <w:color w:val="auto"/>
          <w:sz w:val="21"/>
          <w:szCs w:val="21"/>
          <w:highlight w:val="none"/>
          <w:lang w:val="en-US" w:eastAsia="zh-CN"/>
        </w:rPr>
        <w:t>身份证复印件</w:t>
      </w:r>
      <w:r>
        <w:rPr>
          <w:rFonts w:hint="eastAsia" w:hAnsi="宋体" w:cs="Times New Roman"/>
          <w:b w:val="0"/>
          <w:bCs w:val="0"/>
          <w:color w:val="auto"/>
          <w:sz w:val="21"/>
          <w:szCs w:val="21"/>
          <w:highlight w:val="none"/>
          <w:lang w:val="en-US" w:eastAsia="zh-CN"/>
        </w:rPr>
        <w:t>及由社保局出具的报价人为以上人员缴纳2024年5月至2024年7月连续三个月的养老保险证明（带有社保部门公章或社保部门的有效电子印章）</w:t>
      </w:r>
      <w:r>
        <w:rPr>
          <w:rFonts w:hint="eastAsia" w:hAnsi="宋体"/>
          <w:b w:val="0"/>
          <w:bCs w:val="0"/>
          <w:color w:val="auto"/>
          <w:sz w:val="21"/>
          <w:szCs w:val="21"/>
          <w:highlight w:val="none"/>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ascii="宋体" w:hAnsi="宋体" w:eastAsia="宋体" w:cs="Times New Roman"/>
          <w:color w:val="auto"/>
          <w:kern w:val="2"/>
          <w:sz w:val="21"/>
          <w:szCs w:val="21"/>
          <w:highlight w:val="none"/>
          <w:lang w:val="en-US" w:eastAsia="zh-CN" w:bidi="ar-SA"/>
        </w:rPr>
        <w:t>。</w:t>
      </w:r>
    </w:p>
    <w:p>
      <w:pPr>
        <w:pStyle w:val="2"/>
        <w:rPr>
          <w:rFonts w:hint="eastAsia" w:hAnsi="宋体"/>
          <w:color w:val="auto"/>
          <w:sz w:val="21"/>
          <w:szCs w:val="21"/>
          <w:highlight w:val="none"/>
        </w:rPr>
      </w:pPr>
      <w:r>
        <w:rPr>
          <w:rFonts w:hint="eastAsia" w:ascii="宋体" w:hAnsi="宋体" w:eastAsia="宋体" w:cs="宋体"/>
          <w:sz w:val="28"/>
          <w:highlight w:val="none"/>
        </w:rPr>
        <w:br w:type="page"/>
      </w:r>
      <w:bookmarkEnd w:id="252"/>
      <w:bookmarkEnd w:id="253"/>
      <w:bookmarkEnd w:id="254"/>
      <w:bookmarkEnd w:id="255"/>
      <w:bookmarkEnd w:id="256"/>
      <w:bookmarkEnd w:id="257"/>
      <w:bookmarkEnd w:id="258"/>
      <w:bookmarkEnd w:id="259"/>
      <w:bookmarkStart w:id="268" w:name="_Toc447827068"/>
      <w:bookmarkStart w:id="269" w:name="_Toc503951055"/>
      <w:bookmarkStart w:id="270" w:name="_Toc513633973"/>
      <w:bookmarkStart w:id="271" w:name="_Toc11672"/>
      <w:bookmarkStart w:id="272" w:name="_Toc11329281"/>
    </w:p>
    <w:bookmarkEnd w:id="268"/>
    <w:bookmarkEnd w:id="269"/>
    <w:bookmarkEnd w:id="270"/>
    <w:p>
      <w:pPr>
        <w:pStyle w:val="4"/>
        <w:numPr>
          <w:ilvl w:val="0"/>
          <w:numId w:val="8"/>
        </w:numPr>
        <w:spacing w:before="0" w:after="0" w:line="360" w:lineRule="auto"/>
        <w:jc w:val="center"/>
        <w:rPr>
          <w:rFonts w:hint="eastAsia" w:ascii="宋体" w:hAnsi="宋体" w:eastAsia="宋体" w:cs="宋体"/>
          <w:sz w:val="28"/>
          <w:highlight w:val="none"/>
        </w:rPr>
      </w:pPr>
      <w:bookmarkStart w:id="273" w:name="_Toc28818"/>
      <w:bookmarkStart w:id="274" w:name="_Toc29559"/>
      <w:bookmarkStart w:id="275" w:name="_Toc11243"/>
      <w:r>
        <w:rPr>
          <w:rFonts w:hint="eastAsia" w:ascii="宋体" w:hAnsi="宋体" w:eastAsia="宋体" w:cs="宋体"/>
          <w:sz w:val="28"/>
          <w:highlight w:val="none"/>
        </w:rPr>
        <w:t>报价人须知前附表规定的材料</w:t>
      </w:r>
      <w:bookmarkEnd w:id="271"/>
      <w:bookmarkEnd w:id="272"/>
      <w:bookmarkEnd w:id="273"/>
      <w:bookmarkEnd w:id="274"/>
      <w:bookmarkEnd w:id="275"/>
    </w:p>
    <w:p>
      <w:pPr>
        <w:spacing w:line="360" w:lineRule="auto"/>
        <w:jc w:val="center"/>
        <w:outlineLvl w:val="1"/>
        <w:rPr>
          <w:rFonts w:ascii="宋体" w:hAnsi="宋体" w:cs="宋体"/>
          <w:b/>
          <w:bCs/>
          <w:color w:val="000000" w:themeColor="text1"/>
          <w:sz w:val="24"/>
          <w:szCs w:val="28"/>
          <w:highlight w:val="none"/>
          <w14:textFill>
            <w14:solidFill>
              <w14:schemeClr w14:val="tx1"/>
            </w14:solidFill>
          </w14:textFill>
        </w:rPr>
      </w:pPr>
      <w:bookmarkStart w:id="276" w:name="_Toc15805"/>
      <w:bookmarkStart w:id="277" w:name="_Toc8299"/>
      <w:bookmarkStart w:id="278" w:name="bookmark81"/>
      <w:bookmarkStart w:id="279" w:name="_Toc513633974"/>
      <w:bookmarkStart w:id="280" w:name="_Toc503951058"/>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一</w:t>
      </w:r>
      <w:r>
        <w:rPr>
          <w:rFonts w:hint="eastAsia" w:ascii="宋体" w:hAnsi="宋体" w:cs="宋体"/>
          <w:b/>
          <w:bCs/>
          <w:kern w:val="0"/>
          <w:sz w:val="28"/>
          <w:szCs w:val="32"/>
          <w:highlight w:val="none"/>
        </w:rPr>
        <w:t>）商务评分资料</w:t>
      </w:r>
      <w:bookmarkEnd w:id="276"/>
      <w:bookmarkEnd w:id="277"/>
    </w:p>
    <w:p>
      <w:pPr>
        <w:pStyle w:val="172"/>
        <w:ind w:firstLine="480"/>
        <w:jc w:val="center"/>
        <w:rPr>
          <w:rFonts w:hint="eastAsia" w:ascii="宋体" w:hAnsi="宋体" w:eastAsia="宋体" w:cs="Times New Roman"/>
          <w:kern w:val="2"/>
          <w:sz w:val="21"/>
          <w:szCs w:val="24"/>
          <w:highlight w:val="none"/>
          <w:lang w:val="en-US" w:eastAsia="zh-CN" w:bidi="ar-SA"/>
        </w:rPr>
      </w:pPr>
      <w:bookmarkStart w:id="281" w:name="OLE_LINK34"/>
      <w:r>
        <w:rPr>
          <w:rFonts w:hint="eastAsia" w:ascii="宋体" w:hAnsi="宋体" w:eastAsia="宋体" w:cs="Times New Roman"/>
          <w:kern w:val="2"/>
          <w:sz w:val="21"/>
          <w:szCs w:val="24"/>
          <w:highlight w:val="none"/>
          <w:lang w:val="en-US" w:eastAsia="zh-CN" w:bidi="ar-SA"/>
        </w:rPr>
        <w:t>商务及技术部分</w:t>
      </w:r>
      <w:bookmarkEnd w:id="281"/>
      <w:r>
        <w:rPr>
          <w:rFonts w:hint="eastAsia" w:ascii="宋体" w:hAnsi="宋体" w:eastAsia="宋体" w:cs="Times New Roman"/>
          <w:kern w:val="2"/>
          <w:sz w:val="21"/>
          <w:szCs w:val="24"/>
          <w:highlight w:val="none"/>
          <w:lang w:val="en-US" w:eastAsia="zh-CN" w:bidi="ar-SA"/>
        </w:rPr>
        <w:t>资料目录</w:t>
      </w:r>
    </w:p>
    <w:tbl>
      <w:tblPr>
        <w:tblStyle w:val="43"/>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29"/>
        <w:gridCol w:w="2492"/>
        <w:gridCol w:w="1736"/>
        <w:gridCol w:w="1395"/>
        <w:gridCol w:w="1052"/>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2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序号</w:t>
            </w:r>
          </w:p>
        </w:tc>
        <w:tc>
          <w:tcPr>
            <w:tcW w:w="1029"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bCs/>
                <w:sz w:val="18"/>
                <w:szCs w:val="18"/>
                <w:highlight w:val="none"/>
              </w:rPr>
              <w:t>对应评分标准</w:t>
            </w:r>
          </w:p>
        </w:tc>
        <w:tc>
          <w:tcPr>
            <w:tcW w:w="249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对应评分细则</w:t>
            </w:r>
          </w:p>
        </w:tc>
        <w:tc>
          <w:tcPr>
            <w:tcW w:w="1736"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rPr>
            </w:pPr>
            <w:r>
              <w:rPr>
                <w:rFonts w:hint="eastAsia" w:asciiTheme="minorEastAsia" w:hAnsiTheme="minorEastAsia" w:eastAsiaTheme="minorEastAsia" w:cstheme="minorEastAsia"/>
                <w:b w:val="0"/>
                <w:kern w:val="0"/>
                <w:sz w:val="18"/>
                <w:szCs w:val="18"/>
                <w:highlight w:val="none"/>
              </w:rPr>
              <w:t>证明材料名称</w:t>
            </w:r>
          </w:p>
        </w:tc>
        <w:tc>
          <w:tcPr>
            <w:tcW w:w="1395"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应加分数</w:t>
            </w:r>
          </w:p>
        </w:tc>
        <w:tc>
          <w:tcPr>
            <w:tcW w:w="1052" w:type="dxa"/>
            <w:vAlign w:val="center"/>
          </w:tcPr>
          <w:p>
            <w:pPr>
              <w:pStyle w:val="173"/>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rPr>
              <w:t>证明材料对应编号</w:t>
            </w:r>
          </w:p>
        </w:tc>
        <w:tc>
          <w:tcPr>
            <w:tcW w:w="998" w:type="dxa"/>
            <w:vAlign w:val="center"/>
          </w:tcPr>
          <w:p>
            <w:pPr>
              <w:pStyle w:val="173"/>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val="0"/>
                <w:kern w:val="0"/>
                <w:sz w:val="18"/>
                <w:szCs w:val="18"/>
                <w:highlight w:val="none"/>
                <w:lang w:val="en-US" w:eastAsia="zh-CN"/>
              </w:rPr>
            </w:pPr>
            <w:r>
              <w:rPr>
                <w:rFonts w:hint="eastAsia" w:asciiTheme="minorEastAsia" w:hAnsiTheme="minorEastAsia" w:eastAsiaTheme="minorEastAsia" w:cstheme="minorEastAsia"/>
                <w:b w:val="0"/>
                <w:kern w:val="0"/>
                <w:sz w:val="18"/>
                <w:szCs w:val="18"/>
                <w:highlight w:val="none"/>
                <w:lang w:val="en-US"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例</w:t>
            </w:r>
          </w:p>
        </w:tc>
        <w:tc>
          <w:tcPr>
            <w:tcW w:w="1029"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249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736"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395"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1052"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c>
          <w:tcPr>
            <w:tcW w:w="998" w:type="dxa"/>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b/>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w:t>
            </w: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kern w:val="2"/>
                <w:sz w:val="18"/>
                <w:szCs w:val="18"/>
                <w:highlight w:val="none"/>
                <w:lang w:val="en-US" w:eastAsia="zh-CN" w:bidi="ar-SA"/>
              </w:rPr>
            </w:pPr>
            <w:r>
              <w:rPr>
                <w:rFonts w:hint="eastAsia" w:asciiTheme="minorEastAsia" w:hAnsiTheme="minorEastAsia" w:eastAsiaTheme="minorEastAsia" w:cstheme="minorEastAsia"/>
                <w:sz w:val="18"/>
                <w:szCs w:val="18"/>
                <w:highlight w:val="none"/>
                <w:lang w:val="en-US" w:eastAsia="zh-CN"/>
              </w:rPr>
              <w:t>业绩材料</w:t>
            </w: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满足资格要求基础业绩条件得4分。</w:t>
            </w: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XX业绩复印件</w:t>
            </w: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4分</w:t>
            </w: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证明材料1</w:t>
            </w: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XX页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eastAsia"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2492" w:type="dxa"/>
            <w:vAlign w:val="center"/>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eastAsia"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eastAsia"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2492" w:type="dxa"/>
          </w:tcPr>
          <w:p>
            <w:pPr>
              <w:keepNext w:val="0"/>
              <w:keepLines w:val="0"/>
              <w:suppressLineNumbers w:val="0"/>
              <w:snapToGrid w:val="0"/>
              <w:spacing w:before="0" w:beforeAutospacing="0" w:after="0" w:afterAutospacing="0" w:line="400" w:lineRule="exact"/>
              <w:ind w:left="0" w:leftChars="0" w:right="0" w:rightChars="0"/>
              <w:jc w:val="both"/>
              <w:rPr>
                <w:rFonts w:hint="default" w:asciiTheme="minorEastAsia" w:hAnsiTheme="minorEastAsia" w:eastAsiaTheme="minorEastAsia" w:cstheme="minorEastAsia"/>
                <w:sz w:val="18"/>
                <w:szCs w:val="18"/>
                <w:highlight w:val="none"/>
                <w:lang w:val="en-US" w:eastAsia="zh-CN"/>
              </w:rPr>
            </w:pPr>
          </w:p>
        </w:tc>
        <w:tc>
          <w:tcPr>
            <w:tcW w:w="1736"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395"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1052"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c>
          <w:tcPr>
            <w:tcW w:w="998" w:type="dxa"/>
            <w:vAlign w:val="center"/>
          </w:tcPr>
          <w:p>
            <w:pPr>
              <w:keepNext w:val="0"/>
              <w:keepLines w:val="0"/>
              <w:suppressLineNumbers w:val="0"/>
              <w:snapToGrid w:val="0"/>
              <w:spacing w:before="0" w:beforeAutospacing="0" w:after="0" w:afterAutospacing="0" w:line="400" w:lineRule="exact"/>
              <w:ind w:left="0" w:leftChars="0" w:right="0" w:rightChars="0"/>
              <w:jc w:val="center"/>
              <w:rPr>
                <w:rFonts w:hint="default" w:asciiTheme="minorEastAsia" w:hAnsiTheme="minorEastAsia" w:eastAsiaTheme="minorEastAsia" w:cstheme="minorEastAsia"/>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725"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1029" w:type="dxa"/>
            <w:vAlign w:val="center"/>
          </w:tcPr>
          <w:p>
            <w:pPr>
              <w:keepNext w:val="0"/>
              <w:keepLines w:val="0"/>
              <w:suppressLineNumbers w:val="0"/>
              <w:snapToGrid w:val="0"/>
              <w:spacing w:before="0" w:beforeAutospacing="0" w:after="0" w:afterAutospacing="0" w:line="400" w:lineRule="exact"/>
              <w:ind w:left="0" w:right="0"/>
              <w:jc w:val="center"/>
              <w:rPr>
                <w:rFonts w:hint="default" w:asciiTheme="minorEastAsia" w:hAnsiTheme="minorEastAsia" w:eastAsiaTheme="minorEastAsia" w:cstheme="minorEastAsia"/>
                <w:sz w:val="18"/>
                <w:szCs w:val="18"/>
                <w:highlight w:val="none"/>
                <w:lang w:val="en-US" w:eastAsia="zh-CN"/>
              </w:rPr>
            </w:pPr>
          </w:p>
        </w:tc>
        <w:tc>
          <w:tcPr>
            <w:tcW w:w="2492"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736"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395"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1052"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c>
          <w:tcPr>
            <w:tcW w:w="998" w:type="dxa"/>
          </w:tcPr>
          <w:p>
            <w:pPr>
              <w:keepNext w:val="0"/>
              <w:keepLines w:val="0"/>
              <w:suppressLineNumbers w:val="0"/>
              <w:spacing w:before="0" w:beforeAutospacing="0" w:after="0" w:afterAutospacing="0" w:line="360" w:lineRule="auto"/>
              <w:ind w:left="0" w:right="0"/>
              <w:jc w:val="center"/>
              <w:rPr>
                <w:rFonts w:hint="default"/>
                <w:b/>
                <w:sz w:val="28"/>
                <w:szCs w:val="28"/>
                <w:highlight w:val="none"/>
              </w:rPr>
            </w:pPr>
          </w:p>
        </w:tc>
      </w:tr>
    </w:tbl>
    <w:p>
      <w:pPr>
        <w:pStyle w:val="42"/>
        <w:numPr>
          <w:ilvl w:val="0"/>
          <w:numId w:val="0"/>
        </w:numPr>
        <w:rPr>
          <w:rFonts w:hint="default"/>
          <w:highlight w:val="none"/>
          <w:lang w:val="en-US" w:eastAsia="zh-CN"/>
        </w:rPr>
      </w:pPr>
      <w:bookmarkStart w:id="282" w:name="_Toc30564"/>
      <w:bookmarkStart w:id="283" w:name="_Toc30447"/>
    </w:p>
    <w:p>
      <w:pPr>
        <w:spacing w:line="360" w:lineRule="auto"/>
        <w:jc w:val="center"/>
        <w:outlineLvl w:val="1"/>
        <w:rPr>
          <w:rFonts w:hint="eastAsia" w:ascii="宋体" w:hAnsi="宋体" w:cs="宋体"/>
          <w:b/>
          <w:bCs/>
          <w:kern w:val="0"/>
          <w:sz w:val="28"/>
          <w:szCs w:val="32"/>
          <w:highlight w:val="none"/>
        </w:rPr>
      </w:pPr>
    </w:p>
    <w:p>
      <w:pPr>
        <w:spacing w:line="360" w:lineRule="auto"/>
        <w:jc w:val="center"/>
        <w:outlineLvl w:val="1"/>
        <w:rPr>
          <w:rFonts w:ascii="宋体" w:hAnsi="宋体" w:cs="宋体"/>
          <w:b/>
          <w:bCs/>
          <w:kern w:val="0"/>
          <w:sz w:val="28"/>
          <w:szCs w:val="32"/>
          <w:highlight w:val="none"/>
        </w:rPr>
      </w:pPr>
      <w:r>
        <w:rPr>
          <w:rFonts w:hint="eastAsia" w:ascii="宋体" w:hAnsi="宋体" w:cs="宋体"/>
          <w:b/>
          <w:bCs/>
          <w:kern w:val="0"/>
          <w:sz w:val="28"/>
          <w:szCs w:val="32"/>
          <w:highlight w:val="none"/>
        </w:rPr>
        <w:t>（</w:t>
      </w:r>
      <w:r>
        <w:rPr>
          <w:rFonts w:hint="eastAsia" w:ascii="宋体" w:hAnsi="宋体" w:cs="宋体"/>
          <w:b/>
          <w:bCs/>
          <w:kern w:val="0"/>
          <w:sz w:val="28"/>
          <w:szCs w:val="32"/>
          <w:highlight w:val="none"/>
          <w:lang w:val="en-US" w:eastAsia="zh-CN"/>
        </w:rPr>
        <w:t>二</w:t>
      </w:r>
      <w:r>
        <w:rPr>
          <w:rFonts w:hint="eastAsia" w:ascii="宋体" w:hAnsi="宋体" w:cs="宋体"/>
          <w:b/>
          <w:bCs/>
          <w:kern w:val="0"/>
          <w:sz w:val="28"/>
          <w:szCs w:val="32"/>
          <w:highlight w:val="none"/>
        </w:rPr>
        <w:t>）技术方案</w:t>
      </w:r>
      <w:bookmarkEnd w:id="282"/>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Times New Roman"/>
          <w:kern w:val="2"/>
          <w:sz w:val="21"/>
          <w:szCs w:val="24"/>
          <w:highlight w:val="none"/>
          <w:lang w:val="en-US" w:eastAsia="zh-CN" w:bidi="ar-SA"/>
        </w:rPr>
      </w:pPr>
      <w:r>
        <w:rPr>
          <w:rFonts w:hint="eastAsia" w:ascii="宋体" w:hAnsi="宋体" w:eastAsia="宋体" w:cs="Times New Roman"/>
          <w:kern w:val="2"/>
          <w:sz w:val="21"/>
          <w:szCs w:val="24"/>
          <w:highlight w:val="none"/>
          <w:lang w:val="en-US" w:eastAsia="zh-CN" w:bidi="ar-SA"/>
        </w:rPr>
        <w:t>报价人</w:t>
      </w:r>
      <w:r>
        <w:rPr>
          <w:rFonts w:hint="eastAsia" w:cs="Times New Roman"/>
          <w:kern w:val="2"/>
          <w:sz w:val="21"/>
          <w:szCs w:val="24"/>
          <w:highlight w:val="none"/>
          <w:lang w:val="en-US" w:eastAsia="zh-CN" w:bidi="ar-SA"/>
        </w:rPr>
        <w:t>对</w:t>
      </w:r>
      <w:r>
        <w:rPr>
          <w:rFonts w:hint="eastAsia" w:ascii="宋体" w:hAnsi="宋体" w:eastAsia="宋体" w:cs="Times New Roman"/>
          <w:kern w:val="2"/>
          <w:sz w:val="21"/>
          <w:szCs w:val="24"/>
          <w:highlight w:val="none"/>
          <w:lang w:val="en-US" w:eastAsia="zh-CN" w:bidi="ar-SA"/>
        </w:rPr>
        <w:t>本项目理解清晰，各项功能描述全面，业务流程明确、可操作性强。建设目标的计划目标、实施路径和措施保障工作的理解程度</w:t>
      </w:r>
      <w:r>
        <w:rPr>
          <w:rFonts w:hint="eastAsia" w:cs="Times New Roman"/>
          <w:kern w:val="2"/>
          <w:sz w:val="21"/>
          <w:szCs w:val="24"/>
          <w:highlight w:val="none"/>
          <w:lang w:val="en-US" w:eastAsia="zh-CN" w:bidi="ar-SA"/>
        </w:rPr>
        <w:t>进行阐述</w:t>
      </w:r>
      <w:r>
        <w:rPr>
          <w:rFonts w:hint="eastAsia" w:ascii="宋体" w:hAnsi="宋体" w:eastAsia="宋体" w:cs="Times New Roman"/>
          <w:kern w:val="2"/>
          <w:sz w:val="21"/>
          <w:szCs w:val="24"/>
          <w:highlight w:val="none"/>
          <w:lang w:val="en-US" w:eastAsia="zh-CN" w:bidi="ar-SA"/>
        </w:rPr>
        <w:t>：</w:t>
      </w:r>
      <w:bookmarkEnd w:id="283"/>
    </w:p>
    <w:p>
      <w:pPr>
        <w:pStyle w:val="37"/>
        <w:keepNext w:val="0"/>
        <w:keepLines w:val="0"/>
        <w:pageBreakBefore w:val="0"/>
        <w:widowControl/>
        <w:numPr>
          <w:ilvl w:val="0"/>
          <w:numId w:val="9"/>
        </w:numPr>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施工组织设计方案（</w:t>
      </w:r>
      <w:r>
        <w:rPr>
          <w:rFonts w:hint="eastAsia"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分）</w:t>
      </w:r>
    </w:p>
    <w:p>
      <w:pPr>
        <w:pStyle w:val="37"/>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firstLine="482"/>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37"/>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482" w:leftChars="0"/>
        <w:jc w:val="left"/>
        <w:textAlignment w:val="auto"/>
        <w:rPr>
          <w:rFonts w:hint="eastAsia" w:ascii="宋体" w:hAnsi="宋体" w:eastAsia="宋体" w:cs="宋体"/>
          <w:color w:val="auto"/>
          <w:sz w:val="21"/>
          <w:szCs w:val="21"/>
          <w:highlight w:val="none"/>
          <w:lang w:val="en-US" w:eastAsia="zh-CN"/>
        </w:rPr>
      </w:pPr>
    </w:p>
    <w:p>
      <w:pPr>
        <w:pStyle w:val="5"/>
        <w:jc w:val="center"/>
        <w:rPr>
          <w:rFonts w:ascii="宋体" w:hAnsi="宋体" w:cs="宋体"/>
          <w:sz w:val="28"/>
          <w:highlight w:val="none"/>
        </w:rPr>
      </w:pPr>
      <w:r>
        <w:rPr>
          <w:rFonts w:hint="eastAsia" w:ascii="宋体" w:hAnsi="宋体" w:cs="宋体"/>
          <w:sz w:val="28"/>
          <w:highlight w:val="none"/>
        </w:rPr>
        <w:t>（</w:t>
      </w:r>
      <w:r>
        <w:rPr>
          <w:rFonts w:hint="eastAsia" w:ascii="宋体" w:hAnsi="宋体" w:cs="宋体"/>
          <w:sz w:val="28"/>
          <w:highlight w:val="none"/>
          <w:lang w:val="en-US" w:eastAsia="zh-CN"/>
        </w:rPr>
        <w:t>三</w:t>
      </w:r>
      <w:r>
        <w:rPr>
          <w:rFonts w:hint="eastAsia" w:ascii="宋体" w:hAnsi="宋体" w:cs="宋体"/>
          <w:sz w:val="28"/>
          <w:highlight w:val="none"/>
        </w:rPr>
        <w:t>）</w:t>
      </w:r>
      <w:bookmarkEnd w:id="278"/>
      <w:bookmarkStart w:id="284" w:name="_Toc507681700"/>
      <w:bookmarkStart w:id="285" w:name="_Toc507681488"/>
      <w:bookmarkStart w:id="286" w:name="_Toc504639215"/>
      <w:r>
        <w:rPr>
          <w:rFonts w:hint="eastAsia" w:ascii="宋体" w:hAnsi="宋体" w:cs="宋体"/>
          <w:sz w:val="28"/>
          <w:highlight w:val="none"/>
        </w:rPr>
        <w:t>报价人自行承诺部分</w:t>
      </w:r>
      <w:bookmarkEnd w:id="284"/>
      <w:bookmarkEnd w:id="285"/>
      <w:bookmarkEnd w:id="286"/>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致：重庆首讯科技股份有限公司</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我公司对</w:t>
      </w:r>
      <w:r>
        <w:rPr>
          <w:rFonts w:hint="eastAsia" w:ascii="宋体" w:hAnsi="宋体" w:eastAsia="宋体" w:cs="宋体"/>
          <w:sz w:val="21"/>
          <w:szCs w:val="21"/>
          <w:highlight w:val="none"/>
          <w:u w:val="single"/>
        </w:rPr>
        <w:t xml:space="preserve">                                 （项目名称）</w:t>
      </w:r>
      <w:r>
        <w:rPr>
          <w:rFonts w:hint="eastAsia" w:ascii="宋体" w:hAnsi="宋体" w:eastAsia="宋体" w:cs="宋体"/>
          <w:sz w:val="21"/>
          <w:szCs w:val="21"/>
          <w:highlight w:val="none"/>
        </w:rPr>
        <w:t>竞争性比选文件中要求内容完全响应做出以下承诺：</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1、我方比选响应文件中所有资料都是真实、准确、完整的；</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2、我方不存在资质挂靠或参与串标、围标情形。所报项目相关人员未在其他项目任职。</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3、完全响应竞争性比选文件中的人员要求、</w:t>
      </w:r>
      <w:r>
        <w:rPr>
          <w:rFonts w:hint="eastAsia" w:ascii="宋体" w:hAnsi="宋体" w:cs="宋体"/>
          <w:sz w:val="21"/>
          <w:szCs w:val="21"/>
          <w:highlight w:val="none"/>
          <w:lang w:val="en-US" w:eastAsia="zh-CN"/>
        </w:rPr>
        <w:t>机械要求、</w:t>
      </w:r>
      <w:r>
        <w:rPr>
          <w:rFonts w:hint="eastAsia" w:ascii="宋体" w:hAnsi="宋体" w:eastAsia="宋体" w:cs="宋体"/>
          <w:sz w:val="21"/>
          <w:szCs w:val="21"/>
          <w:highlight w:val="none"/>
        </w:rPr>
        <w:t>投标内容要求、报价要求、工期要求、质量标准等要求；</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如我方违反上述承诺，隐瞒、提供虚假资料或不按竞争性比选文件要求组织实施，被贵方发现或被他人举报查实，无条件接受贵司的处罚，对造成的损失，任何法律和经济责任完全由我方承担。</w:t>
      </w: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报价人（单位名称）：</w:t>
      </w:r>
    </w:p>
    <w:p>
      <w:pPr>
        <w:spacing w:line="36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法定代表人（或委托代理人）签字：</w:t>
      </w: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eastAsia="宋体" w:cs="宋体"/>
          <w:kern w:val="0"/>
          <w:sz w:val="21"/>
          <w:szCs w:val="21"/>
          <w:highlight w:val="none"/>
        </w:rPr>
      </w:pPr>
      <w:r>
        <w:rPr>
          <w:rFonts w:hint="eastAsia" w:ascii="宋体" w:hAnsi="宋体" w:eastAsia="宋体" w:cs="宋体"/>
          <w:sz w:val="21"/>
          <w:szCs w:val="21"/>
          <w:highlight w:val="none"/>
        </w:rPr>
        <w:t xml:space="preserve">     日期：</w:t>
      </w:r>
    </w:p>
    <w:p>
      <w:pPr>
        <w:pStyle w:val="5"/>
        <w:jc w:val="center"/>
        <w:rPr>
          <w:rFonts w:ascii="宋体" w:hAnsi="宋体" w:cs="宋体"/>
          <w:sz w:val="28"/>
          <w:highlight w:val="none"/>
        </w:rPr>
      </w:pPr>
    </w:p>
    <w:p>
      <w:pPr>
        <w:pStyle w:val="5"/>
        <w:jc w:val="center"/>
        <w:rPr>
          <w:rFonts w:ascii="宋体" w:hAnsi="宋体" w:cs="宋体"/>
          <w:sz w:val="28"/>
          <w:highlight w:val="none"/>
        </w:rPr>
      </w:pPr>
    </w:p>
    <w:p>
      <w:pPr>
        <w:pStyle w:val="4"/>
        <w:spacing w:before="0" w:after="0" w:line="360" w:lineRule="auto"/>
        <w:jc w:val="center"/>
        <w:rPr>
          <w:rFonts w:ascii="宋体" w:hAnsi="宋体" w:eastAsia="宋体" w:cs="宋体"/>
          <w:sz w:val="28"/>
          <w:highlight w:val="none"/>
        </w:rPr>
      </w:pPr>
      <w:r>
        <w:rPr>
          <w:rFonts w:hint="eastAsia" w:ascii="宋体" w:hAnsi="宋体" w:cs="宋体"/>
          <w:sz w:val="28"/>
          <w:highlight w:val="none"/>
        </w:rPr>
        <w:br w:type="page"/>
      </w:r>
      <w:bookmarkStart w:id="287" w:name="_Toc4456"/>
      <w:r>
        <w:rPr>
          <w:rFonts w:hint="eastAsia" w:ascii="宋体" w:hAnsi="宋体" w:eastAsia="宋体" w:cs="宋体"/>
          <w:sz w:val="28"/>
          <w:highlight w:val="none"/>
        </w:rPr>
        <w:t>六、报价人基本信息及其他材料</w:t>
      </w:r>
      <w:bookmarkEnd w:id="287"/>
    </w:p>
    <w:p>
      <w:pPr>
        <w:pStyle w:val="5"/>
        <w:spacing w:before="0" w:after="0" w:line="360" w:lineRule="auto"/>
        <w:jc w:val="center"/>
        <w:rPr>
          <w:sz w:val="28"/>
          <w:szCs w:val="28"/>
          <w:highlight w:val="none"/>
        </w:rPr>
      </w:pPr>
      <w:bookmarkStart w:id="288" w:name="_Toc452107137"/>
      <w:bookmarkStart w:id="289" w:name="_Toc508110857"/>
      <w:bookmarkStart w:id="290" w:name="_Toc4375"/>
      <w:r>
        <w:rPr>
          <w:rFonts w:hint="eastAsia"/>
          <w:sz w:val="28"/>
          <w:szCs w:val="28"/>
          <w:highlight w:val="none"/>
        </w:rPr>
        <w:t>（一）报价人基本信息表</w:t>
      </w:r>
      <w:bookmarkEnd w:id="288"/>
      <w:bookmarkEnd w:id="289"/>
      <w:bookmarkEnd w:id="290"/>
    </w:p>
    <w:p>
      <w:pPr>
        <w:pStyle w:val="26"/>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报价人</w:t>
            </w:r>
          </w:p>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highlight w:val="none"/>
              </w:rPr>
            </w:pPr>
          </w:p>
        </w:tc>
      </w:tr>
    </w:tbl>
    <w:p>
      <w:pPr>
        <w:pStyle w:val="5"/>
        <w:jc w:val="center"/>
        <w:rPr>
          <w:rFonts w:ascii="宋体" w:hAnsi="宋体" w:cs="宋体"/>
          <w:sz w:val="28"/>
          <w:highlight w:val="none"/>
        </w:rPr>
      </w:pPr>
      <w:r>
        <w:rPr>
          <w:rFonts w:hint="eastAsia" w:ascii="宋体" w:hAnsi="宋体" w:cs="宋体"/>
          <w:sz w:val="28"/>
          <w:highlight w:val="none"/>
        </w:rPr>
        <w:t>（二）其他材料</w:t>
      </w:r>
    </w:p>
    <w:p>
      <w:pPr>
        <w:pStyle w:val="5"/>
        <w:jc w:val="both"/>
        <w:rPr>
          <w:rFonts w:hint="eastAsia" w:ascii="宋体" w:hAnsi="宋体" w:cs="宋体"/>
          <w:b w:val="0"/>
          <w:bCs w:val="0"/>
          <w:kern w:val="0"/>
          <w:sz w:val="21"/>
          <w:szCs w:val="21"/>
          <w:highlight w:val="none"/>
          <w:lang w:val="en-US" w:eastAsia="zh-CN" w:bidi="ar-SA"/>
        </w:rPr>
      </w:pPr>
      <w:r>
        <w:rPr>
          <w:rFonts w:hint="eastAsia" w:ascii="宋体" w:hAnsi="宋体" w:cs="宋体"/>
          <w:b w:val="0"/>
          <w:bCs w:val="0"/>
          <w:kern w:val="0"/>
          <w:sz w:val="21"/>
          <w:szCs w:val="21"/>
          <w:highlight w:val="none"/>
          <w:lang w:val="en-US" w:eastAsia="zh-CN" w:bidi="ar-SA"/>
        </w:rPr>
        <w:t>投标保证金截图等</w:t>
      </w:r>
    </w:p>
    <w:p>
      <w:pPr>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w:t>
      </w: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2"/>
        <w:rPr>
          <w:rFonts w:hint="eastAsia" w:ascii="宋体" w:hAnsi="宋体" w:eastAsia="宋体" w:cs="宋体"/>
          <w:b w:val="0"/>
          <w:bCs w:val="0"/>
          <w:kern w:val="0"/>
          <w:sz w:val="21"/>
          <w:szCs w:val="21"/>
          <w:highlight w:val="none"/>
          <w:lang w:val="en-US" w:eastAsia="zh-CN" w:bidi="ar-SA"/>
        </w:rPr>
      </w:pPr>
    </w:p>
    <w:p>
      <w:pPr>
        <w:rPr>
          <w:rFonts w:hint="eastAsia" w:ascii="宋体" w:hAnsi="宋体" w:eastAsia="宋体" w:cs="宋体"/>
          <w:b w:val="0"/>
          <w:bCs w:val="0"/>
          <w:kern w:val="0"/>
          <w:sz w:val="21"/>
          <w:szCs w:val="21"/>
          <w:highlight w:val="none"/>
          <w:lang w:val="en-US" w:eastAsia="zh-CN" w:bidi="ar-SA"/>
        </w:rPr>
      </w:pPr>
    </w:p>
    <w:p>
      <w:pPr>
        <w:pStyle w:val="4"/>
        <w:spacing w:before="0" w:after="0" w:line="360" w:lineRule="auto"/>
        <w:jc w:val="center"/>
        <w:rPr>
          <w:rFonts w:ascii="宋体" w:hAnsi="宋体" w:eastAsia="宋体" w:cs="宋体"/>
          <w:sz w:val="28"/>
        </w:rPr>
      </w:pPr>
      <w:r>
        <w:rPr>
          <w:rFonts w:hint="eastAsia" w:ascii="宋体" w:hAnsi="宋体" w:eastAsia="宋体" w:cs="宋体"/>
          <w:sz w:val="28"/>
        </w:rPr>
        <w:t>七、现场安全负责人承诺书</w:t>
      </w:r>
    </w:p>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致：</w:t>
      </w:r>
      <w:r>
        <w:rPr>
          <w:rFonts w:hint="eastAsia" w:ascii="宋体" w:hAnsi="宋体" w:eastAsia="宋体" w:cs="宋体"/>
          <w:b/>
          <w:bCs/>
          <w:sz w:val="21"/>
          <w:szCs w:val="21"/>
          <w:highlight w:val="none"/>
          <w:lang w:val="en-US" w:eastAsia="zh-CN"/>
        </w:rPr>
        <w:t>重庆首讯科技股份有限公司</w:t>
      </w:r>
    </w:p>
    <w:p>
      <w:pPr>
        <w:spacing w:line="360" w:lineRule="auto"/>
        <w:ind w:firstLine="420" w:firstLineChars="20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根据贵方为</w:t>
      </w:r>
      <w:r>
        <w:rPr>
          <w:rFonts w:hint="eastAsia" w:ascii="宋体" w:hAnsi="宋体" w:cs="Times New Roman"/>
          <w:highlight w:val="none"/>
          <w:u w:val="single"/>
          <w:lang w:val="en-US" w:eastAsia="zh-CN"/>
        </w:rPr>
        <w:t>四公里办公大楼外墙综合整治、室内基装整改项目</w:t>
      </w:r>
      <w:r>
        <w:rPr>
          <w:rFonts w:hint="eastAsia" w:ascii="宋体" w:hAnsi="宋体" w:eastAsia="宋体" w:cs="宋体"/>
          <w:sz w:val="21"/>
          <w:szCs w:val="21"/>
          <w:highlight w:val="none"/>
          <w:lang w:val="en-US" w:eastAsia="zh-CN"/>
        </w:rPr>
        <w:t>竞争比选项目及服务的竞争比选邀请，</w:t>
      </w:r>
      <w:r>
        <w:rPr>
          <w:rFonts w:hint="eastAsia" w:ascii="宋体" w:hAnsi="宋体" w:eastAsia="宋体" w:cs="宋体"/>
          <w:sz w:val="21"/>
          <w:szCs w:val="21"/>
          <w:highlight w:val="none"/>
          <w:u w:val="single"/>
          <w:lang w:val="en-US" w:eastAsia="zh-CN"/>
        </w:rPr>
        <w:t xml:space="preserve"> （姓名）</w:t>
      </w:r>
      <w:r>
        <w:rPr>
          <w:rFonts w:hint="eastAsia" w:ascii="宋体" w:hAnsi="宋体" w:eastAsia="宋体" w:cs="宋体"/>
          <w:sz w:val="21"/>
          <w:szCs w:val="21"/>
          <w:highlight w:val="none"/>
          <w:lang w:val="en-US" w:eastAsia="zh-CN"/>
        </w:rPr>
        <w:t>经正式任命为</w:t>
      </w:r>
      <w:r>
        <w:rPr>
          <w:rFonts w:hint="eastAsia" w:ascii="宋体" w:hAnsi="宋体" w:cs="Times New Roman"/>
          <w:highlight w:val="none"/>
          <w:u w:val="single"/>
          <w:lang w:val="en-US" w:eastAsia="zh-CN"/>
        </w:rPr>
        <w:t>四公里办公大楼外墙综合整治、室内基装整改项目</w:t>
      </w:r>
      <w:r>
        <w:rPr>
          <w:rFonts w:hint="eastAsia" w:ascii="宋体" w:hAnsi="宋体" w:eastAsia="宋体" w:cs="宋体"/>
          <w:sz w:val="21"/>
          <w:szCs w:val="21"/>
          <w:highlight w:val="none"/>
          <w:lang w:val="en-US" w:eastAsia="zh-CN"/>
        </w:rPr>
        <w:t>现场安全负责人，严格遵守国家有关安全生产的法律法规及《首讯公司工程安全生产的违约处理细则》渝高速首讯文〔2019〕40 号等有关安全生产的规定，承诺施工期间在现场开展安全管理工作。</w:t>
      </w:r>
    </w:p>
    <w:p>
      <w:pPr>
        <w:pStyle w:val="2"/>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p>
      <w:pPr>
        <w:rPr>
          <w:highlight w:val="none"/>
        </w:rPr>
      </w:pPr>
    </w:p>
    <w:p>
      <w:pPr>
        <w:pStyle w:val="2"/>
        <w:rPr>
          <w:highlight w:val="none"/>
        </w:rPr>
      </w:pPr>
    </w:p>
    <w:bookmarkEnd w:id="279"/>
    <w:bookmarkEnd w:id="280"/>
    <w:p>
      <w:pPr>
        <w:pStyle w:val="28"/>
        <w:rPr>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F95D28D-A9BB-4BFA-9A0A-E8CD1A82535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B464E55C"/>
    <w:multiLevelType w:val="singleLevel"/>
    <w:tmpl w:val="B464E55C"/>
    <w:lvl w:ilvl="0" w:tentative="0">
      <w:start w:val="1"/>
      <w:numFmt w:val="decimal"/>
      <w:suff w:val="nothing"/>
      <w:lvlText w:val="（%1）"/>
      <w:lvlJc w:val="left"/>
    </w:lvl>
  </w:abstractNum>
  <w:abstractNum w:abstractNumId="2">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FF842B9"/>
    <w:multiLevelType w:val="singleLevel"/>
    <w:tmpl w:val="0FF842B9"/>
    <w:lvl w:ilvl="0" w:tentative="0">
      <w:start w:val="1"/>
      <w:numFmt w:val="decimal"/>
      <w:suff w:val="nothing"/>
      <w:lvlText w:val="%1、"/>
      <w:lvlJc w:val="left"/>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E7CE8BC"/>
    <w:multiLevelType w:val="singleLevel"/>
    <w:tmpl w:val="3E7CE8BC"/>
    <w:lvl w:ilvl="0" w:tentative="0">
      <w:start w:val="5"/>
      <w:numFmt w:val="chineseCounting"/>
      <w:suff w:val="nothing"/>
      <w:lvlText w:val="%1、"/>
      <w:lvlJc w:val="left"/>
      <w:rPr>
        <w:rFonts w:hint="eastAsia"/>
      </w:rPr>
    </w:lvl>
  </w:abstractNum>
  <w:abstractNum w:abstractNumId="6">
    <w:nsid w:val="55E7E3B4"/>
    <w:multiLevelType w:val="singleLevel"/>
    <w:tmpl w:val="55E7E3B4"/>
    <w:lvl w:ilvl="0" w:tentative="0">
      <w:start w:val="3"/>
      <w:numFmt w:val="chineseCounting"/>
      <w:suff w:val="space"/>
      <w:lvlText w:val="第%1章"/>
      <w:lvlJc w:val="left"/>
      <w:rPr>
        <w:rFonts w:hint="eastAsia"/>
      </w:rPr>
    </w:lvl>
  </w:abstractNum>
  <w:abstractNum w:abstractNumId="7">
    <w:nsid w:val="6F6BD9B8"/>
    <w:multiLevelType w:val="singleLevel"/>
    <w:tmpl w:val="6F6BD9B8"/>
    <w:lvl w:ilvl="0" w:tentative="0">
      <w:start w:val="1"/>
      <w:numFmt w:val="decimal"/>
      <w:suff w:val="nothing"/>
      <w:lvlText w:val="（%1）"/>
      <w:lvlJc w:val="left"/>
    </w:lvl>
  </w:abstractNum>
  <w:abstractNum w:abstractNumId="8">
    <w:nsid w:val="78BA0F68"/>
    <w:multiLevelType w:val="singleLevel"/>
    <w:tmpl w:val="78BA0F68"/>
    <w:lvl w:ilvl="0" w:tentative="0">
      <w:start w:val="1"/>
      <w:numFmt w:val="decimal"/>
      <w:lvlText w:val="%1."/>
      <w:lvlJc w:val="left"/>
      <w:pPr>
        <w:tabs>
          <w:tab w:val="left" w:pos="312"/>
        </w:tabs>
      </w:pPr>
    </w:lvl>
  </w:abstractNum>
  <w:num w:numId="1">
    <w:abstractNumId w:val="2"/>
  </w:num>
  <w:num w:numId="2">
    <w:abstractNumId w:val="0"/>
  </w:num>
  <w:num w:numId="3">
    <w:abstractNumId w:val="8"/>
  </w:num>
  <w:num w:numId="4">
    <w:abstractNumId w:val="3"/>
  </w:num>
  <w:num w:numId="5">
    <w:abstractNumId w:val="7"/>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trackRevisions w:val="1"/>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mVkOTA1MjFjYzMwZWNmZGFhODliZDBjZWU4YWM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1746"/>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4A56"/>
    <w:rsid w:val="00095B35"/>
    <w:rsid w:val="00095EDA"/>
    <w:rsid w:val="000975F2"/>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1523"/>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6337"/>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3553"/>
    <w:rsid w:val="002E695F"/>
    <w:rsid w:val="002F308B"/>
    <w:rsid w:val="002F59DF"/>
    <w:rsid w:val="002F6545"/>
    <w:rsid w:val="002F68D9"/>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3CA8"/>
    <w:rsid w:val="00397134"/>
    <w:rsid w:val="003A063A"/>
    <w:rsid w:val="003A67CF"/>
    <w:rsid w:val="003B4B4D"/>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0A3"/>
    <w:rsid w:val="00426621"/>
    <w:rsid w:val="0043226B"/>
    <w:rsid w:val="0043326B"/>
    <w:rsid w:val="00434144"/>
    <w:rsid w:val="00435BC6"/>
    <w:rsid w:val="004409EE"/>
    <w:rsid w:val="00441624"/>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D7ECE"/>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2F99"/>
    <w:rsid w:val="005E3EBE"/>
    <w:rsid w:val="005E3F38"/>
    <w:rsid w:val="005E782A"/>
    <w:rsid w:val="005F18AC"/>
    <w:rsid w:val="005F2C77"/>
    <w:rsid w:val="00605878"/>
    <w:rsid w:val="0060679A"/>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B6793"/>
    <w:rsid w:val="006C41F0"/>
    <w:rsid w:val="006C497C"/>
    <w:rsid w:val="006C75C9"/>
    <w:rsid w:val="006C7F0A"/>
    <w:rsid w:val="006D1032"/>
    <w:rsid w:val="006D48FF"/>
    <w:rsid w:val="006D4950"/>
    <w:rsid w:val="006E2BEB"/>
    <w:rsid w:val="006E2F3D"/>
    <w:rsid w:val="006E3F3F"/>
    <w:rsid w:val="006E44D5"/>
    <w:rsid w:val="006E4EA8"/>
    <w:rsid w:val="006F08B7"/>
    <w:rsid w:val="00702554"/>
    <w:rsid w:val="0070267A"/>
    <w:rsid w:val="00704E87"/>
    <w:rsid w:val="0070542B"/>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4196"/>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1929"/>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36D13"/>
    <w:rsid w:val="00B41020"/>
    <w:rsid w:val="00B42F9A"/>
    <w:rsid w:val="00B43741"/>
    <w:rsid w:val="00B459DA"/>
    <w:rsid w:val="00B4647E"/>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890"/>
    <w:rsid w:val="00C078A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12D"/>
    <w:rsid w:val="00C66A53"/>
    <w:rsid w:val="00C66FB7"/>
    <w:rsid w:val="00C76490"/>
    <w:rsid w:val="00C8220D"/>
    <w:rsid w:val="00C848C9"/>
    <w:rsid w:val="00C8655B"/>
    <w:rsid w:val="00C91CDE"/>
    <w:rsid w:val="00C91F22"/>
    <w:rsid w:val="00C92C81"/>
    <w:rsid w:val="00C943E9"/>
    <w:rsid w:val="00CA01B6"/>
    <w:rsid w:val="00CA2781"/>
    <w:rsid w:val="00CA398D"/>
    <w:rsid w:val="00CA45CB"/>
    <w:rsid w:val="00CA6808"/>
    <w:rsid w:val="00CA7567"/>
    <w:rsid w:val="00CB4015"/>
    <w:rsid w:val="00CB452C"/>
    <w:rsid w:val="00CB4A3D"/>
    <w:rsid w:val="00CB5C0F"/>
    <w:rsid w:val="00CB7FDA"/>
    <w:rsid w:val="00CC0EAF"/>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988"/>
    <w:rsid w:val="00DD4A11"/>
    <w:rsid w:val="00DD4FB9"/>
    <w:rsid w:val="00DD737B"/>
    <w:rsid w:val="00DE1033"/>
    <w:rsid w:val="00DE251C"/>
    <w:rsid w:val="00DE288F"/>
    <w:rsid w:val="00DE2BFF"/>
    <w:rsid w:val="00DE3226"/>
    <w:rsid w:val="00DE58F9"/>
    <w:rsid w:val="00DE680C"/>
    <w:rsid w:val="00DE7971"/>
    <w:rsid w:val="00DF1985"/>
    <w:rsid w:val="00DF5B31"/>
    <w:rsid w:val="00E02114"/>
    <w:rsid w:val="00E03783"/>
    <w:rsid w:val="00E03A6B"/>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03AC"/>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CA6EA2"/>
    <w:rsid w:val="01E05E16"/>
    <w:rsid w:val="01E05F01"/>
    <w:rsid w:val="020C0D2B"/>
    <w:rsid w:val="02195A53"/>
    <w:rsid w:val="022831DB"/>
    <w:rsid w:val="02375428"/>
    <w:rsid w:val="02427F54"/>
    <w:rsid w:val="024F494D"/>
    <w:rsid w:val="026D36BB"/>
    <w:rsid w:val="029D41FE"/>
    <w:rsid w:val="02A800C5"/>
    <w:rsid w:val="02B53517"/>
    <w:rsid w:val="02C6499B"/>
    <w:rsid w:val="02C91CAA"/>
    <w:rsid w:val="02D0709E"/>
    <w:rsid w:val="02FA438B"/>
    <w:rsid w:val="037D0CD2"/>
    <w:rsid w:val="038B3366"/>
    <w:rsid w:val="03981B5E"/>
    <w:rsid w:val="03996EAD"/>
    <w:rsid w:val="039F3A25"/>
    <w:rsid w:val="03F60BFA"/>
    <w:rsid w:val="04023CC8"/>
    <w:rsid w:val="04144049"/>
    <w:rsid w:val="042674F4"/>
    <w:rsid w:val="042A6EF2"/>
    <w:rsid w:val="042D3C13"/>
    <w:rsid w:val="04566DE4"/>
    <w:rsid w:val="04722D72"/>
    <w:rsid w:val="047A0BBC"/>
    <w:rsid w:val="04933E65"/>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324D6"/>
    <w:rsid w:val="05871A0A"/>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3282F"/>
    <w:rsid w:val="06F965AD"/>
    <w:rsid w:val="07035F04"/>
    <w:rsid w:val="07050666"/>
    <w:rsid w:val="07166CB2"/>
    <w:rsid w:val="071A6392"/>
    <w:rsid w:val="071C4DB7"/>
    <w:rsid w:val="07362674"/>
    <w:rsid w:val="073B54B2"/>
    <w:rsid w:val="07410810"/>
    <w:rsid w:val="07537EF9"/>
    <w:rsid w:val="0760673E"/>
    <w:rsid w:val="076646E5"/>
    <w:rsid w:val="077E1A2E"/>
    <w:rsid w:val="07815EE7"/>
    <w:rsid w:val="0784155A"/>
    <w:rsid w:val="079A613C"/>
    <w:rsid w:val="07A22AF8"/>
    <w:rsid w:val="07E6454D"/>
    <w:rsid w:val="081748AE"/>
    <w:rsid w:val="08635851"/>
    <w:rsid w:val="08891E69"/>
    <w:rsid w:val="08A30341"/>
    <w:rsid w:val="08AD5E33"/>
    <w:rsid w:val="08B128CB"/>
    <w:rsid w:val="08C2359B"/>
    <w:rsid w:val="08ED052C"/>
    <w:rsid w:val="09041814"/>
    <w:rsid w:val="092D7BDC"/>
    <w:rsid w:val="09332D2B"/>
    <w:rsid w:val="093E2D64"/>
    <w:rsid w:val="09455F12"/>
    <w:rsid w:val="09472203"/>
    <w:rsid w:val="098B1DA7"/>
    <w:rsid w:val="098F7872"/>
    <w:rsid w:val="09907951"/>
    <w:rsid w:val="099F43E4"/>
    <w:rsid w:val="09A31A61"/>
    <w:rsid w:val="09BA7A85"/>
    <w:rsid w:val="09DE1094"/>
    <w:rsid w:val="09E2475B"/>
    <w:rsid w:val="0A183EA3"/>
    <w:rsid w:val="0A207013"/>
    <w:rsid w:val="0A3F34B7"/>
    <w:rsid w:val="0A441A30"/>
    <w:rsid w:val="0A4B11BE"/>
    <w:rsid w:val="0A7B4003"/>
    <w:rsid w:val="0A7D7D7B"/>
    <w:rsid w:val="0A8E5B8D"/>
    <w:rsid w:val="0AA240FA"/>
    <w:rsid w:val="0AA73E0E"/>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B3827"/>
    <w:rsid w:val="0CAD24AF"/>
    <w:rsid w:val="0CB27F34"/>
    <w:rsid w:val="0CE2660D"/>
    <w:rsid w:val="0D0D3F93"/>
    <w:rsid w:val="0D12389F"/>
    <w:rsid w:val="0D2820B7"/>
    <w:rsid w:val="0D2B5BA2"/>
    <w:rsid w:val="0D2F6875"/>
    <w:rsid w:val="0D33523D"/>
    <w:rsid w:val="0D4E3104"/>
    <w:rsid w:val="0D5B6D6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4F077B"/>
    <w:rsid w:val="0E551882"/>
    <w:rsid w:val="0E5C239D"/>
    <w:rsid w:val="0E7306EC"/>
    <w:rsid w:val="0E945E50"/>
    <w:rsid w:val="0E963048"/>
    <w:rsid w:val="0EAD7E50"/>
    <w:rsid w:val="0EB254B2"/>
    <w:rsid w:val="0EB567A2"/>
    <w:rsid w:val="0EC30A61"/>
    <w:rsid w:val="0ED91C40"/>
    <w:rsid w:val="0EE44C60"/>
    <w:rsid w:val="0EFB3F5D"/>
    <w:rsid w:val="0F041CC7"/>
    <w:rsid w:val="0F042317"/>
    <w:rsid w:val="0F072534"/>
    <w:rsid w:val="0F1209F8"/>
    <w:rsid w:val="0F4C19DA"/>
    <w:rsid w:val="0F4C7D05"/>
    <w:rsid w:val="0F4F31AF"/>
    <w:rsid w:val="0F5F17BD"/>
    <w:rsid w:val="0F6617B3"/>
    <w:rsid w:val="0F6B0BDE"/>
    <w:rsid w:val="0F7E014D"/>
    <w:rsid w:val="0F891F7D"/>
    <w:rsid w:val="0F904B36"/>
    <w:rsid w:val="0F90531D"/>
    <w:rsid w:val="0FA721E9"/>
    <w:rsid w:val="0FAD64B5"/>
    <w:rsid w:val="0FB21FD4"/>
    <w:rsid w:val="0FB57489"/>
    <w:rsid w:val="0FE57427"/>
    <w:rsid w:val="0FFE176A"/>
    <w:rsid w:val="0FFF5930"/>
    <w:rsid w:val="1018536D"/>
    <w:rsid w:val="101D4748"/>
    <w:rsid w:val="105454A3"/>
    <w:rsid w:val="108E33C3"/>
    <w:rsid w:val="10981F7A"/>
    <w:rsid w:val="10A265EF"/>
    <w:rsid w:val="10DC5B73"/>
    <w:rsid w:val="10E305D2"/>
    <w:rsid w:val="10EC4A0F"/>
    <w:rsid w:val="10FB7C4C"/>
    <w:rsid w:val="11156FC6"/>
    <w:rsid w:val="11485B0D"/>
    <w:rsid w:val="114C7209"/>
    <w:rsid w:val="114D3805"/>
    <w:rsid w:val="1154158B"/>
    <w:rsid w:val="11677BA5"/>
    <w:rsid w:val="117076B2"/>
    <w:rsid w:val="119E6579"/>
    <w:rsid w:val="11D435DD"/>
    <w:rsid w:val="11DA3C43"/>
    <w:rsid w:val="11E15B8A"/>
    <w:rsid w:val="11EC57E6"/>
    <w:rsid w:val="11F35990"/>
    <w:rsid w:val="1220326C"/>
    <w:rsid w:val="122C043B"/>
    <w:rsid w:val="123A67B6"/>
    <w:rsid w:val="125515DD"/>
    <w:rsid w:val="125670E6"/>
    <w:rsid w:val="125E1A9C"/>
    <w:rsid w:val="1276289F"/>
    <w:rsid w:val="1288522D"/>
    <w:rsid w:val="128F714D"/>
    <w:rsid w:val="129D6A95"/>
    <w:rsid w:val="12AF4046"/>
    <w:rsid w:val="12B74046"/>
    <w:rsid w:val="12CE506D"/>
    <w:rsid w:val="12D036D1"/>
    <w:rsid w:val="12EC4D41"/>
    <w:rsid w:val="12F65490"/>
    <w:rsid w:val="12F73D2A"/>
    <w:rsid w:val="12F9698E"/>
    <w:rsid w:val="13112273"/>
    <w:rsid w:val="131C7C5D"/>
    <w:rsid w:val="134E5054"/>
    <w:rsid w:val="13511DF6"/>
    <w:rsid w:val="1359610F"/>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36127"/>
    <w:rsid w:val="1556607F"/>
    <w:rsid w:val="1557566D"/>
    <w:rsid w:val="15664AEF"/>
    <w:rsid w:val="158E23E1"/>
    <w:rsid w:val="159D7EA6"/>
    <w:rsid w:val="159F1BF9"/>
    <w:rsid w:val="15A00DC2"/>
    <w:rsid w:val="15B71B1D"/>
    <w:rsid w:val="15E63361"/>
    <w:rsid w:val="160B0227"/>
    <w:rsid w:val="16864176"/>
    <w:rsid w:val="16B34B25"/>
    <w:rsid w:val="16E04880"/>
    <w:rsid w:val="16F86032"/>
    <w:rsid w:val="16FE2244"/>
    <w:rsid w:val="17081A7A"/>
    <w:rsid w:val="17092996"/>
    <w:rsid w:val="17292C0C"/>
    <w:rsid w:val="1751439F"/>
    <w:rsid w:val="176F50FE"/>
    <w:rsid w:val="17AD5A18"/>
    <w:rsid w:val="17D10049"/>
    <w:rsid w:val="17D75109"/>
    <w:rsid w:val="17DD0B49"/>
    <w:rsid w:val="17EA6CFE"/>
    <w:rsid w:val="17EE4479"/>
    <w:rsid w:val="17F1563C"/>
    <w:rsid w:val="17F23C73"/>
    <w:rsid w:val="180F3B80"/>
    <w:rsid w:val="181B1411"/>
    <w:rsid w:val="181C1400"/>
    <w:rsid w:val="18223BBF"/>
    <w:rsid w:val="18406E44"/>
    <w:rsid w:val="185C1918"/>
    <w:rsid w:val="1880349D"/>
    <w:rsid w:val="18A24E51"/>
    <w:rsid w:val="18BD142C"/>
    <w:rsid w:val="18BD60C6"/>
    <w:rsid w:val="18D435BC"/>
    <w:rsid w:val="18DC65B5"/>
    <w:rsid w:val="18E261BC"/>
    <w:rsid w:val="18E6320F"/>
    <w:rsid w:val="190050D9"/>
    <w:rsid w:val="19193365"/>
    <w:rsid w:val="19261639"/>
    <w:rsid w:val="195D5C0E"/>
    <w:rsid w:val="19795DC5"/>
    <w:rsid w:val="19B116AD"/>
    <w:rsid w:val="19B17485"/>
    <w:rsid w:val="19B64CC2"/>
    <w:rsid w:val="19BA69A5"/>
    <w:rsid w:val="19CC487B"/>
    <w:rsid w:val="19DF6D3F"/>
    <w:rsid w:val="19E24459"/>
    <w:rsid w:val="19E75211"/>
    <w:rsid w:val="19EF2451"/>
    <w:rsid w:val="1A176F08"/>
    <w:rsid w:val="1A194A1B"/>
    <w:rsid w:val="1A305FF4"/>
    <w:rsid w:val="1A3D7EBE"/>
    <w:rsid w:val="1A4353A0"/>
    <w:rsid w:val="1A557489"/>
    <w:rsid w:val="1A89451A"/>
    <w:rsid w:val="1AD511ED"/>
    <w:rsid w:val="1AE61F72"/>
    <w:rsid w:val="1AF45443"/>
    <w:rsid w:val="1B075A0C"/>
    <w:rsid w:val="1B1A7868"/>
    <w:rsid w:val="1B1C7DC9"/>
    <w:rsid w:val="1B67066F"/>
    <w:rsid w:val="1B7229E4"/>
    <w:rsid w:val="1B7A5EC7"/>
    <w:rsid w:val="1B8D5F8D"/>
    <w:rsid w:val="1B8E5EC0"/>
    <w:rsid w:val="1BBE47DE"/>
    <w:rsid w:val="1BC10D01"/>
    <w:rsid w:val="1C2613A8"/>
    <w:rsid w:val="1C477E44"/>
    <w:rsid w:val="1C8461DD"/>
    <w:rsid w:val="1C9B22E2"/>
    <w:rsid w:val="1CA53B30"/>
    <w:rsid w:val="1CB33990"/>
    <w:rsid w:val="1CBE72D2"/>
    <w:rsid w:val="1CF6260F"/>
    <w:rsid w:val="1CF83AEA"/>
    <w:rsid w:val="1CF911FC"/>
    <w:rsid w:val="1CFC0FD3"/>
    <w:rsid w:val="1CFF7A9C"/>
    <w:rsid w:val="1D34223E"/>
    <w:rsid w:val="1D681B82"/>
    <w:rsid w:val="1D6914D5"/>
    <w:rsid w:val="1D7C7A22"/>
    <w:rsid w:val="1D7E09CF"/>
    <w:rsid w:val="1D9F1A69"/>
    <w:rsid w:val="1DB50BD0"/>
    <w:rsid w:val="1DD7388B"/>
    <w:rsid w:val="1DE41480"/>
    <w:rsid w:val="1DEB1932"/>
    <w:rsid w:val="1E2139B7"/>
    <w:rsid w:val="1E7A14A8"/>
    <w:rsid w:val="1E7F32B0"/>
    <w:rsid w:val="1E9C7B40"/>
    <w:rsid w:val="1EA77665"/>
    <w:rsid w:val="1EBA058B"/>
    <w:rsid w:val="1EBB622E"/>
    <w:rsid w:val="1ED17F52"/>
    <w:rsid w:val="1EDD751C"/>
    <w:rsid w:val="1EE170B7"/>
    <w:rsid w:val="1EEA13A6"/>
    <w:rsid w:val="1EEB392A"/>
    <w:rsid w:val="1EFE64E9"/>
    <w:rsid w:val="1F6207D0"/>
    <w:rsid w:val="1F8A7AB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7E2000"/>
    <w:rsid w:val="21977807"/>
    <w:rsid w:val="219A6D4B"/>
    <w:rsid w:val="21B30D9B"/>
    <w:rsid w:val="21B32189"/>
    <w:rsid w:val="21C2735E"/>
    <w:rsid w:val="21CF480B"/>
    <w:rsid w:val="21E57FA3"/>
    <w:rsid w:val="21FB5A74"/>
    <w:rsid w:val="226650A3"/>
    <w:rsid w:val="22677BAA"/>
    <w:rsid w:val="226827C0"/>
    <w:rsid w:val="227C6EFF"/>
    <w:rsid w:val="22942795"/>
    <w:rsid w:val="22A10D06"/>
    <w:rsid w:val="22B665A5"/>
    <w:rsid w:val="22B66C9F"/>
    <w:rsid w:val="22C925E0"/>
    <w:rsid w:val="22D84291"/>
    <w:rsid w:val="22E46F4A"/>
    <w:rsid w:val="22E82DE7"/>
    <w:rsid w:val="22F20159"/>
    <w:rsid w:val="22FC6B3F"/>
    <w:rsid w:val="23005537"/>
    <w:rsid w:val="231A3C9A"/>
    <w:rsid w:val="231B23CF"/>
    <w:rsid w:val="232C54A8"/>
    <w:rsid w:val="233C2C53"/>
    <w:rsid w:val="23486890"/>
    <w:rsid w:val="236F1F61"/>
    <w:rsid w:val="23AB4CDF"/>
    <w:rsid w:val="23C37A75"/>
    <w:rsid w:val="240404D0"/>
    <w:rsid w:val="240D5DDB"/>
    <w:rsid w:val="241B6DE6"/>
    <w:rsid w:val="24220F3E"/>
    <w:rsid w:val="2423604B"/>
    <w:rsid w:val="243A3F7E"/>
    <w:rsid w:val="24436391"/>
    <w:rsid w:val="2450121E"/>
    <w:rsid w:val="247A4C56"/>
    <w:rsid w:val="2487622C"/>
    <w:rsid w:val="24973094"/>
    <w:rsid w:val="24AD6D9A"/>
    <w:rsid w:val="24E52AD8"/>
    <w:rsid w:val="24E85B0E"/>
    <w:rsid w:val="250A6267"/>
    <w:rsid w:val="251418FC"/>
    <w:rsid w:val="252B19DB"/>
    <w:rsid w:val="254925FD"/>
    <w:rsid w:val="255249D2"/>
    <w:rsid w:val="256C0CC0"/>
    <w:rsid w:val="25712B23"/>
    <w:rsid w:val="25951FC5"/>
    <w:rsid w:val="25A845B3"/>
    <w:rsid w:val="25B34D67"/>
    <w:rsid w:val="25EB71B7"/>
    <w:rsid w:val="26154215"/>
    <w:rsid w:val="261A0BE6"/>
    <w:rsid w:val="26215F4F"/>
    <w:rsid w:val="26385E8A"/>
    <w:rsid w:val="263C7691"/>
    <w:rsid w:val="265E2776"/>
    <w:rsid w:val="26666FDC"/>
    <w:rsid w:val="26706683"/>
    <w:rsid w:val="26963D4E"/>
    <w:rsid w:val="26AB763C"/>
    <w:rsid w:val="26B267E7"/>
    <w:rsid w:val="26D794B7"/>
    <w:rsid w:val="26E02FA9"/>
    <w:rsid w:val="26F131DC"/>
    <w:rsid w:val="26F65310"/>
    <w:rsid w:val="27052D05"/>
    <w:rsid w:val="27082804"/>
    <w:rsid w:val="270832AE"/>
    <w:rsid w:val="27343A60"/>
    <w:rsid w:val="27357F9F"/>
    <w:rsid w:val="275E35BF"/>
    <w:rsid w:val="27A4553F"/>
    <w:rsid w:val="27CA7E10"/>
    <w:rsid w:val="27D35135"/>
    <w:rsid w:val="27DD1D93"/>
    <w:rsid w:val="27EF1935"/>
    <w:rsid w:val="280A1B75"/>
    <w:rsid w:val="28257458"/>
    <w:rsid w:val="283962F8"/>
    <w:rsid w:val="28422AB2"/>
    <w:rsid w:val="284E28FF"/>
    <w:rsid w:val="285D6583"/>
    <w:rsid w:val="287A36F4"/>
    <w:rsid w:val="288458E7"/>
    <w:rsid w:val="28A33A20"/>
    <w:rsid w:val="28A47F17"/>
    <w:rsid w:val="28A95D87"/>
    <w:rsid w:val="28C444F4"/>
    <w:rsid w:val="28FE6071"/>
    <w:rsid w:val="290212C1"/>
    <w:rsid w:val="290D5ED8"/>
    <w:rsid w:val="29656DCE"/>
    <w:rsid w:val="29722140"/>
    <w:rsid w:val="298B4B23"/>
    <w:rsid w:val="29AD63FD"/>
    <w:rsid w:val="29B175E9"/>
    <w:rsid w:val="29B71FDB"/>
    <w:rsid w:val="29CF18DD"/>
    <w:rsid w:val="29D65D23"/>
    <w:rsid w:val="29D875FE"/>
    <w:rsid w:val="29DF010E"/>
    <w:rsid w:val="29FE44DD"/>
    <w:rsid w:val="2A1169E3"/>
    <w:rsid w:val="2A194E5D"/>
    <w:rsid w:val="2A21554B"/>
    <w:rsid w:val="2A2A17CD"/>
    <w:rsid w:val="2A594BC2"/>
    <w:rsid w:val="2A5A558B"/>
    <w:rsid w:val="2A9F7561"/>
    <w:rsid w:val="2AA90FA0"/>
    <w:rsid w:val="2AB103DC"/>
    <w:rsid w:val="2AB31CE2"/>
    <w:rsid w:val="2AB55266"/>
    <w:rsid w:val="2AF000D8"/>
    <w:rsid w:val="2B3C2B7F"/>
    <w:rsid w:val="2B487382"/>
    <w:rsid w:val="2B552F60"/>
    <w:rsid w:val="2B5D3585"/>
    <w:rsid w:val="2B7841A6"/>
    <w:rsid w:val="2BB367B9"/>
    <w:rsid w:val="2BB62D59"/>
    <w:rsid w:val="2BEA293F"/>
    <w:rsid w:val="2BEC2B5B"/>
    <w:rsid w:val="2C13380B"/>
    <w:rsid w:val="2C184D47"/>
    <w:rsid w:val="2C796A89"/>
    <w:rsid w:val="2C7C10B6"/>
    <w:rsid w:val="2CB204A3"/>
    <w:rsid w:val="2CBD3A96"/>
    <w:rsid w:val="2CC74339"/>
    <w:rsid w:val="2CCC23F7"/>
    <w:rsid w:val="2CCE1414"/>
    <w:rsid w:val="2CF93ABF"/>
    <w:rsid w:val="2D1C573E"/>
    <w:rsid w:val="2D1E27A3"/>
    <w:rsid w:val="2D1E560F"/>
    <w:rsid w:val="2D394FF5"/>
    <w:rsid w:val="2D766528"/>
    <w:rsid w:val="2D797435"/>
    <w:rsid w:val="2D8446A1"/>
    <w:rsid w:val="2DF26007"/>
    <w:rsid w:val="2DF50B51"/>
    <w:rsid w:val="2E6111A5"/>
    <w:rsid w:val="2E671D49"/>
    <w:rsid w:val="2E6A704D"/>
    <w:rsid w:val="2E6C0B54"/>
    <w:rsid w:val="2E7A444E"/>
    <w:rsid w:val="2E8A6255"/>
    <w:rsid w:val="2E8B21B7"/>
    <w:rsid w:val="2EA51EA6"/>
    <w:rsid w:val="2EB8596B"/>
    <w:rsid w:val="2EC8145A"/>
    <w:rsid w:val="2F0B1048"/>
    <w:rsid w:val="2F132DA3"/>
    <w:rsid w:val="2F141AAA"/>
    <w:rsid w:val="2F57653D"/>
    <w:rsid w:val="2F5A3045"/>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ED2830"/>
    <w:rsid w:val="310743D8"/>
    <w:rsid w:val="3112096E"/>
    <w:rsid w:val="316B2857"/>
    <w:rsid w:val="31832D29"/>
    <w:rsid w:val="31997196"/>
    <w:rsid w:val="319D5339"/>
    <w:rsid w:val="319F2F47"/>
    <w:rsid w:val="31B2277E"/>
    <w:rsid w:val="31D20CDE"/>
    <w:rsid w:val="31F37E23"/>
    <w:rsid w:val="31FE689A"/>
    <w:rsid w:val="32223DC6"/>
    <w:rsid w:val="325A02A1"/>
    <w:rsid w:val="329032EF"/>
    <w:rsid w:val="329970EF"/>
    <w:rsid w:val="32AE0B6A"/>
    <w:rsid w:val="32B35AAA"/>
    <w:rsid w:val="32F81DE5"/>
    <w:rsid w:val="32FD11AA"/>
    <w:rsid w:val="330F3777"/>
    <w:rsid w:val="33135210"/>
    <w:rsid w:val="3326373F"/>
    <w:rsid w:val="333626EB"/>
    <w:rsid w:val="334459AC"/>
    <w:rsid w:val="33705A64"/>
    <w:rsid w:val="338E32D5"/>
    <w:rsid w:val="33A055AF"/>
    <w:rsid w:val="33A51E80"/>
    <w:rsid w:val="33B04066"/>
    <w:rsid w:val="33E16D1D"/>
    <w:rsid w:val="33EE589E"/>
    <w:rsid w:val="340329A9"/>
    <w:rsid w:val="340D7B12"/>
    <w:rsid w:val="341E2B5D"/>
    <w:rsid w:val="342645AD"/>
    <w:rsid w:val="342B057B"/>
    <w:rsid w:val="34335C8F"/>
    <w:rsid w:val="345968B4"/>
    <w:rsid w:val="34617CD8"/>
    <w:rsid w:val="346317C9"/>
    <w:rsid w:val="346A286F"/>
    <w:rsid w:val="346C1C91"/>
    <w:rsid w:val="34753860"/>
    <w:rsid w:val="348C6C4A"/>
    <w:rsid w:val="34A61339"/>
    <w:rsid w:val="34AF4725"/>
    <w:rsid w:val="34CC3006"/>
    <w:rsid w:val="34F3793E"/>
    <w:rsid w:val="34FA09EA"/>
    <w:rsid w:val="354B5D9D"/>
    <w:rsid w:val="35506C87"/>
    <w:rsid w:val="35574E9C"/>
    <w:rsid w:val="35580207"/>
    <w:rsid w:val="35681367"/>
    <w:rsid w:val="35712E34"/>
    <w:rsid w:val="358054A4"/>
    <w:rsid w:val="35832558"/>
    <w:rsid w:val="359305B1"/>
    <w:rsid w:val="35966E67"/>
    <w:rsid w:val="35A973C7"/>
    <w:rsid w:val="35ED793B"/>
    <w:rsid w:val="35F06F52"/>
    <w:rsid w:val="35F84740"/>
    <w:rsid w:val="36383125"/>
    <w:rsid w:val="365E28A7"/>
    <w:rsid w:val="366C082D"/>
    <w:rsid w:val="368816D2"/>
    <w:rsid w:val="368C388A"/>
    <w:rsid w:val="36C00E6C"/>
    <w:rsid w:val="36C90DD1"/>
    <w:rsid w:val="36EF2646"/>
    <w:rsid w:val="36F275DD"/>
    <w:rsid w:val="36F55D23"/>
    <w:rsid w:val="37031C33"/>
    <w:rsid w:val="37084089"/>
    <w:rsid w:val="372A4537"/>
    <w:rsid w:val="374634AB"/>
    <w:rsid w:val="37543CF6"/>
    <w:rsid w:val="37704489"/>
    <w:rsid w:val="37710026"/>
    <w:rsid w:val="37731B16"/>
    <w:rsid w:val="37925427"/>
    <w:rsid w:val="37A01319"/>
    <w:rsid w:val="37A55DCC"/>
    <w:rsid w:val="37C075FB"/>
    <w:rsid w:val="37CA04FF"/>
    <w:rsid w:val="37D30771"/>
    <w:rsid w:val="37E3512E"/>
    <w:rsid w:val="37EC0BB8"/>
    <w:rsid w:val="382F75E3"/>
    <w:rsid w:val="38371ACC"/>
    <w:rsid w:val="38665479"/>
    <w:rsid w:val="389205E6"/>
    <w:rsid w:val="38A748FD"/>
    <w:rsid w:val="38D53666"/>
    <w:rsid w:val="38E70932"/>
    <w:rsid w:val="38FF39F5"/>
    <w:rsid w:val="394C68A5"/>
    <w:rsid w:val="3952462B"/>
    <w:rsid w:val="395E479A"/>
    <w:rsid w:val="39675804"/>
    <w:rsid w:val="3988749C"/>
    <w:rsid w:val="398A60A0"/>
    <w:rsid w:val="39A36C2D"/>
    <w:rsid w:val="39AA29B9"/>
    <w:rsid w:val="39AE63D1"/>
    <w:rsid w:val="39D7D99B"/>
    <w:rsid w:val="39E71AEC"/>
    <w:rsid w:val="39F60058"/>
    <w:rsid w:val="3A104089"/>
    <w:rsid w:val="3A190FBF"/>
    <w:rsid w:val="3A1A692D"/>
    <w:rsid w:val="3A1E783F"/>
    <w:rsid w:val="3A2B31D2"/>
    <w:rsid w:val="3A8217DE"/>
    <w:rsid w:val="3A822B01"/>
    <w:rsid w:val="3A8D375B"/>
    <w:rsid w:val="3AB8426E"/>
    <w:rsid w:val="3ABD5DEE"/>
    <w:rsid w:val="3ACF765C"/>
    <w:rsid w:val="3AD278CD"/>
    <w:rsid w:val="3AFA4BE5"/>
    <w:rsid w:val="3B046CCA"/>
    <w:rsid w:val="3B196D9D"/>
    <w:rsid w:val="3B2A44B8"/>
    <w:rsid w:val="3B2B6476"/>
    <w:rsid w:val="3BA0301A"/>
    <w:rsid w:val="3BAF3CA2"/>
    <w:rsid w:val="3BBC038E"/>
    <w:rsid w:val="3BD6104E"/>
    <w:rsid w:val="3BF72351"/>
    <w:rsid w:val="3BFE3F02"/>
    <w:rsid w:val="3C2972FD"/>
    <w:rsid w:val="3C3261E8"/>
    <w:rsid w:val="3C524EFE"/>
    <w:rsid w:val="3C53008C"/>
    <w:rsid w:val="3C5B4444"/>
    <w:rsid w:val="3C852047"/>
    <w:rsid w:val="3C896BEF"/>
    <w:rsid w:val="3C97F720"/>
    <w:rsid w:val="3CA13116"/>
    <w:rsid w:val="3CA925AE"/>
    <w:rsid w:val="3CC13485"/>
    <w:rsid w:val="3CCF4FA4"/>
    <w:rsid w:val="3CF877AB"/>
    <w:rsid w:val="3D306CB2"/>
    <w:rsid w:val="3D32729D"/>
    <w:rsid w:val="3D485E54"/>
    <w:rsid w:val="3D62504C"/>
    <w:rsid w:val="3D667959"/>
    <w:rsid w:val="3D8230F2"/>
    <w:rsid w:val="3D886E2C"/>
    <w:rsid w:val="3D9A6B04"/>
    <w:rsid w:val="3DAA5519"/>
    <w:rsid w:val="3DC413E8"/>
    <w:rsid w:val="3DCA34BB"/>
    <w:rsid w:val="3DD83D60"/>
    <w:rsid w:val="3DEE7764"/>
    <w:rsid w:val="3E044CAE"/>
    <w:rsid w:val="3E12201C"/>
    <w:rsid w:val="3E427218"/>
    <w:rsid w:val="3E460E59"/>
    <w:rsid w:val="3E8F30B5"/>
    <w:rsid w:val="3E962C89"/>
    <w:rsid w:val="3E9D9EE9"/>
    <w:rsid w:val="3EA27573"/>
    <w:rsid w:val="3EA72ABE"/>
    <w:rsid w:val="3EAD4174"/>
    <w:rsid w:val="3EAD7F9C"/>
    <w:rsid w:val="3EB32892"/>
    <w:rsid w:val="3EBC3336"/>
    <w:rsid w:val="3EDE79C6"/>
    <w:rsid w:val="3EF60080"/>
    <w:rsid w:val="3EF65530"/>
    <w:rsid w:val="3EFEC654"/>
    <w:rsid w:val="3F064AE9"/>
    <w:rsid w:val="3F3B0C43"/>
    <w:rsid w:val="3F4C62B0"/>
    <w:rsid w:val="3F585F31"/>
    <w:rsid w:val="3F6A4BE4"/>
    <w:rsid w:val="3F7279F0"/>
    <w:rsid w:val="3F7C65CA"/>
    <w:rsid w:val="3F7F0FB6"/>
    <w:rsid w:val="3F9717D1"/>
    <w:rsid w:val="3F9B13A5"/>
    <w:rsid w:val="3FB2485B"/>
    <w:rsid w:val="3FBD3AE8"/>
    <w:rsid w:val="3FEE166B"/>
    <w:rsid w:val="3FFEE24B"/>
    <w:rsid w:val="402A34B8"/>
    <w:rsid w:val="402C4889"/>
    <w:rsid w:val="40360CD1"/>
    <w:rsid w:val="40361D66"/>
    <w:rsid w:val="404C1EBB"/>
    <w:rsid w:val="405214DD"/>
    <w:rsid w:val="406060C3"/>
    <w:rsid w:val="40613E30"/>
    <w:rsid w:val="40736573"/>
    <w:rsid w:val="407D7357"/>
    <w:rsid w:val="40860A30"/>
    <w:rsid w:val="408D0A8F"/>
    <w:rsid w:val="409B4A07"/>
    <w:rsid w:val="40BF6E39"/>
    <w:rsid w:val="40C25B7F"/>
    <w:rsid w:val="40C73A02"/>
    <w:rsid w:val="40E02BC9"/>
    <w:rsid w:val="40F66678"/>
    <w:rsid w:val="40FA12EB"/>
    <w:rsid w:val="410A16AB"/>
    <w:rsid w:val="410E1C56"/>
    <w:rsid w:val="4120577A"/>
    <w:rsid w:val="41603084"/>
    <w:rsid w:val="41686388"/>
    <w:rsid w:val="416C142E"/>
    <w:rsid w:val="41886C7C"/>
    <w:rsid w:val="41E677EA"/>
    <w:rsid w:val="41FD121E"/>
    <w:rsid w:val="42117A10"/>
    <w:rsid w:val="421A7627"/>
    <w:rsid w:val="4233112B"/>
    <w:rsid w:val="42401E98"/>
    <w:rsid w:val="42474F8A"/>
    <w:rsid w:val="42872311"/>
    <w:rsid w:val="428B5762"/>
    <w:rsid w:val="429F3B64"/>
    <w:rsid w:val="42B64F1C"/>
    <w:rsid w:val="42C92887"/>
    <w:rsid w:val="42D47C2B"/>
    <w:rsid w:val="42DA32B5"/>
    <w:rsid w:val="42FB45E4"/>
    <w:rsid w:val="4307713D"/>
    <w:rsid w:val="433543AC"/>
    <w:rsid w:val="43420FE8"/>
    <w:rsid w:val="434513F0"/>
    <w:rsid w:val="435475DF"/>
    <w:rsid w:val="43606D1A"/>
    <w:rsid w:val="43702851"/>
    <w:rsid w:val="437269BA"/>
    <w:rsid w:val="437F3C65"/>
    <w:rsid w:val="43B34232"/>
    <w:rsid w:val="43CA4F48"/>
    <w:rsid w:val="43FE78B1"/>
    <w:rsid w:val="440A7CA0"/>
    <w:rsid w:val="440F2351"/>
    <w:rsid w:val="441F3AB4"/>
    <w:rsid w:val="4424604A"/>
    <w:rsid w:val="442967DE"/>
    <w:rsid w:val="445014AB"/>
    <w:rsid w:val="44674A51"/>
    <w:rsid w:val="44CE660D"/>
    <w:rsid w:val="44F103C7"/>
    <w:rsid w:val="452D47A4"/>
    <w:rsid w:val="4545710C"/>
    <w:rsid w:val="454C3E11"/>
    <w:rsid w:val="454F0B76"/>
    <w:rsid w:val="45795008"/>
    <w:rsid w:val="4579514B"/>
    <w:rsid w:val="457E2BBE"/>
    <w:rsid w:val="457F72E8"/>
    <w:rsid w:val="459F05CE"/>
    <w:rsid w:val="45A24B57"/>
    <w:rsid w:val="45D72674"/>
    <w:rsid w:val="45DE083B"/>
    <w:rsid w:val="45E076C0"/>
    <w:rsid w:val="45F36067"/>
    <w:rsid w:val="460C0745"/>
    <w:rsid w:val="463122D8"/>
    <w:rsid w:val="463144E5"/>
    <w:rsid w:val="4632053D"/>
    <w:rsid w:val="46577675"/>
    <w:rsid w:val="4662415A"/>
    <w:rsid w:val="4662498C"/>
    <w:rsid w:val="46641814"/>
    <w:rsid w:val="466E26B2"/>
    <w:rsid w:val="468425B0"/>
    <w:rsid w:val="46A022D9"/>
    <w:rsid w:val="46A9554B"/>
    <w:rsid w:val="46AF05B5"/>
    <w:rsid w:val="46B04A59"/>
    <w:rsid w:val="46B21457"/>
    <w:rsid w:val="46B411EC"/>
    <w:rsid w:val="46B75DE7"/>
    <w:rsid w:val="46BE1A6C"/>
    <w:rsid w:val="46BE6647"/>
    <w:rsid w:val="46D0431B"/>
    <w:rsid w:val="46D35FF3"/>
    <w:rsid w:val="46EE3897"/>
    <w:rsid w:val="47140585"/>
    <w:rsid w:val="471B3499"/>
    <w:rsid w:val="4730142A"/>
    <w:rsid w:val="476870E2"/>
    <w:rsid w:val="478A0CA0"/>
    <w:rsid w:val="478E4BD2"/>
    <w:rsid w:val="47C848F5"/>
    <w:rsid w:val="47D84DCE"/>
    <w:rsid w:val="47DD756D"/>
    <w:rsid w:val="47FA229E"/>
    <w:rsid w:val="48037A8A"/>
    <w:rsid w:val="48057880"/>
    <w:rsid w:val="48150BC3"/>
    <w:rsid w:val="48377D23"/>
    <w:rsid w:val="48587199"/>
    <w:rsid w:val="486634EE"/>
    <w:rsid w:val="48807890"/>
    <w:rsid w:val="48A64B98"/>
    <w:rsid w:val="48A71804"/>
    <w:rsid w:val="48B30830"/>
    <w:rsid w:val="48BC156D"/>
    <w:rsid w:val="48DF62C3"/>
    <w:rsid w:val="48EA3B26"/>
    <w:rsid w:val="48F765BE"/>
    <w:rsid w:val="490445F2"/>
    <w:rsid w:val="49137521"/>
    <w:rsid w:val="49320F23"/>
    <w:rsid w:val="493A087A"/>
    <w:rsid w:val="49831FB1"/>
    <w:rsid w:val="49A10911"/>
    <w:rsid w:val="49CA61CE"/>
    <w:rsid w:val="49DD73AE"/>
    <w:rsid w:val="49F95BD6"/>
    <w:rsid w:val="4A0C7375"/>
    <w:rsid w:val="4A194AA5"/>
    <w:rsid w:val="4A2710F3"/>
    <w:rsid w:val="4A2B3C78"/>
    <w:rsid w:val="4A4915FD"/>
    <w:rsid w:val="4A4934DE"/>
    <w:rsid w:val="4A4D25BF"/>
    <w:rsid w:val="4A5E47CC"/>
    <w:rsid w:val="4A6E0EB3"/>
    <w:rsid w:val="4A6E7636"/>
    <w:rsid w:val="4A9106FD"/>
    <w:rsid w:val="4AA73240"/>
    <w:rsid w:val="4AB72272"/>
    <w:rsid w:val="4AC63E7C"/>
    <w:rsid w:val="4AC94650"/>
    <w:rsid w:val="4AD703A4"/>
    <w:rsid w:val="4AE54622"/>
    <w:rsid w:val="4B305E1B"/>
    <w:rsid w:val="4B4B6AFE"/>
    <w:rsid w:val="4B5D2E40"/>
    <w:rsid w:val="4B602D44"/>
    <w:rsid w:val="4B842010"/>
    <w:rsid w:val="4BB92D8E"/>
    <w:rsid w:val="4BBB7216"/>
    <w:rsid w:val="4BD07B58"/>
    <w:rsid w:val="4BD8483A"/>
    <w:rsid w:val="4BE87BA5"/>
    <w:rsid w:val="4C155F10"/>
    <w:rsid w:val="4C2F7851"/>
    <w:rsid w:val="4C3176AB"/>
    <w:rsid w:val="4C324162"/>
    <w:rsid w:val="4C350E7E"/>
    <w:rsid w:val="4C3C12ED"/>
    <w:rsid w:val="4C415DC1"/>
    <w:rsid w:val="4C5310F0"/>
    <w:rsid w:val="4C571AC7"/>
    <w:rsid w:val="4C6E278E"/>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B58EF"/>
    <w:rsid w:val="4EFC68C1"/>
    <w:rsid w:val="4EFE6975"/>
    <w:rsid w:val="4F047E0A"/>
    <w:rsid w:val="4F3A59E7"/>
    <w:rsid w:val="4F477F24"/>
    <w:rsid w:val="4F87600D"/>
    <w:rsid w:val="4FA91AAC"/>
    <w:rsid w:val="4FBD0FF5"/>
    <w:rsid w:val="4FC854D7"/>
    <w:rsid w:val="50142DE1"/>
    <w:rsid w:val="5015687B"/>
    <w:rsid w:val="501926CA"/>
    <w:rsid w:val="503109FF"/>
    <w:rsid w:val="503E7F87"/>
    <w:rsid w:val="504544C8"/>
    <w:rsid w:val="505E3D68"/>
    <w:rsid w:val="505F4DFA"/>
    <w:rsid w:val="505F5918"/>
    <w:rsid w:val="506F5953"/>
    <w:rsid w:val="507A0E74"/>
    <w:rsid w:val="50A218B6"/>
    <w:rsid w:val="50AD2009"/>
    <w:rsid w:val="50C2531E"/>
    <w:rsid w:val="50D13748"/>
    <w:rsid w:val="50D43A3A"/>
    <w:rsid w:val="510A120A"/>
    <w:rsid w:val="512E16EC"/>
    <w:rsid w:val="51426BF5"/>
    <w:rsid w:val="515720D8"/>
    <w:rsid w:val="516A440A"/>
    <w:rsid w:val="51B053DC"/>
    <w:rsid w:val="51BA5A6F"/>
    <w:rsid w:val="51C42E16"/>
    <w:rsid w:val="51E5538B"/>
    <w:rsid w:val="52000D12"/>
    <w:rsid w:val="520D6221"/>
    <w:rsid w:val="5244074B"/>
    <w:rsid w:val="525351F4"/>
    <w:rsid w:val="525A6FBC"/>
    <w:rsid w:val="526C0997"/>
    <w:rsid w:val="5277467D"/>
    <w:rsid w:val="52855A65"/>
    <w:rsid w:val="52E11882"/>
    <w:rsid w:val="52E44E05"/>
    <w:rsid w:val="52F862D1"/>
    <w:rsid w:val="530B071F"/>
    <w:rsid w:val="53311AB3"/>
    <w:rsid w:val="53317F44"/>
    <w:rsid w:val="533D33D1"/>
    <w:rsid w:val="53511F1B"/>
    <w:rsid w:val="5353295D"/>
    <w:rsid w:val="53670B33"/>
    <w:rsid w:val="537735FB"/>
    <w:rsid w:val="53775B6A"/>
    <w:rsid w:val="538F5737"/>
    <w:rsid w:val="53CA0B91"/>
    <w:rsid w:val="53D43855"/>
    <w:rsid w:val="53D6214F"/>
    <w:rsid w:val="53EE1101"/>
    <w:rsid w:val="53FC4E8E"/>
    <w:rsid w:val="54111ADD"/>
    <w:rsid w:val="541717DC"/>
    <w:rsid w:val="54271D5C"/>
    <w:rsid w:val="5427740E"/>
    <w:rsid w:val="542B571F"/>
    <w:rsid w:val="54976AA9"/>
    <w:rsid w:val="549A3F89"/>
    <w:rsid w:val="54A022DD"/>
    <w:rsid w:val="54AA7049"/>
    <w:rsid w:val="54CF639A"/>
    <w:rsid w:val="54DE0134"/>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6535A8"/>
    <w:rsid w:val="567E0FA3"/>
    <w:rsid w:val="56A6131D"/>
    <w:rsid w:val="56A82B00"/>
    <w:rsid w:val="56BC5AD0"/>
    <w:rsid w:val="56D00C68"/>
    <w:rsid w:val="56E2303F"/>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7FDBEDD"/>
    <w:rsid w:val="58466FCB"/>
    <w:rsid w:val="58750691"/>
    <w:rsid w:val="58AB575D"/>
    <w:rsid w:val="58AD0DF8"/>
    <w:rsid w:val="58BC728D"/>
    <w:rsid w:val="58BD4DB3"/>
    <w:rsid w:val="58D22E69"/>
    <w:rsid w:val="58DD0763"/>
    <w:rsid w:val="58EA22FF"/>
    <w:rsid w:val="58EB59C1"/>
    <w:rsid w:val="59445F91"/>
    <w:rsid w:val="596A4F3B"/>
    <w:rsid w:val="59815208"/>
    <w:rsid w:val="5993057B"/>
    <w:rsid w:val="59A43D8B"/>
    <w:rsid w:val="59A64B68"/>
    <w:rsid w:val="59CC3500"/>
    <w:rsid w:val="59E84D0D"/>
    <w:rsid w:val="59F001A4"/>
    <w:rsid w:val="5A1E2DE7"/>
    <w:rsid w:val="5A20427A"/>
    <w:rsid w:val="5A331DE9"/>
    <w:rsid w:val="5A395FB6"/>
    <w:rsid w:val="5A436A2D"/>
    <w:rsid w:val="5A5D05FC"/>
    <w:rsid w:val="5A9833A8"/>
    <w:rsid w:val="5AAC047B"/>
    <w:rsid w:val="5AC95404"/>
    <w:rsid w:val="5AD370A1"/>
    <w:rsid w:val="5B0A066E"/>
    <w:rsid w:val="5B123FA7"/>
    <w:rsid w:val="5B1D0885"/>
    <w:rsid w:val="5B5E18A4"/>
    <w:rsid w:val="5B613C0E"/>
    <w:rsid w:val="5B8B4AEE"/>
    <w:rsid w:val="5B955E96"/>
    <w:rsid w:val="5B9B3675"/>
    <w:rsid w:val="5BA26571"/>
    <w:rsid w:val="5BAD110F"/>
    <w:rsid w:val="5BCA6564"/>
    <w:rsid w:val="5BD66D67"/>
    <w:rsid w:val="5BFE7E52"/>
    <w:rsid w:val="5C107D40"/>
    <w:rsid w:val="5C107FF0"/>
    <w:rsid w:val="5C1D1988"/>
    <w:rsid w:val="5C1E3775"/>
    <w:rsid w:val="5C381264"/>
    <w:rsid w:val="5C3D27FC"/>
    <w:rsid w:val="5C5E6BE8"/>
    <w:rsid w:val="5C672644"/>
    <w:rsid w:val="5C8132C7"/>
    <w:rsid w:val="5CA23A25"/>
    <w:rsid w:val="5CC26330"/>
    <w:rsid w:val="5CD67F41"/>
    <w:rsid w:val="5CDF760E"/>
    <w:rsid w:val="5CE07ABA"/>
    <w:rsid w:val="5CF00F5E"/>
    <w:rsid w:val="5CF35248"/>
    <w:rsid w:val="5D017C51"/>
    <w:rsid w:val="5D141BA6"/>
    <w:rsid w:val="5D4165A3"/>
    <w:rsid w:val="5D463591"/>
    <w:rsid w:val="5D4F2A78"/>
    <w:rsid w:val="5D570A59"/>
    <w:rsid w:val="5D792AE4"/>
    <w:rsid w:val="5DC25C67"/>
    <w:rsid w:val="5DCA711D"/>
    <w:rsid w:val="5DD97571"/>
    <w:rsid w:val="5DDA1D04"/>
    <w:rsid w:val="5DE22BD1"/>
    <w:rsid w:val="5E101ABB"/>
    <w:rsid w:val="5E2F58D3"/>
    <w:rsid w:val="5E5A06FD"/>
    <w:rsid w:val="5E6C6385"/>
    <w:rsid w:val="5E8A56FD"/>
    <w:rsid w:val="5E9342EC"/>
    <w:rsid w:val="5EA27CF7"/>
    <w:rsid w:val="5EBC3C1E"/>
    <w:rsid w:val="5EEE45E3"/>
    <w:rsid w:val="5EF17565"/>
    <w:rsid w:val="5F3815EE"/>
    <w:rsid w:val="5F5C32D6"/>
    <w:rsid w:val="5FB10E83"/>
    <w:rsid w:val="5FDC6467"/>
    <w:rsid w:val="5FFD96AC"/>
    <w:rsid w:val="600E788A"/>
    <w:rsid w:val="60173C67"/>
    <w:rsid w:val="60206354"/>
    <w:rsid w:val="603911C4"/>
    <w:rsid w:val="604130CF"/>
    <w:rsid w:val="60572C99"/>
    <w:rsid w:val="60663C94"/>
    <w:rsid w:val="60794FD4"/>
    <w:rsid w:val="60814FEF"/>
    <w:rsid w:val="60946411"/>
    <w:rsid w:val="60AE4E89"/>
    <w:rsid w:val="60CD4AC4"/>
    <w:rsid w:val="60D32F5A"/>
    <w:rsid w:val="61001CE1"/>
    <w:rsid w:val="610E2B4C"/>
    <w:rsid w:val="61276800"/>
    <w:rsid w:val="613E3956"/>
    <w:rsid w:val="6151253D"/>
    <w:rsid w:val="617F0AF7"/>
    <w:rsid w:val="619945D7"/>
    <w:rsid w:val="61A13C09"/>
    <w:rsid w:val="61C210E3"/>
    <w:rsid w:val="61C24BFD"/>
    <w:rsid w:val="61DE43D4"/>
    <w:rsid w:val="61E06967"/>
    <w:rsid w:val="61ED083B"/>
    <w:rsid w:val="61ED26C8"/>
    <w:rsid w:val="61FB2295"/>
    <w:rsid w:val="62184EFE"/>
    <w:rsid w:val="622F0AD0"/>
    <w:rsid w:val="623438B9"/>
    <w:rsid w:val="624216A0"/>
    <w:rsid w:val="626343A0"/>
    <w:rsid w:val="626736F9"/>
    <w:rsid w:val="626B4082"/>
    <w:rsid w:val="626B6B00"/>
    <w:rsid w:val="626C251B"/>
    <w:rsid w:val="628E1BE9"/>
    <w:rsid w:val="62A3326C"/>
    <w:rsid w:val="62C126EC"/>
    <w:rsid w:val="62CF1703"/>
    <w:rsid w:val="62D06FF9"/>
    <w:rsid w:val="62D358FF"/>
    <w:rsid w:val="62D765EB"/>
    <w:rsid w:val="62E16861"/>
    <w:rsid w:val="630A329F"/>
    <w:rsid w:val="636B22CC"/>
    <w:rsid w:val="636C198B"/>
    <w:rsid w:val="63B65AC7"/>
    <w:rsid w:val="63D7428B"/>
    <w:rsid w:val="64002DAD"/>
    <w:rsid w:val="640C4C0D"/>
    <w:rsid w:val="642D56F7"/>
    <w:rsid w:val="643B5584"/>
    <w:rsid w:val="64550596"/>
    <w:rsid w:val="645830D7"/>
    <w:rsid w:val="64645BC9"/>
    <w:rsid w:val="64675414"/>
    <w:rsid w:val="646D58E0"/>
    <w:rsid w:val="647258C3"/>
    <w:rsid w:val="64763CBE"/>
    <w:rsid w:val="647F41B9"/>
    <w:rsid w:val="648F5856"/>
    <w:rsid w:val="649C452B"/>
    <w:rsid w:val="64AA2E73"/>
    <w:rsid w:val="64B8434A"/>
    <w:rsid w:val="64BD6867"/>
    <w:rsid w:val="64C5008F"/>
    <w:rsid w:val="64CF4D38"/>
    <w:rsid w:val="64E8446E"/>
    <w:rsid w:val="64E959FD"/>
    <w:rsid w:val="64F9CCE6"/>
    <w:rsid w:val="651B5828"/>
    <w:rsid w:val="6530087B"/>
    <w:rsid w:val="65376B47"/>
    <w:rsid w:val="654042F5"/>
    <w:rsid w:val="65AB2B63"/>
    <w:rsid w:val="65E44DFA"/>
    <w:rsid w:val="65E63B9C"/>
    <w:rsid w:val="65ED2DCA"/>
    <w:rsid w:val="65F37088"/>
    <w:rsid w:val="65F66C79"/>
    <w:rsid w:val="660447CA"/>
    <w:rsid w:val="662B5A52"/>
    <w:rsid w:val="665622BC"/>
    <w:rsid w:val="66644AC0"/>
    <w:rsid w:val="66653739"/>
    <w:rsid w:val="666C4EE6"/>
    <w:rsid w:val="66792487"/>
    <w:rsid w:val="66D470E6"/>
    <w:rsid w:val="66ED2CA0"/>
    <w:rsid w:val="66F722EC"/>
    <w:rsid w:val="66FB0FDC"/>
    <w:rsid w:val="66FC5AFF"/>
    <w:rsid w:val="6709462E"/>
    <w:rsid w:val="676C49AE"/>
    <w:rsid w:val="6777196F"/>
    <w:rsid w:val="67825F62"/>
    <w:rsid w:val="678A1ED0"/>
    <w:rsid w:val="67AB61F8"/>
    <w:rsid w:val="67BA7741"/>
    <w:rsid w:val="67CEDCD6"/>
    <w:rsid w:val="67E6170C"/>
    <w:rsid w:val="67ED1BBE"/>
    <w:rsid w:val="67ED7463"/>
    <w:rsid w:val="67FD51CC"/>
    <w:rsid w:val="680D0CA5"/>
    <w:rsid w:val="684D7F02"/>
    <w:rsid w:val="686C7F9F"/>
    <w:rsid w:val="68A45648"/>
    <w:rsid w:val="68A5668C"/>
    <w:rsid w:val="68BD44C2"/>
    <w:rsid w:val="68D27297"/>
    <w:rsid w:val="68F42855"/>
    <w:rsid w:val="6911241F"/>
    <w:rsid w:val="6922138F"/>
    <w:rsid w:val="69232A11"/>
    <w:rsid w:val="69586B5E"/>
    <w:rsid w:val="69B55D5F"/>
    <w:rsid w:val="69B67115"/>
    <w:rsid w:val="69B82DF4"/>
    <w:rsid w:val="69EF53B4"/>
    <w:rsid w:val="69FB8724"/>
    <w:rsid w:val="6A126DD2"/>
    <w:rsid w:val="6A2B4273"/>
    <w:rsid w:val="6A3D3FA6"/>
    <w:rsid w:val="6A420E56"/>
    <w:rsid w:val="6A924E32"/>
    <w:rsid w:val="6A94008C"/>
    <w:rsid w:val="6AC635A8"/>
    <w:rsid w:val="6AC83B0F"/>
    <w:rsid w:val="6AE60947"/>
    <w:rsid w:val="6AEB2722"/>
    <w:rsid w:val="6AEF6EB8"/>
    <w:rsid w:val="6AFB7996"/>
    <w:rsid w:val="6AFD0629"/>
    <w:rsid w:val="6B0B374F"/>
    <w:rsid w:val="6B0E6D92"/>
    <w:rsid w:val="6B17074E"/>
    <w:rsid w:val="6B1F0CCB"/>
    <w:rsid w:val="6B285847"/>
    <w:rsid w:val="6B541A99"/>
    <w:rsid w:val="6B5F1CFB"/>
    <w:rsid w:val="6B6234E5"/>
    <w:rsid w:val="6B711708"/>
    <w:rsid w:val="6B980A95"/>
    <w:rsid w:val="6BA67A32"/>
    <w:rsid w:val="6BBD11F5"/>
    <w:rsid w:val="6BCE1834"/>
    <w:rsid w:val="6BD12800"/>
    <w:rsid w:val="6BF44877"/>
    <w:rsid w:val="6C022DB1"/>
    <w:rsid w:val="6C172034"/>
    <w:rsid w:val="6C1B1096"/>
    <w:rsid w:val="6C5E02FC"/>
    <w:rsid w:val="6C611966"/>
    <w:rsid w:val="6C721812"/>
    <w:rsid w:val="6C8B0F52"/>
    <w:rsid w:val="6CA63155"/>
    <w:rsid w:val="6CC73E80"/>
    <w:rsid w:val="6CDD0DD0"/>
    <w:rsid w:val="6CFA7DB1"/>
    <w:rsid w:val="6D0127E4"/>
    <w:rsid w:val="6D135E16"/>
    <w:rsid w:val="6D1C168A"/>
    <w:rsid w:val="6D2154B9"/>
    <w:rsid w:val="6D347A31"/>
    <w:rsid w:val="6D3668DD"/>
    <w:rsid w:val="6D471CAB"/>
    <w:rsid w:val="6D70425D"/>
    <w:rsid w:val="6D986796"/>
    <w:rsid w:val="6DAC0977"/>
    <w:rsid w:val="6DB941BD"/>
    <w:rsid w:val="6DC60F63"/>
    <w:rsid w:val="6DED6545"/>
    <w:rsid w:val="6DF11063"/>
    <w:rsid w:val="6E3B32BE"/>
    <w:rsid w:val="6E4C770B"/>
    <w:rsid w:val="6E5F1098"/>
    <w:rsid w:val="6E6F2793"/>
    <w:rsid w:val="6E703D8E"/>
    <w:rsid w:val="6E7F1EDE"/>
    <w:rsid w:val="6E84323D"/>
    <w:rsid w:val="6E942A76"/>
    <w:rsid w:val="6EA41FA2"/>
    <w:rsid w:val="6EB44AD4"/>
    <w:rsid w:val="6EBA69C8"/>
    <w:rsid w:val="6F2463D6"/>
    <w:rsid w:val="6F265009"/>
    <w:rsid w:val="6F313FE8"/>
    <w:rsid w:val="6F381CAC"/>
    <w:rsid w:val="6F6128C1"/>
    <w:rsid w:val="6F723264"/>
    <w:rsid w:val="6F9C6902"/>
    <w:rsid w:val="6F9E6156"/>
    <w:rsid w:val="6FA06B69"/>
    <w:rsid w:val="6FA0729C"/>
    <w:rsid w:val="6FBF6C0D"/>
    <w:rsid w:val="6FFB3E16"/>
    <w:rsid w:val="70100CA2"/>
    <w:rsid w:val="70393572"/>
    <w:rsid w:val="706E27A1"/>
    <w:rsid w:val="706F0977"/>
    <w:rsid w:val="707263F3"/>
    <w:rsid w:val="70880108"/>
    <w:rsid w:val="70A13280"/>
    <w:rsid w:val="70A24D48"/>
    <w:rsid w:val="70B07280"/>
    <w:rsid w:val="70BA64EF"/>
    <w:rsid w:val="70C42D2B"/>
    <w:rsid w:val="70C900DF"/>
    <w:rsid w:val="70EFD498"/>
    <w:rsid w:val="70F80524"/>
    <w:rsid w:val="710A2419"/>
    <w:rsid w:val="710E65A0"/>
    <w:rsid w:val="71326D32"/>
    <w:rsid w:val="71347EB1"/>
    <w:rsid w:val="71451751"/>
    <w:rsid w:val="71453598"/>
    <w:rsid w:val="714C2CD0"/>
    <w:rsid w:val="715A596A"/>
    <w:rsid w:val="717C247D"/>
    <w:rsid w:val="717F26E4"/>
    <w:rsid w:val="71816B8E"/>
    <w:rsid w:val="71832D29"/>
    <w:rsid w:val="71907818"/>
    <w:rsid w:val="719B609A"/>
    <w:rsid w:val="71B252F9"/>
    <w:rsid w:val="71DE7E1D"/>
    <w:rsid w:val="71E95916"/>
    <w:rsid w:val="71EB1F0E"/>
    <w:rsid w:val="7203413E"/>
    <w:rsid w:val="72191ED0"/>
    <w:rsid w:val="721C3014"/>
    <w:rsid w:val="721D0BFB"/>
    <w:rsid w:val="7250588C"/>
    <w:rsid w:val="726F5278"/>
    <w:rsid w:val="727E786A"/>
    <w:rsid w:val="72887FD4"/>
    <w:rsid w:val="72BD0544"/>
    <w:rsid w:val="72C0472D"/>
    <w:rsid w:val="72CB03A1"/>
    <w:rsid w:val="72D11D5C"/>
    <w:rsid w:val="72DC3720"/>
    <w:rsid w:val="72DC4121"/>
    <w:rsid w:val="72E4193A"/>
    <w:rsid w:val="72E85DAD"/>
    <w:rsid w:val="73133AF6"/>
    <w:rsid w:val="732303D9"/>
    <w:rsid w:val="7344428A"/>
    <w:rsid w:val="734979C3"/>
    <w:rsid w:val="73532CC9"/>
    <w:rsid w:val="735C549D"/>
    <w:rsid w:val="736F7373"/>
    <w:rsid w:val="738F6C61"/>
    <w:rsid w:val="7392343A"/>
    <w:rsid w:val="73B060B2"/>
    <w:rsid w:val="73D223F2"/>
    <w:rsid w:val="73D73D11"/>
    <w:rsid w:val="73E95EE8"/>
    <w:rsid w:val="744975DD"/>
    <w:rsid w:val="74610332"/>
    <w:rsid w:val="746920A5"/>
    <w:rsid w:val="749C24F1"/>
    <w:rsid w:val="74AD6F4A"/>
    <w:rsid w:val="74AE06FF"/>
    <w:rsid w:val="74CB1EDB"/>
    <w:rsid w:val="74DE73F5"/>
    <w:rsid w:val="74F3288E"/>
    <w:rsid w:val="750E239F"/>
    <w:rsid w:val="7517095A"/>
    <w:rsid w:val="751E77AF"/>
    <w:rsid w:val="75474541"/>
    <w:rsid w:val="75702156"/>
    <w:rsid w:val="757A6A57"/>
    <w:rsid w:val="75D07F8B"/>
    <w:rsid w:val="75EE5669"/>
    <w:rsid w:val="763711C0"/>
    <w:rsid w:val="76957051"/>
    <w:rsid w:val="76BD4232"/>
    <w:rsid w:val="76C10199"/>
    <w:rsid w:val="76C57BCB"/>
    <w:rsid w:val="76D474B3"/>
    <w:rsid w:val="76DF91DD"/>
    <w:rsid w:val="76E708BB"/>
    <w:rsid w:val="76EF6DD7"/>
    <w:rsid w:val="76F927CD"/>
    <w:rsid w:val="772F78A5"/>
    <w:rsid w:val="77356D17"/>
    <w:rsid w:val="773B2934"/>
    <w:rsid w:val="773E064E"/>
    <w:rsid w:val="774E1211"/>
    <w:rsid w:val="7767181A"/>
    <w:rsid w:val="777B71D8"/>
    <w:rsid w:val="77842F01"/>
    <w:rsid w:val="77A54D53"/>
    <w:rsid w:val="77AB25AD"/>
    <w:rsid w:val="77D75F2B"/>
    <w:rsid w:val="77FC6767"/>
    <w:rsid w:val="781A0BEC"/>
    <w:rsid w:val="78202415"/>
    <w:rsid w:val="78213FC9"/>
    <w:rsid w:val="78572B59"/>
    <w:rsid w:val="786FD340"/>
    <w:rsid w:val="78701D9C"/>
    <w:rsid w:val="78741C81"/>
    <w:rsid w:val="788952CC"/>
    <w:rsid w:val="7899537E"/>
    <w:rsid w:val="78F9F6D3"/>
    <w:rsid w:val="78FA0671"/>
    <w:rsid w:val="79393B8B"/>
    <w:rsid w:val="793A634F"/>
    <w:rsid w:val="795A4F33"/>
    <w:rsid w:val="79744F1D"/>
    <w:rsid w:val="79785617"/>
    <w:rsid w:val="797A5A56"/>
    <w:rsid w:val="797BA803"/>
    <w:rsid w:val="798635EB"/>
    <w:rsid w:val="79A5750A"/>
    <w:rsid w:val="79CF368F"/>
    <w:rsid w:val="79D476A9"/>
    <w:rsid w:val="79EB2FD6"/>
    <w:rsid w:val="79ECAB6F"/>
    <w:rsid w:val="79ED0DA8"/>
    <w:rsid w:val="7A0C1011"/>
    <w:rsid w:val="7A0E7A81"/>
    <w:rsid w:val="7A17211E"/>
    <w:rsid w:val="7A321CDB"/>
    <w:rsid w:val="7A4B626B"/>
    <w:rsid w:val="7A567B6E"/>
    <w:rsid w:val="7A6E32C8"/>
    <w:rsid w:val="7AA5772A"/>
    <w:rsid w:val="7AB0113D"/>
    <w:rsid w:val="7AB62D25"/>
    <w:rsid w:val="7AC900CF"/>
    <w:rsid w:val="7B052FBD"/>
    <w:rsid w:val="7B2F54B5"/>
    <w:rsid w:val="7B48416D"/>
    <w:rsid w:val="7B5A5A6C"/>
    <w:rsid w:val="7B5C250E"/>
    <w:rsid w:val="7B5C3BBA"/>
    <w:rsid w:val="7B63305F"/>
    <w:rsid w:val="7B6D0F87"/>
    <w:rsid w:val="7B72691F"/>
    <w:rsid w:val="7B783FD8"/>
    <w:rsid w:val="7B9A3DB8"/>
    <w:rsid w:val="7BA113AB"/>
    <w:rsid w:val="7BA67BFD"/>
    <w:rsid w:val="7BAC4AE8"/>
    <w:rsid w:val="7BD52290"/>
    <w:rsid w:val="7BD568A0"/>
    <w:rsid w:val="7BD99402"/>
    <w:rsid w:val="7BE22960"/>
    <w:rsid w:val="7BF20E1E"/>
    <w:rsid w:val="7BFC01F8"/>
    <w:rsid w:val="7BFF6BBF"/>
    <w:rsid w:val="7BFF70BE"/>
    <w:rsid w:val="7C120F4C"/>
    <w:rsid w:val="7C1B29E5"/>
    <w:rsid w:val="7C5728ED"/>
    <w:rsid w:val="7C574A54"/>
    <w:rsid w:val="7C686BCF"/>
    <w:rsid w:val="7C9408F4"/>
    <w:rsid w:val="7CA76EC6"/>
    <w:rsid w:val="7CB83597"/>
    <w:rsid w:val="7CB90CC2"/>
    <w:rsid w:val="7CC752E0"/>
    <w:rsid w:val="7CFB2CE9"/>
    <w:rsid w:val="7CFBCE9D"/>
    <w:rsid w:val="7D0C34C4"/>
    <w:rsid w:val="7D1E71EA"/>
    <w:rsid w:val="7D212CA5"/>
    <w:rsid w:val="7D255EE2"/>
    <w:rsid w:val="7D26D855"/>
    <w:rsid w:val="7D293184"/>
    <w:rsid w:val="7D2B742D"/>
    <w:rsid w:val="7D4B3EE6"/>
    <w:rsid w:val="7D4B572C"/>
    <w:rsid w:val="7D6112EF"/>
    <w:rsid w:val="7D68620F"/>
    <w:rsid w:val="7D69777E"/>
    <w:rsid w:val="7D6FB106"/>
    <w:rsid w:val="7D752C5B"/>
    <w:rsid w:val="7D927DC0"/>
    <w:rsid w:val="7D9F12B2"/>
    <w:rsid w:val="7DB34706"/>
    <w:rsid w:val="7DFE1ABC"/>
    <w:rsid w:val="7E1A0A9F"/>
    <w:rsid w:val="7E2327E1"/>
    <w:rsid w:val="7E3C401A"/>
    <w:rsid w:val="7E641213"/>
    <w:rsid w:val="7E7BB322"/>
    <w:rsid w:val="7EA7EB6C"/>
    <w:rsid w:val="7EAD3628"/>
    <w:rsid w:val="7EB859C9"/>
    <w:rsid w:val="7ECB4935"/>
    <w:rsid w:val="7EE33139"/>
    <w:rsid w:val="7EEBD690"/>
    <w:rsid w:val="7EF34773"/>
    <w:rsid w:val="7EF931C4"/>
    <w:rsid w:val="7F0200B0"/>
    <w:rsid w:val="7F0D08DC"/>
    <w:rsid w:val="7F173D26"/>
    <w:rsid w:val="7F3DC597"/>
    <w:rsid w:val="7F457705"/>
    <w:rsid w:val="7F567E20"/>
    <w:rsid w:val="7F666017"/>
    <w:rsid w:val="7F6FBE70"/>
    <w:rsid w:val="7F714EE5"/>
    <w:rsid w:val="7F765549"/>
    <w:rsid w:val="7F7F2734"/>
    <w:rsid w:val="7F9B10FB"/>
    <w:rsid w:val="7FA63F96"/>
    <w:rsid w:val="7FB7DF21"/>
    <w:rsid w:val="7FB9287C"/>
    <w:rsid w:val="7FC32F20"/>
    <w:rsid w:val="7FCB2760"/>
    <w:rsid w:val="7FCC47FD"/>
    <w:rsid w:val="7FD31973"/>
    <w:rsid w:val="7FE15B01"/>
    <w:rsid w:val="7FFB1B6E"/>
    <w:rsid w:val="8573C5B4"/>
    <w:rsid w:val="A9F77D42"/>
    <w:rsid w:val="AEFF7266"/>
    <w:rsid w:val="BAF7CE3F"/>
    <w:rsid w:val="C6F5E4F8"/>
    <w:rsid w:val="CDFFBC69"/>
    <w:rsid w:val="DCE705B6"/>
    <w:rsid w:val="DE35E862"/>
    <w:rsid w:val="DF77D5E2"/>
    <w:rsid w:val="DFE64E7C"/>
    <w:rsid w:val="F1FE2398"/>
    <w:rsid w:val="F76F081C"/>
    <w:rsid w:val="F7760AF3"/>
    <w:rsid w:val="F7B3F097"/>
    <w:rsid w:val="F7BF1B7E"/>
    <w:rsid w:val="F7E80245"/>
    <w:rsid w:val="F927801E"/>
    <w:rsid w:val="FA5F277E"/>
    <w:rsid w:val="FB6B5221"/>
    <w:rsid w:val="FBB6A2A8"/>
    <w:rsid w:val="FDDE9CAC"/>
    <w:rsid w:val="FDDF84D4"/>
    <w:rsid w:val="FF4B3213"/>
    <w:rsid w:val="FFCB6B60"/>
    <w:rsid w:val="FFFB35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 w:type="paragraph" w:customStyle="1" w:styleId="170">
    <w:name w:val="符号列表"/>
    <w:basedOn w:val="1"/>
    <w:next w:val="171"/>
    <w:qFormat/>
    <w:uiPriority w:val="34"/>
    <w:pPr>
      <w:spacing w:beforeLines="50"/>
      <w:ind w:firstLine="420" w:firstLineChars="200"/>
    </w:pPr>
    <w:rPr>
      <w:rFonts w:ascii="Calibri" w:hAnsi="Calibri"/>
      <w:sz w:val="24"/>
      <w:szCs w:val="22"/>
      <w:lang w:val="zh-CN"/>
    </w:rPr>
  </w:style>
  <w:style w:type="paragraph" w:customStyle="1" w:styleId="171">
    <w:name w:val="列出段落11"/>
    <w:basedOn w:val="1"/>
    <w:qFormat/>
    <w:uiPriority w:val="99"/>
    <w:pPr>
      <w:ind w:firstLine="420" w:firstLineChars="200"/>
    </w:pPr>
  </w:style>
  <w:style w:type="paragraph" w:customStyle="1" w:styleId="172">
    <w:name w:val="*正文"/>
    <w:basedOn w:val="1"/>
    <w:qFormat/>
    <w:uiPriority w:val="0"/>
    <w:pPr>
      <w:widowControl/>
      <w:ind w:firstLine="200" w:firstLineChars="200"/>
    </w:pPr>
    <w:rPr>
      <w:rFonts w:ascii="仿宋_GB2312" w:eastAsia="仿宋_GB2312" w:cstheme="minorBidi"/>
      <w:sz w:val="24"/>
      <w:szCs w:val="28"/>
    </w:rPr>
  </w:style>
  <w:style w:type="paragraph" w:customStyle="1" w:styleId="173">
    <w:name w:val="表体"/>
    <w:basedOn w:val="1"/>
    <w:next w:val="1"/>
    <w:qFormat/>
    <w:uiPriority w:val="0"/>
    <w:pPr>
      <w:snapToGrid w:val="0"/>
      <w:spacing w:line="0" w:lineRule="atLeast"/>
    </w:pPr>
    <w:rPr>
      <w:b/>
      <w:szCs w:val="20"/>
    </w:rPr>
  </w:style>
  <w:style w:type="paragraph" w:customStyle="1" w:styleId="17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37</Pages>
  <Words>15631</Words>
  <Characters>16328</Characters>
  <Lines>1</Lines>
  <Paragraphs>1</Paragraphs>
  <TotalTime>14</TotalTime>
  <ScaleCrop>false</ScaleCrop>
  <LinksUpToDate>false</LinksUpToDate>
  <CharactersWithSpaces>17324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2020-05-05T08:16:00Z</dcterms:created>
  <dc:creator>陈桂兰</dc:creator>
  <cp:lastModifiedBy>Kevin</cp:lastModifiedBy>
  <cp:lastPrinted>2023-10-21T10:24:00Z</cp:lastPrinted>
  <dcterms:modified xsi:type="dcterms:W3CDTF">2024-09-02T02:32:49Z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1369037ABF1F48B29A6CF4CB80DE89C1</vt:lpwstr>
  </property>
  <property fmtid="{D5CDD505-2E9C-101B-9397-08002B2CF9AE}" pid="4" name="commondata">
    <vt:lpwstr>eyJoZGlkIjoiNmI0YzI4NGJiMjg2ZWZlN2MzZDcyYzg5ZDEwYzBhZDAifQ==</vt:lpwstr>
  </property>
</Properties>
</file>