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42"/>
        <w:wordWrap/>
        <w:snapToGrid w:val="0"/>
        <w:spacing w:before="0" w:after="0"/>
        <w:rPr>
          <w:rStyle w:val="43"/>
          <w:rFonts w:eastAsia="微软雅黑"/>
          <w:b w:val="0"/>
          <w:i w:val="0"/>
          <w:color w:val="auto"/>
          <w:sz w:val="18"/>
          <w:szCs w:val="18"/>
        </w:rPr>
      </w:pPr>
    </w:p>
    <w:p>
      <w:pPr>
        <w:pStyle w:val="42"/>
        <w:wordWrap/>
        <w:snapToGrid w:val="0"/>
        <w:spacing w:before="0" w:after="0"/>
        <w:rPr>
          <w:rStyle w:val="43"/>
          <w:rFonts w:eastAsia="微软雅黑"/>
          <w:b w:val="0"/>
          <w:i w:val="0"/>
          <w:color w:val="auto"/>
          <w:sz w:val="18"/>
          <w:szCs w:val="18"/>
        </w:rPr>
      </w:pPr>
    </w:p>
    <w:p>
      <w:pPr>
        <w:rPr>
          <w:rFonts w:ascii="Times New Roman" w:hAnsi="Times New Roman" w:eastAsia="微软雅黑" w:cs="Times New Roman"/>
          <w:sz w:val="44"/>
        </w:rPr>
      </w:pPr>
    </w:p>
    <w:p>
      <w:pPr>
        <w:rPr>
          <w:rFonts w:ascii="Times New Roman" w:hAnsi="Times New Roman" w:eastAsia="微软雅黑" w:cs="Times New Roman"/>
          <w:sz w:val="44"/>
        </w:rPr>
      </w:pPr>
    </w:p>
    <w:p>
      <w:pPr>
        <w:rPr>
          <w:rFonts w:ascii="Times New Roman" w:hAnsi="Times New Roman" w:eastAsia="微软雅黑" w:cs="Times New Roman"/>
          <w:sz w:val="44"/>
        </w:rPr>
      </w:pPr>
    </w:p>
    <w:p>
      <w:pPr>
        <w:rPr>
          <w:rFonts w:ascii="Times New Roman" w:hAnsi="Times New Roman" w:eastAsia="微软雅黑" w:cs="Times New Roman"/>
          <w:sz w:val="44"/>
        </w:rPr>
      </w:pPr>
    </w:p>
    <w:p>
      <w:pPr>
        <w:rPr>
          <w:rFonts w:ascii="Times New Roman" w:hAnsi="Times New Roman" w:eastAsia="微软雅黑" w:cs="Times New Roman"/>
          <w:sz w:val="44"/>
        </w:rPr>
      </w:pPr>
    </w:p>
    <w:p>
      <w:pPr>
        <w:jc w:val="center"/>
        <w:rPr>
          <w:rFonts w:ascii="Times New Roman" w:hAnsi="Times New Roman" w:eastAsia="微软雅黑" w:cs="Times New Roman"/>
          <w:sz w:val="44"/>
        </w:rPr>
      </w:pPr>
    </w:p>
    <w:p>
      <w:pPr>
        <w:snapToGrid w:val="0"/>
        <w:spacing w:after="156" w:afterLines="50"/>
        <w:jc w:val="center"/>
        <w:rPr>
          <w:rFonts w:ascii="Times New Roman" w:hAnsi="Times New Roman" w:eastAsia="微软雅黑" w:cs="Times New Roman"/>
          <w:b/>
          <w:kern w:val="0"/>
          <w:sz w:val="64"/>
          <w:szCs w:val="64"/>
        </w:rPr>
      </w:pPr>
      <w:r>
        <w:rPr>
          <w:rFonts w:hint="eastAsia" w:ascii="Times New Roman" w:hAnsi="Times New Roman" w:eastAsia="微软雅黑" w:cs="Times New Roman"/>
          <w:b/>
          <w:kern w:val="0"/>
          <w:sz w:val="64"/>
          <w:szCs w:val="64"/>
          <w:lang w:eastAsia="zh-CN"/>
        </w:rPr>
        <w:t>营运路段</w:t>
      </w:r>
      <w:r>
        <w:rPr>
          <w:rFonts w:hint="eastAsia" w:ascii="Times New Roman" w:hAnsi="Times New Roman" w:eastAsia="微软雅黑" w:cs="Times New Roman"/>
          <w:b/>
          <w:kern w:val="0"/>
          <w:sz w:val="64"/>
          <w:szCs w:val="64"/>
        </w:rPr>
        <w:t>网络安全运维方案</w:t>
      </w:r>
    </w:p>
    <w:p>
      <w:pPr>
        <w:snapToGrid w:val="0"/>
        <w:spacing w:after="156" w:afterLines="50"/>
        <w:jc w:val="center"/>
        <w:rPr>
          <w:rFonts w:ascii="Times New Roman" w:hAnsi="Times New Roman" w:eastAsia="微软雅黑" w:cs="Times New Roman"/>
          <w:b/>
          <w:kern w:val="0"/>
          <w:sz w:val="64"/>
          <w:szCs w:val="64"/>
        </w:rPr>
      </w:pPr>
    </w:p>
    <w:p>
      <w:pPr>
        <w:snapToGrid w:val="0"/>
        <w:spacing w:after="156" w:afterLines="50"/>
        <w:jc w:val="center"/>
        <w:rPr>
          <w:rFonts w:ascii="Times New Roman" w:hAnsi="Times New Roman" w:eastAsia="微软雅黑" w:cs="Times New Roman"/>
          <w:b/>
          <w:kern w:val="0"/>
          <w:sz w:val="56"/>
          <w:szCs w:val="72"/>
        </w:rPr>
      </w:pPr>
    </w:p>
    <w:p>
      <w:pPr>
        <w:pStyle w:val="42"/>
        <w:wordWrap/>
        <w:snapToGrid w:val="0"/>
        <w:spacing w:before="0" w:after="0"/>
        <w:rPr>
          <w:rFonts w:eastAsia="微软雅黑"/>
          <w:b/>
        </w:rPr>
      </w:pP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  <w:r>
        <w:rPr>
          <w:rFonts w:eastAsia="微软雅黑"/>
          <w:b/>
          <w:kern w:val="0"/>
          <w:sz w:val="56"/>
          <w:szCs w:val="72"/>
        </w:rPr>
        <w:tab/>
      </w:r>
    </w:p>
    <w:p>
      <w:pPr>
        <w:pStyle w:val="41"/>
        <w:snapToGrid w:val="0"/>
        <w:rPr>
          <w:rFonts w:hint="default" w:ascii="Times New Roman" w:hAnsi="Times New Roman" w:eastAsia="微软雅黑"/>
          <w:b/>
        </w:rPr>
      </w:pPr>
      <w:r>
        <w:rPr>
          <w:rFonts w:hint="default" w:ascii="Times New Roman" w:hAnsi="Times New Roman" w:eastAsia="微软雅黑"/>
          <w:b/>
        </w:rPr>
        <w:t>20</w:t>
      </w:r>
      <w:r>
        <w:rPr>
          <w:rFonts w:ascii="Times New Roman" w:hAnsi="Times New Roman" w:eastAsia="微软雅黑"/>
          <w:b/>
        </w:rPr>
        <w:t>2</w:t>
      </w:r>
      <w:r>
        <w:rPr>
          <w:rFonts w:hint="eastAsia" w:ascii="Times New Roman" w:hAnsi="Times New Roman" w:eastAsia="微软雅黑"/>
          <w:b/>
          <w:lang w:val="en-US" w:eastAsia="zh-CN"/>
        </w:rPr>
        <w:t>3</w:t>
      </w:r>
      <w:r>
        <w:rPr>
          <w:rFonts w:hint="default" w:ascii="Times New Roman" w:hAnsi="Times New Roman" w:eastAsia="微软雅黑"/>
          <w:b/>
        </w:rPr>
        <w:t>年</w:t>
      </w:r>
      <w:r>
        <w:rPr>
          <w:rFonts w:hint="eastAsia" w:ascii="Times New Roman" w:hAnsi="Times New Roman" w:eastAsia="微软雅黑"/>
          <w:b/>
          <w:lang w:val="en-US" w:eastAsia="zh-CN"/>
        </w:rPr>
        <w:t>2</w:t>
      </w:r>
      <w:bookmarkStart w:id="332" w:name="_GoBack"/>
      <w:bookmarkEnd w:id="332"/>
      <w:r>
        <w:rPr>
          <w:rFonts w:hint="default" w:ascii="Times New Roman" w:hAnsi="Times New Roman" w:eastAsia="微软雅黑"/>
          <w:b/>
        </w:rPr>
        <w:t>月</w:t>
      </w:r>
    </w:p>
    <w:p>
      <w:pPr>
        <w:widowControl/>
        <w:jc w:val="left"/>
        <w:rPr>
          <w:rFonts w:ascii="Times New Roman" w:hAnsi="Times New Roman" w:eastAsia="微软雅黑" w:cs="Times New Roman"/>
          <w:b/>
        </w:rPr>
      </w:pPr>
      <w:r>
        <w:rPr>
          <w:rFonts w:ascii="Times New Roman" w:hAnsi="Times New Roman" w:eastAsia="微软雅黑" w:cs="Times New Roman"/>
          <w:b/>
        </w:rPr>
        <w:br w:type="page"/>
      </w:r>
    </w:p>
    <w:sdt>
      <w:sdtPr>
        <w:rPr>
          <w:lang w:val="zh-CN"/>
        </w:rPr>
        <w:id w:val="-1027252186"/>
        <w:docPartObj>
          <w:docPartGallery w:val="Table of Contents"/>
          <w:docPartUnique/>
        </w:docPartObj>
      </w:sdtPr>
      <w:sdtEndPr>
        <w:rPr>
          <w:lang w:val="zh-CN"/>
        </w:rPr>
      </w:sdtEndPr>
      <w:sdtContent>
        <w:p>
          <w:pPr>
            <w:rPr>
              <w:lang w:val="zh-CN"/>
            </w:rPr>
          </w:pPr>
        </w:p>
        <w:p>
          <w:pPr>
            <w:pStyle w:val="70"/>
            <w:adjustRightInd w:val="0"/>
            <w:snapToGrid w:val="0"/>
            <w:spacing w:before="0" w:line="240" w:lineRule="atLeast"/>
            <w:jc w:val="center"/>
            <w:rPr>
              <w:rFonts w:hint="eastAsia" w:ascii="微软雅黑" w:hAnsi="微软雅黑" w:eastAsia="微软雅黑" w:cs="微软雅黑"/>
              <w:color w:val="auto"/>
              <w:sz w:val="36"/>
              <w:szCs w:val="36"/>
            </w:rPr>
          </w:pPr>
          <w:r>
            <w:rPr>
              <w:rFonts w:hint="eastAsia" w:ascii="微软雅黑" w:hAnsi="微软雅黑" w:eastAsia="微软雅黑" w:cs="微软雅黑"/>
              <w:color w:val="auto"/>
              <w:sz w:val="36"/>
              <w:szCs w:val="36"/>
              <w:lang w:val="zh-CN"/>
            </w:rPr>
            <w:t>目 录</w:t>
          </w:r>
        </w:p>
        <w:p>
          <w:pPr>
            <w:pStyle w:val="26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TOC \o "1-3" \h \z \u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HYPERLINK \l _Toc27117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</w:rPr>
            <w:t>1 项目概述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_Toc27117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_Toc26962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1.1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参考标准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_Toc26962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_Toc11115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1.2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遵循原则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_Toc11115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6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_Toc6132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</w:rPr>
            <w:t>2 服务内容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_Toc6132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6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_Toc7885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</w:rPr>
            <w:t>3 安全运维服务内容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_Toc7885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9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_Toc13850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</w:rPr>
            <w:t>安全风险评估服务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_Toc13850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9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_Toc31001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3.1.1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服务描述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_Toc31001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9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_Toc12311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3.1.2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输出成果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_Toc12311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10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_Toc31514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3.1.3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服务收益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_Toc31514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10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_Toc14919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等保建设咨询服务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_Toc14919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10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_Toc2962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3.2.1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等保差距分析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_Toc2962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10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_Toc23789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3.2.2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等保差距整改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_Toc23789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11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_Toc1044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安全巡检服务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_Toc1044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_Toc15405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3.3.1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系统漏洞检测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_Toc15405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_Toc19880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3.3.2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系统基线核查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_Toc19880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14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_Toc25747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3.3.3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安全日志审计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_Toc25747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_Toc5037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3.3.4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输出成果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_Toc5037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_Toc26882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3.4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安全加固服务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_Toc26882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_Toc18058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3.4.1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加固方法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_Toc18058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_Toc17675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3.4.2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加固指导内容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_Toc17675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17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_Toc13617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3.4.3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交付成果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_Toc13617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19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_Toc20208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3.5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应急响应服务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_Toc20208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19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_Toc31626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3.5.1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安全事件应急响应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_Toc31626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20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_Toc7915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3.5.2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输出成果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_Toc7915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21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_Toc13612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3.6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安全应急演练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_Toc13612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21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_Toc15721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3.7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安全通告服务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_Toc15721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21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_Toc7971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3.7.1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服务描述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_Toc7971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21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_Toc14422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3.7.2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输出成果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_Toc14422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_Toc26761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3.7.3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服务收益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_Toc26761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_Toc32699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3.8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重大活动安全保障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_Toc32699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_Toc12602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3.8.1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现场值守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_Toc12602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22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_Toc11308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3.8.2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预案制定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_Toc11308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23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_Toc28407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3.8.3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应急处理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_Toc28407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24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_Toc9700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3.8.4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输出成果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_Toc9700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_Toc29860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3.9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安全意识培训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_Toc29860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_Toc6526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3.10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其它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_Toc6526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6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_Toc29841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</w:rPr>
            <w:t>4 保密承诺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_Toc29841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25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_Toc20391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4.1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保密协议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_Toc20391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_Toc24041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4.1.1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保密协议的必要性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_Toc24041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_Toc26437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4.1.2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保密条款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_Toc26437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26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2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_Toc14013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en-US"/>
            </w:rPr>
            <w:t xml:space="preserve">4.2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项目实施人员专项保密承诺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_Toc14013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27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_Toc11743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4.2.1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保密承诺的必要性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_Toc11743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27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_Toc24391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4.2.2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保密内容和范围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_Toc24391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27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pStyle w:val="19"/>
            <w:tabs>
              <w:tab w:val="right" w:leader="dot" w:pos="8306"/>
            </w:tabs>
            <w:rPr>
              <w:rFonts w:hint="eastAsia" w:ascii="微软雅黑" w:hAnsi="微软雅黑" w:eastAsia="微软雅黑" w:cs="微软雅黑"/>
              <w:sz w:val="18"/>
              <w:szCs w:val="18"/>
            </w:rPr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begin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instrText xml:space="preserve"> HYPERLINK \l _Toc28755 </w:instrText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fill="FFFFFF"/>
              <w:lang w:val="zh-CN"/>
            </w:rPr>
            <w:t xml:space="preserve">4.2.3 </w:t>
          </w:r>
          <w:r>
            <w:rPr>
              <w:rFonts w:hint="eastAsia" w:ascii="微软雅黑" w:hAnsi="微软雅黑" w:eastAsia="微软雅黑" w:cs="微软雅黑"/>
              <w:bCs w:val="0"/>
              <w:kern w:val="0"/>
              <w:sz w:val="18"/>
              <w:szCs w:val="18"/>
              <w:shd w:val="clear" w:color="auto" w:fill="FFFFFF"/>
              <w:lang w:val="zh-CN"/>
            </w:rPr>
            <w:t>保密责任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ab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begin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instrText xml:space="preserve"> PAGEREF _Toc28755 \h </w:instrTex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separate"/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t>27</w:t>
          </w:r>
          <w:r>
            <w:rPr>
              <w:rFonts w:hint="eastAsia" w:ascii="微软雅黑" w:hAnsi="微软雅黑" w:eastAsia="微软雅黑" w:cs="微软雅黑"/>
              <w:sz w:val="18"/>
              <w:szCs w:val="18"/>
            </w:rPr>
            <w:fldChar w:fldCharType="end"/>
          </w: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  <w:p>
          <w:pPr>
            <w:adjustRightInd w:val="0"/>
            <w:snapToGrid w:val="0"/>
            <w:spacing w:line="240" w:lineRule="atLeast"/>
          </w:pPr>
          <w:r>
            <w:rPr>
              <w:rFonts w:hint="eastAsia" w:ascii="微软雅黑" w:hAnsi="微软雅黑" w:eastAsia="微软雅黑" w:cs="微软雅黑"/>
              <w:bCs/>
              <w:sz w:val="18"/>
              <w:szCs w:val="18"/>
              <w:lang w:val="zh-CN"/>
            </w:rPr>
            <w:fldChar w:fldCharType="end"/>
          </w:r>
        </w:p>
      </w:sdtContent>
    </w:sdt>
    <w:p>
      <w:pPr>
        <w:widowControl/>
        <w:jc w:val="left"/>
        <w:rPr>
          <w:rFonts w:ascii="Times New Roman" w:hAnsi="Times New Roman" w:eastAsia="微软雅黑" w:cs="Times New Roman"/>
          <w:b/>
        </w:rPr>
      </w:pPr>
      <w:r>
        <w:rPr>
          <w:rFonts w:ascii="Times New Roman" w:hAnsi="Times New Roman" w:eastAsia="微软雅黑" w:cs="Times New Roman"/>
          <w:b/>
        </w:rPr>
        <w:br w:type="page"/>
      </w:r>
    </w:p>
    <w:p>
      <w:pPr>
        <w:pStyle w:val="3"/>
        <w:keepLines w:val="0"/>
        <w:widowControl/>
        <w:numPr>
          <w:ilvl w:val="0"/>
          <w:numId w:val="7"/>
        </w:numPr>
        <w:tabs>
          <w:tab w:val="left" w:pos="567"/>
        </w:tabs>
        <w:adjustRightInd w:val="0"/>
        <w:spacing w:before="240" w:after="240" w:line="240" w:lineRule="auto"/>
        <w:jc w:val="left"/>
        <w:rPr>
          <w:rFonts w:eastAsia="微软雅黑"/>
          <w:bCs w:val="0"/>
          <w:kern w:val="0"/>
          <w:sz w:val="36"/>
          <w:szCs w:val="36"/>
        </w:rPr>
      </w:pPr>
      <w:bookmarkStart w:id="0" w:name="_Toc27117"/>
      <w:r>
        <w:rPr>
          <w:rFonts w:hint="eastAsia" w:eastAsia="微软雅黑"/>
          <w:bCs w:val="0"/>
          <w:kern w:val="0"/>
          <w:sz w:val="36"/>
          <w:szCs w:val="36"/>
        </w:rPr>
        <w:t>项目概述</w:t>
      </w:r>
      <w:bookmarkEnd w:id="0"/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1" w:name="_Toc484095073"/>
      <w:bookmarkStart w:id="2" w:name="_Toc26962"/>
      <w:bookmarkStart w:id="3" w:name="_Toc211223732"/>
      <w:bookmarkStart w:id="4" w:name="_Toc130115382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参考标准</w:t>
      </w:r>
      <w:bookmarkEnd w:id="1"/>
      <w:bookmarkEnd w:id="2"/>
    </w:p>
    <w:p>
      <w:pPr>
        <w:pStyle w:val="78"/>
        <w:numPr>
          <w:ilvl w:val="0"/>
          <w:numId w:val="8"/>
        </w:numPr>
        <w:spacing w:before="0" w:after="0" w:line="240" w:lineRule="auto"/>
        <w:ind w:left="902" w:firstLineChars="0"/>
        <w:textAlignment w:val="auto"/>
        <w:rPr>
          <w:rFonts w:eastAsia="微软雅黑"/>
          <w:b/>
          <w:szCs w:val="28"/>
        </w:rPr>
      </w:pPr>
      <w:r>
        <w:rPr>
          <w:rFonts w:eastAsia="微软雅黑"/>
          <w:b/>
          <w:szCs w:val="28"/>
        </w:rPr>
        <w:t>信息安全标准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eastAsia="微软雅黑"/>
          <w:sz w:val="22"/>
        </w:rPr>
        <w:t>GB/T 20984-2007信息安全风险评估规范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eastAsia="微软雅黑"/>
          <w:sz w:val="22"/>
        </w:rPr>
        <w:t>GB/T 31509-2015信息安全风险评估实施指南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eastAsia="微软雅黑"/>
          <w:sz w:val="22"/>
        </w:rPr>
        <w:t>GB/T 22239-20</w:t>
      </w:r>
      <w:r>
        <w:rPr>
          <w:rFonts w:hint="eastAsia" w:eastAsia="微软雅黑"/>
          <w:sz w:val="22"/>
        </w:rPr>
        <w:t>19</w:t>
      </w:r>
      <w:r>
        <w:rPr>
          <w:rFonts w:eastAsia="微软雅黑"/>
          <w:sz w:val="22"/>
        </w:rPr>
        <w:t xml:space="preserve"> 信息系统安全等级保护基本要求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eastAsia="微软雅黑"/>
          <w:sz w:val="22"/>
        </w:rPr>
        <w:t>GB/T 25058-201</w:t>
      </w:r>
      <w:r>
        <w:rPr>
          <w:rFonts w:hint="eastAsia" w:eastAsia="微软雅黑"/>
          <w:sz w:val="22"/>
        </w:rPr>
        <w:t>9</w:t>
      </w:r>
      <w:r>
        <w:rPr>
          <w:rFonts w:eastAsia="微软雅黑"/>
          <w:sz w:val="22"/>
        </w:rPr>
        <w:t xml:space="preserve"> 信息系统安全等级保护实施指南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GB/T 25070-2019 信息安全技术信息系统等级保护安全设计技术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eastAsia="微软雅黑"/>
          <w:sz w:val="22"/>
        </w:rPr>
        <w:t>ISO/IEC 27001:2013信息安全管理体系要求</w:t>
      </w:r>
    </w:p>
    <w:p>
      <w:pPr>
        <w:pStyle w:val="13"/>
        <w:numPr>
          <w:ilvl w:val="0"/>
          <w:numId w:val="9"/>
        </w:numPr>
        <w:ind w:firstLineChars="0"/>
        <w:jc w:val="left"/>
        <w:rPr>
          <w:rFonts w:eastAsia="微软雅黑"/>
          <w:sz w:val="22"/>
        </w:rPr>
      </w:pPr>
      <w:r>
        <w:rPr>
          <w:rFonts w:eastAsia="微软雅黑"/>
          <w:sz w:val="22"/>
        </w:rPr>
        <w:t>IATF信息安全保障体系框架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《信息技术安全性评估准则</w:t>
      </w:r>
      <w:r>
        <w:rPr>
          <w:rFonts w:eastAsia="微软雅黑"/>
          <w:sz w:val="22"/>
        </w:rPr>
        <w:t>GB/T 18336-2008》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《Open-Source Security Testing Methodology Manual v3》OSSTMM-2010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《Information Systems Security Assessment Framework》ISSAF-2008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《Web Security Threat Classification》WASC-2010</w:t>
      </w:r>
    </w:p>
    <w:p>
      <w:pPr>
        <w:pStyle w:val="13"/>
        <w:numPr>
          <w:ilvl w:val="0"/>
          <w:numId w:val="9"/>
        </w:numPr>
        <w:ind w:firstLineChars="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《OWASP Testing Guide v3》OWASP-2008</w:t>
      </w:r>
    </w:p>
    <w:p>
      <w:pPr>
        <w:pStyle w:val="13"/>
        <w:ind w:left="420" w:firstLine="0" w:firstLineChars="0"/>
        <w:jc w:val="left"/>
        <w:rPr>
          <w:rFonts w:eastAsia="微软雅黑"/>
          <w:sz w:val="22"/>
        </w:rPr>
      </w:pPr>
    </w:p>
    <w:p>
      <w:pPr>
        <w:pStyle w:val="78"/>
        <w:numPr>
          <w:ilvl w:val="0"/>
          <w:numId w:val="8"/>
        </w:numPr>
        <w:spacing w:before="0" w:after="0" w:line="240" w:lineRule="auto"/>
        <w:ind w:left="902" w:firstLineChars="0"/>
        <w:textAlignment w:val="auto"/>
        <w:rPr>
          <w:rFonts w:eastAsia="微软雅黑"/>
          <w:b/>
          <w:szCs w:val="28"/>
        </w:rPr>
      </w:pPr>
      <w:r>
        <w:rPr>
          <w:rFonts w:eastAsia="微软雅黑"/>
          <w:b/>
          <w:szCs w:val="28"/>
        </w:rPr>
        <w:t>国家法律法规</w:t>
      </w:r>
    </w:p>
    <w:p>
      <w:pPr>
        <w:pStyle w:val="47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Times New Roman" w:hAnsi="Times New Roman" w:eastAsia="微软雅黑"/>
          <w:sz w:val="22"/>
        </w:rPr>
      </w:pPr>
      <w:r>
        <w:rPr>
          <w:rFonts w:ascii="Times New Roman" w:hAnsi="Times New Roman" w:eastAsia="微软雅黑"/>
          <w:sz w:val="22"/>
        </w:rPr>
        <w:t>中华人民共和国网络安全法</w:t>
      </w:r>
    </w:p>
    <w:p>
      <w:pPr>
        <w:pStyle w:val="47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Times New Roman" w:hAnsi="Times New Roman" w:eastAsia="微软雅黑"/>
          <w:sz w:val="22"/>
        </w:rPr>
      </w:pPr>
      <w:r>
        <w:rPr>
          <w:rFonts w:ascii="Times New Roman" w:hAnsi="Times New Roman" w:eastAsia="微软雅黑"/>
          <w:sz w:val="22"/>
        </w:rPr>
        <w:t>中华人民共和国计算机信息系统安全保护条例 （国务院147号令）</w:t>
      </w:r>
    </w:p>
    <w:p>
      <w:pPr>
        <w:pStyle w:val="47"/>
        <w:widowControl/>
        <w:numPr>
          <w:ilvl w:val="0"/>
          <w:numId w:val="10"/>
        </w:numPr>
        <w:spacing w:line="360" w:lineRule="auto"/>
        <w:ind w:firstLineChars="0"/>
        <w:jc w:val="left"/>
        <w:rPr>
          <w:rFonts w:ascii="Times New Roman" w:hAnsi="Times New Roman" w:eastAsia="微软雅黑"/>
          <w:sz w:val="22"/>
        </w:rPr>
      </w:pPr>
      <w:r>
        <w:rPr>
          <w:rFonts w:ascii="Times New Roman" w:hAnsi="Times New Roman" w:eastAsia="微软雅黑"/>
          <w:sz w:val="22"/>
        </w:rPr>
        <w:t>信息安全等级保护管理办法（公通字[2007]43号）</w:t>
      </w:r>
    </w:p>
    <w:p>
      <w:pPr>
        <w:pStyle w:val="47"/>
        <w:adjustRightInd w:val="0"/>
        <w:spacing w:line="360" w:lineRule="auto"/>
        <w:ind w:left="840" w:firstLine="0" w:firstLineChars="0"/>
        <w:rPr>
          <w:rFonts w:ascii="Times New Roman" w:hAnsi="Times New Roman" w:eastAsia="微软雅黑" w:cs="Times New Roman"/>
        </w:rPr>
      </w:pP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5" w:name="_Toc11115"/>
      <w:bookmarkStart w:id="6" w:name="_Toc484095074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遵循</w:t>
      </w:r>
      <w:r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原则</w:t>
      </w:r>
      <w:bookmarkEnd w:id="5"/>
      <w:bookmarkEnd w:id="6"/>
    </w:p>
    <w:p>
      <w:pPr>
        <w:numPr>
          <w:ilvl w:val="0"/>
          <w:numId w:val="11"/>
        </w:numPr>
        <w:spacing w:line="360" w:lineRule="auto"/>
        <w:ind w:left="860"/>
        <w:jc w:val="left"/>
        <w:rPr>
          <w:rFonts w:ascii="Times New Roman" w:hAnsi="Times New Roman" w:eastAsia="微软雅黑" w:cs="Times New Roman"/>
          <w:b/>
          <w:sz w:val="22"/>
        </w:rPr>
      </w:pPr>
      <w:r>
        <w:rPr>
          <w:rFonts w:ascii="Times New Roman" w:hAnsi="Times New Roman" w:eastAsia="微软雅黑" w:cs="Times New Roman"/>
          <w:b/>
          <w:sz w:val="22"/>
        </w:rPr>
        <w:t>保密原则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安全服务是一个长期的过程，对</w:t>
      </w:r>
      <w:r>
        <w:rPr>
          <w:rFonts w:hint="eastAsia" w:ascii="Times New Roman" w:hAnsi="Times New Roman" w:eastAsia="微软雅黑" w:cs="Times New Roman"/>
          <w:sz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</w:rPr>
        <w:t>信息的保密尤为重要，除了保密协议的约束外，</w:t>
      </w:r>
      <w:r>
        <w:rPr>
          <w:rFonts w:hint="eastAsia" w:ascii="Times New Roman" w:hAnsi="Times New Roman" w:eastAsia="微软雅黑" w:cs="Times New Roman"/>
          <w:sz w:val="22"/>
        </w:rPr>
        <w:t>安全服务提供方须</w:t>
      </w:r>
      <w:r>
        <w:rPr>
          <w:rFonts w:ascii="Times New Roman" w:hAnsi="Times New Roman" w:eastAsia="微软雅黑" w:cs="Times New Roman"/>
          <w:sz w:val="22"/>
        </w:rPr>
        <w:t>充分认识到安全服务工程同时是一项重大而光荣的任务，严格挑选安全服务人员，保障服务人员的可信度。</w:t>
      </w:r>
    </w:p>
    <w:p>
      <w:pPr>
        <w:numPr>
          <w:ilvl w:val="0"/>
          <w:numId w:val="11"/>
        </w:numPr>
        <w:spacing w:line="360" w:lineRule="auto"/>
        <w:ind w:left="860"/>
        <w:jc w:val="left"/>
        <w:rPr>
          <w:rFonts w:ascii="Times New Roman" w:hAnsi="Times New Roman" w:eastAsia="微软雅黑" w:cs="Times New Roman"/>
          <w:b/>
          <w:sz w:val="22"/>
        </w:rPr>
      </w:pPr>
      <w:r>
        <w:rPr>
          <w:rFonts w:ascii="Times New Roman" w:hAnsi="Times New Roman" w:eastAsia="微软雅黑" w:cs="Times New Roman"/>
          <w:b/>
          <w:sz w:val="22"/>
        </w:rPr>
        <w:t>标准性原则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安全服务方案的设计与实施依据国内或国际的相关标准进行；</w:t>
      </w:r>
    </w:p>
    <w:p>
      <w:pPr>
        <w:numPr>
          <w:ilvl w:val="0"/>
          <w:numId w:val="11"/>
        </w:numPr>
        <w:spacing w:line="360" w:lineRule="auto"/>
        <w:ind w:left="860"/>
        <w:jc w:val="left"/>
        <w:rPr>
          <w:rFonts w:ascii="Times New Roman" w:hAnsi="Times New Roman" w:eastAsia="微软雅黑" w:cs="Times New Roman"/>
          <w:b/>
          <w:sz w:val="22"/>
        </w:rPr>
      </w:pPr>
      <w:r>
        <w:rPr>
          <w:rFonts w:ascii="Times New Roman" w:hAnsi="Times New Roman" w:eastAsia="微软雅黑" w:cs="Times New Roman"/>
          <w:b/>
          <w:sz w:val="22"/>
        </w:rPr>
        <w:t>规范性原则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安全服务过程和文档设计遵循了多种安全标准，具有很好的规范性，可以便于项目的跟踪和控制；</w:t>
      </w:r>
      <w:r>
        <w:rPr>
          <w:rFonts w:hint="eastAsia" w:ascii="Times New Roman" w:hAnsi="Times New Roman" w:eastAsia="微软雅黑" w:cs="Times New Roman"/>
          <w:sz w:val="22"/>
        </w:rPr>
        <w:t>服务</w:t>
      </w:r>
      <w:r>
        <w:rPr>
          <w:rFonts w:ascii="Times New Roman" w:hAnsi="Times New Roman" w:eastAsia="微软雅黑" w:cs="Times New Roman"/>
          <w:sz w:val="22"/>
        </w:rPr>
        <w:t>团队人员</w:t>
      </w:r>
      <w:r>
        <w:rPr>
          <w:rFonts w:hint="eastAsia" w:ascii="Times New Roman" w:hAnsi="Times New Roman" w:eastAsia="微软雅黑" w:cs="Times New Roman"/>
          <w:sz w:val="22"/>
        </w:rPr>
        <w:t>需</w:t>
      </w:r>
      <w:r>
        <w:rPr>
          <w:rFonts w:ascii="Times New Roman" w:hAnsi="Times New Roman" w:eastAsia="微软雅黑" w:cs="Times New Roman"/>
          <w:sz w:val="22"/>
        </w:rPr>
        <w:t>具备为</w:t>
      </w:r>
      <w:r>
        <w:rPr>
          <w:rFonts w:hint="eastAsia" w:ascii="Times New Roman" w:hAnsi="Times New Roman" w:eastAsia="微软雅黑" w:cs="Times New Roman"/>
          <w:sz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</w:rPr>
        <w:t>网络系统提供规范安全服务的能力。</w:t>
      </w:r>
    </w:p>
    <w:p>
      <w:pPr>
        <w:numPr>
          <w:ilvl w:val="0"/>
          <w:numId w:val="11"/>
        </w:numPr>
        <w:spacing w:line="360" w:lineRule="auto"/>
        <w:ind w:left="860"/>
        <w:jc w:val="left"/>
        <w:rPr>
          <w:rFonts w:ascii="Times New Roman" w:hAnsi="Times New Roman" w:eastAsia="微软雅黑" w:cs="Times New Roman"/>
          <w:b/>
          <w:sz w:val="22"/>
        </w:rPr>
      </w:pPr>
      <w:r>
        <w:rPr>
          <w:rFonts w:ascii="Times New Roman" w:hAnsi="Times New Roman" w:eastAsia="微软雅黑" w:cs="Times New Roman"/>
          <w:b/>
          <w:sz w:val="22"/>
        </w:rPr>
        <w:t>可控性原则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安全服务所使用的工具、方法和过程都事先与</w:t>
      </w:r>
      <w:r>
        <w:rPr>
          <w:rFonts w:hint="eastAsia" w:ascii="Times New Roman" w:hAnsi="Times New Roman" w:eastAsia="微软雅黑" w:cs="Times New Roman"/>
          <w:sz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</w:rPr>
        <w:t>沟通确认，经双方认可方可实施，服务进度遵守进度表的安排，保证对服务工作的可控性；</w:t>
      </w:r>
    </w:p>
    <w:p>
      <w:pPr>
        <w:numPr>
          <w:ilvl w:val="0"/>
          <w:numId w:val="11"/>
        </w:numPr>
        <w:spacing w:line="360" w:lineRule="auto"/>
        <w:ind w:left="860"/>
        <w:jc w:val="left"/>
        <w:rPr>
          <w:rFonts w:ascii="Times New Roman" w:hAnsi="Times New Roman" w:eastAsia="微软雅黑" w:cs="Times New Roman"/>
          <w:b/>
          <w:sz w:val="22"/>
        </w:rPr>
      </w:pPr>
      <w:r>
        <w:rPr>
          <w:rFonts w:ascii="Times New Roman" w:hAnsi="Times New Roman" w:eastAsia="微软雅黑" w:cs="Times New Roman"/>
          <w:b/>
          <w:sz w:val="22"/>
        </w:rPr>
        <w:t>最小影响原则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提供所有安全服务的前提是要保障</w:t>
      </w:r>
      <w:r>
        <w:rPr>
          <w:rFonts w:hint="eastAsia" w:ascii="Times New Roman" w:hAnsi="Times New Roman" w:eastAsia="微软雅黑" w:cs="Times New Roman"/>
          <w:sz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</w:rPr>
        <w:t>网络系统的业务连续性：任何服务项目都尽量不中断业务服务；同时对于占用网络或系统资源较大的服务项目，尽量避开业务高峰实施。</w:t>
      </w:r>
    </w:p>
    <w:p>
      <w:pPr>
        <w:widowControl/>
        <w:jc w:val="left"/>
        <w:rPr>
          <w:rFonts w:ascii="Times New Roman" w:hAnsi="Times New Roman" w:eastAsia="微软雅黑" w:cs="Times New Roman"/>
          <w:b/>
          <w:kern w:val="0"/>
          <w:sz w:val="36"/>
          <w:szCs w:val="36"/>
        </w:rPr>
      </w:pPr>
      <w:bookmarkStart w:id="7" w:name="_Toc451116123"/>
      <w:bookmarkStart w:id="8" w:name="_Toc459401644"/>
    </w:p>
    <w:p>
      <w:pPr>
        <w:pStyle w:val="3"/>
        <w:keepLines w:val="0"/>
        <w:widowControl/>
        <w:numPr>
          <w:ilvl w:val="0"/>
          <w:numId w:val="7"/>
        </w:numPr>
        <w:tabs>
          <w:tab w:val="left" w:pos="567"/>
        </w:tabs>
        <w:adjustRightInd w:val="0"/>
        <w:spacing w:before="240" w:after="240" w:line="240" w:lineRule="auto"/>
        <w:jc w:val="left"/>
        <w:rPr>
          <w:rFonts w:eastAsia="微软雅黑"/>
          <w:bCs w:val="0"/>
          <w:kern w:val="0"/>
          <w:sz w:val="36"/>
          <w:szCs w:val="36"/>
        </w:rPr>
      </w:pPr>
      <w:bookmarkStart w:id="9" w:name="_Toc6132"/>
      <w:r>
        <w:rPr>
          <w:rFonts w:hint="eastAsia" w:eastAsia="微软雅黑"/>
          <w:bCs w:val="0"/>
          <w:kern w:val="0"/>
          <w:sz w:val="36"/>
          <w:szCs w:val="36"/>
        </w:rPr>
        <w:t>服务内容</w:t>
      </w:r>
      <w:bookmarkEnd w:id="7"/>
      <w:bookmarkEnd w:id="9"/>
    </w:p>
    <w:p>
      <w:pPr>
        <w:ind w:firstLine="420"/>
        <w:rPr>
          <w:rFonts w:ascii="Times New Roman" w:hAnsi="Times New Roman" w:eastAsia="微软雅黑" w:cs="Times New Roman"/>
          <w:sz w:val="22"/>
          <w:szCs w:val="24"/>
        </w:rPr>
      </w:pPr>
      <w:r>
        <w:rPr>
          <w:rFonts w:hint="eastAsia" w:ascii="Times New Roman" w:hAnsi="Times New Roman" w:eastAsia="微软雅黑" w:cs="Times New Roman"/>
          <w:sz w:val="22"/>
          <w:szCs w:val="24"/>
        </w:rPr>
        <w:t>为实现本次安全运维服务项目的目标，安全运维服务方要为</w:t>
      </w:r>
      <w:r>
        <w:rPr>
          <w:rFonts w:hint="eastAsia" w:ascii="Times New Roman" w:hAnsi="Times New Roman" w:eastAsia="微软雅黑" w:cs="Times New Roman"/>
          <w:sz w:val="22"/>
          <w:szCs w:val="24"/>
          <w:lang w:eastAsia="zh-CN"/>
        </w:rPr>
        <w:t>营运路段</w:t>
      </w:r>
      <w:r>
        <w:rPr>
          <w:rFonts w:hint="eastAsia" w:ascii="Times New Roman" w:hAnsi="Times New Roman" w:eastAsia="微软雅黑" w:cs="Times New Roman"/>
          <w:sz w:val="22"/>
          <w:szCs w:val="24"/>
        </w:rPr>
        <w:t>提供以下安全服务内容。</w:t>
      </w:r>
    </w:p>
    <w:p>
      <w:pPr>
        <w:ind w:firstLine="420"/>
        <w:rPr>
          <w:rFonts w:ascii="Times New Roman" w:hAnsi="Times New Roman" w:eastAsia="微软雅黑" w:cs="Times New Roman"/>
          <w:sz w:val="22"/>
          <w:szCs w:val="24"/>
        </w:rPr>
      </w:pPr>
    </w:p>
    <w:tbl>
      <w:tblPr>
        <w:tblStyle w:val="34"/>
        <w:tblW w:w="9302" w:type="dxa"/>
        <w:tblInd w:w="9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9"/>
        <w:gridCol w:w="1092"/>
        <w:gridCol w:w="4015"/>
        <w:gridCol w:w="836"/>
        <w:gridCol w:w="1007"/>
        <w:gridCol w:w="184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序号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服务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项目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服务描述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服务方式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服务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说明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服务输出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2"/>
                <w:szCs w:val="24"/>
              </w:rPr>
              <w:t>文档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5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1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安全风险评估服务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安全风险评估，是从风险管理角度，运用科学的方法和技术手段，分析网络与信息系统所面临的安全威胁及存在的脆弱性，评估安全事件一旦发生可能造成的危害程度，并提出针对性的安全防护建议和整改措施。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 xml:space="preserve">安全风险评估是对网络中已知或潜在的安全漏洞、安全风险、安全隐患，进行探测、识别、控制、消除的全过程，它是信息安全服务工作的必要组成部分，是信息安全工作中非常重要的一个环节。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安全风险评估的参考标准主要是GB/T 20984、GB/T 31509、公安部等级保护，风险评估方法包括但不限于资料收集、调查问卷、人员访谈、现场查勘、漏洞扫描、基线核查、风险分析。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输出包括但不限于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《安全风险评估报告》、《资产分析报告》、《脆弱性评估报告》、《威胁评估报告》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96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2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等保建设咨询服务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等保差距分析，是依据公安部等级保护基本要求，从物理、网络、主机、应用、数据、制度、机构、人员、建设、运维共十个方面，分析信息系统安全防护能力与对应等级要求之间的差距，明确不满足项并提出整改建议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不同等级的要求存在差异，所以不同等级应用系统的等保差距分析，其工作量也存在差异。目前，应用系统大多定为二级或三级，等级越高，工作量越大。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等保差距整改，是双前期的等保差距分析报告为依据，为客户设计满足等级保护要求、可落地执行的安全整改建设方案并执行，确保信息系统满足等级保护要求，并顺利通过等级保护测评。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我们的等保差距整改，将以纵深防御为主要设计思路，为用户提供“三重防护、一个中心”的安全整改建设方案。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输出包括但不限于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《XX系统等级保护差距分析报告》（含安全整改建议）、《XX系统等保差距整改建设方案》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3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安全巡检服务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安全巡检服务，对高速公路路段中心、收费站和ETC</w:t>
            </w: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门架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的网络设备、安全设备、重要业务系统、重要终端等进行的安全检测，检测完成后提供全面的巡检报告，报告中给出存在的安全风险并提供对应的修复建议。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安全巡检服务内容，包括安全漏洞检测、基线配置核查、安全日志审计。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每季度一次，一年共4次；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输出包括但不限于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《XX安全巡检服务报告》《XX安全漏洞检测报告》、《XX基线配置核查报告》、《XX安全日志审计报告》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4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安全加固服务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安全加固服务，是</w:t>
            </w: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协助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对目标系统的安全漏洞进行修复、配置隐患进行优化的过程。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安全加固是保证设备和系统安全运行的关键防护措施，通常情况下，操作系统、数据库、中间件、网络设备、安全设备，都需要进行安全加固。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输出包括但不限于《XX安全加固报告》（含加固前后漏洞对比）、《XX加固前漏洞扫描报告》、《XX加固后漏洞扫描报告》、《XX安全加固应急及回退方案》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5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安全应急响应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应急响应服务，是在业务系统或服务器遭受黑客入侵攻击时，第一时间对入侵事件进行分析、检测、抑制、处理，查找入侵来源并恢复系统正常运行。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我们的应急响应服务，在完成应急事件事处理后，还将提供详细的应急响应报告，报告中将还原入侵过程，同时给出对应的解决方案。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输出包括但不限于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ab/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《XX系统安全应急响应报告》、《XX系统安全事件应急预案》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6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安全应急演练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根据应急预案和演练方案，协助用户完成各类安全事件的应急处置演练工作，确保安全应急工作的标准化和流程化，以及安全应急的效率和质量。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针对特定演练场景（网页被篡改攻击、网站遭受DDOS攻击、内网ARP攻击等)，制定演练预案、准备演练工具、参与演练软环境准备、协助演练硬件环境调测验证、进行正式应急演练、汇报总结。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</w:t>
            </w:r>
            <w:r>
              <w:rPr>
                <w:rFonts w:hint="eastAsia" w:ascii="宋体" w:hAnsi="宋体" w:eastAsia="宋体" w:cs="宋体"/>
                <w:sz w:val="2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输出包括但不限于《XX安全应急演练报告》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7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安全通告服务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安全通告服务，是每月为用户提供信息安全研究月报，月报内容包括本月的信息安全整体态势、新增漏洞数量、漏洞分布情况、高危漏洞分析、本月主要安全事件，以及针对新漏洞的更新和防护方案。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同时，在出现重大安全漏洞和突发事件时，将第一时间进行深度分析，并将对应的分析报告提供给用户。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远程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每月1次，一年共12次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输出包括但不限于《xx信息安全研究月报》、《xx重大事件分析报告》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8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重大活动安全保障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在重大会议或重大节假日期间，为用户提供全程的网络安全保障工作，确保用户业务系统的安全稳定运行。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 xml:space="preserve">1、内外网暴露面与风险清理：对保障单位内外网进行资产初步梳理，发现发布应用、以及各类业务系统，发现网络内开放的端口情况，摸清资产情况，下线无主资产、关闭风险端口，同时探测相关资产存在的漏洞隐患，形成整改清单。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 xml:space="preserve">2、人员驻守服务：提供30人天以上的安全值守服务，对发现的安全风险及时处置，组织和协调全体保障人员，共同分析研判和封堵网络攻击行为。 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3、防护能力提升服务：针对发现的问题及防护短板，提出安全策略优化与加固建议，提供满足防护要求的安全设备解决方案，并安排专业的技术人员随时监测攻击事件并及时处置。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1年按需执行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输出包括但不限于《xx现场值守日报》、《xx现场值守工作总结》、《xx网站安全应急响应预案》、《xx安全事件应急响应报告》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9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安全意识培训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为用户提供安全意识培训，内容包括信息安全普及知识、法律法规、安全趋势、安全管理、移动安全、大数据安全以及常见办公安全等。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现场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一年</w:t>
            </w:r>
            <w:r>
              <w:rPr>
                <w:rFonts w:hint="eastAsia" w:ascii="宋体" w:hAnsi="宋体" w:eastAsia="宋体" w:cs="宋体"/>
                <w:sz w:val="22"/>
                <w:szCs w:val="24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次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输出包括但不限于《XX单位安全意识培训记录》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0" w:hRule="atLeast"/>
        </w:trPr>
        <w:tc>
          <w:tcPr>
            <w:tcW w:w="50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</w:rPr>
              <w:t>10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kern w:val="0"/>
                <w:sz w:val="24"/>
                <w:lang w:bidi="ar"/>
              </w:rPr>
              <w:t>其它</w:t>
            </w:r>
          </w:p>
        </w:tc>
        <w:tc>
          <w:tcPr>
            <w:tcW w:w="401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4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根据业主需要，提供多种排名领先品牌的专业漏扫工具、基线核查工具、U盘接入检测工具、违规外联/内联检测工具等。</w:t>
            </w:r>
          </w:p>
        </w:tc>
        <w:tc>
          <w:tcPr>
            <w:tcW w:w="83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z w:val="24"/>
                <w:lang w:eastAsia="zh-CN"/>
              </w:rPr>
              <w:t>远程</w:t>
            </w:r>
          </w:p>
        </w:tc>
        <w:tc>
          <w:tcPr>
            <w:tcW w:w="100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1年按需执行</w:t>
            </w:r>
          </w:p>
        </w:tc>
        <w:tc>
          <w:tcPr>
            <w:tcW w:w="18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000000" w:fill="FFFFFF"/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sz w:val="22"/>
                <w:szCs w:val="24"/>
              </w:rPr>
            </w:pPr>
            <w:r>
              <w:rPr>
                <w:rFonts w:hint="eastAsia" w:ascii="宋体" w:hAnsi="宋体" w:eastAsia="宋体" w:cs="宋体"/>
                <w:sz w:val="22"/>
                <w:szCs w:val="24"/>
              </w:rPr>
              <w:t>输出包括但不限于《XX单位安全</w:t>
            </w:r>
            <w:r>
              <w:rPr>
                <w:rFonts w:hint="eastAsia" w:ascii="宋体" w:hAnsi="宋体" w:eastAsia="宋体" w:cs="宋体"/>
                <w:sz w:val="22"/>
                <w:szCs w:val="24"/>
                <w:lang w:eastAsia="zh-CN"/>
              </w:rPr>
              <w:t>检查报告</w:t>
            </w:r>
            <w:r>
              <w:rPr>
                <w:rFonts w:hint="eastAsia" w:ascii="宋体" w:hAnsi="宋体" w:eastAsia="宋体" w:cs="宋体"/>
                <w:sz w:val="22"/>
                <w:szCs w:val="24"/>
              </w:rPr>
              <w:t>》</w:t>
            </w:r>
          </w:p>
        </w:tc>
      </w:tr>
    </w:tbl>
    <w:p>
      <w:pPr>
        <w:widowControl/>
        <w:jc w:val="left"/>
        <w:rPr>
          <w:rFonts w:ascii="Times New Roman" w:hAnsi="Times New Roman" w:eastAsia="微软雅黑" w:cs="Times New Roman"/>
          <w:sz w:val="22"/>
          <w:szCs w:val="24"/>
        </w:rPr>
      </w:pPr>
    </w:p>
    <w:bookmarkEnd w:id="3"/>
    <w:bookmarkEnd w:id="4"/>
    <w:bookmarkEnd w:id="8"/>
    <w:p>
      <w:pPr>
        <w:pStyle w:val="3"/>
        <w:keepLines w:val="0"/>
        <w:widowControl/>
        <w:numPr>
          <w:ilvl w:val="0"/>
          <w:numId w:val="7"/>
        </w:numPr>
        <w:tabs>
          <w:tab w:val="left" w:pos="567"/>
        </w:tabs>
        <w:adjustRightInd w:val="0"/>
        <w:spacing w:before="240" w:after="240" w:line="240" w:lineRule="auto"/>
        <w:jc w:val="left"/>
        <w:rPr>
          <w:rFonts w:eastAsia="微软雅黑"/>
          <w:bCs w:val="0"/>
          <w:kern w:val="0"/>
          <w:sz w:val="36"/>
          <w:szCs w:val="36"/>
        </w:rPr>
      </w:pPr>
      <w:bookmarkStart w:id="10" w:name="_Toc7885"/>
      <w:r>
        <w:rPr>
          <w:rFonts w:hint="eastAsia" w:eastAsia="微软雅黑"/>
          <w:bCs w:val="0"/>
          <w:kern w:val="0"/>
          <w:sz w:val="36"/>
          <w:szCs w:val="36"/>
        </w:rPr>
        <w:t>安全运维服务内容</w:t>
      </w:r>
      <w:bookmarkEnd w:id="10"/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11" w:name="_Toc13850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</w:rPr>
        <w:t>安全风险评估服务</w:t>
      </w:r>
      <w:bookmarkEnd w:id="11"/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12" w:name="_Toc31001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服务描述</w:t>
      </w:r>
      <w:bookmarkEnd w:id="12"/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安全风险评估，是从风险管理角度，运用科学的方法和技术手段，分析网络与信息系统所面临的安全威胁及存在的脆弱性，评估安全事件一旦发生可能造成的危害程度，并提出针对性的安全防护建议和整改措施。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 xml:space="preserve">安全风险评估是对网络中已知或潜在的安全漏洞、安全风险、安全隐患，进行探测、识别、控制、消除的全过程，它是信息安全服务工作的必要组成部分，是信息安全工作中非常重要的一个环节。 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安全风险评估的参考标准主要是GB/T 20984、GB/T 31509、公安部等级保护，风险评估方法包括但不限于资料收集、调查问卷、人员访谈、现场查勘、漏洞扫描、基线核查、风险分析。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13" w:name="_Toc12311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输出成果</w:t>
      </w:r>
      <w:bookmarkEnd w:id="13"/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安全风险评估的主要输出成果如下：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《安全风险评估报告》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《资产分析报告》、《脆弱性评估报告》、《威胁评估报告》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14" w:name="_Toc31514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服务收益</w:t>
      </w:r>
      <w:bookmarkEnd w:id="14"/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我们的安全风险评估，可为客户带来以下收益：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了解网络和信息系统的安全现状，明确采取何种安全措施，可以有效降低威胁事件发生的可能性及造成的影响，从而将风险降低到可接受的水平。</w:t>
      </w:r>
    </w:p>
    <w:p>
      <w:pPr>
        <w:ind w:firstLine="420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明晰组织的网络安全需求，提出合理的安全规划建议，为制定或调整组织信息系统安全策略提供参考，为组织的网络安全规划提供依据。</w:t>
      </w:r>
    </w:p>
    <w:p>
      <w:pPr>
        <w:snapToGrid w:val="0"/>
        <w:spacing w:line="360" w:lineRule="auto"/>
        <w:jc w:val="left"/>
        <w:rPr>
          <w:rFonts w:eastAsia="微软雅黑"/>
          <w:sz w:val="22"/>
        </w:rPr>
      </w:pP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15" w:name="_Toc14919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等保建设咨询服务</w:t>
      </w:r>
      <w:bookmarkEnd w:id="15"/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16" w:name="_Toc2962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等保差距分析</w:t>
      </w:r>
      <w:bookmarkEnd w:id="16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服务描述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等保差距分析，是依据公安部等级保护基本要求，从物理、网络、主机、应用、数据、制度、机构、人员、建设、运维共十个方面，分析信息系统安全防护能力与对应等级要求之间的差距，明确不满足项并提出整改建议。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不同等级的要求存在差异，所以不同等级应用系统的等保差距分析，其工作量也存在差异。目前，应用系统大多定为二级或三级，等级越高，工作量越大。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输出成果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等保差距分析的主要输出成果如下：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</w:t>
      </w:r>
      <w:r>
        <w:rPr>
          <w:rFonts w:ascii="Times New Roman" w:hAnsi="Times New Roman" w:eastAsia="微软雅黑" w:cs="Times New Roman"/>
          <w:sz w:val="22"/>
        </w:rPr>
        <w:t>XX</w:t>
      </w:r>
      <w:r>
        <w:rPr>
          <w:rFonts w:hint="eastAsia" w:ascii="Times New Roman" w:hAnsi="Times New Roman" w:eastAsia="微软雅黑" w:cs="Times New Roman"/>
          <w:sz w:val="22"/>
        </w:rPr>
        <w:t>系统等级保护差距分析报告》（含安全整改建议）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服务收益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我们的等保差距分析，可为客户带来以下收益：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准确评估信息系统与保护等级之间的差距，明确不符合要求的安全项。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提供安全整改建议，为等保差距整改提供依据，为通过安全等级保护测评打下基础。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17" w:name="_Toc23789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等保差距整改</w:t>
      </w:r>
      <w:bookmarkEnd w:id="17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服务描述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等保差距整改，是双前期的等保差距分析报告为依据，为客户设计满足等级保护要求、可落地执行的安全整改建设方案并执行，确保信息系统满足等级保护要求，并顺利通过等级保护测评。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我们的等保差距整改，将以纵深防御为主要设计思路，为用户提供“三重防护、一个中心”的安全整改建设方案。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输出成果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等保差距整改的主要输出成果如下：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</w:t>
      </w:r>
      <w:r>
        <w:rPr>
          <w:rFonts w:ascii="Times New Roman" w:hAnsi="Times New Roman" w:eastAsia="微软雅黑" w:cs="Times New Roman"/>
          <w:sz w:val="22"/>
        </w:rPr>
        <w:t>XX</w:t>
      </w:r>
      <w:r>
        <w:rPr>
          <w:rFonts w:hint="eastAsia" w:ascii="Times New Roman" w:hAnsi="Times New Roman" w:eastAsia="微软雅黑" w:cs="Times New Roman"/>
          <w:sz w:val="22"/>
        </w:rPr>
        <w:t>系统等保差距整改建设方案》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服务收益</w:t>
      </w:r>
    </w:p>
    <w:p>
      <w:pPr>
        <w:ind w:firstLine="424" w:firstLineChars="193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我们的等保差距整改，可为客户带来以下收益：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落实国家信息安全的基本政策。</w:t>
      </w:r>
    </w:p>
    <w:p>
      <w:pPr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确保信息安全建设的有的放矢，既符合等级保护要求，又使得投资决策更加科学有效。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18" w:name="_Toc1044"/>
      <w:bookmarkStart w:id="19" w:name="_Toc478562309"/>
      <w:bookmarkStart w:id="20" w:name="_Toc478562319"/>
      <w:bookmarkStart w:id="21" w:name="_Toc446772294"/>
      <w:bookmarkStart w:id="22" w:name="_Toc445757853"/>
      <w:bookmarkStart w:id="23" w:name="_Toc441224869"/>
      <w:bookmarkStart w:id="24" w:name="_Toc436926911"/>
      <w:bookmarkStart w:id="25" w:name="_Toc437346265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安全巡检服务</w:t>
      </w:r>
      <w:bookmarkEnd w:id="18"/>
      <w:bookmarkEnd w:id="19"/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信息安全是动态的，随着时间的变化</w:t>
      </w:r>
      <w:r>
        <w:rPr>
          <w:rFonts w:hint="eastAsia" w:ascii="微软雅黑" w:hAnsi="微软雅黑" w:eastAsia="微软雅黑"/>
          <w:sz w:val="22"/>
        </w:rPr>
        <w:t>会</w:t>
      </w:r>
      <w:r>
        <w:rPr>
          <w:rFonts w:ascii="微软雅黑" w:hAnsi="微软雅黑" w:eastAsia="微软雅黑"/>
          <w:sz w:val="22"/>
        </w:rPr>
        <w:t>不断暴露出</w:t>
      </w:r>
      <w:r>
        <w:rPr>
          <w:rFonts w:hint="eastAsia" w:ascii="微软雅黑" w:hAnsi="微软雅黑" w:eastAsia="微软雅黑"/>
          <w:sz w:val="22"/>
        </w:rPr>
        <w:t>新的</w:t>
      </w:r>
      <w:r>
        <w:rPr>
          <w:rFonts w:ascii="微软雅黑" w:hAnsi="微软雅黑" w:eastAsia="微软雅黑"/>
          <w:sz w:val="22"/>
        </w:rPr>
        <w:t>安全漏洞、恶意软件</w:t>
      </w:r>
      <w:r>
        <w:rPr>
          <w:rFonts w:hint="eastAsia" w:ascii="微软雅黑" w:hAnsi="微软雅黑" w:eastAsia="微软雅黑"/>
          <w:sz w:val="22"/>
        </w:rPr>
        <w:t>、攻击</w:t>
      </w:r>
      <w:r>
        <w:rPr>
          <w:rFonts w:ascii="微软雅黑" w:hAnsi="微软雅黑" w:eastAsia="微软雅黑"/>
          <w:sz w:val="22"/>
        </w:rPr>
        <w:t>手段，新</w:t>
      </w:r>
      <w:r>
        <w:rPr>
          <w:rFonts w:hint="eastAsia" w:ascii="微软雅黑" w:hAnsi="微软雅黑" w:eastAsia="微软雅黑"/>
          <w:sz w:val="22"/>
        </w:rPr>
        <w:t>些将</w:t>
      </w:r>
      <w:r>
        <w:rPr>
          <w:rFonts w:ascii="微软雅黑" w:hAnsi="微软雅黑" w:eastAsia="微软雅黑"/>
          <w:sz w:val="22"/>
        </w:rPr>
        <w:t>打打破现有信息安全</w:t>
      </w:r>
      <w:r>
        <w:rPr>
          <w:rFonts w:hint="eastAsia" w:ascii="微软雅黑" w:hAnsi="微软雅黑" w:eastAsia="微软雅黑"/>
          <w:sz w:val="22"/>
        </w:rPr>
        <w:t>的</w:t>
      </w:r>
      <w:r>
        <w:rPr>
          <w:rFonts w:ascii="微软雅黑" w:hAnsi="微软雅黑" w:eastAsia="微软雅黑"/>
          <w:sz w:val="22"/>
        </w:rPr>
        <w:t>平衡。安全风险管理是</w:t>
      </w:r>
      <w:r>
        <w:rPr>
          <w:rFonts w:hint="eastAsia" w:ascii="微软雅黑" w:hAnsi="微软雅黑" w:eastAsia="微软雅黑"/>
          <w:sz w:val="22"/>
        </w:rPr>
        <w:t>一</w:t>
      </w:r>
      <w:r>
        <w:rPr>
          <w:rFonts w:ascii="微软雅黑" w:hAnsi="微软雅黑" w:eastAsia="微软雅黑"/>
          <w:sz w:val="22"/>
        </w:rPr>
        <w:t>个持续性的过程，安全</w:t>
      </w:r>
      <w:r>
        <w:rPr>
          <w:rFonts w:hint="eastAsia" w:ascii="微软雅黑" w:hAnsi="微软雅黑" w:eastAsia="微软雅黑"/>
          <w:sz w:val="22"/>
        </w:rPr>
        <w:t>巡检服务</w:t>
      </w:r>
      <w:r>
        <w:rPr>
          <w:rFonts w:ascii="微软雅黑" w:hAnsi="微软雅黑" w:eastAsia="微软雅黑"/>
          <w:sz w:val="22"/>
        </w:rPr>
        <w:t>是安全风险管理过</w:t>
      </w:r>
      <w:r>
        <w:rPr>
          <w:rFonts w:hint="eastAsia" w:ascii="微软雅黑" w:hAnsi="微软雅黑" w:eastAsia="微软雅黑"/>
          <w:sz w:val="22"/>
        </w:rPr>
        <w:t>程</w:t>
      </w:r>
      <w:r>
        <w:rPr>
          <w:rFonts w:ascii="微软雅黑" w:hAnsi="微软雅黑" w:eastAsia="微软雅黑"/>
          <w:sz w:val="22"/>
        </w:rPr>
        <w:t>中的重要组成部分。</w:t>
      </w:r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安全巡检服务</w:t>
      </w:r>
      <w:r>
        <w:rPr>
          <w:rFonts w:hint="eastAsia" w:ascii="微软雅黑" w:hAnsi="微软雅黑" w:eastAsia="微软雅黑"/>
          <w:sz w:val="22"/>
        </w:rPr>
        <w:t>，</w:t>
      </w:r>
      <w:r>
        <w:rPr>
          <w:rFonts w:ascii="微软雅黑" w:hAnsi="微软雅黑" w:eastAsia="微软雅黑"/>
          <w:sz w:val="22"/>
        </w:rPr>
        <w:t>是</w:t>
      </w:r>
      <w:r>
        <w:rPr>
          <w:rFonts w:hint="eastAsia" w:ascii="微软雅黑" w:hAnsi="微软雅黑" w:eastAsia="微软雅黑"/>
          <w:sz w:val="22"/>
        </w:rPr>
        <w:t>指</w:t>
      </w:r>
      <w:r>
        <w:rPr>
          <w:rFonts w:ascii="微软雅黑" w:hAnsi="微软雅黑" w:eastAsia="微软雅黑"/>
          <w:sz w:val="22"/>
        </w:rPr>
        <w:t>定期对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hint="eastAsia" w:ascii="微软雅黑" w:hAnsi="微软雅黑" w:eastAsia="微软雅黑"/>
          <w:sz w:val="22"/>
        </w:rPr>
        <w:t>的网络设备、安全设备、重要业务系统、重要终端等</w:t>
      </w:r>
      <w:r>
        <w:rPr>
          <w:rFonts w:ascii="微软雅黑" w:hAnsi="微软雅黑" w:eastAsia="微软雅黑"/>
          <w:sz w:val="22"/>
        </w:rPr>
        <w:t>进行的安全</w:t>
      </w:r>
      <w:r>
        <w:rPr>
          <w:rFonts w:hint="eastAsia" w:ascii="微软雅黑" w:hAnsi="微软雅黑" w:eastAsia="微软雅黑"/>
          <w:sz w:val="22"/>
        </w:rPr>
        <w:t>检测，</w:t>
      </w:r>
      <w:r>
        <w:rPr>
          <w:rFonts w:ascii="微软雅黑" w:hAnsi="微软雅黑" w:eastAsia="微软雅黑"/>
          <w:sz w:val="22"/>
        </w:rPr>
        <w:t>检测完成后提供全面的巡检服务报告</w:t>
      </w:r>
      <w:r>
        <w:rPr>
          <w:rFonts w:hint="eastAsia" w:ascii="微软雅黑" w:hAnsi="微软雅黑" w:eastAsia="微软雅黑"/>
          <w:sz w:val="22"/>
        </w:rPr>
        <w:t>，</w:t>
      </w:r>
      <w:r>
        <w:rPr>
          <w:rFonts w:ascii="微软雅黑" w:hAnsi="微软雅黑" w:eastAsia="微软雅黑"/>
          <w:sz w:val="22"/>
        </w:rPr>
        <w:t>给出存在</w:t>
      </w:r>
      <w:r>
        <w:rPr>
          <w:rFonts w:hint="eastAsia" w:ascii="微软雅黑" w:hAnsi="微软雅黑" w:eastAsia="微软雅黑"/>
          <w:sz w:val="22"/>
        </w:rPr>
        <w:t>的</w:t>
      </w:r>
      <w:r>
        <w:rPr>
          <w:rFonts w:ascii="微软雅黑" w:hAnsi="微软雅黑" w:eastAsia="微软雅黑"/>
          <w:sz w:val="22"/>
        </w:rPr>
        <w:t>安全风险并提供对应的修复建议。</w:t>
      </w:r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通过安全巡检服务，可以有效发现设备和系统中存在的安全漏洞、安全配置隐患、安全风险，为安全加固提供事实依据。并通过周期性检查，促进</w:t>
      </w:r>
      <w:r>
        <w:rPr>
          <w:rFonts w:ascii="微软雅黑" w:hAnsi="微软雅黑" w:eastAsia="微软雅黑"/>
          <w:sz w:val="22"/>
        </w:rPr>
        <w:t>ISMS</w:t>
      </w:r>
      <w:r>
        <w:rPr>
          <w:rFonts w:hint="eastAsia" w:ascii="微软雅黑" w:hAnsi="微软雅黑" w:eastAsia="微软雅黑"/>
          <w:sz w:val="22"/>
        </w:rPr>
        <w:t>信息安全管理体系和</w:t>
      </w:r>
      <w:r>
        <w:rPr>
          <w:rFonts w:ascii="微软雅黑" w:hAnsi="微软雅黑" w:eastAsia="微软雅黑"/>
          <w:sz w:val="22"/>
        </w:rPr>
        <w:t>PDCA</w:t>
      </w:r>
      <w:r>
        <w:rPr>
          <w:rFonts w:hint="eastAsia" w:ascii="微软雅黑" w:hAnsi="微软雅黑" w:eastAsia="微软雅黑"/>
          <w:sz w:val="22"/>
        </w:rPr>
        <w:t>在实际工作中的执行，确保设备和系统的持续、安全、稳定运行。</w:t>
      </w:r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安全服务提供方</w:t>
      </w:r>
      <w:r>
        <w:rPr>
          <w:rFonts w:ascii="微软雅黑" w:hAnsi="微软雅黑" w:eastAsia="微软雅黑"/>
          <w:sz w:val="22"/>
        </w:rPr>
        <w:t>的安全巡检服务，包括</w:t>
      </w:r>
      <w:r>
        <w:rPr>
          <w:rFonts w:hint="eastAsia" w:ascii="微软雅黑" w:hAnsi="微软雅黑" w:eastAsia="微软雅黑"/>
          <w:sz w:val="22"/>
        </w:rPr>
        <w:t>系统</w:t>
      </w:r>
      <w:r>
        <w:rPr>
          <w:rFonts w:ascii="微软雅黑" w:hAnsi="微软雅黑" w:eastAsia="微软雅黑"/>
          <w:sz w:val="22"/>
        </w:rPr>
        <w:t>漏洞</w:t>
      </w:r>
      <w:r>
        <w:rPr>
          <w:rFonts w:hint="eastAsia" w:ascii="微软雅黑" w:hAnsi="微软雅黑" w:eastAsia="微软雅黑"/>
          <w:sz w:val="22"/>
        </w:rPr>
        <w:t>检测、基线配置核查、安</w:t>
      </w:r>
      <w:r>
        <w:rPr>
          <w:rFonts w:ascii="微软雅黑" w:hAnsi="微软雅黑" w:eastAsia="微软雅黑"/>
          <w:sz w:val="22"/>
        </w:rPr>
        <w:t>全</w:t>
      </w:r>
      <w:r>
        <w:rPr>
          <w:rFonts w:hint="eastAsia" w:ascii="微软雅黑" w:hAnsi="微软雅黑" w:eastAsia="微软雅黑"/>
          <w:sz w:val="22"/>
        </w:rPr>
        <w:t>日志</w:t>
      </w:r>
      <w:r>
        <w:rPr>
          <w:rFonts w:ascii="微软雅黑" w:hAnsi="微软雅黑" w:eastAsia="微软雅黑"/>
          <w:sz w:val="22"/>
        </w:rPr>
        <w:t>审计</w:t>
      </w:r>
      <w:r>
        <w:rPr>
          <w:rFonts w:hint="eastAsia" w:ascii="微软雅黑" w:hAnsi="微软雅黑" w:eastAsia="微软雅黑"/>
          <w:sz w:val="22"/>
        </w:rPr>
        <w:t>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6" w:name="_Toc15405"/>
      <w:bookmarkStart w:id="27" w:name="_Toc448074514"/>
      <w:bookmarkStart w:id="28" w:name="_Toc478562310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系统</w:t>
      </w:r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漏洞检测</w:t>
      </w:r>
      <w:bookmarkEnd w:id="26"/>
      <w:bookmarkEnd w:id="27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bookmarkStart w:id="29" w:name="_Toc448074515"/>
      <w:r>
        <w:rPr>
          <w:rFonts w:ascii="Times New Roman" w:hAnsi="Times New Roman" w:eastAsia="微软雅黑" w:cs="Times New Roman"/>
          <w:b/>
          <w:bCs/>
          <w:sz w:val="24"/>
          <w:szCs w:val="28"/>
        </w:rPr>
        <w:t>检测方法</w:t>
      </w:r>
      <w:bookmarkEnd w:id="29"/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漏洞检测指利用带有安全漏洞知识库的扫描工具，对</w:t>
      </w:r>
      <w:r>
        <w:rPr>
          <w:rFonts w:hint="eastAsia" w:eastAsia="微软雅黑"/>
          <w:sz w:val="22"/>
          <w:szCs w:val="21"/>
        </w:rPr>
        <w:t>业务系统</w:t>
      </w:r>
      <w:r>
        <w:rPr>
          <w:rFonts w:eastAsia="微软雅黑"/>
          <w:sz w:val="22"/>
          <w:szCs w:val="21"/>
        </w:rPr>
        <w:t>进行基于网络的安全扫描，检测信息系统所存在的安全隐患和漏洞。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漏洞检测是进行安全风险评估的必要手段，可以识别主机开放的服务端口、用户</w:t>
      </w:r>
      <w:r>
        <w:rPr>
          <w:rFonts w:hint="eastAsia" w:eastAsia="微软雅黑"/>
          <w:sz w:val="22"/>
          <w:szCs w:val="21"/>
        </w:rPr>
        <w:t>账号</w:t>
      </w:r>
      <w:r>
        <w:rPr>
          <w:rFonts w:eastAsia="微软雅黑"/>
          <w:sz w:val="22"/>
          <w:szCs w:val="21"/>
        </w:rPr>
        <w:t>、系统漏洞等信</w:t>
      </w:r>
      <w:r>
        <w:rPr>
          <w:rFonts w:hint="eastAsia" w:eastAsia="微软雅黑"/>
          <w:sz w:val="22"/>
          <w:szCs w:val="21"/>
        </w:rPr>
        <w:t>息，</w:t>
      </w:r>
      <w:r>
        <w:rPr>
          <w:rFonts w:eastAsia="微软雅黑"/>
          <w:sz w:val="22"/>
          <w:szCs w:val="21"/>
        </w:rPr>
        <w:t>能较真实地反映</w:t>
      </w:r>
      <w:r>
        <w:rPr>
          <w:rFonts w:hint="eastAsia" w:eastAsia="微软雅黑"/>
          <w:sz w:val="22"/>
          <w:szCs w:val="21"/>
        </w:rPr>
        <w:t>业务系统的操作系统、数据库、中间件、网络设备、安全设备</w:t>
      </w:r>
      <w:r>
        <w:rPr>
          <w:rFonts w:eastAsia="微软雅黑"/>
          <w:sz w:val="22"/>
          <w:szCs w:val="21"/>
        </w:rPr>
        <w:t>所存在的网络安全问题和面临的网络安全威胁。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</w:p>
    <w:p>
      <w:pPr>
        <w:pStyle w:val="13"/>
        <w:numPr>
          <w:ilvl w:val="0"/>
          <w:numId w:val="12"/>
        </w:numPr>
        <w:snapToGrid w:val="0"/>
        <w:spacing w:line="360" w:lineRule="auto"/>
        <w:ind w:left="385" w:hanging="385" w:hangingChars="175"/>
        <w:rPr>
          <w:rFonts w:eastAsia="微软雅黑"/>
          <w:b/>
          <w:sz w:val="22"/>
          <w:szCs w:val="21"/>
        </w:rPr>
      </w:pPr>
      <w:r>
        <w:rPr>
          <w:rFonts w:eastAsia="微软雅黑"/>
          <w:b/>
          <w:sz w:val="22"/>
          <w:szCs w:val="21"/>
        </w:rPr>
        <w:t>工具选择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hint="eastAsia" w:eastAsia="微软雅黑"/>
          <w:sz w:val="22"/>
          <w:szCs w:val="21"/>
        </w:rPr>
        <w:t>系统漏洞检测，需采用国产厂商自主研发的专业漏洞扫描设备，产品具有CNNVD国家漏洞库兼容性认证和国际CVE漏洞库兼容性认证。</w:t>
      </w:r>
    </w:p>
    <w:p>
      <w:pPr>
        <w:pStyle w:val="13"/>
        <w:numPr>
          <w:ilvl w:val="0"/>
          <w:numId w:val="12"/>
        </w:numPr>
        <w:snapToGrid w:val="0"/>
        <w:spacing w:line="360" w:lineRule="auto"/>
        <w:ind w:left="385" w:hanging="385" w:hangingChars="175"/>
        <w:rPr>
          <w:rFonts w:eastAsia="微软雅黑"/>
          <w:b/>
          <w:sz w:val="22"/>
          <w:szCs w:val="21"/>
        </w:rPr>
      </w:pPr>
      <w:r>
        <w:rPr>
          <w:rFonts w:eastAsia="微软雅黑"/>
          <w:b/>
          <w:sz w:val="22"/>
          <w:szCs w:val="21"/>
        </w:rPr>
        <w:t>策略选择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漏洞检测应遵循如下原则：</w:t>
      </w:r>
    </w:p>
    <w:p>
      <w:pPr>
        <w:numPr>
          <w:ilvl w:val="0"/>
          <w:numId w:val="13"/>
        </w:numPr>
        <w:snapToGrid w:val="0"/>
        <w:spacing w:line="360" w:lineRule="auto"/>
        <w:rPr>
          <w:rFonts w:eastAsia="微软雅黑"/>
          <w:b/>
          <w:sz w:val="22"/>
        </w:rPr>
      </w:pPr>
      <w:r>
        <w:rPr>
          <w:rFonts w:eastAsia="微软雅黑"/>
          <w:b/>
          <w:sz w:val="22"/>
        </w:rPr>
        <w:t>选取适当的扫描策略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进行漏洞检测时，会依据不同类型的扫描对象、不同的应用情况，选择不同的扫描策略。除了利用扫描工具自身所集成的扫描策略外，对承载较复杂应用的评估对象，评估团队会按照不同的安全需求，编辑或生成适合于被评估对象的专用策略，应用量身定制的策略进行扫描，提高系统扫描效率，并达到更好的扫描效果。</w:t>
      </w:r>
    </w:p>
    <w:p>
      <w:pPr>
        <w:numPr>
          <w:ilvl w:val="0"/>
          <w:numId w:val="13"/>
        </w:numPr>
        <w:snapToGrid w:val="0"/>
        <w:spacing w:line="360" w:lineRule="auto"/>
        <w:rPr>
          <w:rFonts w:eastAsia="微软雅黑"/>
          <w:b/>
          <w:sz w:val="22"/>
        </w:rPr>
      </w:pPr>
      <w:r>
        <w:rPr>
          <w:rFonts w:eastAsia="微软雅黑"/>
          <w:b/>
          <w:sz w:val="22"/>
        </w:rPr>
        <w:t>选取适当的扫描时间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为减轻漏洞检测对网络和主机的影响，漏洞检测时间尽量安排在业务量不大的时段或晚上。</w:t>
      </w:r>
    </w:p>
    <w:p>
      <w:pPr>
        <w:numPr>
          <w:ilvl w:val="0"/>
          <w:numId w:val="13"/>
        </w:numPr>
        <w:snapToGrid w:val="0"/>
        <w:spacing w:line="360" w:lineRule="auto"/>
        <w:rPr>
          <w:rFonts w:eastAsia="微软雅黑"/>
          <w:b/>
          <w:sz w:val="22"/>
        </w:rPr>
      </w:pPr>
      <w:r>
        <w:rPr>
          <w:rFonts w:eastAsia="微软雅黑"/>
          <w:b/>
          <w:sz w:val="22"/>
        </w:rPr>
        <w:t>单点试扫，主备分开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对于重要的设备，先小范围进行扫描，确认系统不受较大影响后再进行大规模扫描。对双机热备的设备在一次扫描会话中只选取其中一台进行扫描。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bookmarkStart w:id="30" w:name="_Toc448074516"/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检测</w:t>
      </w: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内容</w:t>
      </w:r>
      <w:bookmarkEnd w:id="30"/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系统漏洞检测的</w:t>
      </w:r>
      <w:r>
        <w:rPr>
          <w:rFonts w:eastAsia="微软雅黑"/>
          <w:sz w:val="22"/>
        </w:rPr>
        <w:t>内容</w:t>
      </w:r>
      <w:r>
        <w:rPr>
          <w:rFonts w:hint="eastAsia" w:eastAsia="微软雅黑"/>
          <w:sz w:val="22"/>
        </w:rPr>
        <w:t>，包括操作系统漏洞检测、数据库漏洞检测、中间件漏洞检测、网络设备漏洞检测、安全设备漏洞检测，并给出漏洞修复建议。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操作系统漏洞检测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对业务系统的所有操作操作系统进行安全漏洞检测，查找操作系统中的安全隐患和安全隐患，并给出对应的漏洞修复建议。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数据库漏洞检测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对业务系统的所有数据库进行安全漏洞检测，查找数据库中的安全隐患和安全隐患，并给出对应的漏洞修复建议。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中间件漏洞检测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对业务系统的所有中间件进行安全漏洞检测，查找中间件的安全隐患和安全隐患，并给出对应的漏洞修复建议。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网络设备漏洞检测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对业务系统的所有网络设备进行安全漏洞检测，查找网络设备中的安全隐患和安全隐患，并给出对应的漏洞修复建议。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操作系统漏洞检测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对业务系统的所有安全设备进行安全漏洞检测，查找安全设备中的安全隐患和安全隐患，并给出对应的漏洞修复建议。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31" w:name="_Toc448074519"/>
      <w:bookmarkStart w:id="32" w:name="_Toc19880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系统基线核查</w:t>
      </w:r>
      <w:bookmarkEnd w:id="31"/>
      <w:bookmarkEnd w:id="32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bookmarkStart w:id="33" w:name="_Toc448074520"/>
      <w:bookmarkStart w:id="34" w:name="_Toc435193115"/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检测</w:t>
      </w: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方法</w:t>
      </w:r>
      <w:bookmarkEnd w:id="33"/>
      <w:bookmarkEnd w:id="34"/>
    </w:p>
    <w:p>
      <w:pPr>
        <w:pStyle w:val="53"/>
        <w:ind w:rightChars="0" w:firstLine="440" w:firstLineChars="200"/>
        <w:rPr>
          <w:rFonts w:eastAsia="微软雅黑"/>
          <w:kern w:val="2"/>
          <w:sz w:val="22"/>
        </w:rPr>
      </w:pPr>
      <w:r>
        <w:rPr>
          <w:rFonts w:hint="eastAsia" w:eastAsia="微软雅黑"/>
          <w:kern w:val="2"/>
          <w:sz w:val="22"/>
        </w:rPr>
        <w:t>系统基线核查</w:t>
      </w:r>
      <w:r>
        <w:rPr>
          <w:rFonts w:eastAsia="微软雅黑"/>
          <w:kern w:val="2"/>
          <w:sz w:val="22"/>
          <w:lang w:val="zh-CN"/>
        </w:rPr>
        <w:t>是指</w:t>
      </w:r>
      <w:r>
        <w:rPr>
          <w:rFonts w:eastAsia="微软雅黑"/>
          <w:kern w:val="2"/>
          <w:sz w:val="22"/>
        </w:rPr>
        <w:t>通过安全技术专家的经验，根据安全配置基线手册，对本次指定的目标主机的操作系统进行安全检查，发现其潜在的安全隐患，是作为漏洞</w:t>
      </w:r>
      <w:r>
        <w:rPr>
          <w:rFonts w:hint="eastAsia" w:eastAsia="微软雅黑"/>
          <w:kern w:val="2"/>
          <w:sz w:val="22"/>
        </w:rPr>
        <w:t>检测</w:t>
      </w:r>
      <w:r>
        <w:rPr>
          <w:rFonts w:eastAsia="微软雅黑"/>
          <w:kern w:val="2"/>
          <w:sz w:val="22"/>
        </w:rPr>
        <w:t>发现弱点方式的补充。</w:t>
      </w:r>
    </w:p>
    <w:p>
      <w:pPr>
        <w:pStyle w:val="53"/>
        <w:ind w:rightChars="0" w:firstLine="519"/>
        <w:rPr>
          <w:rFonts w:eastAsia="微软雅黑"/>
          <w:kern w:val="2"/>
          <w:sz w:val="22"/>
        </w:rPr>
      </w:pPr>
      <w:r>
        <w:rPr>
          <w:rFonts w:eastAsia="微软雅黑"/>
          <w:kern w:val="2"/>
          <w:sz w:val="22"/>
        </w:rPr>
        <w:t>通过基线检测和渗透测试发现应用服务在配置、补丁和日常维护和管理上存在的安全问题。</w:t>
      </w:r>
    </w:p>
    <w:p>
      <w:pPr>
        <w:pStyle w:val="47"/>
        <w:keepNext/>
        <w:keepLines/>
        <w:numPr>
          <w:ilvl w:val="0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35" w:name="_Toc484521041"/>
      <w:bookmarkEnd w:id="35"/>
      <w:bookmarkStart w:id="36" w:name="_Toc433617687"/>
      <w:bookmarkEnd w:id="36"/>
      <w:bookmarkStart w:id="37" w:name="_Toc437342100"/>
      <w:bookmarkEnd w:id="37"/>
      <w:bookmarkStart w:id="38" w:name="_Toc493795425"/>
      <w:bookmarkEnd w:id="38"/>
      <w:bookmarkStart w:id="39" w:name="_Toc45490855"/>
      <w:bookmarkEnd w:id="39"/>
      <w:bookmarkStart w:id="40" w:name="_Toc532322728"/>
      <w:bookmarkEnd w:id="40"/>
      <w:bookmarkStart w:id="41" w:name="_Toc437342797"/>
      <w:bookmarkEnd w:id="41"/>
      <w:bookmarkStart w:id="42" w:name="_Toc533856552"/>
      <w:bookmarkEnd w:id="42"/>
      <w:bookmarkStart w:id="43" w:name="_Toc435193116"/>
      <w:bookmarkEnd w:id="43"/>
      <w:bookmarkStart w:id="44" w:name="_Toc530084258"/>
      <w:bookmarkEnd w:id="44"/>
      <w:bookmarkStart w:id="45" w:name="_Toc533690439"/>
      <w:bookmarkEnd w:id="45"/>
      <w:bookmarkStart w:id="46" w:name="_Toc47088064"/>
      <w:bookmarkEnd w:id="46"/>
      <w:bookmarkStart w:id="47" w:name="_Toc39913603"/>
      <w:bookmarkEnd w:id="47"/>
      <w:bookmarkStart w:id="48" w:name="_Toc435010419"/>
      <w:bookmarkEnd w:id="48"/>
      <w:bookmarkStart w:id="49" w:name="_Toc437294277"/>
      <w:bookmarkEnd w:id="49"/>
      <w:bookmarkStart w:id="50" w:name="_Toc435010305"/>
      <w:bookmarkEnd w:id="50"/>
      <w:bookmarkStart w:id="51" w:name="_Toc435011618"/>
      <w:bookmarkEnd w:id="51"/>
      <w:bookmarkStart w:id="52" w:name="_Toc437335100"/>
      <w:bookmarkEnd w:id="52"/>
      <w:bookmarkStart w:id="53" w:name="_Toc448074521"/>
      <w:bookmarkEnd w:id="53"/>
      <w:bookmarkStart w:id="54" w:name="_Toc437346237"/>
      <w:bookmarkEnd w:id="54"/>
      <w:bookmarkStart w:id="55" w:name="_Toc484522404"/>
      <w:bookmarkEnd w:id="55"/>
      <w:bookmarkStart w:id="56" w:name="_Toc493769405"/>
      <w:bookmarkEnd w:id="56"/>
      <w:bookmarkStart w:id="57" w:name="_Toc47088121"/>
      <w:bookmarkEnd w:id="57"/>
      <w:bookmarkStart w:id="58" w:name="_Toc45490785"/>
      <w:bookmarkEnd w:id="58"/>
      <w:bookmarkStart w:id="59" w:name="_Toc45490715"/>
      <w:bookmarkEnd w:id="59"/>
    </w:p>
    <w:p>
      <w:pPr>
        <w:pStyle w:val="47"/>
        <w:keepNext/>
        <w:keepLines/>
        <w:numPr>
          <w:ilvl w:val="0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60" w:name="_Toc437342101"/>
      <w:bookmarkEnd w:id="60"/>
      <w:bookmarkStart w:id="61" w:name="_Toc39913604"/>
      <w:bookmarkEnd w:id="61"/>
      <w:bookmarkStart w:id="62" w:name="_Toc530084259"/>
      <w:bookmarkEnd w:id="62"/>
      <w:bookmarkStart w:id="63" w:name="_Toc433617688"/>
      <w:bookmarkEnd w:id="63"/>
      <w:bookmarkStart w:id="64" w:name="_Toc484521042"/>
      <w:bookmarkEnd w:id="64"/>
      <w:bookmarkStart w:id="65" w:name="_Toc448074522"/>
      <w:bookmarkEnd w:id="65"/>
      <w:bookmarkStart w:id="66" w:name="_Toc47088122"/>
      <w:bookmarkEnd w:id="66"/>
      <w:bookmarkStart w:id="67" w:name="_Toc45490786"/>
      <w:bookmarkEnd w:id="67"/>
      <w:bookmarkStart w:id="68" w:name="_Toc435010306"/>
      <w:bookmarkEnd w:id="68"/>
      <w:bookmarkStart w:id="69" w:name="_Toc533690440"/>
      <w:bookmarkEnd w:id="69"/>
      <w:bookmarkStart w:id="70" w:name="_Toc493769406"/>
      <w:bookmarkEnd w:id="70"/>
      <w:bookmarkStart w:id="71" w:name="_Toc484522405"/>
      <w:bookmarkEnd w:id="71"/>
      <w:bookmarkStart w:id="72" w:name="_Toc533856553"/>
      <w:bookmarkEnd w:id="72"/>
      <w:bookmarkStart w:id="73" w:name="_Toc532322729"/>
      <w:bookmarkEnd w:id="73"/>
      <w:bookmarkStart w:id="74" w:name="_Toc437294278"/>
      <w:bookmarkEnd w:id="74"/>
      <w:bookmarkStart w:id="75" w:name="_Toc437342798"/>
      <w:bookmarkEnd w:id="75"/>
      <w:bookmarkStart w:id="76" w:name="_Toc45490716"/>
      <w:bookmarkEnd w:id="76"/>
      <w:bookmarkStart w:id="77" w:name="_Toc437346238"/>
      <w:bookmarkEnd w:id="77"/>
      <w:bookmarkStart w:id="78" w:name="_Toc47088065"/>
      <w:bookmarkEnd w:id="78"/>
      <w:bookmarkStart w:id="79" w:name="_Toc45490856"/>
      <w:bookmarkEnd w:id="79"/>
      <w:bookmarkStart w:id="80" w:name="_Toc437335101"/>
      <w:bookmarkEnd w:id="80"/>
      <w:bookmarkStart w:id="81" w:name="_Toc493795426"/>
      <w:bookmarkEnd w:id="81"/>
      <w:bookmarkStart w:id="82" w:name="_Toc435193117"/>
      <w:bookmarkEnd w:id="82"/>
      <w:bookmarkStart w:id="83" w:name="_Toc435011619"/>
      <w:bookmarkEnd w:id="83"/>
      <w:bookmarkStart w:id="84" w:name="_Toc435010420"/>
      <w:bookmarkEnd w:id="84"/>
    </w:p>
    <w:p>
      <w:pPr>
        <w:pStyle w:val="47"/>
        <w:keepNext/>
        <w:keepLines/>
        <w:numPr>
          <w:ilvl w:val="0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85" w:name="_Toc435193118"/>
      <w:bookmarkEnd w:id="85"/>
      <w:bookmarkStart w:id="86" w:name="_Toc530084260"/>
      <w:bookmarkEnd w:id="86"/>
      <w:bookmarkStart w:id="87" w:name="_Toc532322730"/>
      <w:bookmarkEnd w:id="87"/>
      <w:bookmarkStart w:id="88" w:name="_Toc533856554"/>
      <w:bookmarkEnd w:id="88"/>
      <w:bookmarkStart w:id="89" w:name="_Toc47088066"/>
      <w:bookmarkEnd w:id="89"/>
      <w:bookmarkStart w:id="90" w:name="_Toc45490787"/>
      <w:bookmarkEnd w:id="90"/>
      <w:bookmarkStart w:id="91" w:name="_Toc484522406"/>
      <w:bookmarkEnd w:id="91"/>
      <w:bookmarkStart w:id="92" w:name="_Toc45490857"/>
      <w:bookmarkEnd w:id="92"/>
      <w:bookmarkStart w:id="93" w:name="_Toc484521043"/>
      <w:bookmarkEnd w:id="93"/>
      <w:bookmarkStart w:id="94" w:name="_Toc39913605"/>
      <w:bookmarkEnd w:id="94"/>
      <w:bookmarkStart w:id="95" w:name="_Toc433617689"/>
      <w:bookmarkEnd w:id="95"/>
      <w:bookmarkStart w:id="96" w:name="_Toc435011620"/>
      <w:bookmarkEnd w:id="96"/>
      <w:bookmarkStart w:id="97" w:name="_Toc435010307"/>
      <w:bookmarkEnd w:id="97"/>
      <w:bookmarkStart w:id="98" w:name="_Toc493769407"/>
      <w:bookmarkEnd w:id="98"/>
      <w:bookmarkStart w:id="99" w:name="_Toc437294279"/>
      <w:bookmarkEnd w:id="99"/>
      <w:bookmarkStart w:id="100" w:name="_Toc533690441"/>
      <w:bookmarkEnd w:id="100"/>
      <w:bookmarkStart w:id="101" w:name="_Toc437346239"/>
      <w:bookmarkEnd w:id="101"/>
      <w:bookmarkStart w:id="102" w:name="_Toc437342799"/>
      <w:bookmarkEnd w:id="102"/>
      <w:bookmarkStart w:id="103" w:name="_Toc437335102"/>
      <w:bookmarkEnd w:id="103"/>
      <w:bookmarkStart w:id="104" w:name="_Toc493795427"/>
      <w:bookmarkEnd w:id="104"/>
      <w:bookmarkStart w:id="105" w:name="_Toc47088123"/>
      <w:bookmarkEnd w:id="105"/>
      <w:bookmarkStart w:id="106" w:name="_Toc435010421"/>
      <w:bookmarkEnd w:id="106"/>
      <w:bookmarkStart w:id="107" w:name="_Toc45490717"/>
      <w:bookmarkEnd w:id="107"/>
      <w:bookmarkStart w:id="108" w:name="_Toc448074523"/>
      <w:bookmarkEnd w:id="108"/>
      <w:bookmarkStart w:id="109" w:name="_Toc437342102"/>
      <w:bookmarkEnd w:id="109"/>
    </w:p>
    <w:p>
      <w:pPr>
        <w:pStyle w:val="47"/>
        <w:keepNext/>
        <w:keepLines/>
        <w:numPr>
          <w:ilvl w:val="1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110" w:name="_Toc532322731"/>
      <w:bookmarkEnd w:id="110"/>
      <w:bookmarkStart w:id="111" w:name="_Toc484521044"/>
      <w:bookmarkEnd w:id="111"/>
      <w:bookmarkStart w:id="112" w:name="_Toc533690442"/>
      <w:bookmarkEnd w:id="112"/>
      <w:bookmarkStart w:id="113" w:name="_Toc533856555"/>
      <w:bookmarkEnd w:id="113"/>
      <w:bookmarkStart w:id="114" w:name="_Toc493769408"/>
      <w:bookmarkEnd w:id="114"/>
      <w:bookmarkStart w:id="115" w:name="_Toc39913606"/>
      <w:bookmarkEnd w:id="115"/>
      <w:bookmarkStart w:id="116" w:name="_Toc530084261"/>
      <w:bookmarkEnd w:id="116"/>
      <w:bookmarkStart w:id="117" w:name="_Toc493795428"/>
      <w:bookmarkEnd w:id="117"/>
      <w:bookmarkStart w:id="118" w:name="_Toc45490718"/>
      <w:bookmarkEnd w:id="118"/>
      <w:bookmarkStart w:id="119" w:name="_Toc437342800"/>
      <w:bookmarkEnd w:id="119"/>
      <w:bookmarkStart w:id="120" w:name="_Toc437346240"/>
      <w:bookmarkEnd w:id="120"/>
      <w:bookmarkStart w:id="121" w:name="_Toc484522407"/>
      <w:bookmarkEnd w:id="121"/>
      <w:bookmarkStart w:id="122" w:name="_Toc448074524"/>
      <w:bookmarkEnd w:id="122"/>
      <w:bookmarkStart w:id="123" w:name="_Toc47088067"/>
      <w:bookmarkEnd w:id="123"/>
      <w:bookmarkStart w:id="124" w:name="_Toc433617690"/>
      <w:bookmarkEnd w:id="124"/>
      <w:bookmarkStart w:id="125" w:name="_Toc437342103"/>
      <w:bookmarkEnd w:id="125"/>
      <w:bookmarkStart w:id="126" w:name="_Toc437294280"/>
      <w:bookmarkEnd w:id="126"/>
      <w:bookmarkStart w:id="127" w:name="_Toc47088124"/>
      <w:bookmarkEnd w:id="127"/>
      <w:bookmarkStart w:id="128" w:name="_Toc45490858"/>
      <w:bookmarkEnd w:id="128"/>
      <w:bookmarkStart w:id="129" w:name="_Toc45490788"/>
      <w:bookmarkEnd w:id="129"/>
      <w:bookmarkStart w:id="130" w:name="_Toc435010422"/>
      <w:bookmarkEnd w:id="130"/>
      <w:bookmarkStart w:id="131" w:name="_Toc435011621"/>
      <w:bookmarkEnd w:id="131"/>
      <w:bookmarkStart w:id="132" w:name="_Toc435010308"/>
      <w:bookmarkEnd w:id="132"/>
      <w:bookmarkStart w:id="133" w:name="_Toc435193119"/>
      <w:bookmarkEnd w:id="133"/>
      <w:bookmarkStart w:id="134" w:name="_Toc437335103"/>
      <w:bookmarkEnd w:id="134"/>
    </w:p>
    <w:p>
      <w:pPr>
        <w:pStyle w:val="47"/>
        <w:keepNext/>
        <w:keepLines/>
        <w:numPr>
          <w:ilvl w:val="1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135" w:name="_Toc484522408"/>
      <w:bookmarkEnd w:id="135"/>
      <w:bookmarkStart w:id="136" w:name="_Toc435010309"/>
      <w:bookmarkEnd w:id="136"/>
      <w:bookmarkStart w:id="137" w:name="_Toc437335104"/>
      <w:bookmarkEnd w:id="137"/>
      <w:bookmarkStart w:id="138" w:name="_Toc493769409"/>
      <w:bookmarkEnd w:id="138"/>
      <w:bookmarkStart w:id="139" w:name="_Toc533856556"/>
      <w:bookmarkEnd w:id="139"/>
      <w:bookmarkStart w:id="140" w:name="_Toc437294281"/>
      <w:bookmarkEnd w:id="140"/>
      <w:bookmarkStart w:id="141" w:name="_Toc533690443"/>
      <w:bookmarkEnd w:id="141"/>
      <w:bookmarkStart w:id="142" w:name="_Toc47088125"/>
      <w:bookmarkEnd w:id="142"/>
      <w:bookmarkStart w:id="143" w:name="_Toc484521045"/>
      <w:bookmarkEnd w:id="143"/>
      <w:bookmarkStart w:id="144" w:name="_Toc433617691"/>
      <w:bookmarkEnd w:id="144"/>
      <w:bookmarkStart w:id="145" w:name="_Toc435193120"/>
      <w:bookmarkEnd w:id="145"/>
      <w:bookmarkStart w:id="146" w:name="_Toc437342801"/>
      <w:bookmarkEnd w:id="146"/>
      <w:bookmarkStart w:id="147" w:name="_Toc45490789"/>
      <w:bookmarkEnd w:id="147"/>
      <w:bookmarkStart w:id="148" w:name="_Toc45490859"/>
      <w:bookmarkEnd w:id="148"/>
      <w:bookmarkStart w:id="149" w:name="_Toc448074525"/>
      <w:bookmarkEnd w:id="149"/>
      <w:bookmarkStart w:id="150" w:name="_Toc532322732"/>
      <w:bookmarkEnd w:id="150"/>
      <w:bookmarkStart w:id="151" w:name="_Toc47088068"/>
      <w:bookmarkEnd w:id="151"/>
      <w:bookmarkStart w:id="152" w:name="_Toc435010423"/>
      <w:bookmarkEnd w:id="152"/>
      <w:bookmarkStart w:id="153" w:name="_Toc437346241"/>
      <w:bookmarkEnd w:id="153"/>
      <w:bookmarkStart w:id="154" w:name="_Toc493795429"/>
      <w:bookmarkEnd w:id="154"/>
      <w:bookmarkStart w:id="155" w:name="_Toc45490719"/>
      <w:bookmarkEnd w:id="155"/>
      <w:bookmarkStart w:id="156" w:name="_Toc530084262"/>
      <w:bookmarkEnd w:id="156"/>
      <w:bookmarkStart w:id="157" w:name="_Toc435011622"/>
      <w:bookmarkEnd w:id="157"/>
      <w:bookmarkStart w:id="158" w:name="_Toc437342104"/>
      <w:bookmarkEnd w:id="158"/>
      <w:bookmarkStart w:id="159" w:name="_Toc39913607"/>
      <w:bookmarkEnd w:id="159"/>
    </w:p>
    <w:p>
      <w:pPr>
        <w:pStyle w:val="47"/>
        <w:keepNext/>
        <w:keepLines/>
        <w:numPr>
          <w:ilvl w:val="1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160" w:name="_Toc530084263"/>
      <w:bookmarkEnd w:id="160"/>
      <w:bookmarkStart w:id="161" w:name="_Toc493795430"/>
      <w:bookmarkEnd w:id="161"/>
      <w:bookmarkStart w:id="162" w:name="_Toc533856557"/>
      <w:bookmarkEnd w:id="162"/>
      <w:bookmarkStart w:id="163" w:name="_Toc45490790"/>
      <w:bookmarkEnd w:id="163"/>
      <w:bookmarkStart w:id="164" w:name="_Toc45490860"/>
      <w:bookmarkEnd w:id="164"/>
      <w:bookmarkStart w:id="165" w:name="_Toc45490720"/>
      <w:bookmarkEnd w:id="165"/>
      <w:bookmarkStart w:id="166" w:name="_Toc532322733"/>
      <w:bookmarkEnd w:id="166"/>
      <w:bookmarkStart w:id="167" w:name="_Toc533690444"/>
      <w:bookmarkEnd w:id="167"/>
      <w:bookmarkStart w:id="168" w:name="_Toc493769410"/>
      <w:bookmarkEnd w:id="168"/>
      <w:bookmarkStart w:id="169" w:name="_Toc435010310"/>
      <w:bookmarkEnd w:id="169"/>
      <w:bookmarkStart w:id="170" w:name="_Toc437294282"/>
      <w:bookmarkEnd w:id="170"/>
      <w:bookmarkStart w:id="171" w:name="_Toc39913608"/>
      <w:bookmarkEnd w:id="171"/>
      <w:bookmarkStart w:id="172" w:name="_Toc47088069"/>
      <w:bookmarkEnd w:id="172"/>
      <w:bookmarkStart w:id="173" w:name="_Toc437342105"/>
      <w:bookmarkEnd w:id="173"/>
      <w:bookmarkStart w:id="174" w:name="_Toc437335105"/>
      <w:bookmarkEnd w:id="174"/>
      <w:bookmarkStart w:id="175" w:name="_Toc433617692"/>
      <w:bookmarkEnd w:id="175"/>
      <w:bookmarkStart w:id="176" w:name="_Toc435011623"/>
      <w:bookmarkEnd w:id="176"/>
      <w:bookmarkStart w:id="177" w:name="_Toc435193121"/>
      <w:bookmarkEnd w:id="177"/>
      <w:bookmarkStart w:id="178" w:name="_Toc437342802"/>
      <w:bookmarkEnd w:id="178"/>
      <w:bookmarkStart w:id="179" w:name="_Toc484521046"/>
      <w:bookmarkEnd w:id="179"/>
      <w:bookmarkStart w:id="180" w:name="_Toc435010424"/>
      <w:bookmarkEnd w:id="180"/>
      <w:bookmarkStart w:id="181" w:name="_Toc448074526"/>
      <w:bookmarkEnd w:id="181"/>
      <w:bookmarkStart w:id="182" w:name="_Toc47088126"/>
      <w:bookmarkEnd w:id="182"/>
      <w:bookmarkStart w:id="183" w:name="_Toc484522409"/>
      <w:bookmarkEnd w:id="183"/>
      <w:bookmarkStart w:id="184" w:name="_Toc437346242"/>
      <w:bookmarkEnd w:id="184"/>
    </w:p>
    <w:p>
      <w:pPr>
        <w:pStyle w:val="47"/>
        <w:keepNext/>
        <w:keepLines/>
        <w:numPr>
          <w:ilvl w:val="2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185" w:name="_Toc433617693"/>
      <w:bookmarkEnd w:id="185"/>
      <w:bookmarkStart w:id="186" w:name="_Toc435010425"/>
      <w:bookmarkEnd w:id="186"/>
      <w:bookmarkStart w:id="187" w:name="_Toc435010311"/>
      <w:bookmarkEnd w:id="187"/>
      <w:bookmarkStart w:id="188" w:name="_Toc45490791"/>
      <w:bookmarkEnd w:id="188"/>
      <w:bookmarkStart w:id="189" w:name="_Toc39913609"/>
      <w:bookmarkEnd w:id="189"/>
      <w:bookmarkStart w:id="190" w:name="_Toc533690445"/>
      <w:bookmarkEnd w:id="190"/>
      <w:bookmarkStart w:id="191" w:name="_Toc45490861"/>
      <w:bookmarkEnd w:id="191"/>
      <w:bookmarkStart w:id="192" w:name="_Toc437346243"/>
      <w:bookmarkEnd w:id="192"/>
      <w:bookmarkStart w:id="193" w:name="_Toc435011624"/>
      <w:bookmarkEnd w:id="193"/>
      <w:bookmarkStart w:id="194" w:name="_Toc435193122"/>
      <w:bookmarkEnd w:id="194"/>
      <w:bookmarkStart w:id="195" w:name="_Toc448074527"/>
      <w:bookmarkEnd w:id="195"/>
      <w:bookmarkStart w:id="196" w:name="_Toc437335106"/>
      <w:bookmarkEnd w:id="196"/>
      <w:bookmarkStart w:id="197" w:name="_Toc533856558"/>
      <w:bookmarkEnd w:id="197"/>
      <w:bookmarkStart w:id="198" w:name="_Toc437342803"/>
      <w:bookmarkEnd w:id="198"/>
      <w:bookmarkStart w:id="199" w:name="_Toc493769411"/>
      <w:bookmarkEnd w:id="199"/>
      <w:bookmarkStart w:id="200" w:name="_Toc484522410"/>
      <w:bookmarkEnd w:id="200"/>
      <w:bookmarkStart w:id="201" w:name="_Toc45490721"/>
      <w:bookmarkEnd w:id="201"/>
      <w:bookmarkStart w:id="202" w:name="_Toc484521047"/>
      <w:bookmarkEnd w:id="202"/>
      <w:bookmarkStart w:id="203" w:name="_Toc530084264"/>
      <w:bookmarkEnd w:id="203"/>
      <w:bookmarkStart w:id="204" w:name="_Toc437342106"/>
      <w:bookmarkEnd w:id="204"/>
      <w:bookmarkStart w:id="205" w:name="_Toc437294283"/>
      <w:bookmarkEnd w:id="205"/>
      <w:bookmarkStart w:id="206" w:name="_Toc47088070"/>
      <w:bookmarkEnd w:id="206"/>
      <w:bookmarkStart w:id="207" w:name="_Toc532322734"/>
      <w:bookmarkEnd w:id="207"/>
      <w:bookmarkStart w:id="208" w:name="_Toc493795431"/>
      <w:bookmarkEnd w:id="208"/>
      <w:bookmarkStart w:id="209" w:name="_Toc47088127"/>
      <w:bookmarkEnd w:id="209"/>
    </w:p>
    <w:p>
      <w:pPr>
        <w:pStyle w:val="47"/>
        <w:keepNext/>
        <w:keepLines/>
        <w:numPr>
          <w:ilvl w:val="2"/>
          <w:numId w:val="15"/>
        </w:numPr>
        <w:spacing w:before="260" w:after="260" w:line="416" w:lineRule="auto"/>
        <w:ind w:firstLineChars="0"/>
        <w:outlineLvl w:val="2"/>
        <w:rPr>
          <w:rFonts w:eastAsia="微软雅黑"/>
          <w:b/>
          <w:bCs/>
          <w:vanish/>
          <w:sz w:val="32"/>
          <w:szCs w:val="32"/>
        </w:rPr>
      </w:pPr>
      <w:bookmarkStart w:id="210" w:name="_Toc45490722"/>
      <w:bookmarkEnd w:id="210"/>
      <w:bookmarkStart w:id="211" w:name="_Toc493795432"/>
      <w:bookmarkEnd w:id="211"/>
      <w:bookmarkStart w:id="212" w:name="_Toc435010426"/>
      <w:bookmarkEnd w:id="212"/>
      <w:bookmarkStart w:id="213" w:name="_Toc493769412"/>
      <w:bookmarkEnd w:id="213"/>
      <w:bookmarkStart w:id="214" w:name="_Toc448074528"/>
      <w:bookmarkEnd w:id="214"/>
      <w:bookmarkStart w:id="215" w:name="_Toc435010312"/>
      <w:bookmarkEnd w:id="215"/>
      <w:bookmarkStart w:id="216" w:name="_Toc484522411"/>
      <w:bookmarkEnd w:id="216"/>
      <w:bookmarkStart w:id="217" w:name="_Toc533856559"/>
      <w:bookmarkEnd w:id="217"/>
      <w:bookmarkStart w:id="218" w:name="_Toc47088128"/>
      <w:bookmarkEnd w:id="218"/>
      <w:bookmarkStart w:id="219" w:name="_Toc437335107"/>
      <w:bookmarkEnd w:id="219"/>
      <w:bookmarkStart w:id="220" w:name="_Toc533690446"/>
      <w:bookmarkEnd w:id="220"/>
      <w:bookmarkStart w:id="221" w:name="_Toc437346244"/>
      <w:bookmarkEnd w:id="221"/>
      <w:bookmarkStart w:id="222" w:name="_Toc433617694"/>
      <w:bookmarkEnd w:id="222"/>
      <w:bookmarkStart w:id="223" w:name="_Toc435011625"/>
      <w:bookmarkEnd w:id="223"/>
      <w:bookmarkStart w:id="224" w:name="_Toc47088071"/>
      <w:bookmarkEnd w:id="224"/>
      <w:bookmarkStart w:id="225" w:name="_Toc530084265"/>
      <w:bookmarkEnd w:id="225"/>
      <w:bookmarkStart w:id="226" w:name="_Toc39913610"/>
      <w:bookmarkEnd w:id="226"/>
      <w:bookmarkStart w:id="227" w:name="_Toc437342804"/>
      <w:bookmarkEnd w:id="227"/>
      <w:bookmarkStart w:id="228" w:name="_Toc45490862"/>
      <w:bookmarkEnd w:id="228"/>
      <w:bookmarkStart w:id="229" w:name="_Toc437294284"/>
      <w:bookmarkEnd w:id="229"/>
      <w:bookmarkStart w:id="230" w:name="_Toc45490792"/>
      <w:bookmarkEnd w:id="230"/>
      <w:bookmarkStart w:id="231" w:name="_Toc532322735"/>
      <w:bookmarkEnd w:id="231"/>
      <w:bookmarkStart w:id="232" w:name="_Toc437342107"/>
      <w:bookmarkEnd w:id="232"/>
      <w:bookmarkStart w:id="233" w:name="_Toc435193123"/>
      <w:bookmarkEnd w:id="233"/>
      <w:bookmarkStart w:id="234" w:name="_Toc484521048"/>
      <w:bookmarkEnd w:id="234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bookmarkStart w:id="235" w:name="_Toc435193124"/>
      <w:bookmarkStart w:id="236" w:name="_Toc448074529"/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核查</w:t>
      </w: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内容</w:t>
      </w:r>
      <w:bookmarkEnd w:id="235"/>
      <w:bookmarkEnd w:id="236"/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基线</w:t>
      </w:r>
      <w:r>
        <w:rPr>
          <w:rFonts w:eastAsia="微软雅黑"/>
          <w:sz w:val="22"/>
        </w:rPr>
        <w:t>检测</w:t>
      </w:r>
      <w:r>
        <w:rPr>
          <w:rFonts w:hint="eastAsia" w:eastAsia="微软雅黑"/>
          <w:sz w:val="22"/>
        </w:rPr>
        <w:t>的</w:t>
      </w:r>
      <w:r>
        <w:rPr>
          <w:rFonts w:eastAsia="微软雅黑"/>
          <w:sz w:val="22"/>
        </w:rPr>
        <w:t>内容主要包括安全配置检测、安全漏洞检测。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eastAsia="微软雅黑"/>
          <w:b/>
          <w:sz w:val="22"/>
        </w:rPr>
        <w:t>安全配置</w:t>
      </w:r>
      <w:r>
        <w:rPr>
          <w:rFonts w:hint="eastAsia" w:eastAsia="微软雅黑"/>
          <w:b/>
          <w:sz w:val="22"/>
        </w:rPr>
        <w:t>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安全配置不合理</w:t>
      </w:r>
      <w:r>
        <w:rPr>
          <w:rFonts w:eastAsia="微软雅黑"/>
          <w:sz w:val="22"/>
        </w:rPr>
        <w:t>通常都是由于人为的疏忽造成，主要包括了账号、口令、授权、日志、IP通信等方面内容，反映了系统自身的安全脆弱性。安全配置方面与系统的相关性非常大，同一个配置项在不同业务环境中的安全配置要求是不一样的，如在WEB系统边界防火墙中需要开启HTTP通信，但一个WAP网关边界就没有这样的需求，因此在设计业务系统安全基线的时候，安全配置是一个关注的重点。</w:t>
      </w:r>
    </w:p>
    <w:p>
      <w:pPr>
        <w:pStyle w:val="47"/>
        <w:numPr>
          <w:ilvl w:val="0"/>
          <w:numId w:val="14"/>
        </w:numPr>
        <w:ind w:firstLineChars="0"/>
        <w:rPr>
          <w:rFonts w:eastAsia="微软雅黑"/>
          <w:b/>
          <w:sz w:val="22"/>
        </w:rPr>
      </w:pPr>
      <w:r>
        <w:rPr>
          <w:rFonts w:eastAsia="微软雅黑"/>
          <w:b/>
          <w:sz w:val="22"/>
        </w:rPr>
        <w:t>安全漏洞</w:t>
      </w:r>
      <w:r>
        <w:rPr>
          <w:rFonts w:hint="eastAsia" w:eastAsia="微软雅黑"/>
          <w:b/>
          <w:sz w:val="22"/>
        </w:rPr>
        <w:t>检测</w:t>
      </w:r>
    </w:p>
    <w:p>
      <w:pPr>
        <w:spacing w:line="360" w:lineRule="auto"/>
        <w:ind w:firstLine="420"/>
        <w:rPr>
          <w:rFonts w:eastAsia="微软雅黑"/>
          <w:sz w:val="22"/>
        </w:rPr>
      </w:pPr>
      <w:r>
        <w:rPr>
          <w:rFonts w:eastAsia="微软雅黑"/>
          <w:sz w:val="22"/>
        </w:rPr>
        <w:t>通常是系统自身的问题引起的安全风险，一般包括了登录漏洞、拒绝服务漏洞、缓冲区溢出、信息泄漏、蠕虫后门、意外情况处置错误等，</w:t>
      </w:r>
      <w:r>
        <w:rPr>
          <w:rFonts w:hint="eastAsia" w:eastAsia="微软雅黑"/>
          <w:sz w:val="22"/>
        </w:rPr>
        <w:t>这些漏洞可通过系统配置进行行检查，从而反</w:t>
      </w:r>
      <w:r>
        <w:rPr>
          <w:rFonts w:eastAsia="微软雅黑"/>
          <w:sz w:val="22"/>
        </w:rPr>
        <w:t>映</w:t>
      </w:r>
      <w:r>
        <w:rPr>
          <w:rFonts w:hint="eastAsia" w:eastAsia="微软雅黑"/>
          <w:sz w:val="22"/>
        </w:rPr>
        <w:t>出</w:t>
      </w:r>
      <w:r>
        <w:rPr>
          <w:rFonts w:eastAsia="微软雅黑"/>
          <w:sz w:val="22"/>
        </w:rPr>
        <w:t>系统自身的安全脆弱性。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37" w:name="_Toc25747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安全</w:t>
      </w:r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日志</w:t>
      </w:r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审计</w:t>
      </w:r>
      <w:bookmarkEnd w:id="237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审计内容</w:t>
      </w:r>
    </w:p>
    <w:p>
      <w:pPr>
        <w:pStyle w:val="13"/>
        <w:snapToGrid w:val="0"/>
        <w:spacing w:line="360" w:lineRule="auto"/>
        <w:ind w:firstLineChars="0"/>
        <w:jc w:val="left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</w:t>
      </w:r>
      <w:r>
        <w:rPr>
          <w:rFonts w:eastAsia="微软雅黑"/>
          <w:sz w:val="22"/>
        </w:rPr>
        <w:t>防火墙、</w:t>
      </w:r>
      <w:r>
        <w:rPr>
          <w:rFonts w:hint="eastAsia" w:eastAsia="微软雅黑"/>
          <w:sz w:val="22"/>
        </w:rPr>
        <w:t>IPS、WAF等产生</w:t>
      </w:r>
      <w:r>
        <w:rPr>
          <w:rFonts w:eastAsia="微软雅黑"/>
          <w:sz w:val="22"/>
        </w:rPr>
        <w:t>的安全日志进行收集</w:t>
      </w:r>
      <w:r>
        <w:rPr>
          <w:rFonts w:hint="eastAsia" w:eastAsia="微软雅黑"/>
          <w:sz w:val="22"/>
        </w:rPr>
        <w:t>，</w:t>
      </w:r>
      <w:r>
        <w:rPr>
          <w:rFonts w:eastAsia="微软雅黑"/>
          <w:sz w:val="22"/>
        </w:rPr>
        <w:t>综合</w:t>
      </w:r>
      <w:r>
        <w:rPr>
          <w:rFonts w:hint="eastAsia" w:eastAsia="微软雅黑"/>
          <w:sz w:val="22"/>
        </w:rPr>
        <w:t>对</w:t>
      </w:r>
      <w:r>
        <w:rPr>
          <w:rFonts w:eastAsia="微软雅黑"/>
          <w:sz w:val="22"/>
        </w:rPr>
        <w:t>这些日志进行关联分析，</w:t>
      </w:r>
      <w:r>
        <w:rPr>
          <w:rFonts w:hint="eastAsia" w:eastAsia="微软雅黑"/>
          <w:sz w:val="22"/>
        </w:rPr>
        <w:t>从</w:t>
      </w:r>
      <w:r>
        <w:rPr>
          <w:rFonts w:eastAsia="微软雅黑"/>
          <w:sz w:val="22"/>
        </w:rPr>
        <w:t>多个维度</w:t>
      </w:r>
      <w:r>
        <w:rPr>
          <w:rFonts w:hint="eastAsia" w:eastAsia="微软雅黑"/>
          <w:sz w:val="22"/>
        </w:rPr>
        <w:t>对目标的</w:t>
      </w:r>
      <w:r>
        <w:rPr>
          <w:rFonts w:eastAsia="微软雅黑"/>
          <w:sz w:val="22"/>
        </w:rPr>
        <w:t>运行</w:t>
      </w:r>
      <w:r>
        <w:rPr>
          <w:rFonts w:hint="eastAsia" w:eastAsia="微软雅黑"/>
          <w:sz w:val="22"/>
        </w:rPr>
        <w:t>状态</w:t>
      </w:r>
      <w:r>
        <w:rPr>
          <w:rFonts w:eastAsia="微软雅黑"/>
          <w:sz w:val="22"/>
        </w:rPr>
        <w:t>进行分析，</w:t>
      </w:r>
      <w:r>
        <w:rPr>
          <w:rFonts w:hint="eastAsia" w:eastAsia="微软雅黑"/>
          <w:sz w:val="22"/>
        </w:rPr>
        <w:t>得</w:t>
      </w:r>
      <w:r>
        <w:rPr>
          <w:rFonts w:eastAsia="微软雅黑"/>
          <w:sz w:val="22"/>
        </w:rPr>
        <w:t>出</w:t>
      </w:r>
      <w:r>
        <w:rPr>
          <w:rFonts w:hint="eastAsia" w:eastAsia="微软雅黑"/>
          <w:sz w:val="22"/>
        </w:rPr>
        <w:t>一段</w:t>
      </w:r>
      <w:r>
        <w:rPr>
          <w:rFonts w:eastAsia="微软雅黑"/>
          <w:sz w:val="22"/>
        </w:rPr>
        <w:t>时间内</w:t>
      </w:r>
      <w:r>
        <w:rPr>
          <w:rFonts w:hint="eastAsia" w:eastAsia="微软雅黑"/>
          <w:sz w:val="22"/>
        </w:rPr>
        <w:t>目标</w:t>
      </w:r>
      <w:r>
        <w:rPr>
          <w:rFonts w:eastAsia="微软雅黑"/>
          <w:sz w:val="22"/>
        </w:rPr>
        <w:t>系统</w:t>
      </w:r>
      <w:r>
        <w:rPr>
          <w:rFonts w:hint="eastAsia" w:eastAsia="微软雅黑"/>
          <w:sz w:val="22"/>
        </w:rPr>
        <w:t>及相</w:t>
      </w:r>
      <w:r>
        <w:rPr>
          <w:rFonts w:eastAsia="微软雅黑"/>
          <w:sz w:val="22"/>
        </w:rPr>
        <w:t>关设备的安全运行</w:t>
      </w:r>
      <w:r>
        <w:rPr>
          <w:rFonts w:hint="eastAsia" w:eastAsia="微软雅黑"/>
          <w:sz w:val="22"/>
        </w:rPr>
        <w:t>状态</w:t>
      </w:r>
      <w:r>
        <w:rPr>
          <w:rFonts w:eastAsia="微软雅黑"/>
          <w:sz w:val="22"/>
        </w:rPr>
        <w:t>。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审计方法</w:t>
      </w:r>
    </w:p>
    <w:p>
      <w:pPr>
        <w:pStyle w:val="13"/>
        <w:snapToGrid w:val="0"/>
        <w:spacing w:line="360" w:lineRule="auto"/>
        <w:ind w:firstLineChars="0"/>
        <w:jc w:val="left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安全日志审计，采用工具和人工结合的审计方法综合进行</w:t>
      </w:r>
      <w:r>
        <w:rPr>
          <w:rFonts w:eastAsia="微软雅黑"/>
          <w:sz w:val="22"/>
        </w:rPr>
        <w:t>。</w:t>
      </w:r>
    </w:p>
    <w:bookmarkEnd w:id="28"/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38" w:name="_Toc478562311"/>
      <w:bookmarkStart w:id="239" w:name="_Toc5037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输出成果</w:t>
      </w:r>
      <w:bookmarkEnd w:id="238"/>
      <w:bookmarkEnd w:id="239"/>
    </w:p>
    <w:p>
      <w:pPr>
        <w:ind w:left="42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安全巡检服务</w:t>
      </w:r>
      <w:r>
        <w:rPr>
          <w:rFonts w:eastAsia="微软雅黑"/>
          <w:sz w:val="22"/>
        </w:rPr>
        <w:t>的</w:t>
      </w:r>
      <w:r>
        <w:rPr>
          <w:rFonts w:hint="eastAsia" w:eastAsia="微软雅黑"/>
          <w:sz w:val="22"/>
        </w:rPr>
        <w:t>主</w:t>
      </w:r>
      <w:r>
        <w:rPr>
          <w:rFonts w:eastAsia="微软雅黑"/>
          <w:sz w:val="22"/>
        </w:rPr>
        <w:t>要输出成果如下：</w:t>
      </w:r>
    </w:p>
    <w:p>
      <w:pPr>
        <w:numPr>
          <w:ilvl w:val="0"/>
          <w:numId w:val="16"/>
        </w:numPr>
        <w:spacing w:line="360" w:lineRule="auto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</w:t>
      </w:r>
      <w:r>
        <w:rPr>
          <w:rFonts w:hint="eastAsia" w:eastAsia="微软雅黑"/>
          <w:sz w:val="22"/>
          <w:lang w:eastAsia="zh-CN"/>
        </w:rPr>
        <w:t>营运路段</w:t>
      </w:r>
      <w:r>
        <w:rPr>
          <w:rFonts w:hint="eastAsia" w:eastAsia="微软雅黑"/>
          <w:sz w:val="22"/>
        </w:rPr>
        <w:t>巡检服务</w:t>
      </w:r>
      <w:r>
        <w:rPr>
          <w:rFonts w:eastAsia="微软雅黑"/>
          <w:sz w:val="22"/>
        </w:rPr>
        <w:t>报告》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40" w:name="_Toc529444845"/>
      <w:bookmarkStart w:id="241" w:name="_Toc26882"/>
      <w:r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安全加固服务</w:t>
      </w:r>
      <w:bookmarkEnd w:id="240"/>
      <w:bookmarkEnd w:id="241"/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为了有效保障网络的安全运行，在对操作系统、数据库、中间件、网络设备、安全设备进行安全检测后，需要对发现的安全风险进行修复。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hint="eastAsia" w:ascii="Times New Roman" w:hAnsi="Times New Roman" w:eastAsia="微软雅黑" w:cs="Times New Roman"/>
          <w:sz w:val="22"/>
          <w:szCs w:val="21"/>
        </w:rPr>
        <w:t>由</w:t>
      </w:r>
      <w:r>
        <w:rPr>
          <w:rFonts w:ascii="Times New Roman" w:hAnsi="Times New Roman" w:eastAsia="微软雅黑" w:cs="Times New Roman"/>
          <w:sz w:val="22"/>
          <w:szCs w:val="21"/>
        </w:rPr>
        <w:t>安全服务人员，根据安全加固列表，逐一对系统的安全漏洞、安全设置进行检测、修复、配置的全过程。</w:t>
      </w:r>
      <w:r>
        <w:rPr>
          <w:rFonts w:ascii="Times New Roman" w:hAnsi="Times New Roman" w:eastAsia="微软雅黑" w:cs="Times New Roman"/>
          <w:kern w:val="2"/>
          <w:sz w:val="22"/>
        </w:rPr>
        <w:t>安全加固是保证设备和系统安全运行的关键防护措施，通常情况下，操作系统、数据库、中间件、网络设备、安全设备，都需要进行安全加固。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通过安全加固，可最大程度消除或降低系统的安全风险，提升系统的安全防护能力，确保系统的持续、安全、稳定运行。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42" w:name="_Toc18058"/>
      <w:bookmarkStart w:id="243" w:name="_Toc529444846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加固方法</w:t>
      </w:r>
      <w:bookmarkEnd w:id="242"/>
      <w:bookmarkEnd w:id="243"/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安全加固，是指根据安全加固列表，采用人工手动加固方法，对目标系统的安全漏洞进行修复、基线配置进行优化的过程，是一项纯技术服务。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安全加固是一项对系统等进行的安全保护措施，通过安全加固一方面能够修补系统中的安全漏洞，同时也优化配置，加强对象的安全性。这对于安全保护来说，是非常必要的。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是为了解决在安全评估中发现的技术性安全问题，所有的被加固对象应不再存在高风险漏洞和中风险漏洞（根据CVE标准定义）。同时，在此过程中注意避免影响修补加固对象原有的功能和性能（若可能存在，必须事先指出，并进行周密的计划和布置规避相应的风险）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首先要让加固对象满足安全基线要求，这是安全加固的基本目标。并采用优化配置、调整安全策略、安装补丁、安装安全软件等方式进行，在尽量不影响修补加固对象原有功能和性能的基础上，解决在安全评估中发现的安全问题，修补其中存在的漏洞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安全加固也不仅仅局限于单独的加固对象，对象所处的环境，包括其他安全设备的安全防护（比如入侵检测系统、防火墙等）、网络结构等，都属于需要考虑的范围。在加固实施中，</w:t>
      </w:r>
      <w:r>
        <w:rPr>
          <w:rFonts w:hint="eastAsia" w:eastAsia="微软雅黑"/>
          <w:sz w:val="22"/>
          <w:szCs w:val="21"/>
        </w:rPr>
        <w:t>安全运维服务方</w:t>
      </w:r>
      <w:r>
        <w:rPr>
          <w:rFonts w:eastAsia="微软雅黑"/>
          <w:sz w:val="22"/>
          <w:szCs w:val="21"/>
        </w:rPr>
        <w:t>也</w:t>
      </w:r>
      <w:r>
        <w:rPr>
          <w:rFonts w:hint="eastAsia" w:eastAsia="微软雅黑"/>
          <w:sz w:val="22"/>
          <w:szCs w:val="21"/>
        </w:rPr>
        <w:t>应</w:t>
      </w:r>
      <w:r>
        <w:rPr>
          <w:rFonts w:eastAsia="微软雅黑"/>
          <w:sz w:val="22"/>
          <w:szCs w:val="21"/>
        </w:rPr>
        <w:t>对这些部分对加固对象的保护中提出积极的建议。</w:t>
      </w:r>
    </w:p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安全加固也是组织所制定的安全策略的实施实践，从实践的角度来检验安全策略的有效性。因此，安全加固的最终目的如下。</w:t>
      </w:r>
    </w:p>
    <w:p>
      <w:pPr>
        <w:pStyle w:val="13"/>
        <w:numPr>
          <w:ilvl w:val="0"/>
          <w:numId w:val="17"/>
        </w:numPr>
        <w:snapToGrid w:val="0"/>
        <w:spacing w:line="360" w:lineRule="auto"/>
        <w:ind w:firstLineChars="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确保对象满足安全基线要求；</w:t>
      </w:r>
    </w:p>
    <w:p>
      <w:pPr>
        <w:pStyle w:val="13"/>
        <w:numPr>
          <w:ilvl w:val="0"/>
          <w:numId w:val="17"/>
        </w:numPr>
        <w:snapToGrid w:val="0"/>
        <w:spacing w:line="360" w:lineRule="auto"/>
        <w:ind w:firstLineChars="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优化配置，安装适用的安全软件等加强对象的安全性能；</w:t>
      </w:r>
    </w:p>
    <w:p>
      <w:pPr>
        <w:pStyle w:val="13"/>
        <w:numPr>
          <w:ilvl w:val="0"/>
          <w:numId w:val="17"/>
        </w:numPr>
        <w:snapToGrid w:val="0"/>
        <w:spacing w:line="360" w:lineRule="auto"/>
        <w:ind w:firstLineChars="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从实践角度检验安全策略的有效性。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44" w:name="_Toc17675"/>
      <w:bookmarkStart w:id="245" w:name="_Toc529444847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加固</w:t>
      </w:r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指导</w:t>
      </w:r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内容</w:t>
      </w:r>
      <w:bookmarkEnd w:id="244"/>
      <w:bookmarkEnd w:id="245"/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right="2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操作系统加固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可进行安全加固的操作系统包括Windows、Linux、AIX、HP-Unix、Solaris。操作系统的加固内容如下表所示</w:t>
      </w:r>
      <w:r>
        <w:rPr>
          <w:rFonts w:hint="eastAsia" w:ascii="Times New Roman" w:hAnsi="Times New Roman" w:eastAsia="微软雅黑" w:cs="Times New Roman"/>
          <w:kern w:val="2"/>
          <w:sz w:val="22"/>
        </w:rPr>
        <w:t>。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 xml:space="preserve"> </w:t>
      </w:r>
    </w:p>
    <w:tbl>
      <w:tblPr>
        <w:tblStyle w:val="3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005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sz w:val="22"/>
              </w:rPr>
            </w:pPr>
            <w:r>
              <w:rPr>
                <w:rFonts w:eastAsia="微软雅黑"/>
                <w:b/>
                <w:bCs/>
                <w:kern w:val="24"/>
                <w:sz w:val="22"/>
              </w:rPr>
              <w:t>序号</w:t>
            </w:r>
          </w:p>
        </w:tc>
        <w:tc>
          <w:tcPr>
            <w:tcW w:w="3005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sz w:val="22"/>
              </w:rPr>
            </w:pPr>
            <w:r>
              <w:rPr>
                <w:rFonts w:eastAsia="微软雅黑"/>
                <w:b/>
                <w:bCs/>
                <w:kern w:val="24"/>
                <w:sz w:val="22"/>
              </w:rPr>
              <w:t>加固大项</w:t>
            </w:r>
          </w:p>
        </w:tc>
        <w:tc>
          <w:tcPr>
            <w:tcW w:w="3969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sz w:val="22"/>
              </w:rPr>
            </w:pPr>
            <w:r>
              <w:rPr>
                <w:rFonts w:eastAsia="微软雅黑"/>
                <w:b/>
                <w:bCs/>
                <w:kern w:val="24"/>
                <w:sz w:val="22"/>
              </w:rPr>
              <w:t>加固小项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eastAsia="微软雅黑"/>
                <w:kern w:val="24"/>
              </w:rPr>
              <w:t>1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账号管理和认证授权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账号、口令、授权、关机设置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eastAsia="微软雅黑"/>
                <w:kern w:val="24"/>
              </w:rPr>
              <w:t>2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协议安全配置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IP协议安全、防火墙、SYN攻击防护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eastAsia="微软雅黑"/>
                <w:kern w:val="24"/>
              </w:rPr>
              <w:t>3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服务和共享配置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系统服务、默认共享、共享权限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eastAsia="微软雅黑"/>
                <w:kern w:val="24"/>
              </w:rPr>
              <w:t>4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日志安全配置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日志审核策略、日志文件设置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</w:pPr>
            <w:r>
              <w:rPr>
                <w:rFonts w:eastAsia="微软雅黑"/>
                <w:kern w:val="24"/>
              </w:rPr>
              <w:t>5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其它安全配置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</w:pPr>
            <w:r>
              <w:rPr>
                <w:rFonts w:eastAsia="微软雅黑"/>
                <w:kern w:val="24"/>
              </w:rPr>
              <w:t>空闲超时设置、自动播放、启动项、数据执行保护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right="2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数据库加固</w:t>
      </w: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指导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进行安全加固的数据库系统包括Oracle、SQL Server、DB2。数据库的加固内容如下表所示</w:t>
      </w:r>
      <w:r>
        <w:rPr>
          <w:rFonts w:hint="eastAsia" w:ascii="Times New Roman" w:hAnsi="Times New Roman" w:eastAsia="微软雅黑" w:cs="Times New Roman"/>
          <w:kern w:val="2"/>
          <w:sz w:val="22"/>
        </w:rPr>
        <w:t>。</w:t>
      </w:r>
    </w:p>
    <w:tbl>
      <w:tblPr>
        <w:tblStyle w:val="3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005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序号</w:t>
            </w:r>
          </w:p>
        </w:tc>
        <w:tc>
          <w:tcPr>
            <w:tcW w:w="3005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加固大项</w:t>
            </w:r>
          </w:p>
        </w:tc>
        <w:tc>
          <w:tcPr>
            <w:tcW w:w="3969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加固小项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1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账号管理和认证授权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账号、口令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2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通信协议安全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网络数据传输安全、信任IP设置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3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日志安全配置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数据库审核策略、数据库日志文件设置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4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其它安全配置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连接超时设置、监听器密码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right="2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中间件加固</w:t>
      </w: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指导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进行安全加固的中间件系统包括Tomcat、Apache、WebLogic、WebSphere。中间件系统的加固内容如下表所示</w:t>
      </w:r>
      <w:r>
        <w:rPr>
          <w:rFonts w:hint="eastAsia" w:ascii="Times New Roman" w:hAnsi="Times New Roman" w:eastAsia="微软雅黑" w:cs="Times New Roman"/>
          <w:kern w:val="2"/>
          <w:sz w:val="22"/>
        </w:rPr>
        <w:t>。</w:t>
      </w:r>
    </w:p>
    <w:tbl>
      <w:tblPr>
        <w:tblStyle w:val="3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005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序号</w:t>
            </w:r>
          </w:p>
        </w:tc>
        <w:tc>
          <w:tcPr>
            <w:tcW w:w="3005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加固大项</w:t>
            </w:r>
          </w:p>
        </w:tc>
        <w:tc>
          <w:tcPr>
            <w:tcW w:w="3969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加固小项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1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账号管理和认证授权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账号、口令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2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通信协议安全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启用https传输、更改tomcat默认端口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3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日志安全配置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日志记录设置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4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其它安全配置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登录超时、错误重定向、禁止显示文件</w:t>
            </w:r>
          </w:p>
        </w:tc>
      </w:tr>
    </w:tbl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right="2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网络设备加固</w:t>
      </w: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指导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进行安全加固的网络设备包括主流厂商的路由器、交换机。网络设备的加固内容如下表所示</w:t>
      </w:r>
      <w:r>
        <w:rPr>
          <w:rFonts w:hint="eastAsia" w:ascii="Times New Roman" w:hAnsi="Times New Roman" w:eastAsia="微软雅黑" w:cs="Times New Roman"/>
          <w:kern w:val="2"/>
          <w:sz w:val="22"/>
        </w:rPr>
        <w:t>。</w:t>
      </w:r>
    </w:p>
    <w:tbl>
      <w:tblPr>
        <w:tblStyle w:val="3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005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序号</w:t>
            </w:r>
          </w:p>
        </w:tc>
        <w:tc>
          <w:tcPr>
            <w:tcW w:w="3005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加固大项</w:t>
            </w:r>
          </w:p>
        </w:tc>
        <w:tc>
          <w:tcPr>
            <w:tcW w:w="3969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加固小项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1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账号管理和认证授权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账号管理、登录安全要求、认证授权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2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通信协议安全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SNMP协议安全、路由协议安全、IP协议安全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3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日志安全配置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日志记录设置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4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其它安全配置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关闭不必要的服务、端口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right="2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ascii="Times New Roman" w:hAnsi="Times New Roman" w:eastAsia="微软雅黑" w:cs="Times New Roman"/>
          <w:b/>
          <w:bCs/>
          <w:sz w:val="24"/>
          <w:szCs w:val="28"/>
        </w:rPr>
        <w:t>安全设备加固</w:t>
      </w: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指导</w:t>
      </w:r>
    </w:p>
    <w:p>
      <w:pPr>
        <w:pStyle w:val="32"/>
        <w:wordWrap w:val="0"/>
        <w:adjustRightInd w:val="0"/>
        <w:snapToGrid w:val="0"/>
        <w:spacing w:before="0" w:beforeAutospacing="0" w:after="0" w:afterAutospacing="0" w:line="360" w:lineRule="auto"/>
        <w:ind w:firstLine="440" w:firstLineChars="200"/>
        <w:rPr>
          <w:rFonts w:ascii="Times New Roman" w:hAnsi="Times New Roman" w:eastAsia="微软雅黑" w:cs="Times New Roman"/>
          <w:kern w:val="2"/>
          <w:sz w:val="22"/>
        </w:rPr>
      </w:pPr>
      <w:r>
        <w:rPr>
          <w:rFonts w:ascii="Times New Roman" w:hAnsi="Times New Roman" w:eastAsia="微软雅黑" w:cs="Times New Roman"/>
          <w:kern w:val="2"/>
          <w:sz w:val="22"/>
        </w:rPr>
        <w:t>可进行安全加固的安全设备是主流厂商的防火墙，如</w:t>
      </w:r>
      <w:r>
        <w:rPr>
          <w:rFonts w:hint="eastAsia" w:ascii="Times New Roman" w:hAnsi="Times New Roman" w:eastAsia="微软雅黑" w:cs="Times New Roman"/>
          <w:kern w:val="2"/>
          <w:sz w:val="22"/>
        </w:rPr>
        <w:t>迪普科技</w:t>
      </w:r>
      <w:r>
        <w:rPr>
          <w:rFonts w:ascii="Times New Roman" w:hAnsi="Times New Roman" w:eastAsia="微软雅黑" w:cs="Times New Roman"/>
          <w:kern w:val="2"/>
          <w:sz w:val="22"/>
        </w:rPr>
        <w:t>、天融信、</w:t>
      </w:r>
      <w:r>
        <w:rPr>
          <w:rFonts w:hint="eastAsia" w:ascii="Times New Roman" w:hAnsi="Times New Roman" w:eastAsia="微软雅黑" w:cs="Times New Roman"/>
          <w:kern w:val="2"/>
          <w:sz w:val="22"/>
        </w:rPr>
        <w:t>绿盟</w:t>
      </w:r>
      <w:r>
        <w:rPr>
          <w:rFonts w:ascii="Times New Roman" w:hAnsi="Times New Roman" w:eastAsia="微软雅黑" w:cs="Times New Roman"/>
          <w:kern w:val="2"/>
          <w:sz w:val="22"/>
        </w:rPr>
        <w:t>等</w:t>
      </w:r>
      <w:r>
        <w:rPr>
          <w:rFonts w:hint="eastAsia" w:ascii="Times New Roman" w:hAnsi="Times New Roman" w:eastAsia="微软雅黑" w:cs="Times New Roman"/>
          <w:kern w:val="2"/>
          <w:sz w:val="22"/>
        </w:rPr>
        <w:t>安全设备</w:t>
      </w:r>
      <w:r>
        <w:rPr>
          <w:rFonts w:ascii="Times New Roman" w:hAnsi="Times New Roman" w:eastAsia="微软雅黑" w:cs="Times New Roman"/>
          <w:kern w:val="2"/>
          <w:sz w:val="22"/>
        </w:rPr>
        <w:t>。安全设备的加固内容如下表所示</w:t>
      </w:r>
      <w:r>
        <w:rPr>
          <w:rFonts w:hint="eastAsia" w:ascii="Times New Roman" w:hAnsi="Times New Roman" w:eastAsia="微软雅黑" w:cs="Times New Roman"/>
          <w:kern w:val="2"/>
          <w:sz w:val="22"/>
        </w:rPr>
        <w:t>。</w:t>
      </w:r>
    </w:p>
    <w:tbl>
      <w:tblPr>
        <w:tblStyle w:val="34"/>
        <w:tblW w:w="0" w:type="auto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14"/>
        <w:gridCol w:w="3005"/>
        <w:gridCol w:w="396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序号</w:t>
            </w:r>
          </w:p>
        </w:tc>
        <w:tc>
          <w:tcPr>
            <w:tcW w:w="3005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加固大项</w:t>
            </w:r>
          </w:p>
        </w:tc>
        <w:tc>
          <w:tcPr>
            <w:tcW w:w="3969" w:type="dxa"/>
            <w:shd w:val="clear" w:color="auto" w:fill="ADB9CA" w:themeFill="text2" w:themeFillTint="66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  <w:sz w:val="22"/>
              </w:rPr>
            </w:pPr>
            <w:r>
              <w:rPr>
                <w:rFonts w:ascii="Times New Roman" w:hAnsi="Times New Roman" w:eastAsia="微软雅黑"/>
                <w:b/>
                <w:bCs/>
                <w:kern w:val="24"/>
                <w:sz w:val="22"/>
              </w:rPr>
              <w:t>加固小项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1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账号管理和认证授权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账号、口令、授权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2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访问控制安全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安全策略、远程管理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3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日志安全配置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启用本地日志、启用远程日志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4" w:hRule="atLeast"/>
          <w:jc w:val="center"/>
        </w:trPr>
        <w:tc>
          <w:tcPr>
            <w:tcW w:w="1214" w:type="dxa"/>
            <w:vAlign w:val="center"/>
          </w:tcPr>
          <w:p>
            <w:pPr>
              <w:widowControl/>
              <w:snapToGrid w:val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 w:eastAsia="微软雅黑"/>
                <w:kern w:val="24"/>
              </w:rPr>
              <w:t>4</w:t>
            </w:r>
          </w:p>
        </w:tc>
        <w:tc>
          <w:tcPr>
            <w:tcW w:w="3005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增强安全要求</w:t>
            </w:r>
          </w:p>
        </w:tc>
        <w:tc>
          <w:tcPr>
            <w:tcW w:w="3969" w:type="dxa"/>
            <w:vAlign w:val="center"/>
          </w:tcPr>
          <w:p>
            <w:pPr>
              <w:widowControl/>
              <w:snapToGrid w:val="0"/>
              <w:rPr>
                <w:rFonts w:ascii="Times New Roman" w:hAnsi="Times New Roman" w:eastAsia="微软雅黑"/>
                <w:kern w:val="24"/>
              </w:rPr>
            </w:pPr>
            <w:r>
              <w:rPr>
                <w:rFonts w:ascii="Times New Roman" w:hAnsi="Times New Roman" w:eastAsia="微软雅黑"/>
                <w:kern w:val="24"/>
              </w:rPr>
              <w:t>限定管理IP、更改默认Banner、设备自身安全设置</w:t>
            </w:r>
          </w:p>
        </w:tc>
      </w:tr>
    </w:tbl>
    <w:p>
      <w:pPr>
        <w:pStyle w:val="13"/>
        <w:snapToGrid w:val="0"/>
        <w:spacing w:line="360" w:lineRule="auto"/>
        <w:ind w:firstLine="440"/>
        <w:rPr>
          <w:rFonts w:eastAsia="微软雅黑"/>
          <w:sz w:val="22"/>
          <w:szCs w:val="21"/>
        </w:rPr>
      </w:pP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46" w:name="_Toc529444849"/>
      <w:bookmarkStart w:id="247" w:name="_Toc13617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交付成果</w:t>
      </w:r>
      <w:bookmarkEnd w:id="246"/>
      <w:bookmarkEnd w:id="247"/>
    </w:p>
    <w:p>
      <w:pPr>
        <w:pStyle w:val="13"/>
        <w:snapToGrid w:val="0"/>
        <w:spacing w:line="360" w:lineRule="auto"/>
        <w:ind w:firstLineChars="0"/>
        <w:rPr>
          <w:rFonts w:eastAsia="微软雅黑"/>
          <w:sz w:val="22"/>
          <w:szCs w:val="21"/>
        </w:rPr>
      </w:pPr>
      <w:r>
        <w:rPr>
          <w:rFonts w:eastAsia="微软雅黑"/>
          <w:sz w:val="22"/>
          <w:szCs w:val="21"/>
        </w:rPr>
        <w:t>安全加固服务的主要交付成果如下：</w:t>
      </w:r>
    </w:p>
    <w:p>
      <w:pPr>
        <w:numPr>
          <w:ilvl w:val="0"/>
          <w:numId w:val="16"/>
        </w:numPr>
        <w:spacing w:line="360" w:lineRule="auto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《</w:t>
      </w:r>
      <w:r>
        <w:rPr>
          <w:rFonts w:hint="eastAsia" w:ascii="Times New Roman" w:hAnsi="Times New Roman" w:eastAsia="微软雅黑" w:cs="Times New Roman"/>
          <w:sz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</w:rPr>
        <w:t>安全加固汇总报告》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48" w:name="_Toc20208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应急</w:t>
      </w:r>
      <w:r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响应</w:t>
      </w:r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服务</w:t>
      </w:r>
      <w:bookmarkEnd w:id="20"/>
      <w:bookmarkEnd w:id="248"/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ascii="微软雅黑" w:hAnsi="微软雅黑" w:eastAsia="微软雅黑"/>
          <w:sz w:val="22"/>
        </w:rPr>
        <w:t>应急响应服务是为满足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ascii="微软雅黑" w:hAnsi="微软雅黑" w:eastAsia="微软雅黑"/>
          <w:sz w:val="22"/>
        </w:rPr>
        <w:t>发生安全事件</w:t>
      </w:r>
      <w:r>
        <w:rPr>
          <w:rFonts w:hint="eastAsia" w:ascii="微软雅黑" w:hAnsi="微软雅黑" w:eastAsia="微软雅黑"/>
          <w:sz w:val="22"/>
        </w:rPr>
        <w:t>，</w:t>
      </w:r>
      <w:r>
        <w:rPr>
          <w:rFonts w:ascii="微软雅黑" w:hAnsi="微软雅黑" w:eastAsia="微软雅黑"/>
          <w:sz w:val="22"/>
        </w:rPr>
        <w:t>需要紧急解决问题的情况而提供的一项安全服务。当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ascii="微软雅黑" w:hAnsi="微软雅黑" w:eastAsia="微软雅黑"/>
          <w:sz w:val="22"/>
        </w:rPr>
        <w:t>发生黑客入侵、系统崩溃或其它影响业务正常运行的安全事件时，</w:t>
      </w:r>
      <w:r>
        <w:rPr>
          <w:rFonts w:hint="eastAsia" w:ascii="微软雅黑" w:hAnsi="微软雅黑" w:eastAsia="微软雅黑"/>
          <w:sz w:val="22"/>
        </w:rPr>
        <w:t>安全服务提供方的</w:t>
      </w:r>
      <w:r>
        <w:rPr>
          <w:rFonts w:ascii="微软雅黑" w:hAnsi="微软雅黑" w:eastAsia="微软雅黑"/>
          <w:sz w:val="22"/>
        </w:rPr>
        <w:t>安全专家</w:t>
      </w:r>
      <w:r>
        <w:rPr>
          <w:rFonts w:hint="eastAsia" w:ascii="微软雅黑" w:hAnsi="微软雅黑" w:eastAsia="微软雅黑"/>
          <w:sz w:val="22"/>
        </w:rPr>
        <w:t>要</w:t>
      </w:r>
      <w:r>
        <w:rPr>
          <w:rFonts w:ascii="微软雅黑" w:hAnsi="微软雅黑" w:eastAsia="微软雅黑"/>
          <w:sz w:val="22"/>
        </w:rPr>
        <w:t>在第一时间</w:t>
      </w:r>
      <w:r>
        <w:rPr>
          <w:rFonts w:hint="eastAsia" w:ascii="微软雅黑" w:hAnsi="微软雅黑" w:eastAsia="微软雅黑"/>
          <w:sz w:val="22"/>
        </w:rPr>
        <w:t>对</w:t>
      </w:r>
      <w:r>
        <w:rPr>
          <w:rFonts w:ascii="微软雅黑" w:hAnsi="微软雅黑" w:eastAsia="微软雅黑"/>
          <w:sz w:val="22"/>
        </w:rPr>
        <w:t>安全事件进行应急响应处理，使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ascii="微软雅黑" w:hAnsi="微软雅黑" w:eastAsia="微软雅黑"/>
          <w:sz w:val="22"/>
        </w:rPr>
        <w:t>网络应用系统在最短时间内恢复正常</w:t>
      </w:r>
      <w:r>
        <w:rPr>
          <w:rFonts w:hint="eastAsia" w:ascii="微软雅黑" w:hAnsi="微软雅黑" w:eastAsia="微软雅黑"/>
          <w:sz w:val="22"/>
        </w:rPr>
        <w:t>运行</w:t>
      </w:r>
      <w:r>
        <w:rPr>
          <w:rFonts w:ascii="微软雅黑" w:hAnsi="微软雅黑" w:eastAsia="微软雅黑"/>
          <w:sz w:val="22"/>
        </w:rPr>
        <w:t>，帮助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ascii="微软雅黑" w:hAnsi="微软雅黑" w:eastAsia="微软雅黑"/>
          <w:sz w:val="22"/>
        </w:rPr>
        <w:t>查找入侵来源，挽回或减少经济损失。</w:t>
      </w:r>
    </w:p>
    <w:p>
      <w:pPr>
        <w:ind w:firstLine="420"/>
        <w:rPr>
          <w:rFonts w:ascii="微软雅黑" w:hAnsi="微软雅黑"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对安全</w:t>
      </w:r>
      <w:r>
        <w:rPr>
          <w:rFonts w:ascii="微软雅黑" w:hAnsi="微软雅黑" w:eastAsia="微软雅黑"/>
          <w:sz w:val="22"/>
        </w:rPr>
        <w:t>事件进行应急响应处理后，安全服务提供方</w:t>
      </w:r>
      <w:r>
        <w:rPr>
          <w:rFonts w:hint="eastAsia" w:ascii="微软雅黑" w:hAnsi="微软雅黑" w:eastAsia="微软雅黑"/>
          <w:sz w:val="22"/>
        </w:rPr>
        <w:t>要</w:t>
      </w:r>
      <w:r>
        <w:rPr>
          <w:rFonts w:ascii="微软雅黑" w:hAnsi="微软雅黑" w:eastAsia="微软雅黑"/>
          <w:sz w:val="22"/>
        </w:rPr>
        <w:t>提供</w:t>
      </w:r>
      <w:r>
        <w:rPr>
          <w:rFonts w:hint="eastAsia" w:ascii="微软雅黑" w:hAnsi="微软雅黑" w:eastAsia="微软雅黑"/>
          <w:sz w:val="22"/>
        </w:rPr>
        <w:t>详细</w:t>
      </w:r>
      <w:r>
        <w:rPr>
          <w:rFonts w:ascii="微软雅黑" w:hAnsi="微软雅黑" w:eastAsia="微软雅黑"/>
          <w:sz w:val="22"/>
        </w:rPr>
        <w:t>的应急响应报告，报告中</w:t>
      </w:r>
      <w:r>
        <w:rPr>
          <w:rFonts w:hint="eastAsia" w:ascii="微软雅黑" w:hAnsi="微软雅黑" w:eastAsia="微软雅黑"/>
          <w:sz w:val="22"/>
        </w:rPr>
        <w:t>要还</w:t>
      </w:r>
      <w:r>
        <w:rPr>
          <w:rFonts w:ascii="微软雅黑" w:hAnsi="微软雅黑" w:eastAsia="微软雅黑"/>
          <w:sz w:val="22"/>
        </w:rPr>
        <w:t>原入侵过程</w:t>
      </w:r>
      <w:r>
        <w:rPr>
          <w:rFonts w:hint="eastAsia" w:ascii="微软雅黑" w:hAnsi="微软雅黑" w:eastAsia="微软雅黑"/>
          <w:sz w:val="22"/>
        </w:rPr>
        <w:t>，</w:t>
      </w:r>
      <w:r>
        <w:rPr>
          <w:rFonts w:ascii="微软雅黑" w:hAnsi="微软雅黑" w:eastAsia="微软雅黑"/>
          <w:sz w:val="22"/>
        </w:rPr>
        <w:t>同时给出</w:t>
      </w:r>
      <w:r>
        <w:rPr>
          <w:rFonts w:hint="eastAsia" w:ascii="微软雅黑" w:hAnsi="微软雅黑" w:eastAsia="微软雅黑"/>
          <w:sz w:val="22"/>
        </w:rPr>
        <w:t>对</w:t>
      </w:r>
      <w:r>
        <w:rPr>
          <w:rFonts w:ascii="微软雅黑" w:hAnsi="微软雅黑" w:eastAsia="微软雅黑"/>
          <w:sz w:val="22"/>
        </w:rPr>
        <w:t>应的解决方案</w:t>
      </w:r>
      <w:r>
        <w:rPr>
          <w:rFonts w:hint="eastAsia" w:ascii="微软雅黑" w:hAnsi="微软雅黑" w:eastAsia="微软雅黑"/>
          <w:sz w:val="22"/>
        </w:rPr>
        <w:t>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49" w:name="_Toc31626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安全事件应急</w:t>
      </w:r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响应</w:t>
      </w:r>
      <w:bookmarkEnd w:id="249"/>
    </w:p>
    <w:p>
      <w:pPr>
        <w:spacing w:line="360" w:lineRule="auto"/>
        <w:ind w:firstLine="480"/>
        <w:rPr>
          <w:rFonts w:ascii="微软雅黑" w:hAnsi="微软雅黑" w:eastAsia="微软雅黑"/>
          <w:sz w:val="22"/>
        </w:rPr>
      </w:pPr>
      <w:r>
        <w:rPr>
          <w:rFonts w:hint="eastAsia" w:eastAsia="微软雅黑"/>
          <w:sz w:val="22"/>
        </w:rPr>
        <w:t>服务期限</w:t>
      </w:r>
      <w:r>
        <w:rPr>
          <w:rFonts w:eastAsia="微软雅黑"/>
          <w:sz w:val="22"/>
        </w:rPr>
        <w:t>内，</w:t>
      </w:r>
      <w:r>
        <w:rPr>
          <w:rFonts w:hint="eastAsia" w:eastAsia="微软雅黑"/>
          <w:sz w:val="22"/>
        </w:rPr>
        <w:t>安全运维服务方需提供7×24小时的远</w:t>
      </w:r>
      <w:r>
        <w:rPr>
          <w:rFonts w:eastAsia="微软雅黑"/>
          <w:sz w:val="22"/>
        </w:rPr>
        <w:t>程</w:t>
      </w:r>
      <w:r>
        <w:rPr>
          <w:rFonts w:hint="eastAsia" w:eastAsia="微软雅黑"/>
          <w:sz w:val="22"/>
        </w:rPr>
        <w:t>安全</w:t>
      </w:r>
      <w:r>
        <w:rPr>
          <w:rFonts w:eastAsia="微软雅黑"/>
          <w:sz w:val="22"/>
        </w:rPr>
        <w:t>应急</w:t>
      </w:r>
      <w:r>
        <w:rPr>
          <w:rFonts w:hint="eastAsia" w:eastAsia="微软雅黑"/>
          <w:sz w:val="22"/>
        </w:rPr>
        <w:t>响应，接</w:t>
      </w:r>
      <w:r>
        <w:rPr>
          <w:rFonts w:eastAsia="微软雅黑"/>
          <w:sz w:val="22"/>
        </w:rPr>
        <w:t>到</w:t>
      </w:r>
      <w:r>
        <w:rPr>
          <w:rFonts w:hint="eastAsia" w:eastAsia="微软雅黑"/>
          <w:sz w:val="22"/>
          <w:lang w:eastAsia="zh-CN"/>
        </w:rPr>
        <w:t>营运路段</w:t>
      </w:r>
      <w:r>
        <w:rPr>
          <w:rFonts w:eastAsia="微软雅黑"/>
          <w:sz w:val="22"/>
        </w:rPr>
        <w:t>安全事件通</w:t>
      </w:r>
      <w:r>
        <w:rPr>
          <w:rFonts w:hint="eastAsia" w:eastAsia="微软雅黑"/>
          <w:sz w:val="22"/>
        </w:rPr>
        <w:t>知</w:t>
      </w:r>
      <w:r>
        <w:rPr>
          <w:rFonts w:eastAsia="微软雅黑"/>
          <w:sz w:val="22"/>
        </w:rPr>
        <w:t>后，立即对安全事件进行分析、</w:t>
      </w:r>
      <w:r>
        <w:rPr>
          <w:rFonts w:hint="eastAsia" w:eastAsia="微软雅黑"/>
          <w:sz w:val="22"/>
        </w:rPr>
        <w:t>抑制</w:t>
      </w:r>
      <w:r>
        <w:rPr>
          <w:rFonts w:eastAsia="微软雅黑"/>
          <w:sz w:val="22"/>
        </w:rPr>
        <w:t>、</w:t>
      </w:r>
      <w:r>
        <w:rPr>
          <w:rFonts w:hint="eastAsia" w:eastAsia="微软雅黑"/>
          <w:sz w:val="22"/>
        </w:rPr>
        <w:t>溯源</w:t>
      </w:r>
      <w:r>
        <w:rPr>
          <w:rFonts w:eastAsia="微软雅黑"/>
          <w:sz w:val="22"/>
        </w:rPr>
        <w:t>。</w:t>
      </w:r>
      <w:r>
        <w:rPr>
          <w:rFonts w:hint="eastAsia" w:ascii="微软雅黑" w:hAnsi="微软雅黑" w:eastAsia="微软雅黑"/>
          <w:sz w:val="22"/>
        </w:rPr>
        <w:t>最大</w:t>
      </w:r>
      <w:r>
        <w:rPr>
          <w:rFonts w:ascii="微软雅黑" w:hAnsi="微软雅黑" w:eastAsia="微软雅黑"/>
          <w:sz w:val="22"/>
        </w:rPr>
        <w:t>程度</w:t>
      </w:r>
      <w:r>
        <w:rPr>
          <w:rFonts w:hint="eastAsia" w:ascii="微软雅黑" w:hAnsi="微软雅黑" w:eastAsia="微软雅黑"/>
          <w:sz w:val="22"/>
        </w:rPr>
        <w:t>降低</w:t>
      </w:r>
      <w:r>
        <w:rPr>
          <w:rFonts w:ascii="微软雅黑" w:hAnsi="微软雅黑" w:eastAsia="微软雅黑"/>
          <w:sz w:val="22"/>
        </w:rPr>
        <w:t>安全事件对</w:t>
      </w:r>
      <w:r>
        <w:rPr>
          <w:rFonts w:hint="eastAsia" w:ascii="微软雅黑" w:hAnsi="微软雅黑" w:eastAsia="微软雅黑"/>
          <w:sz w:val="22"/>
          <w:lang w:eastAsia="zh-CN"/>
        </w:rPr>
        <w:t>营运路段</w:t>
      </w:r>
      <w:r>
        <w:rPr>
          <w:rFonts w:ascii="微软雅黑" w:hAnsi="微软雅黑" w:eastAsia="微软雅黑"/>
          <w:sz w:val="22"/>
        </w:rPr>
        <w:t>带来的</w:t>
      </w:r>
      <w:r>
        <w:rPr>
          <w:rFonts w:hint="eastAsia" w:ascii="微软雅黑" w:hAnsi="微软雅黑" w:eastAsia="微软雅黑"/>
          <w:sz w:val="22"/>
        </w:rPr>
        <w:t>损失。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ascii="微软雅黑" w:hAnsi="微软雅黑" w:eastAsia="微软雅黑"/>
          <w:sz w:val="22"/>
        </w:rPr>
        <w:t>安全</w:t>
      </w:r>
      <w:r>
        <w:rPr>
          <w:rFonts w:ascii="微软雅黑" w:hAnsi="微软雅黑" w:eastAsia="微软雅黑"/>
          <w:sz w:val="22"/>
        </w:rPr>
        <w:t>应急响应</w:t>
      </w:r>
      <w:r>
        <w:rPr>
          <w:rFonts w:hint="eastAsia" w:ascii="微软雅黑" w:hAnsi="微软雅黑" w:eastAsia="微软雅黑"/>
          <w:sz w:val="22"/>
        </w:rPr>
        <w:t>，</w:t>
      </w:r>
      <w:r>
        <w:rPr>
          <w:rFonts w:ascii="微软雅黑" w:hAnsi="微软雅黑" w:eastAsia="微软雅黑"/>
          <w:sz w:val="22"/>
        </w:rPr>
        <w:t>包括以下服务内容。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判定安全事件类型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从网络流量、系统和IDS日志记录、桌面日志中判断安全事件类型。查明安全事件原因，确定安全事件的威胁和破坏的严重程度。查明安全事件原因，确定安全事件的威胁和破坏的严重程度。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抑制事态发展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抑制事态发展是为了将事故的损害降低到最小化。在这一步中，通常会将受影响系统和服务隔离。这一点对保持系统的可用性是非常重要的。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排除系统故障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针对发现的安全事件来源，排除潜在的隐患，消除安全威胁，彻底解决安全问题。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恢复信息系统正常操作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在根除问题后，将已经被攻击设备或由于事故造成的系统损坏做恢复性工作，使网络系统能在尽可能短的时间内恢复正常的网络服务。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用户信息系统安全加固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对系统中发现的漏洞进行安全加固，消除安全隐患。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重新评估用户信息系统的安全性能</w:t>
      </w:r>
    </w:p>
    <w:p>
      <w:pPr>
        <w:spacing w:line="360" w:lineRule="auto"/>
        <w:ind w:firstLine="480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重新评价用户系统的安全特性，确保在一定的时间范围内，不发生同类的安全事件。</w:t>
      </w:r>
    </w:p>
    <w:p>
      <w:pPr>
        <w:pStyle w:val="47"/>
        <w:numPr>
          <w:ilvl w:val="0"/>
          <w:numId w:val="18"/>
        </w:numPr>
        <w:spacing w:line="360" w:lineRule="auto"/>
        <w:ind w:firstLineChars="0"/>
        <w:rPr>
          <w:rFonts w:eastAsia="微软雅黑"/>
          <w:b/>
          <w:sz w:val="22"/>
        </w:rPr>
      </w:pPr>
      <w:r>
        <w:rPr>
          <w:rFonts w:hint="eastAsia" w:eastAsia="微软雅黑"/>
          <w:b/>
          <w:sz w:val="22"/>
        </w:rPr>
        <w:t>安全态势监控</w:t>
      </w:r>
    </w:p>
    <w:p>
      <w:pPr>
        <w:pStyle w:val="53"/>
        <w:ind w:right="21" w:firstLine="440" w:firstLineChars="200"/>
        <w:rPr>
          <w:rFonts w:eastAsia="微软雅黑"/>
          <w:kern w:val="2"/>
          <w:sz w:val="22"/>
        </w:rPr>
      </w:pPr>
      <w:r>
        <w:rPr>
          <w:rFonts w:hint="eastAsia" w:eastAsia="微软雅黑"/>
          <w:kern w:val="2"/>
          <w:sz w:val="22"/>
        </w:rPr>
        <w:t>定</w:t>
      </w:r>
      <w:r>
        <w:rPr>
          <w:rFonts w:eastAsia="微软雅黑"/>
          <w:kern w:val="2"/>
          <w:sz w:val="22"/>
        </w:rPr>
        <w:t>期</w:t>
      </w:r>
      <w:r>
        <w:rPr>
          <w:rFonts w:hint="eastAsia" w:eastAsia="微软雅黑"/>
          <w:kern w:val="2"/>
          <w:sz w:val="22"/>
        </w:rPr>
        <w:t>跟踪国内外的安全漏洞发布平台（</w:t>
      </w:r>
      <w:r>
        <w:rPr>
          <w:rFonts w:eastAsia="微软雅黑"/>
          <w:kern w:val="2"/>
          <w:sz w:val="22"/>
        </w:rPr>
        <w:t>如</w:t>
      </w:r>
      <w:r>
        <w:rPr>
          <w:rFonts w:hint="eastAsia" w:eastAsia="微软雅黑"/>
          <w:kern w:val="2"/>
          <w:sz w:val="22"/>
        </w:rPr>
        <w:t>CNCERT、CNVD、乌云），及</w:t>
      </w:r>
      <w:r>
        <w:rPr>
          <w:rFonts w:eastAsia="微软雅黑"/>
          <w:kern w:val="2"/>
          <w:sz w:val="22"/>
        </w:rPr>
        <w:t>时发现</w:t>
      </w:r>
      <w:r>
        <w:rPr>
          <w:rFonts w:hint="eastAsia" w:eastAsia="微软雅黑"/>
          <w:kern w:val="2"/>
          <w:sz w:val="22"/>
        </w:rPr>
        <w:t>新</w:t>
      </w:r>
      <w:r>
        <w:rPr>
          <w:rFonts w:eastAsia="微软雅黑"/>
          <w:kern w:val="2"/>
          <w:sz w:val="22"/>
        </w:rPr>
        <w:t>近出现的安全漏洞，</w:t>
      </w:r>
      <w:r>
        <w:rPr>
          <w:rFonts w:hint="eastAsia" w:eastAsia="微软雅黑"/>
          <w:kern w:val="2"/>
          <w:sz w:val="22"/>
        </w:rPr>
        <w:t>通过电话、</w:t>
      </w:r>
      <w:r>
        <w:rPr>
          <w:rFonts w:eastAsia="微软雅黑"/>
          <w:kern w:val="2"/>
          <w:sz w:val="22"/>
        </w:rPr>
        <w:t>邮箱</w:t>
      </w:r>
      <w:r>
        <w:rPr>
          <w:rFonts w:hint="eastAsia" w:eastAsia="微软雅黑"/>
          <w:kern w:val="2"/>
          <w:sz w:val="22"/>
        </w:rPr>
        <w:t>等方</w:t>
      </w:r>
      <w:r>
        <w:rPr>
          <w:rFonts w:eastAsia="微软雅黑"/>
          <w:kern w:val="2"/>
          <w:sz w:val="22"/>
        </w:rPr>
        <w:t>式</w:t>
      </w:r>
      <w:r>
        <w:rPr>
          <w:rFonts w:hint="eastAsia" w:eastAsia="微软雅黑"/>
          <w:kern w:val="2"/>
          <w:sz w:val="22"/>
        </w:rPr>
        <w:t>，及时向</w:t>
      </w:r>
      <w:r>
        <w:rPr>
          <w:rFonts w:hint="eastAsia" w:eastAsia="微软雅黑"/>
          <w:kern w:val="2"/>
          <w:sz w:val="22"/>
          <w:lang w:eastAsia="zh-CN"/>
        </w:rPr>
        <w:t>营运路段</w:t>
      </w:r>
      <w:r>
        <w:rPr>
          <w:rFonts w:hint="eastAsia" w:eastAsia="微软雅黑"/>
          <w:kern w:val="2"/>
          <w:sz w:val="22"/>
        </w:rPr>
        <w:t>通告最新的针对业务的（或具有重大影响的）安全漏洞、安全病毒、安全攻击、安全技术等安全态势信息，并提供有参考意义的安全防护建议，保证</w:t>
      </w:r>
      <w:r>
        <w:rPr>
          <w:rFonts w:hint="eastAsia" w:eastAsia="微软雅黑"/>
          <w:kern w:val="2"/>
          <w:sz w:val="22"/>
          <w:lang w:eastAsia="zh-CN"/>
        </w:rPr>
        <w:t>营运路段</w:t>
      </w:r>
      <w:r>
        <w:rPr>
          <w:rFonts w:hint="eastAsia" w:eastAsia="微软雅黑"/>
          <w:kern w:val="2"/>
          <w:sz w:val="22"/>
        </w:rPr>
        <w:t>信息安全工作的前瞻性和预判性。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50" w:name="_Toc478562321"/>
      <w:bookmarkStart w:id="251" w:name="_Toc7915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输出成果</w:t>
      </w:r>
      <w:bookmarkEnd w:id="250"/>
      <w:bookmarkEnd w:id="251"/>
    </w:p>
    <w:p>
      <w:pPr>
        <w:pStyle w:val="53"/>
        <w:ind w:right="21" w:firstLine="420" w:firstLineChars="0"/>
        <w:rPr>
          <w:rFonts w:ascii="微软雅黑" w:hAnsi="微软雅黑" w:eastAsia="微软雅黑"/>
          <w:kern w:val="2"/>
          <w:sz w:val="22"/>
        </w:rPr>
      </w:pPr>
      <w:r>
        <w:rPr>
          <w:rFonts w:hint="eastAsia" w:ascii="微软雅黑" w:hAnsi="微软雅黑" w:eastAsia="微软雅黑"/>
          <w:kern w:val="2"/>
          <w:sz w:val="22"/>
        </w:rPr>
        <w:t>应急</w:t>
      </w:r>
      <w:r>
        <w:rPr>
          <w:rFonts w:ascii="微软雅黑" w:hAnsi="微软雅黑" w:eastAsia="微软雅黑"/>
          <w:kern w:val="2"/>
          <w:sz w:val="22"/>
        </w:rPr>
        <w:t>响应服务的输出成果如下：</w:t>
      </w:r>
    </w:p>
    <w:p>
      <w:pPr>
        <w:numPr>
          <w:ilvl w:val="0"/>
          <w:numId w:val="16"/>
        </w:numPr>
        <w:spacing w:line="360" w:lineRule="auto"/>
        <w:rPr>
          <w:rFonts w:eastAsia="微软雅黑"/>
          <w:sz w:val="22"/>
        </w:rPr>
      </w:pPr>
      <w:r>
        <w:rPr>
          <w:rFonts w:hint="eastAsia" w:eastAsia="微软雅黑"/>
          <w:sz w:val="22"/>
        </w:rPr>
        <w:t>《</w:t>
      </w:r>
      <w:r>
        <w:rPr>
          <w:rFonts w:hint="eastAsia" w:eastAsia="微软雅黑"/>
          <w:sz w:val="22"/>
          <w:lang w:eastAsia="zh-CN"/>
        </w:rPr>
        <w:t>营运路段</w:t>
      </w:r>
      <w:r>
        <w:rPr>
          <w:rFonts w:hint="eastAsia" w:eastAsia="微软雅黑"/>
          <w:sz w:val="22"/>
        </w:rPr>
        <w:t>安全事件应急预案》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52" w:name="_Toc13612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安全应急演练</w:t>
      </w:r>
      <w:bookmarkEnd w:id="252"/>
    </w:p>
    <w:p>
      <w:pPr>
        <w:spacing w:line="360" w:lineRule="auto"/>
        <w:ind w:firstLine="424" w:firstLineChars="193"/>
        <w:rPr>
          <w:rFonts w:hint="eastAsia" w:eastAsia="微软雅黑"/>
          <w:sz w:val="22"/>
        </w:rPr>
      </w:pPr>
      <w:r>
        <w:rPr>
          <w:rFonts w:hint="eastAsia" w:eastAsia="微软雅黑"/>
          <w:sz w:val="22"/>
        </w:rPr>
        <w:t>根据应急预案和演练方案，协助用户完成各类安全事件的应急处置演练工作，确保安全应急工作的标准化和流程化，以及安全应急的效率和质量。</w:t>
      </w:r>
    </w:p>
    <w:p>
      <w:pPr>
        <w:spacing w:line="360" w:lineRule="auto"/>
        <w:ind w:firstLine="424" w:firstLineChars="193"/>
        <w:rPr>
          <w:rFonts w:hint="eastAsia" w:eastAsia="微软雅黑"/>
          <w:sz w:val="22"/>
        </w:rPr>
      </w:pPr>
      <w:r>
        <w:rPr>
          <w:rFonts w:hint="eastAsia" w:eastAsia="微软雅黑"/>
          <w:sz w:val="22"/>
        </w:rPr>
        <w:t>针对特定演练场景（网页被篡改攻击、网站遭受DDOS攻击、内网ARP攻击等)，制定演练预案、准备演练工具、参与演练软环境准备、协助演练硬件环境调测验证、进行正式应急演练、汇报总结。</w:t>
      </w:r>
    </w:p>
    <w:bookmarkEnd w:id="21"/>
    <w:bookmarkEnd w:id="22"/>
    <w:bookmarkEnd w:id="23"/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53" w:name="_Toc15721"/>
      <w:bookmarkStart w:id="254" w:name="_Toc441224905"/>
      <w:bookmarkStart w:id="255" w:name="_Toc446772330"/>
      <w:bookmarkStart w:id="256" w:name="_Toc445757889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安全通告服务</w:t>
      </w:r>
      <w:bookmarkEnd w:id="253"/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57" w:name="_Toc7971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服务描述</w:t>
      </w:r>
      <w:bookmarkEnd w:id="257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安全通告服务，是每月为用户提供信息安全研究月报，月报内容包括本月的信息安全整体态势、新增漏洞数量、漏洞分布情况、高危漏洞分析、本月主要安全事件，以及针对新漏洞的更新和防护方案。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同时，在出现重大安全漏洞和突发事件时，将第一时间进行深度分析，并将对应的分析报告提供给用户。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58" w:name="_Toc14422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输出成果</w:t>
      </w:r>
      <w:bookmarkEnd w:id="258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应急响应服务的主要输出成果如下：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《xx信息安全研究月报》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《xx重大事件分析报告》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59" w:name="_Toc26761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服务收益</w:t>
      </w:r>
      <w:bookmarkEnd w:id="259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我们的安全通告服务，可为客户带来以下收益：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让用户及时掌握最新的安全漏洞态势、前沿安全技术，以及最新的重大安全事件，第一时间进行安全预警和策略优化。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提升用户安全人员的技术能力，提升用户信息化管理水平。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60" w:name="_Toc32699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重大活动安全保障</w:t>
      </w:r>
      <w:bookmarkEnd w:id="260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重大活动安全保障，是指在重大会议、节假日等特殊时期内，我司派出安全攻防经验丰富的安全专家，进驻用户现场，协助用户对目标系统进行现场安全值守和保障，对网站的安全状况进行实时监控和日志分析。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在现场保障期间，当目标遭受黑客入侵攻击时，现场值守人员立即对入侵事件进行分析、检测、抑制、处理，查找入侵来源并恢复系统正常运行，完成后给出应急响应报告，报告中将还原入侵过程，同时给出对应的解决建议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61" w:name="_Toc12602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现场值守</w:t>
      </w:r>
      <w:bookmarkEnd w:id="261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现场值守的内容，主要包括以下三类：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网站连通性监控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通过系统自带的Ping工具或第三方监控工具，对目标网站的连通性进行实时监控，一旦网站的连通性出现异常，将第一时间得知，从而对其进行快速处理。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网站运行状态监控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 xml:space="preserve">通过流量分析系统之类的工具，对目标网站的出入流量进行实时监测，分析网站的流量 、并发、会话、全链接、半链接等关键数据，并同时对网站、数据库、中间件的日志进行分析并形成日志审计记录，从而有效评估网站的运行状态是否正常，确保网站的正常运行。      </w:t>
      </w:r>
    </w:p>
    <w:p>
      <w:pPr>
        <w:pStyle w:val="47"/>
        <w:keepNext/>
        <w:keepLines/>
        <w:numPr>
          <w:ilvl w:val="3"/>
          <w:numId w:val="7"/>
        </w:numPr>
        <w:snapToGrid w:val="0"/>
        <w:spacing w:before="240" w:after="240"/>
        <w:ind w:left="811" w:hanging="812" w:hangingChars="338"/>
        <w:outlineLvl w:val="3"/>
        <w:rPr>
          <w:rFonts w:ascii="Times New Roman" w:hAnsi="Times New Roman" w:eastAsia="微软雅黑" w:cs="Times New Roman"/>
          <w:b/>
          <w:bCs/>
          <w:sz w:val="24"/>
          <w:szCs w:val="28"/>
        </w:rPr>
      </w:pPr>
      <w:r>
        <w:rPr>
          <w:rFonts w:hint="eastAsia" w:ascii="Times New Roman" w:hAnsi="Times New Roman" w:eastAsia="微软雅黑" w:cs="Times New Roman"/>
          <w:b/>
          <w:bCs/>
          <w:sz w:val="24"/>
          <w:szCs w:val="28"/>
        </w:rPr>
        <w:t>网站安全状态监控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通过防火墙、WAF、网站防篡改、IDS、DDOS流量清洗等设备，对目标网站的安全状态进行实时监控，实时了解网站的安全状况。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同时，通过高频率地对网站源代码进行递归备份，并使用文件对比工具，高频率地对网站源代码进行比对，可有效发现源代码更改情况，从而防止攻击者绕过安全设备对非法篡改网站页面。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62" w:name="_Toc11308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预案制定</w:t>
      </w:r>
      <w:bookmarkEnd w:id="262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我司安全值守人员，将根据用户目标网站的安全现状，结合业界主流的网站攻击手法，分析网站可能遭受的攻击行为及其影响范围、严重程度，并和用户一起，提前制定对应的网站安全应急响应预案。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通过制定应急响应预案，可以在入侵攻击事件发生前防患于未然，当攻击事件发生时，可根据预案进行快速响应，从而在最短的时间恢复系统的正常运行。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63" w:name="_Toc28407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应急处理</w:t>
      </w:r>
      <w:bookmarkEnd w:id="263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 xml:space="preserve">在目标网站遭受黑客入侵攻击时，现场值守人员立即对入侵事件进行分析，并结合应急响应预案，对入侵事件进行检测、抑制、处理，查找入侵来源并恢复系统正常运行。 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入侵攻击事件的应急处理，包括但不限于以下内容。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判定安全事件类型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从网络流量、系统和IDS日志记录、桌面日志中判断安全事件类型。查明安全事件原因，确定安全事件的威胁和破坏的严重程度。查明安全事件原因，确定安全事件的威胁和破坏的严重程度。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抑制事态发展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抑制事态发展是为了将事故的损害降低到最小化。在这一步中，通常会将受影响系统和服务隔离。这一点对保持系统的可用性是非常重要的。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排除系统故障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针对发现的安全事件来源，排除潜在的隐患，消除安全威胁，彻底解决安全问题。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恢复信息系统正常操作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在根除问题后，将已经被攻击设备或由于事故造成的系统损坏做恢复性工作，使网络系统能在尽可能短的时间内恢复正常的网络服务。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客户信息系统安全加固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对系统中发现的漏洞进行安全加固，消除安全隐患。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重新评估客户信息系统的安全性能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重新评价客户系统的安全特性，确保在一定的时间范围内，不发生同类的安全事件。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64" w:name="_Toc9700"/>
      <w:r>
        <w:rPr>
          <w:rFonts w:hint="eastAsia" w:eastAsia="微软雅黑"/>
          <w:bCs w:val="0"/>
          <w:kern w:val="0"/>
          <w:sz w:val="28"/>
          <w:szCs w:val="30"/>
          <w:shd w:val="clear" w:color="auto" w:fill="FFFFFF"/>
          <w:lang w:val="zh-CN"/>
        </w:rPr>
        <w:t>输出成果</w:t>
      </w:r>
      <w:bookmarkEnd w:id="264"/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现场值守任务的输出成果如下：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《xx现场值守日报》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《xx现场值守工作总结》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《xx网站安全应急响应预案》</w:t>
      </w:r>
    </w:p>
    <w:p>
      <w:pPr>
        <w:widowControl/>
        <w:ind w:firstLine="420"/>
        <w:jc w:val="left"/>
        <w:rPr>
          <w:rFonts w:ascii="Times New Roman" w:hAnsi="Times New Roman" w:eastAsia="微软雅黑" w:cs="Times New Roman"/>
          <w:sz w:val="22"/>
        </w:rPr>
      </w:pPr>
      <w:r>
        <w:rPr>
          <w:rFonts w:ascii="Times New Roman" w:hAnsi="Times New Roman" w:eastAsia="微软雅黑" w:cs="Times New Roman"/>
          <w:sz w:val="22"/>
        </w:rPr>
        <w:t></w:t>
      </w:r>
      <w:r>
        <w:rPr>
          <w:rFonts w:ascii="Times New Roman" w:hAnsi="Times New Roman" w:eastAsia="微软雅黑" w:cs="Times New Roman"/>
          <w:sz w:val="22"/>
        </w:rPr>
        <w:tab/>
      </w:r>
      <w:r>
        <w:rPr>
          <w:rFonts w:hint="eastAsia" w:ascii="Times New Roman" w:hAnsi="Times New Roman" w:eastAsia="微软雅黑" w:cs="Times New Roman"/>
          <w:sz w:val="22"/>
        </w:rPr>
        <w:t>《xx安全事件应急响应报告》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65" w:name="_Toc29860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安全意识培训</w:t>
      </w:r>
      <w:bookmarkEnd w:id="265"/>
    </w:p>
    <w:p>
      <w:pPr>
        <w:widowControl/>
        <w:ind w:firstLine="424" w:firstLineChars="193"/>
        <w:jc w:val="left"/>
        <w:rPr>
          <w:rFonts w:hint="eastAsia" w:ascii="Times New Roman" w:hAnsi="Times New Roman" w:eastAsia="微软雅黑" w:cs="Times New Roman"/>
          <w:sz w:val="22"/>
        </w:rPr>
      </w:pPr>
      <w:r>
        <w:rPr>
          <w:rFonts w:hint="eastAsia" w:ascii="Times New Roman" w:hAnsi="Times New Roman" w:eastAsia="微软雅黑" w:cs="Times New Roman"/>
          <w:sz w:val="22"/>
        </w:rPr>
        <w:t>为用户提供安全意识培训，内容包括信息安全普及知识、法律法规、安全趋势、安全管理、移动安全、大数据安全以及常见办公安全等。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66" w:name="_Toc6526"/>
      <w:r>
        <w:rPr>
          <w:rFonts w:hint="eastAsia"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其它</w:t>
      </w:r>
      <w:bookmarkEnd w:id="266"/>
    </w:p>
    <w:p>
      <w:pPr>
        <w:widowControl/>
        <w:ind w:firstLine="424" w:firstLineChars="193"/>
        <w:jc w:val="left"/>
        <w:rPr>
          <w:rFonts w:hint="eastAsia" w:ascii="Times New Roman" w:hAnsi="Times New Roman" w:eastAsia="微软雅黑" w:cs="Times New Roman"/>
          <w:sz w:val="22"/>
          <w:lang w:val="zh-CN"/>
        </w:rPr>
      </w:pPr>
      <w:r>
        <w:rPr>
          <w:rFonts w:hint="eastAsia" w:ascii="Times New Roman" w:hAnsi="Times New Roman" w:eastAsia="微软雅黑" w:cs="Times New Roman"/>
          <w:sz w:val="22"/>
        </w:rPr>
        <w:t>根据业主需要，提供多种排名领先品牌的专业漏扫工具、基线核查工具、U盘接入检测工具、违规外联/内联检测工具等。</w:t>
      </w:r>
    </w:p>
    <w:p>
      <w:pPr>
        <w:pStyle w:val="2"/>
        <w:rPr>
          <w:rFonts w:hint="eastAsia"/>
        </w:rPr>
      </w:pPr>
    </w:p>
    <w:p>
      <w:pPr>
        <w:pStyle w:val="3"/>
        <w:keepLines w:val="0"/>
        <w:widowControl/>
        <w:numPr>
          <w:ilvl w:val="0"/>
          <w:numId w:val="7"/>
        </w:numPr>
        <w:tabs>
          <w:tab w:val="left" w:pos="567"/>
        </w:tabs>
        <w:adjustRightInd w:val="0"/>
        <w:spacing w:before="240" w:after="240" w:line="240" w:lineRule="auto"/>
        <w:jc w:val="left"/>
        <w:rPr>
          <w:rFonts w:eastAsia="微软雅黑"/>
          <w:bCs w:val="0"/>
          <w:kern w:val="0"/>
          <w:sz w:val="36"/>
          <w:szCs w:val="36"/>
        </w:rPr>
      </w:pPr>
      <w:bookmarkStart w:id="267" w:name="_Toc29841"/>
      <w:r>
        <w:rPr>
          <w:rFonts w:eastAsia="微软雅黑"/>
          <w:bCs w:val="0"/>
          <w:kern w:val="0"/>
          <w:sz w:val="36"/>
          <w:szCs w:val="36"/>
        </w:rPr>
        <w:t>保密承诺</w:t>
      </w:r>
      <w:bookmarkEnd w:id="254"/>
      <w:bookmarkEnd w:id="255"/>
      <w:bookmarkEnd w:id="256"/>
      <w:bookmarkEnd w:id="267"/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本次</w:t>
      </w:r>
      <w:r>
        <w:rPr>
          <w:rFonts w:hint="eastAsia" w:ascii="Times New Roman" w:hAnsi="Times New Roman" w:eastAsia="微软雅黑" w:cs="Times New Roman"/>
          <w:sz w:val="22"/>
          <w:szCs w:val="22"/>
          <w:lang w:eastAsia="zh-CN"/>
        </w:rPr>
        <w:t>营运路段</w:t>
      </w:r>
      <w:r>
        <w:rPr>
          <w:rFonts w:hint="eastAsia" w:ascii="Times New Roman" w:hAnsi="Times New Roman" w:eastAsia="微软雅黑" w:cs="Times New Roman"/>
          <w:sz w:val="22"/>
          <w:szCs w:val="22"/>
        </w:rPr>
        <w:t>安全运维服务</w:t>
      </w:r>
      <w:r>
        <w:rPr>
          <w:rFonts w:ascii="Times New Roman" w:hAnsi="Times New Roman" w:eastAsia="微软雅黑" w:cs="Times New Roman"/>
          <w:sz w:val="22"/>
          <w:szCs w:val="22"/>
        </w:rPr>
        <w:t>工作中，可能要涉及很多关键的设备数据和技术参数，同时</w:t>
      </w:r>
      <w:r>
        <w:rPr>
          <w:rFonts w:hint="eastAsia" w:ascii="Times New Roman" w:hAnsi="Times New Roman" w:eastAsia="微软雅黑" w:cs="Times New Roman"/>
          <w:sz w:val="22"/>
          <w:szCs w:val="22"/>
        </w:rPr>
        <w:t>安全服务提供方</w:t>
      </w:r>
      <w:r>
        <w:rPr>
          <w:rFonts w:ascii="Times New Roman" w:hAnsi="Times New Roman" w:eastAsia="微软雅黑" w:cs="Times New Roman"/>
          <w:sz w:val="22"/>
          <w:szCs w:val="22"/>
        </w:rPr>
        <w:t>也可能会采用自己的独有技术进行深层次的风险检测，因此保密承诺的重要性在于</w:t>
      </w:r>
      <w:r>
        <w:rPr>
          <w:rFonts w:hint="eastAsia" w:ascii="Times New Roman" w:hAnsi="Times New Roman" w:eastAsia="微软雅黑" w:cs="Times New Roman"/>
          <w:sz w:val="22"/>
          <w:szCs w:val="22"/>
        </w:rPr>
        <w:t>，项目实施人员对</w:t>
      </w:r>
      <w:r>
        <w:rPr>
          <w:rFonts w:hint="eastAsia" w:ascii="Times New Roman" w:hAnsi="Times New Roman" w:eastAsia="微软雅黑" w:cs="Times New Roman"/>
          <w:sz w:val="22"/>
          <w:szCs w:val="22"/>
          <w:lang w:eastAsia="zh-CN"/>
        </w:rPr>
        <w:t>营运路段</w:t>
      </w:r>
      <w:r>
        <w:rPr>
          <w:rFonts w:hint="eastAsia" w:ascii="Times New Roman" w:hAnsi="Times New Roman" w:eastAsia="微软雅黑" w:cs="Times New Roman"/>
          <w:sz w:val="22"/>
          <w:szCs w:val="22"/>
        </w:rPr>
        <w:t>网络与信息</w:t>
      </w:r>
      <w:r>
        <w:rPr>
          <w:rFonts w:ascii="Times New Roman" w:hAnsi="Times New Roman" w:eastAsia="微软雅黑" w:cs="Times New Roman"/>
          <w:sz w:val="22"/>
          <w:szCs w:val="22"/>
        </w:rPr>
        <w:t>数据</w:t>
      </w:r>
      <w:r>
        <w:rPr>
          <w:rFonts w:hint="eastAsia" w:ascii="Times New Roman" w:hAnsi="Times New Roman" w:eastAsia="微软雅黑" w:cs="Times New Roman"/>
          <w:sz w:val="22"/>
          <w:szCs w:val="22"/>
        </w:rPr>
        <w:t>等相关信息</w:t>
      </w:r>
      <w:r>
        <w:rPr>
          <w:rFonts w:ascii="Times New Roman" w:hAnsi="Times New Roman" w:eastAsia="微软雅黑" w:cs="Times New Roman"/>
          <w:sz w:val="22"/>
          <w:szCs w:val="22"/>
        </w:rPr>
        <w:t>的对外保密</w:t>
      </w:r>
      <w:r>
        <w:rPr>
          <w:rFonts w:hint="eastAsia" w:ascii="Times New Roman" w:hAnsi="Times New Roman" w:eastAsia="微软雅黑" w:cs="Times New Roman"/>
          <w:sz w:val="22"/>
          <w:szCs w:val="22"/>
        </w:rPr>
        <w:t>责任</w:t>
      </w:r>
      <w:r>
        <w:rPr>
          <w:rFonts w:ascii="Times New Roman" w:hAnsi="Times New Roman" w:eastAsia="微软雅黑" w:cs="Times New Roman"/>
          <w:sz w:val="22"/>
          <w:szCs w:val="22"/>
        </w:rPr>
        <w:t>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本项目的保密承诺分为以下两部分：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保密协议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项目人员项目专项保密承诺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68" w:name="_Toc429519578"/>
      <w:bookmarkStart w:id="269" w:name="_Toc433708243"/>
      <w:bookmarkStart w:id="270" w:name="_Toc423432272"/>
      <w:bookmarkStart w:id="271" w:name="_Toc441224906"/>
      <w:bookmarkStart w:id="272" w:name="_Toc445757890"/>
      <w:bookmarkStart w:id="273" w:name="_Toc20391"/>
      <w:bookmarkStart w:id="274" w:name="_Toc446772331"/>
      <w:r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保密协议</w:t>
      </w:r>
      <w:bookmarkEnd w:id="268"/>
      <w:bookmarkEnd w:id="269"/>
      <w:bookmarkEnd w:id="270"/>
      <w:bookmarkEnd w:id="271"/>
      <w:bookmarkEnd w:id="272"/>
      <w:bookmarkEnd w:id="273"/>
      <w:bookmarkEnd w:id="274"/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75" w:name="_Toc429519579"/>
      <w:bookmarkStart w:id="276" w:name="_Toc445757891"/>
      <w:bookmarkStart w:id="277" w:name="_Toc441224907"/>
      <w:bookmarkStart w:id="278" w:name="_Toc446772332"/>
      <w:bookmarkStart w:id="279" w:name="_Toc24041"/>
      <w:bookmarkStart w:id="280" w:name="_Toc423432273"/>
      <w:bookmarkStart w:id="281" w:name="_Toc433708244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保密协议的必要性</w:t>
      </w:r>
      <w:bookmarkEnd w:id="275"/>
      <w:bookmarkEnd w:id="276"/>
      <w:bookmarkEnd w:id="277"/>
      <w:bookmarkEnd w:id="278"/>
      <w:bookmarkEnd w:id="279"/>
      <w:bookmarkEnd w:id="280"/>
      <w:bookmarkEnd w:id="281"/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保密协议可以确保在本项目中，双方对项目涉及的系统数据、技术参数等整体系统安全相关资料的保密。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双方以《中华人民共和国保守国家秘密法》为根本依据，并根据中华人民共和国国家科学技术委员会颁布的《科学技术保密规定》、《计算机软件保护条例》以及《商用密码管理条例》等相关法律、法规签订保密协议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82" w:name="_Toc423432274"/>
      <w:bookmarkStart w:id="283" w:name="_Toc429519580"/>
      <w:bookmarkStart w:id="284" w:name="_Toc441224908"/>
      <w:bookmarkStart w:id="285" w:name="_Toc445757892"/>
      <w:bookmarkStart w:id="286" w:name="_Toc446772333"/>
      <w:bookmarkStart w:id="287" w:name="_Toc433708245"/>
      <w:bookmarkStart w:id="288" w:name="_Toc26437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保密条款</w:t>
      </w:r>
      <w:bookmarkEnd w:id="282"/>
      <w:bookmarkEnd w:id="283"/>
      <w:bookmarkEnd w:id="284"/>
      <w:bookmarkEnd w:id="285"/>
      <w:bookmarkEnd w:id="286"/>
      <w:bookmarkEnd w:id="287"/>
      <w:bookmarkEnd w:id="288"/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承认接受的秘密资料。本协议中秘密资料包括通过口头、书面、电子或其他方式提供的关于技术和系统安全及其他方面的一切数据、报告、信息、翻译资料、预测和记录。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同意维护商业秘密资料的保密性，不向任何第三方披露有关信息，除非由于法律需要在必要的程度上向国家有关管理部门透露。同意在披露有关信息前，正式书面知会对方并得到对方书面许可。同意秘密资料只作为本项目的用途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上所涉及的相关秘密资料包括以下内容：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整体系统安全策略相关技术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整体系统安全总体解决方案相关技术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所有整体系统安全服务的技术内容以及相关细节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所有检测报告、分析技术以及内容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所有的整体系统安全咨询技术内容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所有的整体系统安全培训技术内容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所有与该项目相关的技术文档</w:t>
      </w:r>
    </w:p>
    <w:p>
      <w:pPr>
        <w:pStyle w:val="47"/>
        <w:numPr>
          <w:ilvl w:val="0"/>
          <w:numId w:val="19"/>
        </w:numPr>
        <w:ind w:firstLineChars="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与此项目相关的商务信息</w:t>
      </w:r>
    </w:p>
    <w:p>
      <w:pPr>
        <w:pStyle w:val="4"/>
        <w:keepLines w:val="0"/>
        <w:numPr>
          <w:ilvl w:val="1"/>
          <w:numId w:val="7"/>
        </w:numPr>
        <w:tabs>
          <w:tab w:val="left" w:pos="709"/>
        </w:tabs>
        <w:adjustRightInd w:val="0"/>
        <w:snapToGrid w:val="0"/>
        <w:spacing w:before="240" w:after="240" w:line="240" w:lineRule="auto"/>
        <w:ind w:left="864" w:hanging="864" w:hangingChars="270"/>
        <w:jc w:val="left"/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</w:pPr>
      <w:bookmarkStart w:id="289" w:name="_Toc429519582"/>
      <w:bookmarkStart w:id="290" w:name="_Toc433708247"/>
      <w:bookmarkStart w:id="291" w:name="_Toc14013"/>
      <w:bookmarkStart w:id="292" w:name="_Toc446772335"/>
      <w:bookmarkStart w:id="293" w:name="_Toc445757894"/>
      <w:bookmarkStart w:id="294" w:name="_Toc423432276"/>
      <w:bookmarkStart w:id="295" w:name="_Toc441224910"/>
      <w:r>
        <w:rPr>
          <w:rFonts w:ascii="Times New Roman" w:hAnsi="Times New Roman" w:eastAsia="微软雅黑"/>
          <w:bCs w:val="0"/>
          <w:kern w:val="0"/>
          <w:szCs w:val="22"/>
          <w:shd w:val="clear" w:color="auto" w:fill="FFFFFF"/>
          <w:lang w:val="zh-CN"/>
        </w:rPr>
        <w:t>项目实施人员专项保密承诺</w:t>
      </w:r>
      <w:bookmarkEnd w:id="289"/>
      <w:bookmarkEnd w:id="290"/>
      <w:bookmarkEnd w:id="291"/>
      <w:bookmarkEnd w:id="292"/>
      <w:bookmarkEnd w:id="293"/>
      <w:bookmarkEnd w:id="294"/>
      <w:bookmarkEnd w:id="295"/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296" w:name="_Toc423432277"/>
      <w:bookmarkStart w:id="297" w:name="_Toc429519583"/>
      <w:bookmarkStart w:id="298" w:name="_Toc445757895"/>
      <w:bookmarkStart w:id="299" w:name="_Toc446772336"/>
      <w:bookmarkStart w:id="300" w:name="_Toc433708248"/>
      <w:bookmarkStart w:id="301" w:name="_Toc11743"/>
      <w:bookmarkStart w:id="302" w:name="_Toc441224911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保密承诺的必要性</w:t>
      </w:r>
      <w:bookmarkEnd w:id="296"/>
      <w:bookmarkEnd w:id="297"/>
      <w:bookmarkEnd w:id="298"/>
      <w:bookmarkEnd w:id="299"/>
      <w:bookmarkEnd w:id="300"/>
      <w:bookmarkEnd w:id="301"/>
      <w:bookmarkEnd w:id="302"/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项目实施人员专项保密承诺可以确保在本项目工作中，人员本身对项目涉及的系统数据、技术参数等整体系统安全相关资料的保密。</w:t>
      </w:r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双方应根据《中华人民共和国反不正当竞争法》、《中华人民共和国计算机信息系统安全保护条例》、《计算机信息网络国际联网安全保护管理办法》、《商用密码管理条例》和国家、地方有关法律规范，为保障国家、</w:t>
      </w:r>
      <w:r>
        <w:rPr>
          <w:rFonts w:hint="eastAsia" w:ascii="Times New Roman" w:hAnsi="Times New Roman" w:eastAsia="微软雅黑" w:cs="Times New Roman"/>
          <w:sz w:val="22"/>
          <w:szCs w:val="22"/>
          <w:lang w:eastAsia="zh-CN"/>
        </w:rPr>
        <w:t>营运路段</w:t>
      </w:r>
      <w:r>
        <w:rPr>
          <w:rFonts w:ascii="Times New Roman" w:hAnsi="Times New Roman" w:eastAsia="微软雅黑" w:cs="Times New Roman"/>
          <w:sz w:val="22"/>
          <w:szCs w:val="22"/>
        </w:rPr>
        <w:t>及甲方的财产不受损害，就企业管理和技术秘密保护签订保密承诺。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303" w:name="_Toc429519584"/>
      <w:bookmarkStart w:id="304" w:name="_Toc24391"/>
      <w:bookmarkStart w:id="305" w:name="_Toc423432278"/>
      <w:bookmarkStart w:id="306" w:name="_Toc446772337"/>
      <w:bookmarkStart w:id="307" w:name="_Toc441224912"/>
      <w:bookmarkStart w:id="308" w:name="_Toc445757896"/>
      <w:bookmarkStart w:id="309" w:name="_Toc433708249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保密内容和范围</w:t>
      </w:r>
      <w:bookmarkEnd w:id="303"/>
      <w:bookmarkEnd w:id="304"/>
      <w:bookmarkEnd w:id="305"/>
      <w:bookmarkEnd w:id="306"/>
      <w:bookmarkEnd w:id="307"/>
      <w:bookmarkEnd w:id="308"/>
      <w:bookmarkEnd w:id="309"/>
    </w:p>
    <w:p>
      <w:pPr>
        <w:spacing w:line="360" w:lineRule="auto"/>
        <w:ind w:firstLine="440" w:firstLineChars="200"/>
        <w:jc w:val="left"/>
        <w:rPr>
          <w:rFonts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项目参与人在项目中涉及到的相关技术资料。包括：机构设置和运行机置；计算机及其它辅助产品、安全产品的型号、数量、配置、运行状态等资料；应用系统名称、功能、业务类型、交易量、交易特征等信息；现有网络拓扑结构及其相关资料；业务流程、逻辑流程等资料；计算机系统的漏洞信息；现有安全机制及规划目标；项目文档、工程文档；与其它公司的合作信息、合同；其他需要保密的信息资料。对分析的过程数据和结果数据严格保密。</w:t>
      </w:r>
    </w:p>
    <w:p>
      <w:pPr>
        <w:pStyle w:val="5"/>
        <w:keepLines w:val="0"/>
        <w:numPr>
          <w:ilvl w:val="2"/>
          <w:numId w:val="7"/>
        </w:numPr>
        <w:tabs>
          <w:tab w:val="left" w:pos="851"/>
        </w:tabs>
        <w:adjustRightInd w:val="0"/>
        <w:snapToGrid w:val="0"/>
        <w:spacing w:before="240" w:after="240" w:line="240" w:lineRule="auto"/>
        <w:ind w:left="756" w:hanging="756" w:hangingChars="270"/>
        <w:jc w:val="left"/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</w:pPr>
      <w:bookmarkStart w:id="310" w:name="_Toc446772338"/>
      <w:bookmarkStart w:id="311" w:name="_Toc445757897"/>
      <w:bookmarkStart w:id="312" w:name="_Toc423432279"/>
      <w:bookmarkStart w:id="313" w:name="_Toc433708250"/>
      <w:bookmarkStart w:id="314" w:name="_Toc441224913"/>
      <w:bookmarkStart w:id="315" w:name="_Toc429519585"/>
      <w:bookmarkStart w:id="316" w:name="_Toc28755"/>
      <w:r>
        <w:rPr>
          <w:rFonts w:eastAsia="微软雅黑"/>
          <w:bCs w:val="0"/>
          <w:kern w:val="0"/>
          <w:sz w:val="28"/>
          <w:szCs w:val="30"/>
          <w:shd w:val="clear" w:color="auto" w:fill="FFFFFF"/>
          <w:lang w:val="zh-CN"/>
        </w:rPr>
        <w:t>保密责任</w:t>
      </w:r>
      <w:bookmarkEnd w:id="310"/>
      <w:bookmarkEnd w:id="311"/>
      <w:bookmarkEnd w:id="312"/>
      <w:bookmarkEnd w:id="313"/>
      <w:bookmarkEnd w:id="314"/>
      <w:bookmarkEnd w:id="315"/>
      <w:bookmarkEnd w:id="316"/>
    </w:p>
    <w:p>
      <w:pPr>
        <w:spacing w:line="360" w:lineRule="auto"/>
        <w:ind w:firstLine="440" w:firstLineChars="200"/>
        <w:jc w:val="left"/>
        <w:rPr>
          <w:rFonts w:hint="eastAsia" w:ascii="Times New Roman" w:hAnsi="Times New Roman" w:eastAsia="微软雅黑" w:cs="Times New Roman"/>
          <w:sz w:val="22"/>
          <w:szCs w:val="22"/>
        </w:rPr>
      </w:pPr>
      <w:r>
        <w:rPr>
          <w:rFonts w:ascii="Times New Roman" w:hAnsi="Times New Roman" w:eastAsia="微软雅黑" w:cs="Times New Roman"/>
          <w:sz w:val="22"/>
          <w:szCs w:val="22"/>
        </w:rPr>
        <w:t>所有人员必须按要求从事项目的实施工作，并将工程实施相关资料交保存。分析人员必须遵守国家的有关制度及的保密协议，在职或离职后均不得泄漏秘密内容（包括上述所列所有保密款项）给任何其他单位和个人，不得利用此数据进行非法操作（如侵害网络的行为）。</w:t>
      </w:r>
      <w:bookmarkEnd w:id="24"/>
      <w:bookmarkEnd w:id="25"/>
      <w:bookmarkStart w:id="317" w:name="_Toc444590106"/>
      <w:bookmarkEnd w:id="317"/>
      <w:bookmarkStart w:id="318" w:name="_Toc437335117"/>
      <w:bookmarkEnd w:id="318"/>
      <w:bookmarkStart w:id="319" w:name="_Toc437294288"/>
      <w:bookmarkEnd w:id="319"/>
      <w:bookmarkStart w:id="320" w:name="_Toc437346254"/>
      <w:bookmarkEnd w:id="320"/>
      <w:bookmarkStart w:id="321" w:name="_Toc444590792"/>
      <w:bookmarkEnd w:id="321"/>
      <w:bookmarkStart w:id="322" w:name="_Toc437342111"/>
      <w:bookmarkEnd w:id="322"/>
      <w:bookmarkStart w:id="323" w:name="_Toc437335111"/>
      <w:bookmarkEnd w:id="323"/>
      <w:bookmarkStart w:id="324" w:name="_Toc448496234"/>
      <w:bookmarkEnd w:id="324"/>
      <w:bookmarkStart w:id="325" w:name="_Toc437346248"/>
      <w:bookmarkEnd w:id="325"/>
      <w:bookmarkStart w:id="326" w:name="_Toc437294294"/>
      <w:bookmarkEnd w:id="326"/>
      <w:bookmarkStart w:id="327" w:name="_Toc445112892"/>
      <w:bookmarkEnd w:id="327"/>
      <w:bookmarkStart w:id="328" w:name="_Toc437342117"/>
      <w:bookmarkEnd w:id="328"/>
      <w:bookmarkStart w:id="329" w:name="_Toc437342814"/>
      <w:bookmarkEnd w:id="329"/>
      <w:bookmarkStart w:id="330" w:name="_Toc437342808"/>
      <w:bookmarkEnd w:id="330"/>
      <w:bookmarkStart w:id="331" w:name="_Toc444586125"/>
      <w:bookmarkEnd w:id="331"/>
    </w:p>
    <w:sectPr>
      <w:footerReference r:id="rId3" w:type="default"/>
      <w:pgSz w:w="11906" w:h="16838"/>
      <w:pgMar w:top="1560" w:right="1800" w:bottom="1418" w:left="1800" w:header="851" w:footer="992" w:gutter="0"/>
      <w:cols w:space="425" w:num="1"/>
      <w:titlePg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</w:font>
  <w:font w:name="方正仿宋简体">
    <w:altName w:val="微软雅黑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 Black">
    <w:panose1 w:val="020B0A04020102020204"/>
    <w:charset w:val="00"/>
    <w:family w:val="swiss"/>
    <w:pitch w:val="default"/>
    <w:sig w:usb0="A00002AF" w:usb1="400078FB" w:usb2="00000000" w:usb3="00000000" w:csb0="6000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4"/>
      <w:pBdr>
        <w:top w:val="single" w:color="auto" w:sz="4" w:space="1"/>
      </w:pBdr>
      <w:jc w:val="center"/>
      <w:rPr>
        <w:rFonts w:ascii="Times New Roman" w:hAnsi="Times New Roman" w:eastAsia="微软雅黑"/>
      </w:rPr>
    </w:pPr>
    <w:r>
      <w:rPr>
        <w:rStyle w:val="38"/>
        <w:rFonts w:ascii="Times New Roman" w:hAnsi="Times New Roman" w:eastAsia="微软雅黑"/>
      </w:rPr>
      <w:t>第</w:t>
    </w:r>
    <w:r>
      <w:rPr>
        <w:rStyle w:val="38"/>
        <w:rFonts w:ascii="Times New Roman" w:hAnsi="Times New Roman" w:eastAsia="微软雅黑"/>
      </w:rPr>
      <w:fldChar w:fldCharType="begin"/>
    </w:r>
    <w:r>
      <w:rPr>
        <w:rStyle w:val="38"/>
        <w:rFonts w:ascii="Times New Roman" w:hAnsi="Times New Roman" w:eastAsia="微软雅黑"/>
      </w:rPr>
      <w:instrText xml:space="preserve"> PAGE </w:instrText>
    </w:r>
    <w:r>
      <w:rPr>
        <w:rStyle w:val="38"/>
        <w:rFonts w:ascii="Times New Roman" w:hAnsi="Times New Roman" w:eastAsia="微软雅黑"/>
      </w:rPr>
      <w:fldChar w:fldCharType="separate"/>
    </w:r>
    <w:r>
      <w:rPr>
        <w:rStyle w:val="38"/>
        <w:rFonts w:ascii="Times New Roman" w:hAnsi="Times New Roman" w:eastAsia="微软雅黑"/>
      </w:rPr>
      <w:t>8</w:t>
    </w:r>
    <w:r>
      <w:rPr>
        <w:rStyle w:val="38"/>
        <w:rFonts w:ascii="Times New Roman" w:hAnsi="Times New Roman" w:eastAsia="微软雅黑"/>
      </w:rPr>
      <w:fldChar w:fldCharType="end"/>
    </w:r>
    <w:r>
      <w:rPr>
        <w:rStyle w:val="38"/>
        <w:rFonts w:ascii="Times New Roman" w:hAnsi="Times New Roman" w:eastAsia="微软雅黑"/>
      </w:rPr>
      <w:t>页</w:t>
    </w:r>
    <w:r>
      <w:rPr>
        <w:rStyle w:val="38"/>
        <w:rFonts w:hint="eastAsia" w:ascii="Times New Roman" w:hAnsi="Times New Roman" w:eastAsia="微软雅黑"/>
      </w:rPr>
      <w:t>，</w:t>
    </w:r>
    <w:r>
      <w:rPr>
        <w:rStyle w:val="38"/>
        <w:rFonts w:ascii="Times New Roman" w:hAnsi="Times New Roman" w:eastAsia="微软雅黑"/>
      </w:rPr>
      <w:t>共</w:t>
    </w:r>
    <w:r>
      <w:rPr>
        <w:rStyle w:val="38"/>
        <w:rFonts w:ascii="Times New Roman" w:hAnsi="Times New Roman" w:eastAsia="微软雅黑"/>
      </w:rPr>
      <w:fldChar w:fldCharType="begin"/>
    </w:r>
    <w:r>
      <w:rPr>
        <w:rStyle w:val="38"/>
        <w:rFonts w:ascii="Times New Roman" w:hAnsi="Times New Roman" w:eastAsia="微软雅黑"/>
      </w:rPr>
      <w:instrText xml:space="preserve"> NUMPAGES </w:instrText>
    </w:r>
    <w:r>
      <w:rPr>
        <w:rStyle w:val="38"/>
        <w:rFonts w:ascii="Times New Roman" w:hAnsi="Times New Roman" w:eastAsia="微软雅黑"/>
      </w:rPr>
      <w:fldChar w:fldCharType="separate"/>
    </w:r>
    <w:r>
      <w:rPr>
        <w:rStyle w:val="38"/>
        <w:rFonts w:ascii="Times New Roman" w:hAnsi="Times New Roman" w:eastAsia="微软雅黑"/>
      </w:rPr>
      <w:t>27</w:t>
    </w:r>
    <w:r>
      <w:rPr>
        <w:rStyle w:val="38"/>
        <w:rFonts w:ascii="Times New Roman" w:hAnsi="Times New Roman" w:eastAsia="微软雅黑"/>
      </w:rPr>
      <w:fldChar w:fldCharType="end"/>
    </w:r>
    <w:r>
      <w:rPr>
        <w:rStyle w:val="38"/>
        <w:rFonts w:ascii="Times New Roman" w:hAnsi="Times New Roman" w:eastAsia="微软雅黑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4444EC8"/>
    <w:multiLevelType w:val="multilevel"/>
    <w:tmpl w:val="04444EC8"/>
    <w:lvl w:ilvl="0" w:tentative="0">
      <w:start w:val="1"/>
      <w:numFmt w:val="decimal"/>
      <w:lvlText w:val="%1)"/>
      <w:lvlJc w:val="left"/>
      <w:pPr>
        <w:ind w:left="900" w:hanging="420"/>
      </w:p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">
    <w:nsid w:val="0A396477"/>
    <w:multiLevelType w:val="multilevel"/>
    <w:tmpl w:val="0A396477"/>
    <w:lvl w:ilvl="0" w:tentative="0">
      <w:start w:val="1"/>
      <w:numFmt w:val="bullet"/>
      <w:lvlText w:val=""/>
      <w:lvlJc w:val="left"/>
      <w:pPr>
        <w:ind w:left="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20" w:hanging="420"/>
      </w:pPr>
      <w:rPr>
        <w:rFonts w:hint="default" w:ascii="Wingdings" w:hAnsi="Wingdings"/>
      </w:rPr>
    </w:lvl>
  </w:abstractNum>
  <w:abstractNum w:abstractNumId="2">
    <w:nsid w:val="0DB21B60"/>
    <w:multiLevelType w:val="multilevel"/>
    <w:tmpl w:val="0DB21B60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  <w:rPr>
        <w:lang w:val="en-US"/>
      </w:r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>
    <w:nsid w:val="12993958"/>
    <w:multiLevelType w:val="multilevel"/>
    <w:tmpl w:val="12993958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4">
    <w:nsid w:val="18EA7374"/>
    <w:multiLevelType w:val="multilevel"/>
    <w:tmpl w:val="18EA7374"/>
    <w:lvl w:ilvl="0" w:tentative="0">
      <w:start w:val="1"/>
      <w:numFmt w:val="bullet"/>
      <w:lvlText w:val="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abstractNum w:abstractNumId="5">
    <w:nsid w:val="1B18211D"/>
    <w:multiLevelType w:val="multilevel"/>
    <w:tmpl w:val="1B18211D"/>
    <w:lvl w:ilvl="0" w:tentative="0">
      <w:start w:val="1"/>
      <w:numFmt w:val="bullet"/>
      <w:pStyle w:val="111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6">
    <w:nsid w:val="1C0C28C5"/>
    <w:multiLevelType w:val="multilevel"/>
    <w:tmpl w:val="1C0C28C5"/>
    <w:lvl w:ilvl="0" w:tentative="0">
      <w:start w:val="1"/>
      <w:numFmt w:val="bullet"/>
      <w:pStyle w:val="106"/>
      <w:lvlText w:val=""/>
      <w:lvlJc w:val="left"/>
      <w:pPr>
        <w:tabs>
          <w:tab w:val="left" w:pos="620"/>
        </w:tabs>
        <w:ind w:left="62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</w:abstractNum>
  <w:abstractNum w:abstractNumId="7">
    <w:nsid w:val="1DB55B47"/>
    <w:multiLevelType w:val="multilevel"/>
    <w:tmpl w:val="1DB55B47"/>
    <w:lvl w:ilvl="0" w:tentative="0">
      <w:start w:val="1"/>
      <w:numFmt w:val="decimal"/>
      <w:lvlText w:val="%1"/>
      <w:lvlJc w:val="left"/>
      <w:pPr>
        <w:ind w:left="425" w:hanging="425"/>
      </w:pPr>
    </w:lvl>
    <w:lvl w:ilvl="1" w:tentative="0">
      <w:start w:val="1"/>
      <w:numFmt w:val="decimal"/>
      <w:lvlText w:val="%1.%2"/>
      <w:lvlJc w:val="left"/>
      <w:pPr>
        <w:ind w:left="992" w:hanging="567"/>
      </w:pPr>
    </w:lvl>
    <w:lvl w:ilvl="2" w:tentative="0">
      <w:start w:val="1"/>
      <w:numFmt w:val="decimal"/>
      <w:lvlText w:val="%1.%2.%3"/>
      <w:lvlJc w:val="left"/>
      <w:pPr>
        <w:ind w:left="1418" w:hanging="567"/>
      </w:pPr>
    </w:lvl>
    <w:lvl w:ilvl="3" w:tentative="0">
      <w:start w:val="1"/>
      <w:numFmt w:val="decimal"/>
      <w:lvlText w:val="%1.%2.%3.%4"/>
      <w:lvlJc w:val="left"/>
      <w:pPr>
        <w:ind w:left="1984" w:hanging="708"/>
      </w:pPr>
    </w:lvl>
    <w:lvl w:ilvl="4" w:tentative="0">
      <w:start w:val="1"/>
      <w:numFmt w:val="decimal"/>
      <w:lvlText w:val="%1.%2.%3.%4.%5"/>
      <w:lvlJc w:val="left"/>
      <w:pPr>
        <w:ind w:left="2551" w:hanging="850"/>
      </w:pPr>
    </w:lvl>
    <w:lvl w:ilvl="5" w:tentative="0">
      <w:start w:val="1"/>
      <w:numFmt w:val="decimal"/>
      <w:lvlText w:val="%1.%2.%3.%4.%5.%6"/>
      <w:lvlJc w:val="left"/>
      <w:pPr>
        <w:ind w:left="3260" w:hanging="1134"/>
      </w:pPr>
    </w:lvl>
    <w:lvl w:ilvl="6" w:tentative="0">
      <w:start w:val="1"/>
      <w:numFmt w:val="decimal"/>
      <w:lvlText w:val="%1.%2.%3.%4.%5.%6.%7"/>
      <w:lvlJc w:val="left"/>
      <w:pPr>
        <w:ind w:left="3827" w:hanging="1276"/>
      </w:pPr>
    </w:lvl>
    <w:lvl w:ilvl="7" w:tentative="0">
      <w:start w:val="1"/>
      <w:numFmt w:val="decimal"/>
      <w:lvlText w:val="%1.%2.%3.%4.%5.%6.%7.%8"/>
      <w:lvlJc w:val="left"/>
      <w:pPr>
        <w:ind w:left="4394" w:hanging="1418"/>
      </w:p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8">
    <w:nsid w:val="216F5209"/>
    <w:multiLevelType w:val="multilevel"/>
    <w:tmpl w:val="216F5209"/>
    <w:lvl w:ilvl="0" w:tentative="0">
      <w:start w:val="1"/>
      <w:numFmt w:val="bullet"/>
      <w:lvlText w:val=""/>
      <w:lvlJc w:val="left"/>
      <w:pPr>
        <w:ind w:left="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4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8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12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</w:abstractNum>
  <w:abstractNum w:abstractNumId="9">
    <w:nsid w:val="2B2B58F1"/>
    <w:multiLevelType w:val="multilevel"/>
    <w:tmpl w:val="2B2B58F1"/>
    <w:lvl w:ilvl="0" w:tentative="0">
      <w:start w:val="1"/>
      <w:numFmt w:val="decimal"/>
      <w:pStyle w:val="79"/>
      <w:lvlText w:val="%1"/>
      <w:lvlJc w:val="center"/>
      <w:pPr>
        <w:ind w:left="227" w:firstLine="0"/>
      </w:pPr>
      <w:rPr>
        <w:rFonts w:hint="default" w:ascii="Times New Roman" w:hAnsi="Times New Roman" w:cs="Times New Roman"/>
        <w:sz w:val="21"/>
        <w:szCs w:val="24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CD10E65"/>
    <w:multiLevelType w:val="multilevel"/>
    <w:tmpl w:val="2CD10E65"/>
    <w:lvl w:ilvl="0" w:tentative="0">
      <w:start w:val="1"/>
      <w:numFmt w:val="bullet"/>
      <w:lvlText w:val=""/>
      <w:lvlJc w:val="left"/>
      <w:pPr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00" w:hanging="420"/>
      </w:pPr>
      <w:rPr>
        <w:rFonts w:hint="default" w:ascii="Wingdings" w:hAnsi="Wingdings"/>
      </w:rPr>
    </w:lvl>
  </w:abstractNum>
  <w:abstractNum w:abstractNumId="11">
    <w:nsid w:val="317351AE"/>
    <w:multiLevelType w:val="multilevel"/>
    <w:tmpl w:val="317351AE"/>
    <w:lvl w:ilvl="0" w:tentative="0">
      <w:start w:val="1"/>
      <w:numFmt w:val="decimal"/>
      <w:lvlText w:val="%1)"/>
      <w:lvlJc w:val="left"/>
      <w:pPr>
        <w:ind w:left="860" w:hanging="420"/>
      </w:pPr>
      <w:rPr>
        <w:rFonts w:hint="eastAsia"/>
        <w:sz w:val="21"/>
      </w:rPr>
    </w:lvl>
    <w:lvl w:ilvl="1" w:tentative="0">
      <w:start w:val="1"/>
      <w:numFmt w:val="lowerLetter"/>
      <w:lvlText w:val="%2)"/>
      <w:lvlJc w:val="left"/>
      <w:pPr>
        <w:ind w:left="1280" w:hanging="420"/>
      </w:pPr>
    </w:lvl>
    <w:lvl w:ilvl="2" w:tentative="0">
      <w:start w:val="1"/>
      <w:numFmt w:val="lowerRoman"/>
      <w:lvlText w:val="%3."/>
      <w:lvlJc w:val="right"/>
      <w:pPr>
        <w:ind w:left="1700" w:hanging="420"/>
      </w:pPr>
    </w:lvl>
    <w:lvl w:ilvl="3" w:tentative="0">
      <w:start w:val="1"/>
      <w:numFmt w:val="decimal"/>
      <w:lvlText w:val="%4."/>
      <w:lvlJc w:val="left"/>
      <w:pPr>
        <w:ind w:left="2120" w:hanging="420"/>
      </w:pPr>
    </w:lvl>
    <w:lvl w:ilvl="4" w:tentative="0">
      <w:start w:val="1"/>
      <w:numFmt w:val="lowerLetter"/>
      <w:lvlText w:val="%5)"/>
      <w:lvlJc w:val="left"/>
      <w:pPr>
        <w:ind w:left="2540" w:hanging="420"/>
      </w:pPr>
    </w:lvl>
    <w:lvl w:ilvl="5" w:tentative="0">
      <w:start w:val="1"/>
      <w:numFmt w:val="lowerRoman"/>
      <w:lvlText w:val="%6."/>
      <w:lvlJc w:val="right"/>
      <w:pPr>
        <w:ind w:left="2960" w:hanging="420"/>
      </w:pPr>
    </w:lvl>
    <w:lvl w:ilvl="6" w:tentative="0">
      <w:start w:val="1"/>
      <w:numFmt w:val="decimal"/>
      <w:lvlText w:val="%7."/>
      <w:lvlJc w:val="left"/>
      <w:pPr>
        <w:ind w:left="3380" w:hanging="420"/>
      </w:pPr>
    </w:lvl>
    <w:lvl w:ilvl="7" w:tentative="0">
      <w:start w:val="1"/>
      <w:numFmt w:val="lowerLetter"/>
      <w:lvlText w:val="%8)"/>
      <w:lvlJc w:val="left"/>
      <w:pPr>
        <w:ind w:left="3800" w:hanging="420"/>
      </w:pPr>
    </w:lvl>
    <w:lvl w:ilvl="8" w:tentative="0">
      <w:start w:val="1"/>
      <w:numFmt w:val="lowerRoman"/>
      <w:lvlText w:val="%9."/>
      <w:lvlJc w:val="right"/>
      <w:pPr>
        <w:ind w:left="4220" w:hanging="420"/>
      </w:pPr>
    </w:lvl>
  </w:abstractNum>
  <w:abstractNum w:abstractNumId="12">
    <w:nsid w:val="44C75A97"/>
    <w:multiLevelType w:val="multilevel"/>
    <w:tmpl w:val="44C75A97"/>
    <w:lvl w:ilvl="0" w:tentative="0">
      <w:start w:val="1"/>
      <w:numFmt w:val="bullet"/>
      <w:pStyle w:val="100"/>
      <w:lvlText w:val=""/>
      <w:lvlJc w:val="left"/>
      <w:pPr>
        <w:tabs>
          <w:tab w:val="left" w:pos="1259"/>
        </w:tabs>
        <w:ind w:left="1259" w:hanging="420"/>
      </w:pPr>
      <w:rPr>
        <w:rFonts w:hint="default" w:ascii="Wingdings" w:hAnsi="Wingdings"/>
      </w:rPr>
    </w:lvl>
    <w:lvl w:ilvl="1" w:tentative="0">
      <w:start w:val="1"/>
      <w:numFmt w:val="decimal"/>
      <w:pStyle w:val="103"/>
      <w:lvlText w:val="%2."/>
      <w:lvlJc w:val="left"/>
      <w:pPr>
        <w:tabs>
          <w:tab w:val="left" w:pos="1679"/>
        </w:tabs>
        <w:ind w:left="1679" w:hanging="420"/>
      </w:p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abstractNum w:abstractNumId="13">
    <w:nsid w:val="53EB28A2"/>
    <w:multiLevelType w:val="multilevel"/>
    <w:tmpl w:val="53EB28A2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4">
    <w:nsid w:val="5F26077A"/>
    <w:multiLevelType w:val="multilevel"/>
    <w:tmpl w:val="5F26077A"/>
    <w:lvl w:ilvl="0" w:tentative="0">
      <w:start w:val="1"/>
      <w:numFmt w:val="bullet"/>
      <w:pStyle w:val="112"/>
      <w:lvlText w:val=""/>
      <w:lvlJc w:val="left"/>
      <w:pPr>
        <w:tabs>
          <w:tab w:val="left" w:pos="840"/>
        </w:tabs>
        <w:ind w:left="84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260"/>
        </w:tabs>
        <w:ind w:left="126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1680"/>
        </w:tabs>
        <w:ind w:left="168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100"/>
        </w:tabs>
        <w:ind w:left="210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520"/>
        </w:tabs>
        <w:ind w:left="252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2940"/>
        </w:tabs>
        <w:ind w:left="294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360"/>
        </w:tabs>
        <w:ind w:left="336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3780"/>
        </w:tabs>
        <w:ind w:left="378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200"/>
        </w:tabs>
        <w:ind w:left="4200" w:hanging="420"/>
      </w:pPr>
      <w:rPr>
        <w:rFonts w:hint="default" w:ascii="Wingdings" w:hAnsi="Wingdings"/>
      </w:rPr>
    </w:lvl>
  </w:abstractNum>
  <w:abstractNum w:abstractNumId="15">
    <w:nsid w:val="5F434771"/>
    <w:multiLevelType w:val="multilevel"/>
    <w:tmpl w:val="5F434771"/>
    <w:lvl w:ilvl="0" w:tentative="0">
      <w:start w:val="1"/>
      <w:numFmt w:val="bullet"/>
      <w:pStyle w:val="99"/>
      <w:lvlText w:val=""/>
      <w:lvlJc w:val="left"/>
      <w:pPr>
        <w:tabs>
          <w:tab w:val="left" w:pos="1259"/>
        </w:tabs>
        <w:ind w:left="1259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tabs>
          <w:tab w:val="left" w:pos="1679"/>
        </w:tabs>
        <w:ind w:left="1679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tabs>
          <w:tab w:val="left" w:pos="2099"/>
        </w:tabs>
        <w:ind w:left="2099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tabs>
          <w:tab w:val="left" w:pos="2519"/>
        </w:tabs>
        <w:ind w:left="2519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tabs>
          <w:tab w:val="left" w:pos="2939"/>
        </w:tabs>
        <w:ind w:left="2939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tabs>
          <w:tab w:val="left" w:pos="3359"/>
        </w:tabs>
        <w:ind w:left="3359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tabs>
          <w:tab w:val="left" w:pos="3779"/>
        </w:tabs>
        <w:ind w:left="3779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tabs>
          <w:tab w:val="left" w:pos="4199"/>
        </w:tabs>
        <w:ind w:left="4199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tabs>
          <w:tab w:val="left" w:pos="4619"/>
        </w:tabs>
        <w:ind w:left="4619" w:hanging="420"/>
      </w:pPr>
      <w:rPr>
        <w:rFonts w:hint="default" w:ascii="Wingdings" w:hAnsi="Wingdings"/>
      </w:rPr>
    </w:lvl>
  </w:abstractNum>
  <w:abstractNum w:abstractNumId="16">
    <w:nsid w:val="6E487EAA"/>
    <w:multiLevelType w:val="multilevel"/>
    <w:tmpl w:val="6E487EAA"/>
    <w:lvl w:ilvl="0" w:tentative="0">
      <w:start w:val="1"/>
      <w:numFmt w:val="decimal"/>
      <w:lvlText w:val="%1)"/>
      <w:lvlJc w:val="left"/>
      <w:pPr>
        <w:ind w:left="420" w:hanging="420"/>
      </w:pPr>
      <w:rPr>
        <w:rFonts w:hint="eastAsia"/>
        <w:sz w:val="21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7">
    <w:nsid w:val="717973B4"/>
    <w:multiLevelType w:val="multilevel"/>
    <w:tmpl w:val="717973B4"/>
    <w:lvl w:ilvl="0" w:tentative="0">
      <w:start w:val="1"/>
      <w:numFmt w:val="bullet"/>
      <w:lvlText w:val=""/>
      <w:lvlJc w:val="left"/>
      <w:pPr>
        <w:ind w:left="900" w:hanging="420"/>
      </w:pPr>
      <w:rPr>
        <w:rFonts w:hint="default" w:ascii="Wingdings" w:hAnsi="Wingdings"/>
        <w:sz w:val="22"/>
      </w:rPr>
    </w:lvl>
    <w:lvl w:ilvl="1" w:tentative="0">
      <w:start w:val="1"/>
      <w:numFmt w:val="bullet"/>
      <w:lvlText w:val=""/>
      <w:lvlJc w:val="left"/>
      <w:pPr>
        <w:ind w:left="132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4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6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8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00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42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4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60" w:hanging="420"/>
      </w:pPr>
      <w:rPr>
        <w:rFonts w:hint="default" w:ascii="Wingdings" w:hAnsi="Wingdings"/>
      </w:rPr>
    </w:lvl>
  </w:abstractNum>
  <w:abstractNum w:abstractNumId="18">
    <w:nsid w:val="76AD11AB"/>
    <w:multiLevelType w:val="multilevel"/>
    <w:tmpl w:val="76AD11AB"/>
    <w:lvl w:ilvl="0" w:tentative="0">
      <w:start w:val="1"/>
      <w:numFmt w:val="bullet"/>
      <w:lvlText w:val=""/>
      <w:lvlJc w:val="left"/>
      <w:pPr>
        <w:ind w:left="8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2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17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1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5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29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3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38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220" w:hanging="420"/>
      </w:pPr>
      <w:rPr>
        <w:rFonts w:hint="default" w:ascii="Wingdings" w:hAnsi="Wingdings"/>
      </w:rPr>
    </w:lvl>
  </w:abstractNum>
  <w:num w:numId="1">
    <w:abstractNumId w:val="9"/>
  </w:num>
  <w:num w:numId="2">
    <w:abstractNumId w:val="15"/>
  </w:num>
  <w:num w:numId="3">
    <w:abstractNumId w:val="12"/>
    <w:lvlOverride w:ilvl="1">
      <w:startOverride w:val="1"/>
    </w:lvlOverride>
  </w:num>
  <w:num w:numId="4">
    <w:abstractNumId w:val="6"/>
  </w:num>
  <w:num w:numId="5">
    <w:abstractNumId w:val="5"/>
  </w:num>
  <w:num w:numId="6">
    <w:abstractNumId w:val="14"/>
  </w:num>
  <w:num w:numId="7">
    <w:abstractNumId w:val="2"/>
  </w:num>
  <w:num w:numId="8">
    <w:abstractNumId w:val="0"/>
    <w:lvlOverride w:ilvl="0">
      <w:startOverride w:val="1"/>
    </w:lvlOverride>
  </w:num>
  <w:num w:numId="9">
    <w:abstractNumId w:val="3"/>
  </w:num>
  <w:num w:numId="10">
    <w:abstractNumId w:val="18"/>
  </w:num>
  <w:num w:numId="11">
    <w:abstractNumId w:val="8"/>
  </w:num>
  <w:num w:numId="12">
    <w:abstractNumId w:val="16"/>
  </w:num>
  <w:num w:numId="13">
    <w:abstractNumId w:val="4"/>
  </w:num>
  <w:num w:numId="14">
    <w:abstractNumId w:val="10"/>
  </w:num>
  <w:num w:numId="15">
    <w:abstractNumId w:val="7"/>
  </w:num>
  <w:num w:numId="16">
    <w:abstractNumId w:val="17"/>
  </w:num>
  <w:num w:numId="17">
    <w:abstractNumId w:val="11"/>
  </w:num>
  <w:num w:numId="18">
    <w:abstractNumId w:val="13"/>
  </w:num>
  <w:num w:numId="1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bordersDoNotSurroundHeader w:val="1"/>
  <w:bordersDoNotSurroundFooter w:val="1"/>
  <w:hideSpellingErrors/>
  <w:stylePaneFormatFilter w:val="1324" w:allStyles="0" w:customStyles="0" w:latentStyles="1" w:stylesInUse="0" w:headingStyles="1" w:numberingStyles="0" w:tableStyles="0" w:directFormattingOnRuns="1" w:directFormattingOnParagraphs="1" w:directFormattingOnNumbering="0" w:directFormattingOnTables="0" w:clearFormatting="1" w:top3HeadingStyles="0" w:visibleStyles="0" w:alternateStyleNames="0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RiNTU4NjljYTAxN2YzYWNlNGQ4MGJkNjMyODNmMzMifQ=="/>
  </w:docVars>
  <w:rsids>
    <w:rsidRoot w:val="00D044B5"/>
    <w:rsid w:val="000014BB"/>
    <w:rsid w:val="00001C3D"/>
    <w:rsid w:val="0000700A"/>
    <w:rsid w:val="00011F69"/>
    <w:rsid w:val="0001424A"/>
    <w:rsid w:val="00014A73"/>
    <w:rsid w:val="0001779C"/>
    <w:rsid w:val="00024001"/>
    <w:rsid w:val="00024303"/>
    <w:rsid w:val="00026472"/>
    <w:rsid w:val="00031282"/>
    <w:rsid w:val="0003681A"/>
    <w:rsid w:val="0003689F"/>
    <w:rsid w:val="0004072E"/>
    <w:rsid w:val="000432B9"/>
    <w:rsid w:val="00044995"/>
    <w:rsid w:val="000458EC"/>
    <w:rsid w:val="0004749F"/>
    <w:rsid w:val="00055F8C"/>
    <w:rsid w:val="00060CDE"/>
    <w:rsid w:val="00061745"/>
    <w:rsid w:val="00067434"/>
    <w:rsid w:val="00074308"/>
    <w:rsid w:val="00085F2F"/>
    <w:rsid w:val="00086DDA"/>
    <w:rsid w:val="00094C62"/>
    <w:rsid w:val="000A29A2"/>
    <w:rsid w:val="000A3CEF"/>
    <w:rsid w:val="000A59FB"/>
    <w:rsid w:val="000B0C2F"/>
    <w:rsid w:val="000B1FAA"/>
    <w:rsid w:val="000B3010"/>
    <w:rsid w:val="000B55DB"/>
    <w:rsid w:val="000B72AB"/>
    <w:rsid w:val="000C1E1D"/>
    <w:rsid w:val="000C4AA7"/>
    <w:rsid w:val="000C7523"/>
    <w:rsid w:val="000D39CB"/>
    <w:rsid w:val="000D4CD8"/>
    <w:rsid w:val="000E27A6"/>
    <w:rsid w:val="000E343A"/>
    <w:rsid w:val="000F313A"/>
    <w:rsid w:val="000F373A"/>
    <w:rsid w:val="000F4A61"/>
    <w:rsid w:val="000F6262"/>
    <w:rsid w:val="00103D1D"/>
    <w:rsid w:val="00115FAC"/>
    <w:rsid w:val="0011638E"/>
    <w:rsid w:val="00122E99"/>
    <w:rsid w:val="0012590A"/>
    <w:rsid w:val="00125AEB"/>
    <w:rsid w:val="001267AE"/>
    <w:rsid w:val="00135820"/>
    <w:rsid w:val="001403FD"/>
    <w:rsid w:val="00140F49"/>
    <w:rsid w:val="00145F06"/>
    <w:rsid w:val="00146B02"/>
    <w:rsid w:val="001505BB"/>
    <w:rsid w:val="00157E5E"/>
    <w:rsid w:val="00164936"/>
    <w:rsid w:val="00165B37"/>
    <w:rsid w:val="001734C4"/>
    <w:rsid w:val="00180912"/>
    <w:rsid w:val="0018214A"/>
    <w:rsid w:val="00182F08"/>
    <w:rsid w:val="00182F72"/>
    <w:rsid w:val="00183040"/>
    <w:rsid w:val="00183C28"/>
    <w:rsid w:val="00185C94"/>
    <w:rsid w:val="00186EE3"/>
    <w:rsid w:val="00194645"/>
    <w:rsid w:val="001958EF"/>
    <w:rsid w:val="00195C8E"/>
    <w:rsid w:val="0019714E"/>
    <w:rsid w:val="001A301B"/>
    <w:rsid w:val="001B1328"/>
    <w:rsid w:val="001B19E1"/>
    <w:rsid w:val="001B720B"/>
    <w:rsid w:val="001B7860"/>
    <w:rsid w:val="001C1300"/>
    <w:rsid w:val="001C2D49"/>
    <w:rsid w:val="001C3E33"/>
    <w:rsid w:val="001C5446"/>
    <w:rsid w:val="001C5CAC"/>
    <w:rsid w:val="001C6171"/>
    <w:rsid w:val="001C6B84"/>
    <w:rsid w:val="001D390F"/>
    <w:rsid w:val="001D50C2"/>
    <w:rsid w:val="001D5298"/>
    <w:rsid w:val="001D54D2"/>
    <w:rsid w:val="001D6348"/>
    <w:rsid w:val="001E0190"/>
    <w:rsid w:val="001E062A"/>
    <w:rsid w:val="001E22BA"/>
    <w:rsid w:val="001E6D85"/>
    <w:rsid w:val="001E7F6F"/>
    <w:rsid w:val="001F03CB"/>
    <w:rsid w:val="001F31F9"/>
    <w:rsid w:val="001F750D"/>
    <w:rsid w:val="00200788"/>
    <w:rsid w:val="00203CE0"/>
    <w:rsid w:val="00210DC0"/>
    <w:rsid w:val="0021396C"/>
    <w:rsid w:val="002248BA"/>
    <w:rsid w:val="00225E0A"/>
    <w:rsid w:val="002263F9"/>
    <w:rsid w:val="002265AA"/>
    <w:rsid w:val="00240615"/>
    <w:rsid w:val="00240FC6"/>
    <w:rsid w:val="00241E38"/>
    <w:rsid w:val="00243159"/>
    <w:rsid w:val="002431F4"/>
    <w:rsid w:val="00245813"/>
    <w:rsid w:val="0025073F"/>
    <w:rsid w:val="00250E32"/>
    <w:rsid w:val="002517B3"/>
    <w:rsid w:val="00251A26"/>
    <w:rsid w:val="0028378D"/>
    <w:rsid w:val="00283BBA"/>
    <w:rsid w:val="00286055"/>
    <w:rsid w:val="002860E0"/>
    <w:rsid w:val="0029425F"/>
    <w:rsid w:val="002A75D0"/>
    <w:rsid w:val="002B18E3"/>
    <w:rsid w:val="002B3AB3"/>
    <w:rsid w:val="002B53BB"/>
    <w:rsid w:val="002B5D2B"/>
    <w:rsid w:val="002D10B2"/>
    <w:rsid w:val="002D1959"/>
    <w:rsid w:val="002D22C7"/>
    <w:rsid w:val="002D3D4F"/>
    <w:rsid w:val="002E30A9"/>
    <w:rsid w:val="002E7417"/>
    <w:rsid w:val="002E75DC"/>
    <w:rsid w:val="002F03AD"/>
    <w:rsid w:val="002F19BC"/>
    <w:rsid w:val="002F72FE"/>
    <w:rsid w:val="002F7B52"/>
    <w:rsid w:val="00304174"/>
    <w:rsid w:val="003045CE"/>
    <w:rsid w:val="0031135B"/>
    <w:rsid w:val="0031137A"/>
    <w:rsid w:val="0031179B"/>
    <w:rsid w:val="003145B4"/>
    <w:rsid w:val="0031671A"/>
    <w:rsid w:val="00332B70"/>
    <w:rsid w:val="00333024"/>
    <w:rsid w:val="00336E8F"/>
    <w:rsid w:val="00340C40"/>
    <w:rsid w:val="00341B2B"/>
    <w:rsid w:val="00343DCB"/>
    <w:rsid w:val="00346E5C"/>
    <w:rsid w:val="00346F75"/>
    <w:rsid w:val="00347C7C"/>
    <w:rsid w:val="00353BD4"/>
    <w:rsid w:val="003545CF"/>
    <w:rsid w:val="0036015C"/>
    <w:rsid w:val="00360BBE"/>
    <w:rsid w:val="00361DA1"/>
    <w:rsid w:val="00363BCE"/>
    <w:rsid w:val="00371DE1"/>
    <w:rsid w:val="00372533"/>
    <w:rsid w:val="00372951"/>
    <w:rsid w:val="00384F4C"/>
    <w:rsid w:val="0038731D"/>
    <w:rsid w:val="003875FC"/>
    <w:rsid w:val="003908F2"/>
    <w:rsid w:val="00391B1F"/>
    <w:rsid w:val="00394E90"/>
    <w:rsid w:val="00395A91"/>
    <w:rsid w:val="003A09B2"/>
    <w:rsid w:val="003A0BE2"/>
    <w:rsid w:val="003A1A9C"/>
    <w:rsid w:val="003B007E"/>
    <w:rsid w:val="003B0422"/>
    <w:rsid w:val="003B0FC4"/>
    <w:rsid w:val="003B66D6"/>
    <w:rsid w:val="003C578A"/>
    <w:rsid w:val="003C5D51"/>
    <w:rsid w:val="003C6286"/>
    <w:rsid w:val="003C76B0"/>
    <w:rsid w:val="003D1932"/>
    <w:rsid w:val="003D3036"/>
    <w:rsid w:val="003D7048"/>
    <w:rsid w:val="003E11F6"/>
    <w:rsid w:val="003E2440"/>
    <w:rsid w:val="003E4417"/>
    <w:rsid w:val="003E5731"/>
    <w:rsid w:val="003E5806"/>
    <w:rsid w:val="003E62F9"/>
    <w:rsid w:val="003F0066"/>
    <w:rsid w:val="003F6250"/>
    <w:rsid w:val="003F65BA"/>
    <w:rsid w:val="003F7B10"/>
    <w:rsid w:val="00401DBB"/>
    <w:rsid w:val="004049AF"/>
    <w:rsid w:val="00406E38"/>
    <w:rsid w:val="004110DB"/>
    <w:rsid w:val="00412B40"/>
    <w:rsid w:val="00413685"/>
    <w:rsid w:val="00415B61"/>
    <w:rsid w:val="00420864"/>
    <w:rsid w:val="00420F01"/>
    <w:rsid w:val="0042157D"/>
    <w:rsid w:val="00421C80"/>
    <w:rsid w:val="0042764E"/>
    <w:rsid w:val="00432D19"/>
    <w:rsid w:val="00437807"/>
    <w:rsid w:val="00437FB2"/>
    <w:rsid w:val="00443EF2"/>
    <w:rsid w:val="004526E3"/>
    <w:rsid w:val="00455C89"/>
    <w:rsid w:val="00457F29"/>
    <w:rsid w:val="00462777"/>
    <w:rsid w:val="00463CF4"/>
    <w:rsid w:val="004669A6"/>
    <w:rsid w:val="004711C7"/>
    <w:rsid w:val="00476E21"/>
    <w:rsid w:val="00484778"/>
    <w:rsid w:val="004850B2"/>
    <w:rsid w:val="00486188"/>
    <w:rsid w:val="00491057"/>
    <w:rsid w:val="00496E5C"/>
    <w:rsid w:val="004974FF"/>
    <w:rsid w:val="004A3A25"/>
    <w:rsid w:val="004A3BFE"/>
    <w:rsid w:val="004A52AC"/>
    <w:rsid w:val="004A5C51"/>
    <w:rsid w:val="004A69D4"/>
    <w:rsid w:val="004C13C2"/>
    <w:rsid w:val="004C350A"/>
    <w:rsid w:val="004D368B"/>
    <w:rsid w:val="004D3E85"/>
    <w:rsid w:val="004D4CED"/>
    <w:rsid w:val="004D62EF"/>
    <w:rsid w:val="004D6E4D"/>
    <w:rsid w:val="004E7925"/>
    <w:rsid w:val="004F2180"/>
    <w:rsid w:val="004F35E3"/>
    <w:rsid w:val="004F7FD3"/>
    <w:rsid w:val="005045B3"/>
    <w:rsid w:val="00511673"/>
    <w:rsid w:val="0051692A"/>
    <w:rsid w:val="00520052"/>
    <w:rsid w:val="005202A8"/>
    <w:rsid w:val="005212B7"/>
    <w:rsid w:val="0052197A"/>
    <w:rsid w:val="00523043"/>
    <w:rsid w:val="0052494F"/>
    <w:rsid w:val="005276E5"/>
    <w:rsid w:val="00532F16"/>
    <w:rsid w:val="00544706"/>
    <w:rsid w:val="0054609E"/>
    <w:rsid w:val="0054637A"/>
    <w:rsid w:val="005470CD"/>
    <w:rsid w:val="00547D5C"/>
    <w:rsid w:val="005525DB"/>
    <w:rsid w:val="00560A57"/>
    <w:rsid w:val="00565623"/>
    <w:rsid w:val="005703AE"/>
    <w:rsid w:val="00572802"/>
    <w:rsid w:val="00574B1A"/>
    <w:rsid w:val="00577AC2"/>
    <w:rsid w:val="00580990"/>
    <w:rsid w:val="00590C78"/>
    <w:rsid w:val="00591EFD"/>
    <w:rsid w:val="00595F8E"/>
    <w:rsid w:val="00597943"/>
    <w:rsid w:val="005979F8"/>
    <w:rsid w:val="005A01F0"/>
    <w:rsid w:val="005A05C4"/>
    <w:rsid w:val="005A2640"/>
    <w:rsid w:val="005A29F4"/>
    <w:rsid w:val="005A2C63"/>
    <w:rsid w:val="005A331A"/>
    <w:rsid w:val="005A57D2"/>
    <w:rsid w:val="005A5ECD"/>
    <w:rsid w:val="005A79CF"/>
    <w:rsid w:val="005B0528"/>
    <w:rsid w:val="005B4B51"/>
    <w:rsid w:val="005B4DF5"/>
    <w:rsid w:val="005B609F"/>
    <w:rsid w:val="005C1198"/>
    <w:rsid w:val="005C26FD"/>
    <w:rsid w:val="005C3864"/>
    <w:rsid w:val="005C62B0"/>
    <w:rsid w:val="005C6513"/>
    <w:rsid w:val="005D049D"/>
    <w:rsid w:val="005D0DEE"/>
    <w:rsid w:val="005D1F6E"/>
    <w:rsid w:val="005D29C3"/>
    <w:rsid w:val="005D432F"/>
    <w:rsid w:val="005D4E9D"/>
    <w:rsid w:val="005D713D"/>
    <w:rsid w:val="005E1754"/>
    <w:rsid w:val="005E2613"/>
    <w:rsid w:val="005E4574"/>
    <w:rsid w:val="005E653B"/>
    <w:rsid w:val="005F2FC8"/>
    <w:rsid w:val="005F5C96"/>
    <w:rsid w:val="00607653"/>
    <w:rsid w:val="00610E4F"/>
    <w:rsid w:val="0061161D"/>
    <w:rsid w:val="00620BA6"/>
    <w:rsid w:val="006235E7"/>
    <w:rsid w:val="00624CD3"/>
    <w:rsid w:val="0062583C"/>
    <w:rsid w:val="0063233B"/>
    <w:rsid w:val="00634C63"/>
    <w:rsid w:val="00635227"/>
    <w:rsid w:val="00641586"/>
    <w:rsid w:val="006447B4"/>
    <w:rsid w:val="0065135F"/>
    <w:rsid w:val="00652AEF"/>
    <w:rsid w:val="006539CF"/>
    <w:rsid w:val="0065566C"/>
    <w:rsid w:val="00655DB1"/>
    <w:rsid w:val="006600A9"/>
    <w:rsid w:val="00666C45"/>
    <w:rsid w:val="0067107C"/>
    <w:rsid w:val="00672124"/>
    <w:rsid w:val="00674952"/>
    <w:rsid w:val="00674A46"/>
    <w:rsid w:val="00680927"/>
    <w:rsid w:val="00693955"/>
    <w:rsid w:val="00693B5A"/>
    <w:rsid w:val="006A04AC"/>
    <w:rsid w:val="006A1599"/>
    <w:rsid w:val="006A291A"/>
    <w:rsid w:val="006A6D04"/>
    <w:rsid w:val="006B2767"/>
    <w:rsid w:val="006B366C"/>
    <w:rsid w:val="006B63A7"/>
    <w:rsid w:val="006B74B7"/>
    <w:rsid w:val="006B754B"/>
    <w:rsid w:val="006B7847"/>
    <w:rsid w:val="006C0255"/>
    <w:rsid w:val="006C3FDB"/>
    <w:rsid w:val="006C5C9C"/>
    <w:rsid w:val="006C7554"/>
    <w:rsid w:val="006C7A61"/>
    <w:rsid w:val="006D1542"/>
    <w:rsid w:val="006D49E1"/>
    <w:rsid w:val="006D5C93"/>
    <w:rsid w:val="006E0954"/>
    <w:rsid w:val="006E3B7A"/>
    <w:rsid w:val="006F66CF"/>
    <w:rsid w:val="00700AAD"/>
    <w:rsid w:val="00700B9D"/>
    <w:rsid w:val="0070346B"/>
    <w:rsid w:val="00720F5F"/>
    <w:rsid w:val="007234CB"/>
    <w:rsid w:val="00726B36"/>
    <w:rsid w:val="00730B61"/>
    <w:rsid w:val="00732274"/>
    <w:rsid w:val="00732489"/>
    <w:rsid w:val="00732896"/>
    <w:rsid w:val="00734A8E"/>
    <w:rsid w:val="00736D5F"/>
    <w:rsid w:val="007409B7"/>
    <w:rsid w:val="007434E0"/>
    <w:rsid w:val="00744D8B"/>
    <w:rsid w:val="00744EC0"/>
    <w:rsid w:val="00745E82"/>
    <w:rsid w:val="00752ABC"/>
    <w:rsid w:val="00755338"/>
    <w:rsid w:val="00762BC8"/>
    <w:rsid w:val="007654CF"/>
    <w:rsid w:val="00767E7E"/>
    <w:rsid w:val="00773776"/>
    <w:rsid w:val="007737A6"/>
    <w:rsid w:val="0077419D"/>
    <w:rsid w:val="0077484F"/>
    <w:rsid w:val="00777D28"/>
    <w:rsid w:val="00781D79"/>
    <w:rsid w:val="007951C4"/>
    <w:rsid w:val="007977A2"/>
    <w:rsid w:val="007A628A"/>
    <w:rsid w:val="007A679B"/>
    <w:rsid w:val="007A6865"/>
    <w:rsid w:val="007B027E"/>
    <w:rsid w:val="007B155C"/>
    <w:rsid w:val="007B2638"/>
    <w:rsid w:val="007B4F3A"/>
    <w:rsid w:val="007B673E"/>
    <w:rsid w:val="007C392C"/>
    <w:rsid w:val="007C5238"/>
    <w:rsid w:val="007C596B"/>
    <w:rsid w:val="007C6FA7"/>
    <w:rsid w:val="007C7B62"/>
    <w:rsid w:val="007D0E69"/>
    <w:rsid w:val="007D1570"/>
    <w:rsid w:val="007D3719"/>
    <w:rsid w:val="007D5927"/>
    <w:rsid w:val="007D5E4D"/>
    <w:rsid w:val="007E3C85"/>
    <w:rsid w:val="007E49BA"/>
    <w:rsid w:val="007E7C82"/>
    <w:rsid w:val="007F24BF"/>
    <w:rsid w:val="007F45C2"/>
    <w:rsid w:val="007F48CC"/>
    <w:rsid w:val="00807BD1"/>
    <w:rsid w:val="008102ED"/>
    <w:rsid w:val="00817AF3"/>
    <w:rsid w:val="00817D35"/>
    <w:rsid w:val="008227FB"/>
    <w:rsid w:val="00822903"/>
    <w:rsid w:val="008264CC"/>
    <w:rsid w:val="008279E6"/>
    <w:rsid w:val="00836015"/>
    <w:rsid w:val="00840ADD"/>
    <w:rsid w:val="00844EEF"/>
    <w:rsid w:val="0084570B"/>
    <w:rsid w:val="008562B7"/>
    <w:rsid w:val="00860F59"/>
    <w:rsid w:val="0087449C"/>
    <w:rsid w:val="008745AB"/>
    <w:rsid w:val="0087645A"/>
    <w:rsid w:val="00877CDE"/>
    <w:rsid w:val="00877F3D"/>
    <w:rsid w:val="008811AF"/>
    <w:rsid w:val="008814D1"/>
    <w:rsid w:val="00884164"/>
    <w:rsid w:val="00885249"/>
    <w:rsid w:val="0088667E"/>
    <w:rsid w:val="008870B8"/>
    <w:rsid w:val="008A13C6"/>
    <w:rsid w:val="008A4A49"/>
    <w:rsid w:val="008B1D47"/>
    <w:rsid w:val="008B2FF2"/>
    <w:rsid w:val="008C109B"/>
    <w:rsid w:val="008C18E7"/>
    <w:rsid w:val="008D0530"/>
    <w:rsid w:val="008D0CC2"/>
    <w:rsid w:val="008D5133"/>
    <w:rsid w:val="008D7D87"/>
    <w:rsid w:val="008E2702"/>
    <w:rsid w:val="008E61E5"/>
    <w:rsid w:val="008E6756"/>
    <w:rsid w:val="008E79EE"/>
    <w:rsid w:val="008F2E51"/>
    <w:rsid w:val="008F302C"/>
    <w:rsid w:val="008F35A4"/>
    <w:rsid w:val="008F74F0"/>
    <w:rsid w:val="0090262E"/>
    <w:rsid w:val="00902F24"/>
    <w:rsid w:val="0090379C"/>
    <w:rsid w:val="0090493C"/>
    <w:rsid w:val="00910423"/>
    <w:rsid w:val="009201C0"/>
    <w:rsid w:val="009215AC"/>
    <w:rsid w:val="00921C7F"/>
    <w:rsid w:val="00922D22"/>
    <w:rsid w:val="00926281"/>
    <w:rsid w:val="00931714"/>
    <w:rsid w:val="00933F2E"/>
    <w:rsid w:val="00936B2A"/>
    <w:rsid w:val="009373F5"/>
    <w:rsid w:val="00940D67"/>
    <w:rsid w:val="00943F4A"/>
    <w:rsid w:val="009536B4"/>
    <w:rsid w:val="0095383F"/>
    <w:rsid w:val="00955CA5"/>
    <w:rsid w:val="009568FA"/>
    <w:rsid w:val="0096163C"/>
    <w:rsid w:val="009616DC"/>
    <w:rsid w:val="009624B0"/>
    <w:rsid w:val="00962BD2"/>
    <w:rsid w:val="00962D27"/>
    <w:rsid w:val="0096396D"/>
    <w:rsid w:val="00963AC7"/>
    <w:rsid w:val="0096744D"/>
    <w:rsid w:val="00967D35"/>
    <w:rsid w:val="0097221E"/>
    <w:rsid w:val="00972949"/>
    <w:rsid w:val="00973C35"/>
    <w:rsid w:val="0097565C"/>
    <w:rsid w:val="00976CE8"/>
    <w:rsid w:val="0098004E"/>
    <w:rsid w:val="00980BBE"/>
    <w:rsid w:val="00981073"/>
    <w:rsid w:val="00982355"/>
    <w:rsid w:val="0098306E"/>
    <w:rsid w:val="009834AE"/>
    <w:rsid w:val="009844FE"/>
    <w:rsid w:val="0098677E"/>
    <w:rsid w:val="00990D83"/>
    <w:rsid w:val="00992318"/>
    <w:rsid w:val="00995A49"/>
    <w:rsid w:val="009961CA"/>
    <w:rsid w:val="009A0B60"/>
    <w:rsid w:val="009A2439"/>
    <w:rsid w:val="009A414F"/>
    <w:rsid w:val="009A58E2"/>
    <w:rsid w:val="009A601B"/>
    <w:rsid w:val="009C1745"/>
    <w:rsid w:val="009C22DB"/>
    <w:rsid w:val="009C7CDB"/>
    <w:rsid w:val="009D086A"/>
    <w:rsid w:val="009D2341"/>
    <w:rsid w:val="009D77B7"/>
    <w:rsid w:val="009E4452"/>
    <w:rsid w:val="009F475A"/>
    <w:rsid w:val="009F7C47"/>
    <w:rsid w:val="00A0289F"/>
    <w:rsid w:val="00A03558"/>
    <w:rsid w:val="00A03F87"/>
    <w:rsid w:val="00A061B9"/>
    <w:rsid w:val="00A10222"/>
    <w:rsid w:val="00A1435A"/>
    <w:rsid w:val="00A208CD"/>
    <w:rsid w:val="00A31579"/>
    <w:rsid w:val="00A32C38"/>
    <w:rsid w:val="00A33EFA"/>
    <w:rsid w:val="00A403D3"/>
    <w:rsid w:val="00A46886"/>
    <w:rsid w:val="00A50091"/>
    <w:rsid w:val="00A52559"/>
    <w:rsid w:val="00A573EC"/>
    <w:rsid w:val="00A652EA"/>
    <w:rsid w:val="00A65D4F"/>
    <w:rsid w:val="00A70966"/>
    <w:rsid w:val="00A722B2"/>
    <w:rsid w:val="00A725E0"/>
    <w:rsid w:val="00A744BB"/>
    <w:rsid w:val="00A751C6"/>
    <w:rsid w:val="00A754C0"/>
    <w:rsid w:val="00A759BA"/>
    <w:rsid w:val="00A82494"/>
    <w:rsid w:val="00A82EC3"/>
    <w:rsid w:val="00A84C7A"/>
    <w:rsid w:val="00A869CB"/>
    <w:rsid w:val="00A907EA"/>
    <w:rsid w:val="00A9550E"/>
    <w:rsid w:val="00A97A33"/>
    <w:rsid w:val="00AA355D"/>
    <w:rsid w:val="00AA4E57"/>
    <w:rsid w:val="00AB2709"/>
    <w:rsid w:val="00AB3807"/>
    <w:rsid w:val="00AC1221"/>
    <w:rsid w:val="00AC12E7"/>
    <w:rsid w:val="00AC1F50"/>
    <w:rsid w:val="00AC2BAD"/>
    <w:rsid w:val="00AC47BD"/>
    <w:rsid w:val="00AC7FA6"/>
    <w:rsid w:val="00AD027A"/>
    <w:rsid w:val="00AD4665"/>
    <w:rsid w:val="00AE0685"/>
    <w:rsid w:val="00AE1776"/>
    <w:rsid w:val="00AE4AEE"/>
    <w:rsid w:val="00AE62A7"/>
    <w:rsid w:val="00AF0043"/>
    <w:rsid w:val="00AF0FA3"/>
    <w:rsid w:val="00AF281C"/>
    <w:rsid w:val="00AF7C6D"/>
    <w:rsid w:val="00B021DF"/>
    <w:rsid w:val="00B047F4"/>
    <w:rsid w:val="00B1095B"/>
    <w:rsid w:val="00B10B50"/>
    <w:rsid w:val="00B166E8"/>
    <w:rsid w:val="00B27CEC"/>
    <w:rsid w:val="00B31730"/>
    <w:rsid w:val="00B32858"/>
    <w:rsid w:val="00B343DB"/>
    <w:rsid w:val="00B3465C"/>
    <w:rsid w:val="00B406D4"/>
    <w:rsid w:val="00B47203"/>
    <w:rsid w:val="00B50B65"/>
    <w:rsid w:val="00B53AC1"/>
    <w:rsid w:val="00B53D5E"/>
    <w:rsid w:val="00B541C1"/>
    <w:rsid w:val="00B61B9A"/>
    <w:rsid w:val="00B64109"/>
    <w:rsid w:val="00B6555F"/>
    <w:rsid w:val="00B65BDA"/>
    <w:rsid w:val="00B70165"/>
    <w:rsid w:val="00B7350E"/>
    <w:rsid w:val="00B7576A"/>
    <w:rsid w:val="00B77762"/>
    <w:rsid w:val="00B80373"/>
    <w:rsid w:val="00B9043F"/>
    <w:rsid w:val="00B90BA2"/>
    <w:rsid w:val="00B9136B"/>
    <w:rsid w:val="00B91873"/>
    <w:rsid w:val="00B955DA"/>
    <w:rsid w:val="00B96F8F"/>
    <w:rsid w:val="00BA38DE"/>
    <w:rsid w:val="00BA542B"/>
    <w:rsid w:val="00BB28E6"/>
    <w:rsid w:val="00BB34AB"/>
    <w:rsid w:val="00BB379C"/>
    <w:rsid w:val="00BC196B"/>
    <w:rsid w:val="00BC7A28"/>
    <w:rsid w:val="00BD00CB"/>
    <w:rsid w:val="00BD436C"/>
    <w:rsid w:val="00BD49C4"/>
    <w:rsid w:val="00BE3DD6"/>
    <w:rsid w:val="00BE5ADB"/>
    <w:rsid w:val="00BE5EB0"/>
    <w:rsid w:val="00BE70EB"/>
    <w:rsid w:val="00BF0026"/>
    <w:rsid w:val="00BF1791"/>
    <w:rsid w:val="00BF5068"/>
    <w:rsid w:val="00BF75AA"/>
    <w:rsid w:val="00C00B36"/>
    <w:rsid w:val="00C05253"/>
    <w:rsid w:val="00C116CD"/>
    <w:rsid w:val="00C146DC"/>
    <w:rsid w:val="00C17ADB"/>
    <w:rsid w:val="00C21028"/>
    <w:rsid w:val="00C21BF9"/>
    <w:rsid w:val="00C23CD4"/>
    <w:rsid w:val="00C30CA1"/>
    <w:rsid w:val="00C333EB"/>
    <w:rsid w:val="00C417BE"/>
    <w:rsid w:val="00C41871"/>
    <w:rsid w:val="00C46568"/>
    <w:rsid w:val="00C46E95"/>
    <w:rsid w:val="00C53CB8"/>
    <w:rsid w:val="00C576D7"/>
    <w:rsid w:val="00C64877"/>
    <w:rsid w:val="00C6516C"/>
    <w:rsid w:val="00C669F1"/>
    <w:rsid w:val="00C70D2D"/>
    <w:rsid w:val="00C739EB"/>
    <w:rsid w:val="00C809FD"/>
    <w:rsid w:val="00C8247C"/>
    <w:rsid w:val="00C82BB6"/>
    <w:rsid w:val="00C86C45"/>
    <w:rsid w:val="00CA46B5"/>
    <w:rsid w:val="00CB0D25"/>
    <w:rsid w:val="00CB5798"/>
    <w:rsid w:val="00CC3757"/>
    <w:rsid w:val="00CC661A"/>
    <w:rsid w:val="00CD033C"/>
    <w:rsid w:val="00CD06D2"/>
    <w:rsid w:val="00CD1B97"/>
    <w:rsid w:val="00CD2B3F"/>
    <w:rsid w:val="00CD3B39"/>
    <w:rsid w:val="00CD4272"/>
    <w:rsid w:val="00CD7CCF"/>
    <w:rsid w:val="00CE1664"/>
    <w:rsid w:val="00CF1021"/>
    <w:rsid w:val="00CF2B91"/>
    <w:rsid w:val="00CF2C77"/>
    <w:rsid w:val="00CF7870"/>
    <w:rsid w:val="00D00AE1"/>
    <w:rsid w:val="00D00C1E"/>
    <w:rsid w:val="00D028D4"/>
    <w:rsid w:val="00D03058"/>
    <w:rsid w:val="00D044B5"/>
    <w:rsid w:val="00D04DBE"/>
    <w:rsid w:val="00D05256"/>
    <w:rsid w:val="00D07C42"/>
    <w:rsid w:val="00D10488"/>
    <w:rsid w:val="00D117FA"/>
    <w:rsid w:val="00D120C8"/>
    <w:rsid w:val="00D13490"/>
    <w:rsid w:val="00D13F73"/>
    <w:rsid w:val="00D14301"/>
    <w:rsid w:val="00D14EED"/>
    <w:rsid w:val="00D15505"/>
    <w:rsid w:val="00D16C7E"/>
    <w:rsid w:val="00D21F97"/>
    <w:rsid w:val="00D2395F"/>
    <w:rsid w:val="00D26B7C"/>
    <w:rsid w:val="00D27952"/>
    <w:rsid w:val="00D30DD5"/>
    <w:rsid w:val="00D426BA"/>
    <w:rsid w:val="00D439DB"/>
    <w:rsid w:val="00D53E81"/>
    <w:rsid w:val="00D60065"/>
    <w:rsid w:val="00D61BDE"/>
    <w:rsid w:val="00D61DDD"/>
    <w:rsid w:val="00D63D3A"/>
    <w:rsid w:val="00D66527"/>
    <w:rsid w:val="00D666DC"/>
    <w:rsid w:val="00D7521C"/>
    <w:rsid w:val="00D767FA"/>
    <w:rsid w:val="00D7734B"/>
    <w:rsid w:val="00D806F2"/>
    <w:rsid w:val="00D85A93"/>
    <w:rsid w:val="00D91477"/>
    <w:rsid w:val="00DB071C"/>
    <w:rsid w:val="00DB1E1D"/>
    <w:rsid w:val="00DC217B"/>
    <w:rsid w:val="00DC5CBB"/>
    <w:rsid w:val="00DC697E"/>
    <w:rsid w:val="00DC6FAE"/>
    <w:rsid w:val="00DD192B"/>
    <w:rsid w:val="00DD345A"/>
    <w:rsid w:val="00DE4206"/>
    <w:rsid w:val="00DE69BC"/>
    <w:rsid w:val="00DF66F2"/>
    <w:rsid w:val="00E015C6"/>
    <w:rsid w:val="00E01DFC"/>
    <w:rsid w:val="00E03AA4"/>
    <w:rsid w:val="00E03DD2"/>
    <w:rsid w:val="00E05140"/>
    <w:rsid w:val="00E10AD1"/>
    <w:rsid w:val="00E1241F"/>
    <w:rsid w:val="00E213C9"/>
    <w:rsid w:val="00E308B6"/>
    <w:rsid w:val="00E30948"/>
    <w:rsid w:val="00E330EC"/>
    <w:rsid w:val="00E353D5"/>
    <w:rsid w:val="00E362CB"/>
    <w:rsid w:val="00E369D1"/>
    <w:rsid w:val="00E36DCE"/>
    <w:rsid w:val="00E42116"/>
    <w:rsid w:val="00E425D6"/>
    <w:rsid w:val="00E461FA"/>
    <w:rsid w:val="00E4725C"/>
    <w:rsid w:val="00E5052E"/>
    <w:rsid w:val="00E52093"/>
    <w:rsid w:val="00E52601"/>
    <w:rsid w:val="00E53764"/>
    <w:rsid w:val="00E542E7"/>
    <w:rsid w:val="00E5476F"/>
    <w:rsid w:val="00E551C7"/>
    <w:rsid w:val="00E60C9B"/>
    <w:rsid w:val="00E64BD8"/>
    <w:rsid w:val="00E675C0"/>
    <w:rsid w:val="00E7153D"/>
    <w:rsid w:val="00E74783"/>
    <w:rsid w:val="00E75A54"/>
    <w:rsid w:val="00E77F56"/>
    <w:rsid w:val="00E8031A"/>
    <w:rsid w:val="00E8080F"/>
    <w:rsid w:val="00E8501D"/>
    <w:rsid w:val="00E85EFD"/>
    <w:rsid w:val="00E90A99"/>
    <w:rsid w:val="00E91FFF"/>
    <w:rsid w:val="00E975EF"/>
    <w:rsid w:val="00EA13A1"/>
    <w:rsid w:val="00EA181D"/>
    <w:rsid w:val="00EA2023"/>
    <w:rsid w:val="00EA2D2F"/>
    <w:rsid w:val="00EA6DF7"/>
    <w:rsid w:val="00EA722E"/>
    <w:rsid w:val="00EB1204"/>
    <w:rsid w:val="00EB1375"/>
    <w:rsid w:val="00EC07B2"/>
    <w:rsid w:val="00EC141C"/>
    <w:rsid w:val="00ED0CF6"/>
    <w:rsid w:val="00ED174F"/>
    <w:rsid w:val="00ED33B3"/>
    <w:rsid w:val="00ED3FE5"/>
    <w:rsid w:val="00ED6190"/>
    <w:rsid w:val="00ED6200"/>
    <w:rsid w:val="00EE2D20"/>
    <w:rsid w:val="00EE6540"/>
    <w:rsid w:val="00EE699E"/>
    <w:rsid w:val="00EE79D9"/>
    <w:rsid w:val="00EF2012"/>
    <w:rsid w:val="00EF3EC6"/>
    <w:rsid w:val="00EF488F"/>
    <w:rsid w:val="00EF77C5"/>
    <w:rsid w:val="00F012E9"/>
    <w:rsid w:val="00F031A3"/>
    <w:rsid w:val="00F0457E"/>
    <w:rsid w:val="00F05941"/>
    <w:rsid w:val="00F05D7B"/>
    <w:rsid w:val="00F06142"/>
    <w:rsid w:val="00F17A22"/>
    <w:rsid w:val="00F20177"/>
    <w:rsid w:val="00F20399"/>
    <w:rsid w:val="00F213D1"/>
    <w:rsid w:val="00F3543E"/>
    <w:rsid w:val="00F414C8"/>
    <w:rsid w:val="00F41BF2"/>
    <w:rsid w:val="00F45191"/>
    <w:rsid w:val="00F541A9"/>
    <w:rsid w:val="00F614D3"/>
    <w:rsid w:val="00F621B9"/>
    <w:rsid w:val="00F6619D"/>
    <w:rsid w:val="00F70608"/>
    <w:rsid w:val="00F75FCF"/>
    <w:rsid w:val="00F778C3"/>
    <w:rsid w:val="00F8163B"/>
    <w:rsid w:val="00F81A76"/>
    <w:rsid w:val="00F81E14"/>
    <w:rsid w:val="00F8284B"/>
    <w:rsid w:val="00F83F73"/>
    <w:rsid w:val="00F86993"/>
    <w:rsid w:val="00F92F4C"/>
    <w:rsid w:val="00F95797"/>
    <w:rsid w:val="00F96957"/>
    <w:rsid w:val="00FA08FE"/>
    <w:rsid w:val="00FA0975"/>
    <w:rsid w:val="00FB0AC6"/>
    <w:rsid w:val="00FB3068"/>
    <w:rsid w:val="00FB6005"/>
    <w:rsid w:val="00FB60E7"/>
    <w:rsid w:val="00FC0C3E"/>
    <w:rsid w:val="00FC22E5"/>
    <w:rsid w:val="00FC32A6"/>
    <w:rsid w:val="00FC38EB"/>
    <w:rsid w:val="00FC5DF4"/>
    <w:rsid w:val="00FD1516"/>
    <w:rsid w:val="00FD1841"/>
    <w:rsid w:val="00FE19AA"/>
    <w:rsid w:val="00FE1B9C"/>
    <w:rsid w:val="00FE1D7E"/>
    <w:rsid w:val="00FE5B7A"/>
    <w:rsid w:val="00FF01E5"/>
    <w:rsid w:val="00FF3C6E"/>
    <w:rsid w:val="0983294C"/>
    <w:rsid w:val="138F5DA0"/>
    <w:rsid w:val="16213AAB"/>
    <w:rsid w:val="19EF03C7"/>
    <w:rsid w:val="21B633EF"/>
    <w:rsid w:val="23016214"/>
    <w:rsid w:val="27804C9E"/>
    <w:rsid w:val="28E26031"/>
    <w:rsid w:val="293F66E4"/>
    <w:rsid w:val="32457D80"/>
    <w:rsid w:val="3A231334"/>
    <w:rsid w:val="3AF64C47"/>
    <w:rsid w:val="3C564D37"/>
    <w:rsid w:val="40535EDE"/>
    <w:rsid w:val="47DE03A9"/>
    <w:rsid w:val="48337B1C"/>
    <w:rsid w:val="48AF5BD7"/>
    <w:rsid w:val="4A6A657D"/>
    <w:rsid w:val="4C8D15D8"/>
    <w:rsid w:val="4E5B5B24"/>
    <w:rsid w:val="4FA75916"/>
    <w:rsid w:val="50A743F1"/>
    <w:rsid w:val="5311720F"/>
    <w:rsid w:val="5AAD57EC"/>
    <w:rsid w:val="5D2A5046"/>
    <w:rsid w:val="600A2331"/>
    <w:rsid w:val="61A40778"/>
    <w:rsid w:val="6D35147E"/>
    <w:rsid w:val="6F543B1F"/>
    <w:rsid w:val="6F647268"/>
    <w:rsid w:val="70264986"/>
    <w:rsid w:val="742E1630"/>
    <w:rsid w:val="74C979BC"/>
    <w:rsid w:val="76C179D2"/>
    <w:rsid w:val="79491D16"/>
    <w:rsid w:val="7B86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nhideWhenUsed="0" w:uiPriority="39" w:semiHidden="0" w:name="toc 3"/>
    <w:lsdException w:qFormat="1" w:uiPriority="39" w:semiHidden="0" w:name="toc 4"/>
    <w:lsdException w:qFormat="1" w:uiPriority="39" w:semiHidden="0" w:name="toc 5"/>
    <w:lsdException w:qFormat="1" w:uiPriority="39" w:semiHidden="0" w:name="toc 6"/>
    <w:lsdException w:qFormat="1" w:uiPriority="39" w:semiHidden="0" w:name="toc 7"/>
    <w:lsdException w:qFormat="1" w:uiPriority="39" w:semiHidden="0" w:name="toc 8"/>
    <w:lsdException w:qFormat="1" w:uiPriority="39" w:semiHidden="0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nhideWhenUsed="0" w:uiPriority="0" w:semiHidden="0" w:name="header"/>
    <w:lsdException w:qFormat="1" w:unhideWhenUsed="0" w:uiPriority="0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qFormat="1"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nhideWhenUsed="0"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1"/>
      <w:lang w:val="en-US" w:eastAsia="zh-CN" w:bidi="ar-SA"/>
    </w:rPr>
  </w:style>
  <w:style w:type="paragraph" w:styleId="3">
    <w:name w:val="heading 1"/>
    <w:basedOn w:val="1"/>
    <w:next w:val="1"/>
    <w:link w:val="45"/>
    <w:qFormat/>
    <w:uiPriority w:val="9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4">
    <w:name w:val="heading 2"/>
    <w:basedOn w:val="1"/>
    <w:next w:val="1"/>
    <w:link w:val="46"/>
    <w:qFormat/>
    <w:uiPriority w:val="0"/>
    <w:pPr>
      <w:keepNext/>
      <w:keepLines/>
      <w:spacing w:before="260" w:after="260" w:line="416" w:lineRule="auto"/>
      <w:outlineLvl w:val="1"/>
    </w:pPr>
    <w:rPr>
      <w:rFonts w:ascii="Arial" w:hAnsi="Arial" w:eastAsia="黑体" w:cs="Times New Roman"/>
      <w:b/>
      <w:bCs/>
      <w:sz w:val="32"/>
      <w:szCs w:val="32"/>
    </w:rPr>
  </w:style>
  <w:style w:type="paragraph" w:styleId="5">
    <w:name w:val="heading 3"/>
    <w:basedOn w:val="1"/>
    <w:next w:val="1"/>
    <w:link w:val="48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paragraph" w:styleId="6">
    <w:name w:val="heading 4"/>
    <w:basedOn w:val="1"/>
    <w:next w:val="1"/>
    <w:link w:val="52"/>
    <w:unhideWhenUsed/>
    <w:qFormat/>
    <w:uiPriority w:val="0"/>
    <w:pPr>
      <w:keepNext/>
      <w:keepLines/>
      <w:spacing w:before="280" w:after="290" w:line="376" w:lineRule="auto"/>
      <w:outlineLvl w:val="3"/>
    </w:pPr>
    <w:rPr>
      <w:rFonts w:asciiTheme="majorHAnsi" w:hAnsiTheme="majorHAnsi" w:eastAsiaTheme="majorEastAsia" w:cstheme="majorBidi"/>
      <w:b/>
      <w:bCs/>
      <w:sz w:val="28"/>
      <w:szCs w:val="28"/>
    </w:rPr>
  </w:style>
  <w:style w:type="paragraph" w:styleId="7">
    <w:name w:val="heading 5"/>
    <w:basedOn w:val="1"/>
    <w:next w:val="1"/>
    <w:link w:val="55"/>
    <w:qFormat/>
    <w:uiPriority w:val="0"/>
    <w:pPr>
      <w:keepNext/>
      <w:keepLines/>
      <w:tabs>
        <w:tab w:val="left" w:pos="1008"/>
      </w:tabs>
      <w:spacing w:before="280" w:after="290" w:line="376" w:lineRule="auto"/>
      <w:ind w:left="1008" w:hanging="1008"/>
      <w:outlineLvl w:val="4"/>
    </w:pPr>
    <w:rPr>
      <w:rFonts w:ascii="Times New Roman" w:hAnsi="Times New Roman" w:eastAsia="宋体" w:cs="Times New Roman"/>
      <w:b/>
      <w:bCs/>
      <w:sz w:val="28"/>
      <w:szCs w:val="28"/>
    </w:rPr>
  </w:style>
  <w:style w:type="paragraph" w:styleId="8">
    <w:name w:val="heading 6"/>
    <w:basedOn w:val="1"/>
    <w:next w:val="1"/>
    <w:link w:val="56"/>
    <w:qFormat/>
    <w:uiPriority w:val="0"/>
    <w:pPr>
      <w:keepNext/>
      <w:keepLines/>
      <w:tabs>
        <w:tab w:val="left" w:pos="1152"/>
      </w:tabs>
      <w:spacing w:before="240" w:after="64" w:line="320" w:lineRule="auto"/>
      <w:ind w:left="1152" w:hanging="1152"/>
      <w:outlineLvl w:val="5"/>
    </w:pPr>
    <w:rPr>
      <w:rFonts w:ascii="Arial" w:hAnsi="Arial" w:eastAsia="黑体" w:cs="Times New Roman"/>
      <w:b/>
      <w:bCs/>
      <w:sz w:val="24"/>
      <w:szCs w:val="24"/>
    </w:rPr>
  </w:style>
  <w:style w:type="paragraph" w:styleId="9">
    <w:name w:val="heading 7"/>
    <w:basedOn w:val="1"/>
    <w:next w:val="1"/>
    <w:link w:val="57"/>
    <w:qFormat/>
    <w:uiPriority w:val="0"/>
    <w:pPr>
      <w:keepNext/>
      <w:keepLines/>
      <w:tabs>
        <w:tab w:val="left" w:pos="1296"/>
      </w:tabs>
      <w:spacing w:before="240" w:after="64" w:line="320" w:lineRule="auto"/>
      <w:ind w:left="1296" w:hanging="1296"/>
      <w:outlineLvl w:val="6"/>
    </w:pPr>
    <w:rPr>
      <w:rFonts w:ascii="Times New Roman" w:hAnsi="Times New Roman" w:eastAsia="宋体" w:cs="Times New Roman"/>
      <w:b/>
      <w:bCs/>
      <w:sz w:val="24"/>
      <w:szCs w:val="24"/>
    </w:rPr>
  </w:style>
  <w:style w:type="paragraph" w:styleId="10">
    <w:name w:val="heading 8"/>
    <w:basedOn w:val="1"/>
    <w:next w:val="1"/>
    <w:link w:val="58"/>
    <w:qFormat/>
    <w:uiPriority w:val="0"/>
    <w:pPr>
      <w:keepNext/>
      <w:keepLines/>
      <w:tabs>
        <w:tab w:val="left" w:pos="1440"/>
      </w:tabs>
      <w:spacing w:before="240" w:after="64" w:line="320" w:lineRule="auto"/>
      <w:ind w:left="1440" w:hanging="1440"/>
      <w:outlineLvl w:val="7"/>
    </w:pPr>
    <w:rPr>
      <w:rFonts w:ascii="Arial" w:hAnsi="Arial" w:eastAsia="黑体" w:cs="Times New Roman"/>
      <w:sz w:val="24"/>
      <w:szCs w:val="24"/>
    </w:rPr>
  </w:style>
  <w:style w:type="paragraph" w:styleId="11">
    <w:name w:val="heading 9"/>
    <w:basedOn w:val="1"/>
    <w:next w:val="1"/>
    <w:link w:val="59"/>
    <w:qFormat/>
    <w:uiPriority w:val="0"/>
    <w:pPr>
      <w:keepNext/>
      <w:keepLines/>
      <w:tabs>
        <w:tab w:val="left" w:pos="1584"/>
      </w:tabs>
      <w:spacing w:before="240" w:after="64" w:line="320" w:lineRule="auto"/>
      <w:ind w:left="1584" w:hanging="1584"/>
      <w:outlineLvl w:val="8"/>
    </w:pPr>
    <w:rPr>
      <w:rFonts w:ascii="Arial" w:hAnsi="Arial" w:eastAsia="黑体" w:cs="Times New Roman"/>
      <w:sz w:val="24"/>
    </w:rPr>
  </w:style>
  <w:style w:type="character" w:default="1" w:styleId="36">
    <w:name w:val="Default Paragraph Font"/>
    <w:semiHidden/>
    <w:unhideWhenUsed/>
    <w:qFormat/>
    <w:uiPriority w:val="1"/>
  </w:style>
  <w:style w:type="table" w:default="1" w:styleId="3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link w:val="127"/>
    <w:unhideWhenUsed/>
    <w:qFormat/>
    <w:uiPriority w:val="99"/>
    <w:pPr>
      <w:spacing w:after="120"/>
    </w:pPr>
    <w:rPr>
      <w:rFonts w:ascii="Times New Roman" w:hAnsi="Times New Roman" w:eastAsia="宋体" w:cs="Tahoma"/>
      <w:szCs w:val="24"/>
    </w:rPr>
  </w:style>
  <w:style w:type="paragraph" w:styleId="12">
    <w:name w:val="toc 7"/>
    <w:basedOn w:val="1"/>
    <w:next w:val="1"/>
    <w:unhideWhenUsed/>
    <w:qFormat/>
    <w:uiPriority w:val="39"/>
    <w:pPr>
      <w:ind w:left="2520" w:leftChars="1200"/>
    </w:pPr>
    <w:rPr>
      <w:szCs w:val="22"/>
    </w:rPr>
  </w:style>
  <w:style w:type="paragraph" w:styleId="13">
    <w:name w:val="Normal Indent"/>
    <w:basedOn w:val="1"/>
    <w:link w:val="54"/>
    <w:qFormat/>
    <w:uiPriority w:val="0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paragraph" w:styleId="14">
    <w:name w:val="caption"/>
    <w:basedOn w:val="1"/>
    <w:next w:val="1"/>
    <w:unhideWhenUsed/>
    <w:qFormat/>
    <w:uiPriority w:val="35"/>
    <w:pPr>
      <w:wordWrap w:val="0"/>
      <w:spacing w:before="80" w:after="320" w:line="360" w:lineRule="auto"/>
      <w:jc w:val="center"/>
      <w:textAlignment w:val="baseline"/>
    </w:pPr>
    <w:rPr>
      <w:rFonts w:ascii="Cambria" w:hAnsi="Cambria" w:eastAsia="黑体" w:cs="Times New Roman"/>
      <w:sz w:val="24"/>
      <w:szCs w:val="20"/>
    </w:rPr>
  </w:style>
  <w:style w:type="paragraph" w:styleId="15">
    <w:name w:val="Document Map"/>
    <w:basedOn w:val="1"/>
    <w:link w:val="66"/>
    <w:semiHidden/>
    <w:qFormat/>
    <w:uiPriority w:val="99"/>
    <w:rPr>
      <w:rFonts w:ascii="宋体" w:hAnsi="Calibri" w:eastAsia="宋体" w:cs="Times New Roman"/>
      <w:kern w:val="0"/>
      <w:sz w:val="18"/>
      <w:szCs w:val="18"/>
    </w:rPr>
  </w:style>
  <w:style w:type="paragraph" w:styleId="16">
    <w:name w:val="annotation text"/>
    <w:basedOn w:val="1"/>
    <w:link w:val="69"/>
    <w:semiHidden/>
    <w:unhideWhenUsed/>
    <w:qFormat/>
    <w:uiPriority w:val="99"/>
    <w:pPr>
      <w:jc w:val="left"/>
    </w:pPr>
    <w:rPr>
      <w:rFonts w:ascii="Times New Roman" w:hAnsi="Times New Roman" w:eastAsia="宋体" w:cs="Times New Roman"/>
      <w:szCs w:val="24"/>
    </w:rPr>
  </w:style>
  <w:style w:type="paragraph" w:styleId="17">
    <w:name w:val="Body Text Indent"/>
    <w:basedOn w:val="1"/>
    <w:link w:val="71"/>
    <w:unhideWhenUsed/>
    <w:qFormat/>
    <w:uiPriority w:val="99"/>
    <w:pPr>
      <w:spacing w:after="120"/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8">
    <w:name w:val="toc 5"/>
    <w:basedOn w:val="1"/>
    <w:next w:val="1"/>
    <w:unhideWhenUsed/>
    <w:qFormat/>
    <w:uiPriority w:val="39"/>
    <w:pPr>
      <w:ind w:left="1680" w:leftChars="800"/>
    </w:pPr>
    <w:rPr>
      <w:szCs w:val="22"/>
    </w:rPr>
  </w:style>
  <w:style w:type="paragraph" w:styleId="19">
    <w:name w:val="toc 3"/>
    <w:basedOn w:val="1"/>
    <w:next w:val="1"/>
    <w:qFormat/>
    <w:uiPriority w:val="39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20">
    <w:name w:val="toc 8"/>
    <w:basedOn w:val="1"/>
    <w:next w:val="1"/>
    <w:unhideWhenUsed/>
    <w:qFormat/>
    <w:uiPriority w:val="39"/>
    <w:pPr>
      <w:ind w:left="2940" w:leftChars="1400"/>
    </w:pPr>
    <w:rPr>
      <w:szCs w:val="22"/>
    </w:rPr>
  </w:style>
  <w:style w:type="paragraph" w:styleId="21">
    <w:name w:val="Date"/>
    <w:basedOn w:val="1"/>
    <w:next w:val="1"/>
    <w:link w:val="77"/>
    <w:semiHidden/>
    <w:unhideWhenUsed/>
    <w:qFormat/>
    <w:uiPriority w:val="99"/>
    <w:pPr>
      <w:ind w:left="100" w:leftChars="2500"/>
    </w:pPr>
    <w:rPr>
      <w:rFonts w:ascii="Times New Roman" w:hAnsi="Times New Roman" w:eastAsia="宋体" w:cs="Times New Roman"/>
      <w:szCs w:val="24"/>
    </w:rPr>
  </w:style>
  <w:style w:type="paragraph" w:styleId="22">
    <w:name w:val="Body Text Indent 2"/>
    <w:basedOn w:val="1"/>
    <w:link w:val="136"/>
    <w:semiHidden/>
    <w:unhideWhenUsed/>
    <w:qFormat/>
    <w:uiPriority w:val="99"/>
    <w:pPr>
      <w:spacing w:after="120" w:line="480" w:lineRule="auto"/>
      <w:ind w:left="420" w:leftChars="200"/>
    </w:pPr>
  </w:style>
  <w:style w:type="paragraph" w:styleId="23">
    <w:name w:val="Balloon Text"/>
    <w:basedOn w:val="1"/>
    <w:link w:val="67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paragraph" w:styleId="24">
    <w:name w:val="footer"/>
    <w:basedOn w:val="1"/>
    <w:link w:val="65"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eastAsia="宋体" w:cs="Times New Roman"/>
      <w:kern w:val="0"/>
      <w:sz w:val="18"/>
      <w:szCs w:val="18"/>
    </w:rPr>
  </w:style>
  <w:style w:type="paragraph" w:styleId="25">
    <w:name w:val="header"/>
    <w:basedOn w:val="1"/>
    <w:link w:val="64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 w:eastAsia="宋体" w:cs="Times New Roman"/>
      <w:kern w:val="0"/>
      <w:sz w:val="18"/>
      <w:szCs w:val="18"/>
    </w:rPr>
  </w:style>
  <w:style w:type="paragraph" w:styleId="26">
    <w:name w:val="toc 1"/>
    <w:basedOn w:val="1"/>
    <w:next w:val="1"/>
    <w:unhideWhenUsed/>
    <w:qFormat/>
    <w:uiPriority w:val="39"/>
    <w:pPr>
      <w:widowControl/>
      <w:spacing w:after="100" w:line="276" w:lineRule="auto"/>
      <w:jc w:val="left"/>
    </w:pPr>
    <w:rPr>
      <w:kern w:val="0"/>
      <w:sz w:val="22"/>
      <w:szCs w:val="22"/>
    </w:rPr>
  </w:style>
  <w:style w:type="paragraph" w:styleId="27">
    <w:name w:val="toc 4"/>
    <w:basedOn w:val="1"/>
    <w:next w:val="1"/>
    <w:unhideWhenUsed/>
    <w:qFormat/>
    <w:uiPriority w:val="39"/>
    <w:pPr>
      <w:ind w:left="1260" w:leftChars="600"/>
    </w:pPr>
    <w:rPr>
      <w:szCs w:val="22"/>
    </w:rPr>
  </w:style>
  <w:style w:type="paragraph" w:styleId="28">
    <w:name w:val="toc 6"/>
    <w:basedOn w:val="1"/>
    <w:next w:val="1"/>
    <w:unhideWhenUsed/>
    <w:qFormat/>
    <w:uiPriority w:val="39"/>
    <w:pPr>
      <w:ind w:left="2100" w:leftChars="1000"/>
    </w:pPr>
    <w:rPr>
      <w:szCs w:val="22"/>
    </w:rPr>
  </w:style>
  <w:style w:type="paragraph" w:styleId="29">
    <w:name w:val="toc 2"/>
    <w:basedOn w:val="1"/>
    <w:next w:val="1"/>
    <w:unhideWhenUsed/>
    <w:qFormat/>
    <w:uiPriority w:val="39"/>
    <w:pPr>
      <w:widowControl/>
      <w:spacing w:after="100" w:line="276" w:lineRule="auto"/>
      <w:ind w:left="220"/>
      <w:jc w:val="left"/>
    </w:pPr>
    <w:rPr>
      <w:kern w:val="0"/>
      <w:sz w:val="22"/>
      <w:szCs w:val="22"/>
    </w:rPr>
  </w:style>
  <w:style w:type="paragraph" w:styleId="30">
    <w:name w:val="toc 9"/>
    <w:basedOn w:val="1"/>
    <w:next w:val="1"/>
    <w:unhideWhenUsed/>
    <w:qFormat/>
    <w:uiPriority w:val="39"/>
    <w:pPr>
      <w:ind w:left="3360" w:leftChars="1600"/>
    </w:pPr>
    <w:rPr>
      <w:szCs w:val="22"/>
    </w:rPr>
  </w:style>
  <w:style w:type="paragraph" w:styleId="31">
    <w:name w:val="HTML Preformatted"/>
    <w:basedOn w:val="1"/>
    <w:link w:val="121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Arial" w:hAnsi="Arial" w:eastAsia="宋体" w:cs="Arial"/>
      <w:kern w:val="0"/>
      <w:sz w:val="24"/>
      <w:szCs w:val="24"/>
    </w:rPr>
  </w:style>
  <w:style w:type="paragraph" w:styleId="32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33">
    <w:name w:val="Body Text First Indent 2"/>
    <w:basedOn w:val="17"/>
    <w:link w:val="72"/>
    <w:qFormat/>
    <w:uiPriority w:val="0"/>
    <w:pPr>
      <w:ind w:firstLine="420" w:firstLineChars="200"/>
    </w:pPr>
  </w:style>
  <w:style w:type="table" w:styleId="35">
    <w:name w:val="Table Grid"/>
    <w:basedOn w:val="34"/>
    <w:qFormat/>
    <w:uiPriority w:val="0"/>
    <w:rPr>
      <w:rFonts w:ascii="Calibri" w:hAnsi="Calibri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37">
    <w:name w:val="Strong"/>
    <w:basedOn w:val="36"/>
    <w:qFormat/>
    <w:uiPriority w:val="22"/>
    <w:rPr>
      <w:rFonts w:cs="Times New Roman"/>
      <w:b/>
    </w:rPr>
  </w:style>
  <w:style w:type="character" w:styleId="38">
    <w:name w:val="page number"/>
    <w:basedOn w:val="36"/>
    <w:qFormat/>
    <w:uiPriority w:val="0"/>
    <w:rPr>
      <w:rFonts w:cs="Times New Roman"/>
    </w:rPr>
  </w:style>
  <w:style w:type="character" w:styleId="39">
    <w:name w:val="Hyperlink"/>
    <w:basedOn w:val="36"/>
    <w:qFormat/>
    <w:uiPriority w:val="99"/>
    <w:rPr>
      <w:rFonts w:ascii="宋体" w:hAnsi="宋体" w:eastAsia="宋体" w:cs="Times New Roman"/>
      <w:color w:val="043B65"/>
      <w:sz w:val="18"/>
      <w:u w:val="none"/>
    </w:rPr>
  </w:style>
  <w:style w:type="character" w:styleId="40">
    <w:name w:val="annotation reference"/>
    <w:basedOn w:val="36"/>
    <w:semiHidden/>
    <w:unhideWhenUsed/>
    <w:qFormat/>
    <w:uiPriority w:val="99"/>
    <w:rPr>
      <w:sz w:val="21"/>
      <w:szCs w:val="21"/>
    </w:rPr>
  </w:style>
  <w:style w:type="paragraph" w:customStyle="1" w:styleId="41">
    <w:name w:val="封面迪普技术"/>
    <w:basedOn w:val="1"/>
    <w:qFormat/>
    <w:uiPriority w:val="0"/>
    <w:pPr>
      <w:spacing w:line="360" w:lineRule="auto"/>
      <w:jc w:val="center"/>
    </w:pPr>
    <w:rPr>
      <w:rFonts w:hint="eastAsia" w:ascii="Arial" w:hAnsi="Arial" w:eastAsia="黑体" w:cs="Times New Roman"/>
      <w:kern w:val="0"/>
      <w:sz w:val="32"/>
      <w:szCs w:val="32"/>
    </w:rPr>
  </w:style>
  <w:style w:type="paragraph" w:customStyle="1" w:styleId="42">
    <w:name w:val="!正文强调"/>
    <w:basedOn w:val="1"/>
    <w:qFormat/>
    <w:uiPriority w:val="0"/>
    <w:pPr>
      <w:wordWrap w:val="0"/>
      <w:spacing w:before="80" w:after="320" w:line="360" w:lineRule="auto"/>
      <w:textAlignment w:val="baseline"/>
    </w:pPr>
    <w:rPr>
      <w:rFonts w:ascii="Times New Roman" w:hAnsi="Times New Roman" w:eastAsia="黑体" w:cs="Times New Roman"/>
      <w:sz w:val="22"/>
    </w:rPr>
  </w:style>
  <w:style w:type="character" w:customStyle="1" w:styleId="43">
    <w:name w:val="明显强调1"/>
    <w:qFormat/>
    <w:uiPriority w:val="21"/>
    <w:rPr>
      <w:b/>
      <w:bCs/>
      <w:i/>
      <w:iCs/>
      <w:color w:val="4F81BD"/>
    </w:rPr>
  </w:style>
  <w:style w:type="paragraph" w:customStyle="1" w:styleId="44">
    <w:name w:val="封面表格文本"/>
    <w:basedOn w:val="1"/>
    <w:qFormat/>
    <w:uiPriority w:val="0"/>
    <w:pPr>
      <w:jc w:val="center"/>
    </w:pPr>
    <w:rPr>
      <w:rFonts w:hint="eastAsia" w:ascii="Arial" w:hAnsi="Arial" w:eastAsia="宋体" w:cs="Times New Roman"/>
      <w:kern w:val="0"/>
      <w:sz w:val="24"/>
    </w:rPr>
  </w:style>
  <w:style w:type="character" w:customStyle="1" w:styleId="45">
    <w:name w:val="标题 1 字符"/>
    <w:basedOn w:val="36"/>
    <w:link w:val="3"/>
    <w:qFormat/>
    <w:uiPriority w:val="9"/>
    <w:rPr>
      <w:rFonts w:ascii="Times New Roman" w:hAnsi="Times New Roman" w:eastAsia="宋体" w:cs="Times New Roman"/>
      <w:b/>
      <w:bCs/>
      <w:kern w:val="44"/>
      <w:sz w:val="44"/>
      <w:szCs w:val="44"/>
    </w:rPr>
  </w:style>
  <w:style w:type="character" w:customStyle="1" w:styleId="46">
    <w:name w:val="标题 2 字符"/>
    <w:basedOn w:val="36"/>
    <w:link w:val="4"/>
    <w:qFormat/>
    <w:uiPriority w:val="9"/>
    <w:rPr>
      <w:rFonts w:ascii="Arial" w:hAnsi="Arial" w:eastAsia="黑体" w:cs="Times New Roman"/>
      <w:b/>
      <w:bCs/>
      <w:sz w:val="32"/>
      <w:szCs w:val="32"/>
    </w:rPr>
  </w:style>
  <w:style w:type="paragraph" w:styleId="47">
    <w:name w:val="List Paragraph"/>
    <w:basedOn w:val="1"/>
    <w:link w:val="49"/>
    <w:qFormat/>
    <w:uiPriority w:val="34"/>
    <w:pPr>
      <w:ind w:firstLine="420" w:firstLineChars="200"/>
    </w:pPr>
  </w:style>
  <w:style w:type="character" w:customStyle="1" w:styleId="48">
    <w:name w:val="标题 3 字符"/>
    <w:basedOn w:val="36"/>
    <w:link w:val="5"/>
    <w:qFormat/>
    <w:uiPriority w:val="9"/>
    <w:rPr>
      <w:rFonts w:ascii="Times New Roman" w:hAnsi="Times New Roman" w:eastAsia="宋体" w:cs="Times New Roman"/>
      <w:b/>
      <w:bCs/>
      <w:sz w:val="32"/>
      <w:szCs w:val="32"/>
    </w:rPr>
  </w:style>
  <w:style w:type="character" w:customStyle="1" w:styleId="49">
    <w:name w:val="列表段落 字符"/>
    <w:link w:val="47"/>
    <w:uiPriority w:val="34"/>
  </w:style>
  <w:style w:type="paragraph" w:customStyle="1" w:styleId="50">
    <w:name w:val="正文（首行缩进2字符）"/>
    <w:basedOn w:val="1"/>
    <w:link w:val="51"/>
    <w:uiPriority w:val="0"/>
    <w:pPr>
      <w:spacing w:line="360" w:lineRule="auto"/>
      <w:ind w:firstLine="48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51">
    <w:name w:val="正文（首行缩进2字符） Char"/>
    <w:basedOn w:val="36"/>
    <w:link w:val="50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52">
    <w:name w:val="标题 4 字符"/>
    <w:basedOn w:val="36"/>
    <w:link w:val="6"/>
    <w:qFormat/>
    <w:uiPriority w:val="0"/>
    <w:rPr>
      <w:rFonts w:asciiTheme="majorHAnsi" w:hAnsiTheme="majorHAnsi" w:eastAsiaTheme="majorEastAsia" w:cstheme="majorBidi"/>
      <w:b/>
      <w:bCs/>
      <w:sz w:val="28"/>
      <w:szCs w:val="28"/>
    </w:rPr>
  </w:style>
  <w:style w:type="paragraph" w:customStyle="1" w:styleId="53">
    <w:name w:val="样式1"/>
    <w:basedOn w:val="1"/>
    <w:uiPriority w:val="0"/>
    <w:pPr>
      <w:spacing w:line="360" w:lineRule="auto"/>
      <w:ind w:right="24" w:rightChars="10" w:firstLine="566" w:firstLineChars="236"/>
      <w:jc w:val="left"/>
    </w:pPr>
    <w:rPr>
      <w:rFonts w:ascii="Times New Roman" w:hAnsi="Times New Roman" w:eastAsia="宋体" w:cs="Times New Roman"/>
      <w:kern w:val="0"/>
      <w:sz w:val="24"/>
      <w:szCs w:val="24"/>
    </w:rPr>
  </w:style>
  <w:style w:type="character" w:customStyle="1" w:styleId="54">
    <w:name w:val="正文缩进 字符"/>
    <w:link w:val="13"/>
    <w:qFormat/>
    <w:uiPriority w:val="0"/>
    <w:rPr>
      <w:rFonts w:ascii="Times New Roman" w:hAnsi="Times New Roman" w:eastAsia="宋体" w:cs="Times New Roman"/>
      <w:szCs w:val="24"/>
    </w:rPr>
  </w:style>
  <w:style w:type="character" w:customStyle="1" w:styleId="55">
    <w:name w:val="标题 5 字符"/>
    <w:basedOn w:val="36"/>
    <w:link w:val="7"/>
    <w:qFormat/>
    <w:uiPriority w:val="0"/>
    <w:rPr>
      <w:rFonts w:ascii="Times New Roman" w:hAnsi="Times New Roman" w:eastAsia="宋体" w:cs="Times New Roman"/>
      <w:b/>
      <w:bCs/>
      <w:sz w:val="28"/>
      <w:szCs w:val="28"/>
    </w:rPr>
  </w:style>
  <w:style w:type="character" w:customStyle="1" w:styleId="56">
    <w:name w:val="标题 6 字符"/>
    <w:basedOn w:val="36"/>
    <w:link w:val="8"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57">
    <w:name w:val="标题 7 字符"/>
    <w:basedOn w:val="36"/>
    <w:link w:val="9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58">
    <w:name w:val="标题 8 字符"/>
    <w:basedOn w:val="36"/>
    <w:link w:val="10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59">
    <w:name w:val="标题 9 字符"/>
    <w:basedOn w:val="36"/>
    <w:link w:val="11"/>
    <w:qFormat/>
    <w:uiPriority w:val="0"/>
    <w:rPr>
      <w:rFonts w:ascii="Arial" w:hAnsi="Arial" w:eastAsia="黑体" w:cs="Times New Roman"/>
      <w:sz w:val="24"/>
    </w:rPr>
  </w:style>
  <w:style w:type="character" w:customStyle="1" w:styleId="60">
    <w:name w:val="style801"/>
    <w:qFormat/>
    <w:uiPriority w:val="99"/>
    <w:rPr>
      <w:rFonts w:ascii="宋体" w:hAnsi="宋体" w:eastAsia="宋体"/>
      <w:color w:val="000000"/>
      <w:sz w:val="18"/>
    </w:rPr>
  </w:style>
  <w:style w:type="character" w:customStyle="1" w:styleId="61">
    <w:name w:val="style751"/>
    <w:qFormat/>
    <w:uiPriority w:val="99"/>
    <w:rPr>
      <w:color w:val="000000"/>
    </w:rPr>
  </w:style>
  <w:style w:type="character" w:customStyle="1" w:styleId="62">
    <w:name w:val="style741"/>
    <w:uiPriority w:val="99"/>
    <w:rPr>
      <w:color w:val="000000"/>
      <w:sz w:val="18"/>
    </w:rPr>
  </w:style>
  <w:style w:type="character" w:customStyle="1" w:styleId="63">
    <w:name w:val="style691"/>
    <w:qFormat/>
    <w:uiPriority w:val="99"/>
    <w:rPr>
      <w:sz w:val="18"/>
    </w:rPr>
  </w:style>
  <w:style w:type="character" w:customStyle="1" w:styleId="64">
    <w:name w:val="页眉 字符"/>
    <w:basedOn w:val="36"/>
    <w:link w:val="25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5">
    <w:name w:val="页脚 字符"/>
    <w:basedOn w:val="36"/>
    <w:link w:val="24"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6">
    <w:name w:val="文档结构图 字符"/>
    <w:basedOn w:val="36"/>
    <w:link w:val="15"/>
    <w:semiHidden/>
    <w:qFormat/>
    <w:uiPriority w:val="99"/>
    <w:rPr>
      <w:rFonts w:ascii="宋体" w:hAnsi="Calibri" w:eastAsia="宋体" w:cs="Times New Roman"/>
      <w:kern w:val="0"/>
      <w:sz w:val="18"/>
      <w:szCs w:val="18"/>
    </w:rPr>
  </w:style>
  <w:style w:type="character" w:customStyle="1" w:styleId="67">
    <w:name w:val="批注框文本 字符"/>
    <w:basedOn w:val="36"/>
    <w:link w:val="23"/>
    <w:semiHidden/>
    <w:qFormat/>
    <w:uiPriority w:val="99"/>
    <w:rPr>
      <w:rFonts w:ascii="Calibri" w:hAnsi="Calibri" w:eastAsia="宋体" w:cs="Times New Roman"/>
      <w:kern w:val="0"/>
      <w:sz w:val="18"/>
      <w:szCs w:val="18"/>
    </w:rPr>
  </w:style>
  <w:style w:type="character" w:customStyle="1" w:styleId="68">
    <w:name w:val="question-title2"/>
    <w:qFormat/>
    <w:uiPriority w:val="99"/>
  </w:style>
  <w:style w:type="character" w:customStyle="1" w:styleId="69">
    <w:name w:val="批注文字 字符"/>
    <w:basedOn w:val="36"/>
    <w:link w:val="16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70">
    <w:name w:val="TOC 标题1"/>
    <w:basedOn w:val="3"/>
    <w:next w:val="1"/>
    <w:unhideWhenUsed/>
    <w:qFormat/>
    <w:uiPriority w:val="39"/>
    <w:pPr>
      <w:widowControl/>
      <w:spacing w:before="480" w:after="0" w:line="276" w:lineRule="auto"/>
      <w:jc w:val="left"/>
      <w:outlineLvl w:val="9"/>
    </w:pPr>
    <w:rPr>
      <w:rFonts w:asciiTheme="majorHAnsi" w:hAnsiTheme="majorHAnsi" w:eastAsiaTheme="majorEastAsia" w:cstheme="majorBidi"/>
      <w:color w:val="2E75B6" w:themeColor="accent1" w:themeShade="BF"/>
      <w:kern w:val="0"/>
      <w:sz w:val="28"/>
      <w:szCs w:val="28"/>
    </w:rPr>
  </w:style>
  <w:style w:type="character" w:customStyle="1" w:styleId="71">
    <w:name w:val="正文文本缩进 字符"/>
    <w:basedOn w:val="36"/>
    <w:link w:val="17"/>
    <w:qFormat/>
    <w:uiPriority w:val="99"/>
    <w:rPr>
      <w:rFonts w:ascii="Times New Roman" w:hAnsi="Times New Roman" w:eastAsia="宋体" w:cs="Times New Roman"/>
      <w:szCs w:val="24"/>
    </w:rPr>
  </w:style>
  <w:style w:type="character" w:customStyle="1" w:styleId="72">
    <w:name w:val="正文文本首行缩进 2 字符"/>
    <w:basedOn w:val="71"/>
    <w:link w:val="33"/>
    <w:qFormat/>
    <w:uiPriority w:val="0"/>
    <w:rPr>
      <w:rFonts w:ascii="Times New Roman" w:hAnsi="Times New Roman" w:eastAsia="宋体" w:cs="Times New Roman"/>
      <w:szCs w:val="24"/>
    </w:rPr>
  </w:style>
  <w:style w:type="paragraph" w:customStyle="1" w:styleId="73">
    <w:name w:val="插图"/>
    <w:next w:val="1"/>
    <w:qFormat/>
    <w:uiPriority w:val="0"/>
    <w:pPr>
      <w:adjustRightInd w:val="0"/>
      <w:spacing w:beforeLines="100" w:afterLines="100" w:line="400" w:lineRule="atLeast"/>
      <w:jc w:val="center"/>
      <w:textAlignment w:val="baseline"/>
    </w:pPr>
    <w:rPr>
      <w:rFonts w:ascii="Times New Roman" w:hAnsi="Times New Roman" w:eastAsia="宋体" w:cs="Times New Roman"/>
      <w:szCs w:val="21"/>
      <w:lang w:val="en-US" w:eastAsia="zh-CN" w:bidi="ar-SA"/>
    </w:rPr>
  </w:style>
  <w:style w:type="paragraph" w:customStyle="1" w:styleId="74">
    <w:name w:val="样式 正文浙江中烟 + 首行缩进:  2 字符"/>
    <w:basedOn w:val="1"/>
    <w:next w:val="1"/>
    <w:link w:val="75"/>
    <w:qFormat/>
    <w:uiPriority w:val="0"/>
    <w:pPr>
      <w:spacing w:line="360" w:lineRule="auto"/>
      <w:ind w:firstLine="480" w:firstLineChars="200"/>
    </w:pPr>
    <w:rPr>
      <w:rFonts w:ascii="Arial" w:hAnsi="Arial" w:eastAsia="新宋体" w:cs="宋体"/>
      <w:kern w:val="28"/>
      <w:sz w:val="24"/>
      <w:szCs w:val="20"/>
    </w:rPr>
  </w:style>
  <w:style w:type="character" w:customStyle="1" w:styleId="75">
    <w:name w:val="样式 正文浙江中烟 + 首行缩进:  2 字符 Char"/>
    <w:basedOn w:val="36"/>
    <w:link w:val="74"/>
    <w:qFormat/>
    <w:uiPriority w:val="0"/>
    <w:rPr>
      <w:rFonts w:ascii="Arial" w:hAnsi="Arial" w:eastAsia="新宋体" w:cs="宋体"/>
      <w:kern w:val="28"/>
      <w:sz w:val="24"/>
      <w:szCs w:val="20"/>
    </w:rPr>
  </w:style>
  <w:style w:type="character" w:customStyle="1" w:styleId="76">
    <w:name w:val="huei12u"/>
    <w:basedOn w:val="36"/>
    <w:qFormat/>
    <w:uiPriority w:val="0"/>
  </w:style>
  <w:style w:type="character" w:customStyle="1" w:styleId="77">
    <w:name w:val="日期 字符"/>
    <w:basedOn w:val="36"/>
    <w:link w:val="21"/>
    <w:semiHidden/>
    <w:qFormat/>
    <w:uiPriority w:val="99"/>
    <w:rPr>
      <w:rFonts w:ascii="Times New Roman" w:hAnsi="Times New Roman" w:eastAsia="宋体" w:cs="Times New Roman"/>
      <w:szCs w:val="24"/>
    </w:rPr>
  </w:style>
  <w:style w:type="paragraph" w:customStyle="1" w:styleId="78">
    <w:name w:val="!自定正文Alt+c"/>
    <w:basedOn w:val="1"/>
    <w:qFormat/>
    <w:uiPriority w:val="0"/>
    <w:pPr>
      <w:wordWrap w:val="0"/>
      <w:spacing w:before="80" w:after="320" w:line="360" w:lineRule="auto"/>
      <w:ind w:firstLine="200" w:firstLineChars="200"/>
      <w:textAlignment w:val="baseline"/>
    </w:pPr>
    <w:rPr>
      <w:rFonts w:ascii="Times New Roman" w:hAnsi="Times New Roman" w:eastAsia="宋体" w:cs="Times New Roman"/>
      <w:sz w:val="24"/>
    </w:rPr>
  </w:style>
  <w:style w:type="paragraph" w:customStyle="1" w:styleId="79">
    <w:name w:val="Char3"/>
    <w:basedOn w:val="13"/>
    <w:qFormat/>
    <w:uiPriority w:val="0"/>
    <w:pPr>
      <w:numPr>
        <w:ilvl w:val="0"/>
        <w:numId w:val="1"/>
      </w:numPr>
      <w:tabs>
        <w:tab w:val="left" w:pos="960"/>
      </w:tabs>
      <w:spacing w:after="156" w:afterLines="50"/>
      <w:ind w:left="360" w:firstLineChars="0"/>
    </w:pPr>
    <w:rPr>
      <w:sz w:val="24"/>
      <w:szCs w:val="20"/>
    </w:rPr>
  </w:style>
  <w:style w:type="character" w:customStyle="1" w:styleId="80">
    <w:name w:val="bold1"/>
    <w:basedOn w:val="36"/>
    <w:qFormat/>
    <w:uiPriority w:val="0"/>
    <w:rPr>
      <w:b/>
      <w:bCs/>
    </w:rPr>
  </w:style>
  <w:style w:type="character" w:customStyle="1" w:styleId="81">
    <w:name w:val="red1"/>
    <w:basedOn w:val="36"/>
    <w:qFormat/>
    <w:uiPriority w:val="0"/>
    <w:rPr>
      <w:b/>
      <w:bCs/>
      <w:color w:val="F12A59"/>
    </w:rPr>
  </w:style>
  <w:style w:type="character" w:customStyle="1" w:styleId="82">
    <w:name w:val="orange1"/>
    <w:basedOn w:val="36"/>
    <w:qFormat/>
    <w:uiPriority w:val="0"/>
    <w:rPr>
      <w:b/>
      <w:bCs/>
      <w:color w:val="FF9933"/>
    </w:rPr>
  </w:style>
  <w:style w:type="character" w:customStyle="1" w:styleId="83">
    <w:name w:val="blue1"/>
    <w:basedOn w:val="36"/>
    <w:qFormat/>
    <w:uiPriority w:val="0"/>
    <w:rPr>
      <w:b/>
      <w:bCs/>
      <w:color w:val="0A7BEF"/>
    </w:rPr>
  </w:style>
  <w:style w:type="character" w:customStyle="1" w:styleId="84">
    <w:name w:val="green1"/>
    <w:basedOn w:val="36"/>
    <w:qFormat/>
    <w:uiPriority w:val="0"/>
    <w:rPr>
      <w:b/>
      <w:bCs/>
      <w:color w:val="66CC33"/>
    </w:rPr>
  </w:style>
  <w:style w:type="paragraph" w:customStyle="1" w:styleId="85">
    <w:name w:val="普通段落"/>
    <w:qFormat/>
    <w:uiPriority w:val="0"/>
    <w:pPr>
      <w:widowControl w:val="0"/>
      <w:adjustRightInd w:val="0"/>
      <w:spacing w:line="360" w:lineRule="auto"/>
      <w:ind w:firstLine="480" w:firstLineChars="200"/>
      <w:jc w:val="both"/>
      <w:textAlignment w:val="baseline"/>
    </w:pPr>
    <w:rPr>
      <w:rFonts w:ascii="Times New Roman" w:hAnsi="Times New Roman" w:eastAsia="宋体" w:cs="Times New Roman"/>
      <w:sz w:val="24"/>
      <w:lang w:val="en-US" w:eastAsia="zh-CN" w:bidi="ar-SA"/>
    </w:rPr>
  </w:style>
  <w:style w:type="paragraph" w:customStyle="1" w:styleId="86">
    <w:name w:val="段落标题"/>
    <w:basedOn w:val="1"/>
    <w:next w:val="1"/>
    <w:uiPriority w:val="0"/>
    <w:pPr>
      <w:keepNext/>
      <w:adjustRightInd w:val="0"/>
      <w:spacing w:before="120" w:line="360" w:lineRule="auto"/>
      <w:textAlignment w:val="baseline"/>
    </w:pPr>
    <w:rPr>
      <w:rFonts w:ascii="Arial" w:hAnsi="Arial" w:eastAsia="黑体" w:cs="Arial"/>
      <w:iCs/>
      <w:kern w:val="0"/>
      <w:sz w:val="32"/>
      <w:bdr w:val="single" w:color="auto" w:sz="4" w:space="0"/>
    </w:rPr>
  </w:style>
  <w:style w:type="paragraph" w:customStyle="1" w:styleId="87">
    <w:name w:val="公司名称"/>
    <w:basedOn w:val="1"/>
    <w:qFormat/>
    <w:uiPriority w:val="0"/>
    <w:pPr>
      <w:widowControl/>
      <w:overflowPunct w:val="0"/>
      <w:spacing w:before="156" w:beforeLines="50"/>
      <w:jc w:val="center"/>
      <w:textAlignment w:val="baseline"/>
    </w:pPr>
    <w:rPr>
      <w:rFonts w:hint="eastAsia" w:ascii="宋体" w:hAnsi="Times New Roman" w:eastAsia="黑体" w:cs="Times New Roman"/>
      <w:kern w:val="0"/>
      <w:sz w:val="36"/>
      <w:szCs w:val="36"/>
    </w:rPr>
  </w:style>
  <w:style w:type="paragraph" w:customStyle="1" w:styleId="88">
    <w:name w:val="Default Text"/>
    <w:basedOn w:val="1"/>
    <w:qFormat/>
    <w:uiPriority w:val="0"/>
    <w:pPr>
      <w:widowControl/>
      <w:overflowPunct w:val="0"/>
      <w:autoSpaceDE w:val="0"/>
      <w:autoSpaceDN w:val="0"/>
      <w:adjustRightInd w:val="0"/>
      <w:jc w:val="left"/>
      <w:textAlignment w:val="baseline"/>
    </w:pPr>
    <w:rPr>
      <w:rFonts w:ascii="Helvetica" w:hAnsi="Helvetica" w:eastAsia="宋体" w:cs="Times New Roman"/>
      <w:kern w:val="0"/>
      <w:sz w:val="18"/>
      <w:szCs w:val="20"/>
    </w:rPr>
  </w:style>
  <w:style w:type="paragraph" w:customStyle="1" w:styleId="89">
    <w:name w:val="小标题"/>
    <w:basedOn w:val="1"/>
    <w:qFormat/>
    <w:uiPriority w:val="0"/>
    <w:pPr>
      <w:spacing w:line="360" w:lineRule="auto"/>
    </w:pPr>
    <w:rPr>
      <w:rFonts w:ascii="Times New Roman" w:hAnsi="Times New Roman" w:eastAsia="黑体" w:cs="Times New Roman"/>
      <w:b/>
      <w:bCs/>
      <w:sz w:val="28"/>
      <w:szCs w:val="24"/>
      <w:bdr w:val="single" w:color="auto" w:sz="4" w:space="0"/>
    </w:rPr>
  </w:style>
  <w:style w:type="paragraph" w:customStyle="1" w:styleId="90">
    <w:name w:val="正文样式"/>
    <w:basedOn w:val="1"/>
    <w:qFormat/>
    <w:uiPriority w:val="0"/>
    <w:pPr>
      <w:spacing w:line="360" w:lineRule="auto"/>
      <w:ind w:firstLine="420" w:firstLineChars="175"/>
    </w:pPr>
    <w:rPr>
      <w:rFonts w:ascii="Times New Roman" w:hAnsi="Times New Roman" w:eastAsia="宋体" w:cs="宋体"/>
      <w:sz w:val="24"/>
      <w:szCs w:val="20"/>
    </w:rPr>
  </w:style>
  <w:style w:type="paragraph" w:customStyle="1" w:styleId="91">
    <w:name w:val="标题 1（绿盟科技）"/>
    <w:basedOn w:val="3"/>
    <w:next w:val="1"/>
    <w:qFormat/>
    <w:uiPriority w:val="0"/>
    <w:pPr>
      <w:pBdr>
        <w:bottom w:val="single" w:color="auto" w:sz="48" w:space="1"/>
      </w:pBdr>
      <w:spacing w:before="600" w:line="576" w:lineRule="auto"/>
      <w:jc w:val="left"/>
    </w:pPr>
    <w:rPr>
      <w:rFonts w:ascii="Arial" w:hAnsi="Arial" w:eastAsia="黑体"/>
    </w:rPr>
  </w:style>
  <w:style w:type="paragraph" w:customStyle="1" w:styleId="92">
    <w:name w:val="段"/>
    <w:link w:val="93"/>
    <w:qFormat/>
    <w:uiPriority w:val="0"/>
    <w:pPr>
      <w:autoSpaceDE w:val="0"/>
      <w:autoSpaceDN w:val="0"/>
      <w:ind w:firstLine="200" w:firstLine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character" w:customStyle="1" w:styleId="93">
    <w:name w:val="段 Char"/>
    <w:basedOn w:val="36"/>
    <w:link w:val="92"/>
    <w:qFormat/>
    <w:uiPriority w:val="0"/>
    <w:rPr>
      <w:rFonts w:ascii="宋体" w:hAnsi="Times New Roman" w:eastAsia="宋体" w:cs="Times New Roman"/>
      <w:kern w:val="0"/>
      <w:szCs w:val="20"/>
    </w:rPr>
  </w:style>
  <w:style w:type="paragraph" w:customStyle="1" w:styleId="94">
    <w:name w:val="字母编号列项（一级）"/>
    <w:qFormat/>
    <w:uiPriority w:val="0"/>
    <w:pPr>
      <w:ind w:left="840" w:leftChars="200" w:hanging="420" w:hangingChars="200"/>
      <w:jc w:val="both"/>
    </w:pPr>
    <w:rPr>
      <w:rFonts w:ascii="宋体" w:hAnsi="Times New Roman" w:eastAsia="宋体" w:cs="Times New Roman"/>
      <w:sz w:val="21"/>
      <w:lang w:val="en-US" w:eastAsia="zh-CN" w:bidi="ar-SA"/>
    </w:rPr>
  </w:style>
  <w:style w:type="paragraph" w:customStyle="1" w:styleId="95">
    <w:name w:val="绿盟科技--正文首行缩进"/>
    <w:basedOn w:val="1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宋体" w:cs="Times New Roman"/>
      <w:kern w:val="0"/>
    </w:rPr>
  </w:style>
  <w:style w:type="paragraph" w:customStyle="1" w:styleId="96">
    <w:name w:val="正文首行缩进（绿盟科技）"/>
    <w:basedOn w:val="1"/>
    <w:link w:val="97"/>
    <w:qFormat/>
    <w:uiPriority w:val="0"/>
    <w:pPr>
      <w:widowControl/>
      <w:spacing w:after="50" w:line="300" w:lineRule="auto"/>
      <w:ind w:firstLine="200" w:firstLineChars="200"/>
      <w:jc w:val="left"/>
    </w:pPr>
    <w:rPr>
      <w:rFonts w:ascii="Arial" w:hAnsi="Arial" w:eastAsia="宋体" w:cs="Times New Roman"/>
      <w:kern w:val="0"/>
    </w:rPr>
  </w:style>
  <w:style w:type="character" w:customStyle="1" w:styleId="97">
    <w:name w:val="正文首行缩进（绿盟科技） Char"/>
    <w:basedOn w:val="36"/>
    <w:link w:val="96"/>
    <w:qFormat/>
    <w:uiPriority w:val="0"/>
    <w:rPr>
      <w:rFonts w:ascii="Arial" w:hAnsi="Arial" w:eastAsia="宋体" w:cs="Times New Roman"/>
      <w:kern w:val="0"/>
    </w:rPr>
  </w:style>
  <w:style w:type="paragraph" w:customStyle="1" w:styleId="98">
    <w:name w:val="tytytyty"/>
    <w:basedOn w:val="1"/>
    <w:link w:val="108"/>
    <w:qFormat/>
    <w:uiPriority w:val="0"/>
    <w:pPr>
      <w:spacing w:line="360" w:lineRule="auto"/>
      <w:ind w:left="359" w:leftChars="171" w:firstLine="480" w:firstLineChars="20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99">
    <w:name w:val="bianhao2"/>
    <w:basedOn w:val="1"/>
    <w:link w:val="109"/>
    <w:qFormat/>
    <w:uiPriority w:val="0"/>
    <w:pPr>
      <w:numPr>
        <w:ilvl w:val="0"/>
        <w:numId w:val="2"/>
      </w:numPr>
      <w:spacing w:line="360" w:lineRule="auto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00">
    <w:name w:val="bianhao3"/>
    <w:basedOn w:val="99"/>
    <w:qFormat/>
    <w:uiPriority w:val="0"/>
    <w:pPr>
      <w:numPr>
        <w:numId w:val="3"/>
      </w:numPr>
      <w:tabs>
        <w:tab w:val="clear" w:pos="1259"/>
      </w:tabs>
      <w:ind w:left="860"/>
    </w:pPr>
  </w:style>
  <w:style w:type="paragraph" w:customStyle="1" w:styleId="101">
    <w:name w:val="biaoti1"/>
    <w:basedOn w:val="3"/>
    <w:qFormat/>
    <w:uiPriority w:val="0"/>
    <w:pPr>
      <w:tabs>
        <w:tab w:val="left" w:pos="432"/>
      </w:tabs>
      <w:spacing w:line="360" w:lineRule="auto"/>
      <w:ind w:left="432" w:hanging="432"/>
    </w:pPr>
  </w:style>
  <w:style w:type="paragraph" w:customStyle="1" w:styleId="102">
    <w:name w:val="biaoti2"/>
    <w:basedOn w:val="4"/>
    <w:qFormat/>
    <w:uiPriority w:val="0"/>
    <w:pPr>
      <w:tabs>
        <w:tab w:val="left" w:pos="576"/>
      </w:tabs>
      <w:spacing w:line="360" w:lineRule="auto"/>
      <w:ind w:left="576" w:hanging="576"/>
    </w:pPr>
  </w:style>
  <w:style w:type="paragraph" w:customStyle="1" w:styleId="103">
    <w:name w:val="bianhao5"/>
    <w:basedOn w:val="98"/>
    <w:qFormat/>
    <w:uiPriority w:val="0"/>
    <w:pPr>
      <w:numPr>
        <w:ilvl w:val="1"/>
        <w:numId w:val="3"/>
      </w:numPr>
      <w:tabs>
        <w:tab w:val="clear" w:pos="1679"/>
      </w:tabs>
      <w:ind w:left="0" w:leftChars="0" w:firstLine="0" w:firstLineChars="0"/>
    </w:pPr>
  </w:style>
  <w:style w:type="paragraph" w:customStyle="1" w:styleId="104">
    <w:name w:val="样式 正文（首行缩进2字符） + 首行缩进:  2 字符1"/>
    <w:basedOn w:val="50"/>
    <w:qFormat/>
    <w:uiPriority w:val="0"/>
    <w:pPr>
      <w:spacing w:beforeLines="50" w:afterLines="50" w:line="420" w:lineRule="exact"/>
      <w:ind w:firstLine="200"/>
    </w:pPr>
    <w:rPr>
      <w:rFonts w:cs="宋体"/>
      <w:szCs w:val="20"/>
    </w:rPr>
  </w:style>
  <w:style w:type="paragraph" w:customStyle="1" w:styleId="105">
    <w:name w:val="样式 样式 标题 3H3Heading 3 - oldh3sect1.2.3BOD 0标题 3 Char Char Cha......"/>
    <w:basedOn w:val="1"/>
    <w:next w:val="50"/>
    <w:qFormat/>
    <w:uiPriority w:val="0"/>
    <w:pPr>
      <w:keepNext/>
      <w:keepLines/>
      <w:tabs>
        <w:tab w:val="left" w:pos="910"/>
      </w:tabs>
      <w:spacing w:beforeLines="50" w:afterLines="50" w:line="360" w:lineRule="auto"/>
      <w:ind w:left="1481" w:hanging="851"/>
      <w:outlineLvl w:val="2"/>
    </w:pPr>
    <w:rPr>
      <w:rFonts w:ascii="Times New Roman" w:hAnsi="Times New Roman" w:eastAsia="黑体" w:cs="宋体"/>
      <w:b/>
      <w:bCs/>
      <w:sz w:val="24"/>
      <w:szCs w:val="20"/>
    </w:rPr>
  </w:style>
  <w:style w:type="paragraph" w:customStyle="1" w:styleId="106">
    <w:name w:val="列表项目符号2"/>
    <w:basedOn w:val="1"/>
    <w:qFormat/>
    <w:uiPriority w:val="0"/>
    <w:pPr>
      <w:numPr>
        <w:ilvl w:val="0"/>
        <w:numId w:val="4"/>
      </w:numPr>
      <w:adjustRightInd w:val="0"/>
      <w:spacing w:line="360" w:lineRule="auto"/>
      <w:textAlignment w:val="baseline"/>
    </w:pPr>
    <w:rPr>
      <w:rFonts w:ascii="Times New Roman" w:hAnsi="Times New Roman" w:eastAsia="宋体" w:cs="Times New Roman"/>
      <w:kern w:val="0"/>
    </w:rPr>
  </w:style>
  <w:style w:type="paragraph" w:customStyle="1" w:styleId="107">
    <w:name w:val="Char2 Char Char Char2"/>
    <w:basedOn w:val="1"/>
    <w:qFormat/>
    <w:uiPriority w:val="0"/>
    <w:pPr>
      <w:tabs>
        <w:tab w:val="left" w:pos="360"/>
      </w:tabs>
      <w:spacing w:line="360" w:lineRule="auto"/>
      <w:ind w:left="482" w:firstLine="200" w:firstLineChars="200"/>
    </w:pPr>
    <w:rPr>
      <w:rFonts w:ascii="宋体" w:hAnsi="Times New Roman" w:eastAsia="宋体" w:cs="Times New Roman"/>
      <w:sz w:val="24"/>
      <w:szCs w:val="24"/>
    </w:rPr>
  </w:style>
  <w:style w:type="character" w:customStyle="1" w:styleId="108">
    <w:name w:val="tytytyty Char1"/>
    <w:basedOn w:val="36"/>
    <w:link w:val="98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09">
    <w:name w:val="bianhao2 Char"/>
    <w:basedOn w:val="110"/>
    <w:link w:val="99"/>
    <w:qFormat/>
    <w:uiPriority w:val="0"/>
    <w:rPr>
      <w:rFonts w:ascii="Times New Roman" w:hAnsi="Times New Roman" w:eastAsia="宋体" w:cs="Times New Roman"/>
      <w:sz w:val="24"/>
      <w:szCs w:val="24"/>
    </w:rPr>
  </w:style>
  <w:style w:type="character" w:customStyle="1" w:styleId="110">
    <w:name w:val="bianhao1 Char"/>
    <w:basedOn w:val="36"/>
    <w:link w:val="111"/>
    <w:uiPriority w:val="0"/>
    <w:rPr>
      <w:sz w:val="24"/>
      <w:szCs w:val="24"/>
    </w:rPr>
  </w:style>
  <w:style w:type="paragraph" w:customStyle="1" w:styleId="111">
    <w:name w:val="bianhao1"/>
    <w:basedOn w:val="98"/>
    <w:link w:val="110"/>
    <w:qFormat/>
    <w:uiPriority w:val="0"/>
    <w:pPr>
      <w:numPr>
        <w:ilvl w:val="0"/>
        <w:numId w:val="5"/>
      </w:numPr>
      <w:ind w:left="0" w:leftChars="0" w:firstLine="0" w:firstLineChars="0"/>
    </w:pPr>
    <w:rPr>
      <w:rFonts w:asciiTheme="minorHAnsi" w:hAnsiTheme="minorHAnsi" w:eastAsiaTheme="minorEastAsia" w:cstheme="minorBidi"/>
    </w:rPr>
  </w:style>
  <w:style w:type="paragraph" w:customStyle="1" w:styleId="112">
    <w:name w:val="NNN Char Char Char1 Char Char Char"/>
    <w:basedOn w:val="1"/>
    <w:qFormat/>
    <w:uiPriority w:val="0"/>
    <w:pPr>
      <w:numPr>
        <w:ilvl w:val="0"/>
        <w:numId w:val="6"/>
      </w:numPr>
      <w:tabs>
        <w:tab w:val="left" w:pos="360"/>
        <w:tab w:val="clear" w:pos="840"/>
      </w:tabs>
      <w:ind w:left="0" w:firstLine="0"/>
    </w:pPr>
    <w:rPr>
      <w:rFonts w:ascii="Times New Roman" w:hAnsi="Times New Roman" w:eastAsia="宋体" w:cs="Times New Roman"/>
      <w:sz w:val="24"/>
      <w:szCs w:val="24"/>
    </w:rPr>
  </w:style>
  <w:style w:type="paragraph" w:customStyle="1" w:styleId="113">
    <w:name w:val="Char2 Char Char Char1"/>
    <w:basedOn w:val="1"/>
    <w:qFormat/>
    <w:uiPriority w:val="0"/>
    <w:pPr>
      <w:tabs>
        <w:tab w:val="left" w:pos="360"/>
      </w:tabs>
      <w:spacing w:line="360" w:lineRule="auto"/>
      <w:ind w:left="482" w:firstLine="200" w:firstLineChars="200"/>
    </w:pPr>
    <w:rPr>
      <w:rFonts w:ascii="宋体" w:hAnsi="Times New Roman" w:eastAsia="宋体" w:cs="Times New Roman"/>
      <w:sz w:val="24"/>
      <w:szCs w:val="24"/>
    </w:rPr>
  </w:style>
  <w:style w:type="paragraph" w:customStyle="1" w:styleId="114">
    <w:name w:val="样式 正文缩进正文缩进 Char正文缩进 Char1 Char正文（首行缩进两字） Char1 Char正文缩进 Cha..."/>
    <w:basedOn w:val="13"/>
    <w:link w:val="115"/>
    <w:qFormat/>
    <w:uiPriority w:val="0"/>
    <w:pPr>
      <w:adjustRightInd w:val="0"/>
      <w:snapToGrid w:val="0"/>
      <w:spacing w:before="218" w:line="360" w:lineRule="auto"/>
      <w:ind w:left="61" w:leftChars="29" w:firstLine="480"/>
    </w:pPr>
    <w:rPr>
      <w:color w:val="000000"/>
      <w:sz w:val="24"/>
      <w:szCs w:val="20"/>
    </w:rPr>
  </w:style>
  <w:style w:type="character" w:customStyle="1" w:styleId="115">
    <w:name w:val="样式 正文缩进正文缩进 Char正文缩进 Char1 Char正文（首行缩进两字） Char1 Char正文缩进 Cha... Char"/>
    <w:basedOn w:val="36"/>
    <w:link w:val="114"/>
    <w:qFormat/>
    <w:uiPriority w:val="0"/>
    <w:rPr>
      <w:rFonts w:ascii="Times New Roman" w:hAnsi="Times New Roman" w:eastAsia="宋体" w:cs="Times New Roman"/>
      <w:color w:val="000000"/>
      <w:sz w:val="24"/>
      <w:szCs w:val="20"/>
    </w:rPr>
  </w:style>
  <w:style w:type="character" w:customStyle="1" w:styleId="116">
    <w:name w:val="BE Body Indent Char"/>
    <w:basedOn w:val="36"/>
    <w:link w:val="117"/>
    <w:locked/>
    <w:uiPriority w:val="0"/>
    <w:rPr>
      <w:rFonts w:ascii="Arial" w:hAnsi="Arial" w:eastAsia="方正仿宋简体" w:cs="Arial"/>
      <w:sz w:val="24"/>
      <w:szCs w:val="24"/>
    </w:rPr>
  </w:style>
  <w:style w:type="paragraph" w:customStyle="1" w:styleId="117">
    <w:name w:val="BE Body Indent"/>
    <w:basedOn w:val="1"/>
    <w:link w:val="116"/>
    <w:qFormat/>
    <w:uiPriority w:val="0"/>
    <w:pPr>
      <w:widowControl/>
      <w:snapToGrid w:val="0"/>
      <w:spacing w:after="120" w:line="300" w:lineRule="auto"/>
      <w:ind w:firstLine="465"/>
    </w:pPr>
    <w:rPr>
      <w:rFonts w:ascii="Arial" w:hAnsi="Arial" w:eastAsia="方正仿宋简体" w:cs="Arial"/>
      <w:sz w:val="24"/>
      <w:szCs w:val="24"/>
    </w:rPr>
  </w:style>
  <w:style w:type="paragraph" w:customStyle="1" w:styleId="118">
    <w:name w:val="style23"/>
    <w:basedOn w:val="1"/>
    <w:qFormat/>
    <w:uiPriority w:val="0"/>
    <w:pPr>
      <w:widowControl/>
      <w:spacing w:before="100" w:beforeAutospacing="1" w:after="240" w:line="360" w:lineRule="auto"/>
      <w:jc w:val="left"/>
    </w:pPr>
    <w:rPr>
      <w:rFonts w:ascii="Tahoma" w:hAnsi="Tahoma" w:eastAsia="宋体" w:cs="Tahoma"/>
      <w:kern w:val="0"/>
      <w:sz w:val="24"/>
      <w:szCs w:val="24"/>
    </w:rPr>
  </w:style>
  <w:style w:type="paragraph" w:customStyle="1" w:styleId="119">
    <w:name w:val="样式 首行缩进:  2 字符"/>
    <w:basedOn w:val="1"/>
    <w:link w:val="120"/>
    <w:qFormat/>
    <w:uiPriority w:val="0"/>
    <w:pPr>
      <w:widowControl/>
      <w:spacing w:line="360" w:lineRule="auto"/>
      <w:ind w:right="210" w:firstLine="480" w:firstLineChars="200"/>
      <w:jc w:val="left"/>
    </w:pPr>
    <w:rPr>
      <w:rFonts w:ascii="宋体" w:hAnsi="宋体" w:eastAsia="宋体" w:cs="宋体"/>
      <w:bCs/>
      <w:kern w:val="0"/>
      <w:sz w:val="24"/>
      <w:szCs w:val="24"/>
    </w:rPr>
  </w:style>
  <w:style w:type="character" w:customStyle="1" w:styleId="120">
    <w:name w:val="样式 首行缩进:  2 字符 Char"/>
    <w:basedOn w:val="36"/>
    <w:link w:val="119"/>
    <w:qFormat/>
    <w:uiPriority w:val="0"/>
    <w:rPr>
      <w:rFonts w:ascii="宋体" w:hAnsi="宋体" w:eastAsia="宋体" w:cs="宋体"/>
      <w:bCs/>
      <w:kern w:val="0"/>
      <w:sz w:val="24"/>
      <w:szCs w:val="24"/>
    </w:rPr>
  </w:style>
  <w:style w:type="character" w:customStyle="1" w:styleId="121">
    <w:name w:val="HTML 预设格式 字符"/>
    <w:basedOn w:val="36"/>
    <w:link w:val="31"/>
    <w:semiHidden/>
    <w:qFormat/>
    <w:uiPriority w:val="99"/>
    <w:rPr>
      <w:rFonts w:ascii="Arial" w:hAnsi="Arial" w:eastAsia="宋体" w:cs="Arial"/>
      <w:kern w:val="0"/>
      <w:sz w:val="24"/>
      <w:szCs w:val="24"/>
    </w:rPr>
  </w:style>
  <w:style w:type="paragraph" w:customStyle="1" w:styleId="122">
    <w:name w:val="style22"/>
    <w:basedOn w:val="1"/>
    <w:uiPriority w:val="0"/>
    <w:pPr>
      <w:widowControl/>
      <w:spacing w:before="100" w:beforeAutospacing="1" w:after="240" w:line="360" w:lineRule="auto"/>
      <w:jc w:val="left"/>
    </w:pPr>
    <w:rPr>
      <w:rFonts w:ascii="微软雅黑" w:hAnsi="微软雅黑" w:eastAsia="微软雅黑" w:cs="宋体"/>
      <w:color w:val="000000"/>
      <w:kern w:val="0"/>
      <w:sz w:val="24"/>
      <w:szCs w:val="24"/>
    </w:rPr>
  </w:style>
  <w:style w:type="character" w:customStyle="1" w:styleId="123">
    <w:name w:val="style441"/>
    <w:basedOn w:val="36"/>
    <w:qFormat/>
    <w:uiPriority w:val="0"/>
    <w:rPr>
      <w:sz w:val="20"/>
      <w:szCs w:val="20"/>
    </w:rPr>
  </w:style>
  <w:style w:type="paragraph" w:customStyle="1" w:styleId="124">
    <w:name w:val="style43"/>
    <w:basedOn w:val="1"/>
    <w:qFormat/>
    <w:uiPriority w:val="0"/>
    <w:pPr>
      <w:widowControl/>
      <w:spacing w:before="100" w:beforeAutospacing="1" w:after="240" w:line="360" w:lineRule="auto"/>
      <w:jc w:val="left"/>
    </w:pPr>
    <w:rPr>
      <w:rFonts w:ascii="微软雅黑" w:hAnsi="微软雅黑" w:eastAsia="微软雅黑" w:cs="宋体"/>
      <w:color w:val="000000"/>
      <w:kern w:val="0"/>
      <w:sz w:val="20"/>
      <w:szCs w:val="20"/>
    </w:rPr>
  </w:style>
  <w:style w:type="paragraph" w:customStyle="1" w:styleId="125">
    <w:name w:val="正文（绿盟科技）"/>
    <w:link w:val="126"/>
    <w:qFormat/>
    <w:uiPriority w:val="0"/>
    <w:pPr>
      <w:spacing w:line="300" w:lineRule="auto"/>
    </w:pPr>
    <w:rPr>
      <w:rFonts w:ascii="Arial" w:hAnsi="Arial" w:eastAsia="宋体" w:cs="Times New Roman"/>
      <w:sz w:val="21"/>
      <w:szCs w:val="21"/>
      <w:lang w:val="en-US" w:eastAsia="zh-CN" w:bidi="ar-SA"/>
    </w:rPr>
  </w:style>
  <w:style w:type="character" w:customStyle="1" w:styleId="126">
    <w:name w:val="正文（绿盟科技） Char"/>
    <w:link w:val="125"/>
    <w:qFormat/>
    <w:uiPriority w:val="0"/>
    <w:rPr>
      <w:rFonts w:ascii="Arial" w:hAnsi="Arial" w:eastAsia="宋体" w:cs="Times New Roman"/>
      <w:kern w:val="0"/>
    </w:rPr>
  </w:style>
  <w:style w:type="character" w:customStyle="1" w:styleId="127">
    <w:name w:val="正文文本 字符"/>
    <w:basedOn w:val="36"/>
    <w:link w:val="2"/>
    <w:qFormat/>
    <w:uiPriority w:val="99"/>
    <w:rPr>
      <w:rFonts w:ascii="Times New Roman" w:hAnsi="Times New Roman" w:eastAsia="宋体" w:cs="Tahoma"/>
      <w:szCs w:val="24"/>
    </w:rPr>
  </w:style>
  <w:style w:type="table" w:customStyle="1" w:styleId="128">
    <w:name w:val="网格型1"/>
    <w:basedOn w:val="34"/>
    <w:uiPriority w:val="0"/>
    <w:pPr>
      <w:widowControl w:val="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29">
    <w:name w:val="网格型2"/>
    <w:basedOn w:val="34"/>
    <w:qFormat/>
    <w:uiPriority w:val="0"/>
    <w:pPr>
      <w:widowControl w:val="0"/>
      <w:spacing w:line="360" w:lineRule="auto"/>
      <w:ind w:firstLine="200" w:firstLineChars="200"/>
      <w:jc w:val="both"/>
    </w:pPr>
    <w:rPr>
      <w:rFonts w:ascii="Times New Roman" w:hAnsi="Times New Roman" w:eastAsia="宋体" w:cs="Times New Roman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30">
    <w:name w:val="apple-converted-space"/>
    <w:basedOn w:val="36"/>
    <w:qFormat/>
    <w:uiPriority w:val="0"/>
  </w:style>
  <w:style w:type="paragraph" w:customStyle="1" w:styleId="131">
    <w:name w:val="一级正文"/>
    <w:basedOn w:val="1"/>
    <w:link w:val="132"/>
    <w:qFormat/>
    <w:uiPriority w:val="0"/>
    <w:pPr>
      <w:spacing w:line="360" w:lineRule="auto"/>
      <w:ind w:firstLine="480" w:firstLineChars="200"/>
    </w:pPr>
    <w:rPr>
      <w:rFonts w:ascii="Calibri" w:hAnsi="Calibri" w:eastAsia="宋体" w:cs="Times New Roman"/>
      <w:kern w:val="0"/>
      <w:sz w:val="24"/>
      <w:szCs w:val="24"/>
      <w:lang w:val="zh-CN"/>
    </w:rPr>
  </w:style>
  <w:style w:type="character" w:customStyle="1" w:styleId="132">
    <w:name w:val="一级正文 Char"/>
    <w:link w:val="131"/>
    <w:qFormat/>
    <w:uiPriority w:val="0"/>
    <w:rPr>
      <w:rFonts w:ascii="Calibri" w:hAnsi="Calibri" w:eastAsia="宋体" w:cs="Times New Roman"/>
      <w:kern w:val="0"/>
      <w:sz w:val="24"/>
      <w:szCs w:val="24"/>
      <w:lang w:val="zh-CN" w:eastAsia="zh-CN"/>
    </w:rPr>
  </w:style>
  <w:style w:type="paragraph" w:customStyle="1" w:styleId="133">
    <w:name w:val="金三正文"/>
    <w:basedOn w:val="1"/>
    <w:link w:val="134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sz w:val="24"/>
      <w:szCs w:val="24"/>
    </w:rPr>
  </w:style>
  <w:style w:type="character" w:customStyle="1" w:styleId="134">
    <w:name w:val="金三正文 Char"/>
    <w:link w:val="133"/>
    <w:qFormat/>
    <w:uiPriority w:val="0"/>
    <w:rPr>
      <w:rFonts w:ascii="Times New Roman" w:hAnsi="Times New Roman" w:eastAsia="宋体" w:cs="Times New Roman"/>
      <w:sz w:val="24"/>
      <w:szCs w:val="24"/>
    </w:rPr>
  </w:style>
  <w:style w:type="paragraph" w:customStyle="1" w:styleId="135">
    <w:name w:val="bt"/>
    <w:basedOn w:val="1"/>
    <w:next w:val="22"/>
    <w:qFormat/>
    <w:uiPriority w:val="0"/>
    <w:pPr>
      <w:widowControl/>
      <w:spacing w:line="360" w:lineRule="auto"/>
      <w:ind w:firstLine="460" w:firstLineChars="200"/>
      <w:jc w:val="left"/>
    </w:pPr>
    <w:rPr>
      <w:rFonts w:ascii="Arial Black" w:hAnsi="Arial Black" w:eastAsia="宋体" w:cs="Times New Roman"/>
      <w:color w:val="000000"/>
      <w:spacing w:val="-10"/>
      <w:kern w:val="20"/>
      <w:position w:val="8"/>
      <w:sz w:val="24"/>
      <w:szCs w:val="20"/>
    </w:rPr>
  </w:style>
  <w:style w:type="character" w:customStyle="1" w:styleId="136">
    <w:name w:val="正文文本缩进 2 字符"/>
    <w:basedOn w:val="36"/>
    <w:link w:val="22"/>
    <w:semiHidden/>
    <w:uiPriority w:val="99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D8FFD9D-ADB1-45FA-ABF1-35C94EF687D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DPtech</Company>
  <Pages>27</Pages>
  <Words>11463</Words>
  <Characters>12100</Characters>
  <Lines>125</Lines>
  <Paragraphs>35</Paragraphs>
  <TotalTime>2</TotalTime>
  <ScaleCrop>false</ScaleCrop>
  <LinksUpToDate>false</LinksUpToDate>
  <CharactersWithSpaces>12359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2018-12-29T06:20:00Z</dcterms:created>
  <dc:creator>wangym</dc:creator>
  <cp:lastModifiedBy>～～～</cp:lastModifiedBy>
  <dcterms:modified xsi:type="dcterms:W3CDTF">2023-02-08T03:09:02Z</dcterms:modified>
  <dc:title>安全服务方案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F7013F0B8E074A7F94D2A163C0998156</vt:lpwstr>
  </property>
</Properties>
</file>