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400" w:lineRule="exact"/>
        <w:jc w:val="center"/>
        <w:rPr>
          <w:rFonts w:hint="default" w:ascii="宋体" w:hAnsi="宋体" w:eastAsia="宋体" w:cs="宋体"/>
          <w:b/>
          <w:sz w:val="32"/>
          <w:szCs w:val="32"/>
          <w:lang w:val="en-US" w:eastAsia="zh-CN"/>
        </w:rPr>
      </w:pPr>
    </w:p>
    <w:p>
      <w:pPr>
        <w:spacing w:line="400" w:lineRule="exact"/>
        <w:jc w:val="center"/>
        <w:rPr>
          <w:rFonts w:ascii="宋体" w:hAnsi="宋体" w:cs="宋体"/>
          <w:b/>
          <w:sz w:val="32"/>
          <w:szCs w:val="32"/>
        </w:rPr>
      </w:pPr>
      <w:r>
        <w:rPr>
          <w:rFonts w:hint="eastAsia" w:ascii="宋体" w:hAnsi="宋体" w:cs="宋体"/>
          <w:b/>
          <w:sz w:val="32"/>
          <w:szCs w:val="32"/>
        </w:rPr>
        <w:t>项目名称：</w:t>
      </w:r>
      <w:r>
        <w:rPr>
          <w:rFonts w:hint="eastAsia" w:ascii="宋体" w:hAnsi="宋体" w:cs="宋体"/>
          <w:b/>
          <w:sz w:val="32"/>
          <w:szCs w:val="32"/>
          <w:lang w:eastAsia="zh-CN"/>
        </w:rPr>
        <w:t>2025年营运公司网络安全维护服务项目</w:t>
      </w:r>
      <w:r>
        <w:rPr>
          <w:rFonts w:hint="eastAsia" w:ascii="宋体" w:hAnsi="宋体" w:cs="宋体"/>
          <w:b/>
          <w:sz w:val="32"/>
          <w:szCs w:val="32"/>
        </w:rPr>
        <w:t xml:space="preserve"> </w:t>
      </w:r>
    </w:p>
    <w:p>
      <w:pPr>
        <w:rPr>
          <w:rFonts w:ascii="宋体" w:hAnsi="宋体" w:cs="宋体"/>
          <w:sz w:val="28"/>
          <w:szCs w:val="28"/>
        </w:rPr>
      </w:pPr>
    </w:p>
    <w:p>
      <w:pPr>
        <w:jc w:val="center"/>
        <w:rPr>
          <w:rFonts w:ascii="宋体" w:hAnsi="宋体" w:cs="宋体"/>
          <w:b/>
          <w:sz w:val="48"/>
          <w:szCs w:val="48"/>
        </w:rPr>
      </w:pPr>
      <w:r>
        <w:rPr>
          <w:rFonts w:hint="eastAsia" w:ascii="宋体" w:hAnsi="宋体" w:cs="宋体"/>
          <w:b/>
          <w:sz w:val="48"/>
          <w:szCs w:val="48"/>
        </w:rPr>
        <w:t>竞</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性</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比</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选</w:t>
      </w:r>
    </w:p>
    <w:p>
      <w:pPr>
        <w:jc w:val="center"/>
        <w:rPr>
          <w:rFonts w:ascii="宋体" w:hAnsi="宋体" w:cs="宋体"/>
          <w:b/>
          <w:sz w:val="48"/>
          <w:szCs w:val="48"/>
        </w:rPr>
      </w:pPr>
    </w:p>
    <w:p>
      <w:pPr>
        <w:jc w:val="center"/>
        <w:rPr>
          <w:rFonts w:ascii="宋体" w:hAnsi="宋体" w:cs="宋体"/>
          <w:b/>
          <w:sz w:val="48"/>
          <w:szCs w:val="48"/>
        </w:rPr>
      </w:pPr>
      <w:r>
        <w:rPr>
          <w:rFonts w:hint="eastAsia" w:ascii="宋体" w:hAnsi="宋体" w:cs="宋体"/>
          <w:b/>
          <w:sz w:val="48"/>
          <w:szCs w:val="48"/>
        </w:rPr>
        <w:t>文</w:t>
      </w:r>
    </w:p>
    <w:p>
      <w:pPr>
        <w:jc w:val="center"/>
        <w:rPr>
          <w:rFonts w:ascii="宋体" w:hAnsi="宋体" w:cs="宋体"/>
          <w:b/>
          <w:sz w:val="48"/>
          <w:szCs w:val="48"/>
        </w:rPr>
      </w:pPr>
    </w:p>
    <w:p>
      <w:pPr>
        <w:jc w:val="center"/>
        <w:rPr>
          <w:rFonts w:ascii="宋体" w:hAnsi="宋体" w:cs="宋体"/>
          <w:b/>
          <w:sz w:val="96"/>
          <w:szCs w:val="72"/>
        </w:rPr>
      </w:pPr>
      <w:r>
        <w:rPr>
          <w:rFonts w:hint="eastAsia" w:ascii="宋体" w:hAnsi="宋体" w:cs="宋体"/>
          <w:b/>
          <w:sz w:val="48"/>
          <w:szCs w:val="48"/>
        </w:rPr>
        <w:t>件</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
    <w:p>
      <w:pPr>
        <w:jc w:val="center"/>
        <w:rPr>
          <w:rFonts w:ascii="宋体" w:hAnsi="宋体" w:cs="宋体"/>
          <w:b/>
          <w:sz w:val="28"/>
          <w:szCs w:val="28"/>
        </w:rPr>
      </w:pPr>
      <w:r>
        <w:rPr>
          <w:rFonts w:hint="eastAsia" w:ascii="宋体" w:hAnsi="宋体" w:cs="宋体"/>
          <w:b/>
          <w:sz w:val="28"/>
          <w:szCs w:val="28"/>
        </w:rPr>
        <w:t>采购人：重庆首讯科技股份有限公司</w:t>
      </w:r>
    </w:p>
    <w:p>
      <w:pPr>
        <w:jc w:val="center"/>
        <w:rPr>
          <w:rFonts w:ascii="宋体" w:hAnsi="宋体" w:cs="宋体"/>
          <w:b/>
          <w:sz w:val="28"/>
          <w:szCs w:val="28"/>
        </w:rPr>
      </w:pPr>
      <w:r>
        <w:rPr>
          <w:rFonts w:hint="eastAsia" w:ascii="宋体" w:hAnsi="宋体" w:cs="宋体"/>
          <w:b/>
          <w:sz w:val="28"/>
          <w:szCs w:val="28"/>
          <w:u w:val="single"/>
          <w:lang w:eastAsia="zh-CN"/>
        </w:rPr>
        <w:t>2024</w:t>
      </w:r>
      <w:r>
        <w:rPr>
          <w:rFonts w:hint="eastAsia" w:ascii="宋体" w:hAnsi="宋体" w:cs="宋体"/>
          <w:b/>
          <w:sz w:val="28"/>
          <w:szCs w:val="28"/>
        </w:rPr>
        <w:t>年</w:t>
      </w:r>
      <w:r>
        <w:rPr>
          <w:rFonts w:hint="eastAsia" w:ascii="宋体" w:hAnsi="宋体" w:cs="宋体"/>
          <w:b/>
          <w:sz w:val="28"/>
          <w:szCs w:val="28"/>
          <w:u w:val="single"/>
          <w:lang w:val="en-US" w:eastAsia="zh-CN"/>
        </w:rPr>
        <w:t>12</w:t>
      </w:r>
      <w:r>
        <w:rPr>
          <w:rFonts w:hint="eastAsia" w:ascii="宋体" w:hAnsi="宋体" w:cs="宋体"/>
          <w:b/>
          <w:sz w:val="28"/>
          <w:szCs w:val="28"/>
        </w:rPr>
        <w:t>月</w:t>
      </w:r>
    </w:p>
    <w:p>
      <w:pPr>
        <w:jc w:val="center"/>
        <w:rPr>
          <w:rFonts w:ascii="宋体" w:hAnsi="宋体" w:cs="宋体"/>
          <w:szCs w:val="21"/>
        </w:rPr>
      </w:pPr>
      <w:r>
        <w:br w:type="page"/>
      </w:r>
      <w:bookmarkStart w:id="0" w:name="_Toc507428442"/>
      <w:bookmarkStart w:id="1" w:name="_Toc247085669"/>
      <w:bookmarkStart w:id="2" w:name="_Toc296602400"/>
      <w:bookmarkStart w:id="3" w:name="_Toc507319889"/>
      <w:bookmarkStart w:id="4" w:name="_Toc246996898"/>
      <w:r>
        <w:rPr>
          <w:rFonts w:hint="eastAsia" w:ascii="宋体" w:hAnsi="宋体" w:cs="宋体"/>
          <w:sz w:val="32"/>
        </w:rPr>
        <w:t>目   录</w:t>
      </w:r>
      <w:bookmarkEnd w:id="0"/>
      <w:bookmarkEnd w:id="1"/>
      <w:bookmarkEnd w:id="2"/>
      <w:bookmarkEnd w:id="3"/>
      <w:bookmarkEnd w:id="4"/>
    </w:p>
    <w:p>
      <w:pPr>
        <w:tabs>
          <w:tab w:val="right" w:leader="dot" w:pos="9638"/>
        </w:tabs>
      </w:pPr>
      <w:r>
        <w:rPr>
          <w:rFonts w:hint="eastAsia" w:ascii="宋体" w:hAnsi="宋体" w:cs="宋体"/>
          <w:b/>
        </w:rPr>
        <w:fldChar w:fldCharType="begin"/>
      </w:r>
      <w:r>
        <w:rPr>
          <w:rFonts w:hint="eastAsia" w:ascii="宋体" w:hAnsi="宋体" w:cs="宋体"/>
        </w:rPr>
        <w:instrText xml:space="preserve"> TOC \o "1-2" \h \z \u </w:instrText>
      </w:r>
      <w:r>
        <w:rPr>
          <w:rFonts w:hint="eastAsia" w:ascii="宋体" w:hAnsi="宋体" w:cs="宋体"/>
          <w:b/>
        </w:rPr>
        <w:fldChar w:fldCharType="separate"/>
      </w:r>
      <w:r>
        <w:fldChar w:fldCharType="begin"/>
      </w:r>
      <w:r>
        <w:instrText xml:space="preserve"> HYPERLINK \l "_Toc10533" </w:instrText>
      </w:r>
      <w:r>
        <w:fldChar w:fldCharType="separate"/>
      </w:r>
      <w:r>
        <w:rPr>
          <w:rFonts w:hint="eastAsia" w:ascii="宋体" w:hAnsi="宋体" w:cs="宋体"/>
        </w:rPr>
        <w:t>第一章 比选公告</w:t>
      </w:r>
      <w:r>
        <w:tab/>
      </w:r>
      <w:r>
        <w:fldChar w:fldCharType="end"/>
      </w:r>
    </w:p>
    <w:p>
      <w:pPr>
        <w:tabs>
          <w:tab w:val="right" w:leader="dot" w:pos="9638"/>
        </w:tabs>
      </w:pPr>
      <w:r>
        <w:fldChar w:fldCharType="begin"/>
      </w:r>
      <w:r>
        <w:instrText xml:space="preserve"> HYPERLINK \l "_Toc21719" </w:instrText>
      </w:r>
      <w:r>
        <w:fldChar w:fldCharType="separate"/>
      </w:r>
      <w:r>
        <w:rPr>
          <w:rFonts w:hint="eastAsia" w:ascii="宋体" w:hAnsi="宋体" w:cs="宋体"/>
        </w:rPr>
        <w:t>第二章 报价人须知</w:t>
      </w:r>
      <w:r>
        <w:tab/>
      </w:r>
      <w:r>
        <w:fldChar w:fldCharType="end"/>
      </w:r>
    </w:p>
    <w:p>
      <w:pPr>
        <w:tabs>
          <w:tab w:val="right" w:leader="dot" w:pos="9638"/>
        </w:tabs>
      </w:pPr>
      <w:r>
        <w:fldChar w:fldCharType="begin"/>
      </w:r>
      <w:r>
        <w:instrText xml:space="preserve"> HYPERLINK \l "_Toc7682" </w:instrText>
      </w:r>
      <w:r>
        <w:fldChar w:fldCharType="separate"/>
      </w:r>
      <w:r>
        <w:rPr>
          <w:rFonts w:hint="eastAsia" w:ascii="宋体" w:hAnsi="宋体" w:cs="宋体"/>
        </w:rPr>
        <w:t>第三章 评标办法（经评审的最低投标价法）</w:t>
      </w:r>
      <w:r>
        <w:tab/>
      </w:r>
      <w:r>
        <w:fldChar w:fldCharType="end"/>
      </w:r>
    </w:p>
    <w:p>
      <w:pPr>
        <w:tabs>
          <w:tab w:val="right" w:leader="dot" w:pos="9638"/>
        </w:tabs>
      </w:pPr>
      <w:r>
        <w:fldChar w:fldCharType="begin"/>
      </w:r>
      <w:r>
        <w:instrText xml:space="preserve"> HYPERLINK \l "_Toc13787" </w:instrText>
      </w:r>
      <w:r>
        <w:fldChar w:fldCharType="separate"/>
      </w:r>
      <w:r>
        <w:rPr>
          <w:rFonts w:hint="eastAsia"/>
        </w:rPr>
        <w:t>第四章 报价说明</w:t>
      </w:r>
      <w:r>
        <w:tab/>
      </w:r>
      <w:r>
        <w:fldChar w:fldCharType="end"/>
      </w:r>
    </w:p>
    <w:p>
      <w:pPr>
        <w:tabs>
          <w:tab w:val="right" w:leader="dot" w:pos="9638"/>
        </w:tabs>
      </w:pPr>
      <w:r>
        <w:fldChar w:fldCharType="begin"/>
      </w:r>
      <w:r>
        <w:instrText xml:space="preserve"> HYPERLINK \l "_Toc24503" </w:instrText>
      </w:r>
      <w:r>
        <w:fldChar w:fldCharType="separate"/>
      </w:r>
      <w:r>
        <w:rPr>
          <w:rFonts w:hint="eastAsia" w:ascii="宋体" w:hAnsi="宋体" w:cs="宋体"/>
        </w:rPr>
        <w:t>第五章  工程量清单</w:t>
      </w:r>
      <w:r>
        <w:tab/>
      </w:r>
      <w:r>
        <w:fldChar w:fldCharType="end"/>
      </w:r>
    </w:p>
    <w:p>
      <w:pPr>
        <w:tabs>
          <w:tab w:val="right" w:leader="dot" w:pos="9638"/>
        </w:tabs>
      </w:pPr>
      <w:r>
        <w:fldChar w:fldCharType="begin"/>
      </w:r>
      <w:r>
        <w:instrText xml:space="preserve"> HYPERLINK \l "_Toc12440" </w:instrText>
      </w:r>
      <w:r>
        <w:fldChar w:fldCharType="separate"/>
      </w:r>
      <w:r>
        <w:rPr>
          <w:rFonts w:hint="eastAsia" w:ascii="宋体" w:hAnsi="宋体" w:cs="宋体"/>
        </w:rPr>
        <w:t>第六章  图  纸</w:t>
      </w:r>
      <w:r>
        <w:tab/>
      </w:r>
      <w:r>
        <w:fldChar w:fldCharType="end"/>
      </w:r>
    </w:p>
    <w:p>
      <w:pPr>
        <w:tabs>
          <w:tab w:val="right" w:leader="dot" w:pos="9638"/>
        </w:tabs>
      </w:pPr>
      <w:r>
        <w:fldChar w:fldCharType="begin"/>
      </w:r>
      <w:r>
        <w:instrText xml:space="preserve"> HYPERLINK \l "_Toc10887" </w:instrText>
      </w:r>
      <w:r>
        <w:fldChar w:fldCharType="separate"/>
      </w:r>
      <w:r>
        <w:rPr>
          <w:rFonts w:hint="eastAsia" w:ascii="宋体" w:hAnsi="宋体" w:cs="宋体"/>
        </w:rPr>
        <w:t>第七章  技术标准和工作要求</w:t>
      </w:r>
      <w:r>
        <w:tab/>
      </w:r>
      <w:r>
        <w:fldChar w:fldCharType="end"/>
      </w:r>
    </w:p>
    <w:p>
      <w:pPr>
        <w:tabs>
          <w:tab w:val="right" w:leader="dot" w:pos="9638"/>
        </w:tabs>
      </w:pPr>
      <w:r>
        <w:fldChar w:fldCharType="begin"/>
      </w:r>
      <w:r>
        <w:instrText xml:space="preserve"> HYPERLINK \l "_Toc12089" </w:instrText>
      </w:r>
      <w:r>
        <w:fldChar w:fldCharType="separate"/>
      </w:r>
      <w:r>
        <w:rPr>
          <w:rFonts w:hint="eastAsia" w:ascii="宋体" w:hAnsi="宋体" w:cs="宋体"/>
        </w:rPr>
        <w:t>第八章  合同范本</w:t>
      </w:r>
      <w:r>
        <w:tab/>
      </w:r>
      <w:r>
        <w:fldChar w:fldCharType="end"/>
      </w:r>
    </w:p>
    <w:p>
      <w:pPr>
        <w:tabs>
          <w:tab w:val="right" w:leader="dot" w:pos="9638"/>
        </w:tabs>
        <w:rPr>
          <w:rFonts w:ascii="宋体" w:hAnsi="宋体" w:cs="宋体"/>
        </w:rPr>
      </w:pPr>
      <w:r>
        <w:fldChar w:fldCharType="begin"/>
      </w:r>
      <w:r>
        <w:instrText xml:space="preserve"> HYPERLINK \l "_Toc24853" </w:instrText>
      </w:r>
      <w:r>
        <w:fldChar w:fldCharType="separate"/>
      </w:r>
      <w:r>
        <w:rPr>
          <w:rFonts w:hint="eastAsia" w:ascii="宋体" w:hAnsi="宋体" w:cs="宋体"/>
        </w:rPr>
        <w:t>第九章  竞争性比选响应文件格式</w:t>
      </w:r>
      <w:r>
        <w:tab/>
      </w:r>
      <w:r>
        <w:fldChar w:fldCharType="end"/>
      </w:r>
    </w:p>
    <w:p/>
    <w:p>
      <w:pPr>
        <w:tabs>
          <w:tab w:val="right" w:leader="dot" w:pos="9628"/>
        </w:tabs>
        <w:jc w:val="left"/>
        <w:rPr>
          <w:rFonts w:ascii="宋体" w:hAnsi="宋体" w:cs="宋体"/>
          <w:b/>
          <w:bCs/>
          <w:caps/>
          <w:smallCaps/>
          <w:sz w:val="20"/>
          <w:szCs w:val="20"/>
        </w:rPr>
        <w:sectPr>
          <w:footerReference r:id="rId6" w:type="first"/>
          <w:headerReference r:id="rId3" w:type="default"/>
          <w:footerReference r:id="rId4" w:type="default"/>
          <w:footerReference r:id="rId5" w:type="even"/>
          <w:pgSz w:w="11906" w:h="16838"/>
          <w:pgMar w:top="1418" w:right="1134" w:bottom="1418" w:left="1134" w:header="851" w:footer="992" w:gutter="0"/>
          <w:cols w:space="720" w:num="1"/>
          <w:docGrid w:type="lines" w:linePitch="312" w:charSpace="0"/>
        </w:sectPr>
      </w:pPr>
      <w:r>
        <w:rPr>
          <w:rFonts w:hint="eastAsia" w:ascii="宋体" w:hAnsi="宋体" w:cs="宋体"/>
          <w:bCs/>
          <w:caps/>
          <w:smallCaps/>
          <w:sz w:val="20"/>
          <w:szCs w:val="20"/>
        </w:rPr>
        <w:fldChar w:fldCharType="end"/>
      </w:r>
    </w:p>
    <w:p>
      <w:pPr>
        <w:keepNext/>
        <w:keepLines/>
        <w:spacing w:line="360" w:lineRule="auto"/>
        <w:jc w:val="center"/>
        <w:outlineLvl w:val="0"/>
        <w:rPr>
          <w:rFonts w:ascii="宋体" w:hAnsi="宋体" w:cs="宋体"/>
          <w:b/>
          <w:bCs/>
          <w:kern w:val="44"/>
          <w:sz w:val="44"/>
          <w:szCs w:val="44"/>
        </w:rPr>
      </w:pPr>
      <w:bookmarkStart w:id="5" w:name="_Toc246996900"/>
      <w:bookmarkStart w:id="6" w:name="_Toc507319890"/>
      <w:bookmarkStart w:id="7" w:name="_Toc247096243"/>
      <w:bookmarkStart w:id="8" w:name="_Toc152045511"/>
      <w:bookmarkStart w:id="9" w:name="_Toc2000404"/>
      <w:bookmarkStart w:id="10" w:name="_Toc179632527"/>
      <w:bookmarkStart w:id="11" w:name="_Toc246996157"/>
      <w:bookmarkStart w:id="12" w:name="_Toc247085671"/>
      <w:bookmarkStart w:id="13" w:name="_Toc152042287"/>
      <w:bookmarkStart w:id="14" w:name="_Toc144974479"/>
      <w:bookmarkStart w:id="15" w:name="_Toc10533"/>
      <w:r>
        <w:rPr>
          <w:rFonts w:hint="eastAsia" w:ascii="宋体" w:hAnsi="宋体" w:cs="宋体"/>
          <w:b/>
          <w:bCs/>
          <w:kern w:val="44"/>
          <w:sz w:val="44"/>
          <w:szCs w:val="44"/>
        </w:rPr>
        <w:t xml:space="preserve">第一章 </w:t>
      </w:r>
      <w:bookmarkEnd w:id="5"/>
      <w:bookmarkEnd w:id="6"/>
      <w:bookmarkEnd w:id="7"/>
      <w:bookmarkEnd w:id="8"/>
      <w:bookmarkEnd w:id="9"/>
      <w:bookmarkEnd w:id="10"/>
      <w:bookmarkEnd w:id="11"/>
      <w:bookmarkEnd w:id="12"/>
      <w:bookmarkEnd w:id="13"/>
      <w:bookmarkEnd w:id="14"/>
      <w:r>
        <w:rPr>
          <w:rFonts w:hint="eastAsia" w:ascii="宋体" w:hAnsi="宋体" w:cs="宋体"/>
          <w:b/>
          <w:bCs/>
          <w:kern w:val="44"/>
          <w:sz w:val="44"/>
          <w:szCs w:val="44"/>
        </w:rPr>
        <w:t>比选公告</w:t>
      </w:r>
      <w:bookmarkEnd w:id="15"/>
    </w:p>
    <w:p>
      <w:pPr>
        <w:spacing w:line="440" w:lineRule="exact"/>
        <w:jc w:val="center"/>
        <w:rPr>
          <w:rFonts w:ascii="宋体" w:hAnsi="宋体" w:cs="宋体"/>
          <w:b/>
          <w:sz w:val="28"/>
          <w:szCs w:val="28"/>
        </w:rPr>
      </w:pPr>
      <w:bookmarkStart w:id="16" w:name="OLE_LINK3"/>
      <w:bookmarkStart w:id="17" w:name="OLE_LINK2"/>
    </w:p>
    <w:p>
      <w:pPr>
        <w:keepNext/>
        <w:keepLines/>
        <w:spacing w:line="360" w:lineRule="auto"/>
        <w:outlineLvl w:val="1"/>
        <w:rPr>
          <w:rFonts w:ascii="宋体" w:hAnsi="宋体" w:cs="宋体"/>
          <w:b/>
          <w:bCs/>
          <w:kern w:val="0"/>
          <w:sz w:val="32"/>
          <w:szCs w:val="32"/>
        </w:rPr>
      </w:pPr>
      <w:bookmarkStart w:id="18" w:name="_Toc179632528"/>
      <w:bookmarkStart w:id="19" w:name="_Toc24874"/>
      <w:bookmarkStart w:id="20" w:name="_Toc144974480"/>
      <w:bookmarkStart w:id="21" w:name="_Toc246996158"/>
      <w:bookmarkStart w:id="22" w:name="_Toc246996901"/>
      <w:bookmarkStart w:id="23" w:name="_Toc152042288"/>
      <w:bookmarkStart w:id="24" w:name="_Toc11329213"/>
      <w:bookmarkStart w:id="25" w:name="_Toc10076"/>
      <w:bookmarkStart w:id="26" w:name="_Toc152045512"/>
      <w:bookmarkStart w:id="27" w:name="_Toc6549"/>
      <w:bookmarkStart w:id="28" w:name="_Toc247085672"/>
      <w:bookmarkStart w:id="29" w:name="_Toc507319891"/>
      <w:r>
        <w:rPr>
          <w:rFonts w:hint="eastAsia" w:ascii="宋体" w:hAnsi="宋体" w:cs="宋体"/>
          <w:b/>
          <w:bCs/>
          <w:kern w:val="0"/>
          <w:sz w:val="32"/>
          <w:szCs w:val="32"/>
        </w:rPr>
        <w:t>1. 比选条件</w:t>
      </w:r>
      <w:bookmarkEnd w:id="18"/>
      <w:bookmarkEnd w:id="19"/>
      <w:bookmarkEnd w:id="20"/>
      <w:bookmarkEnd w:id="21"/>
      <w:bookmarkEnd w:id="22"/>
      <w:bookmarkEnd w:id="23"/>
      <w:bookmarkEnd w:id="24"/>
      <w:bookmarkEnd w:id="25"/>
      <w:bookmarkEnd w:id="26"/>
      <w:bookmarkEnd w:id="27"/>
      <w:bookmarkEnd w:id="28"/>
      <w:bookmarkEnd w:id="29"/>
    </w:p>
    <w:p>
      <w:pPr>
        <w:spacing w:line="400" w:lineRule="exact"/>
        <w:rPr>
          <w:rFonts w:ascii="宋体" w:hAnsi="宋体" w:cs="宋体"/>
          <w:szCs w:val="21"/>
        </w:rPr>
      </w:pPr>
      <w:r>
        <w:rPr>
          <w:rFonts w:hint="eastAsia" w:ascii="宋体" w:hAnsi="宋体" w:cs="宋体"/>
          <w:szCs w:val="21"/>
        </w:rPr>
        <w:t>　　本竞争性比选项目</w:t>
      </w:r>
      <w:r>
        <w:rPr>
          <w:rFonts w:hint="eastAsia" w:ascii="宋体" w:hAnsi="宋体" w:cs="宋体"/>
          <w:szCs w:val="21"/>
          <w:u w:val="single"/>
          <w:lang w:eastAsia="zh-CN"/>
        </w:rPr>
        <w:t>2025年营运公司网络安全维护服务项目</w:t>
      </w:r>
      <w:r>
        <w:rPr>
          <w:rFonts w:hint="eastAsia" w:ascii="宋体" w:hAnsi="宋体" w:cs="宋体"/>
          <w:szCs w:val="21"/>
          <w:u w:val="single"/>
        </w:rPr>
        <w:t xml:space="preserve"> </w:t>
      </w:r>
      <w:r>
        <w:rPr>
          <w:rFonts w:hint="eastAsia" w:ascii="宋体" w:hAnsi="宋体" w:cs="宋体"/>
          <w:szCs w:val="21"/>
        </w:rPr>
        <w:t>，采购人为</w:t>
      </w:r>
      <w:r>
        <w:rPr>
          <w:rFonts w:hint="eastAsia" w:ascii="宋体" w:hAnsi="宋体" w:cs="宋体"/>
          <w:szCs w:val="21"/>
          <w:u w:val="single"/>
        </w:rPr>
        <w:t xml:space="preserve"> 重庆首讯科技股份有限公司 </w:t>
      </w:r>
      <w:r>
        <w:rPr>
          <w:rFonts w:hint="eastAsia" w:ascii="宋体" w:hAnsi="宋体" w:cs="宋体"/>
          <w:szCs w:val="21"/>
        </w:rPr>
        <w:t>，该项目已具备比选条件，现对该项目进行竞争性比选。</w:t>
      </w:r>
    </w:p>
    <w:p>
      <w:pPr>
        <w:keepNext/>
        <w:keepLines/>
        <w:spacing w:before="120" w:line="360" w:lineRule="auto"/>
        <w:outlineLvl w:val="1"/>
        <w:rPr>
          <w:rFonts w:ascii="宋体" w:hAnsi="宋体" w:cs="宋体"/>
          <w:b/>
          <w:bCs/>
          <w:kern w:val="0"/>
          <w:sz w:val="32"/>
          <w:szCs w:val="32"/>
        </w:rPr>
      </w:pPr>
      <w:bookmarkStart w:id="30" w:name="_Toc18109"/>
      <w:bookmarkStart w:id="31" w:name="_Toc10952"/>
      <w:bookmarkStart w:id="32" w:name="_Toc507319892"/>
      <w:bookmarkStart w:id="33" w:name="_Toc246996159"/>
      <w:bookmarkStart w:id="34" w:name="_Toc247085673"/>
      <w:bookmarkStart w:id="35" w:name="_Toc152045513"/>
      <w:bookmarkStart w:id="36" w:name="_Toc246996902"/>
      <w:bookmarkStart w:id="37" w:name="_Toc21343"/>
      <w:bookmarkStart w:id="38" w:name="_Toc144974481"/>
      <w:bookmarkStart w:id="39" w:name="_Toc11329214"/>
      <w:bookmarkStart w:id="40" w:name="_Toc179632529"/>
      <w:bookmarkStart w:id="41" w:name="_Toc152042289"/>
      <w:r>
        <w:rPr>
          <w:rFonts w:hint="eastAsia" w:ascii="宋体" w:hAnsi="宋体" w:cs="宋体"/>
          <w:b/>
          <w:bCs/>
          <w:kern w:val="0"/>
          <w:sz w:val="32"/>
          <w:szCs w:val="32"/>
        </w:rPr>
        <w:t>2. 项目概况与比选范围</w:t>
      </w:r>
      <w:bookmarkEnd w:id="30"/>
      <w:bookmarkEnd w:id="31"/>
      <w:bookmarkEnd w:id="32"/>
      <w:bookmarkEnd w:id="33"/>
      <w:bookmarkEnd w:id="34"/>
      <w:bookmarkEnd w:id="35"/>
      <w:bookmarkEnd w:id="36"/>
      <w:bookmarkEnd w:id="37"/>
      <w:bookmarkEnd w:id="38"/>
      <w:bookmarkEnd w:id="39"/>
      <w:bookmarkEnd w:id="40"/>
      <w:bookmarkEnd w:id="41"/>
    </w:p>
    <w:p>
      <w:pPr>
        <w:spacing w:line="360" w:lineRule="auto"/>
        <w:ind w:firstLine="420" w:firstLineChars="200"/>
        <w:rPr>
          <w:rFonts w:ascii="宋体" w:hAnsi="宋体" w:cs="宋体"/>
        </w:rPr>
      </w:pPr>
      <w:bookmarkStart w:id="42" w:name="_Toc446247226"/>
      <w:r>
        <w:rPr>
          <w:rFonts w:hint="eastAsia" w:ascii="宋体" w:hAnsi="宋体" w:cs="宋体"/>
        </w:rPr>
        <w:t>2.1 项目地点：</w:t>
      </w:r>
      <w:bookmarkEnd w:id="42"/>
      <w:r>
        <w:rPr>
          <w:rFonts w:hint="eastAsia" w:ascii="宋体" w:hAnsi="宋体" w:cs="宋体"/>
          <w:u w:val="single"/>
        </w:rPr>
        <w:t>中西部、东北部、东南部所辖路段。</w:t>
      </w:r>
    </w:p>
    <w:p>
      <w:pPr>
        <w:adjustRightInd w:val="0"/>
        <w:spacing w:line="400" w:lineRule="exact"/>
        <w:ind w:firstLine="420" w:firstLineChars="200"/>
        <w:rPr>
          <w:rFonts w:ascii="宋体" w:hAnsi="宋体" w:cs="宋体"/>
        </w:rPr>
      </w:pPr>
      <w:r>
        <w:rPr>
          <w:rFonts w:hint="eastAsia" w:ascii="宋体" w:hAnsi="宋体" w:cs="宋体"/>
          <w:szCs w:val="21"/>
        </w:rPr>
        <w:t>2.2 项目概况：照国家及行业相关政策要求以及国内国际权威安全管理体系标准，结合工作实际，配合业主单位完善和修订网络安全制度、应急预案、个人信息管理办法等相关安全管理制度，完善安全管理体系，并对制度的可实施性、可操作性提出相关合理建议等服务。具体见技术标准和工作要求。</w:t>
      </w:r>
    </w:p>
    <w:p>
      <w:pPr>
        <w:adjustRightInd w:val="0"/>
        <w:spacing w:line="400" w:lineRule="exact"/>
        <w:ind w:firstLine="420" w:firstLineChars="200"/>
        <w:rPr>
          <w:rFonts w:ascii="宋体" w:hAnsi="宋体" w:cs="宋体"/>
          <w:szCs w:val="21"/>
        </w:rPr>
      </w:pPr>
      <w:r>
        <w:rPr>
          <w:rFonts w:hint="eastAsia" w:ascii="宋体" w:hAnsi="宋体" w:cs="宋体"/>
        </w:rPr>
        <w:t>2.3 比选范围：</w:t>
      </w:r>
      <w:r>
        <w:rPr>
          <w:rFonts w:hint="eastAsia" w:ascii="宋体" w:hAnsi="宋体" w:cs="宋体"/>
          <w:szCs w:val="21"/>
          <w:u w:val="single"/>
          <w:lang w:eastAsia="zh-CN"/>
        </w:rPr>
        <w:t>2025年营运公司网络安全维护服务项目</w:t>
      </w:r>
      <w:r>
        <w:rPr>
          <w:rFonts w:hint="eastAsia" w:ascii="宋体" w:hAnsi="宋体" w:cs="宋体"/>
          <w:szCs w:val="21"/>
          <w:u w:val="single"/>
        </w:rPr>
        <w:t>及技术支持相关工作</w:t>
      </w:r>
      <w:r>
        <w:rPr>
          <w:rFonts w:hint="eastAsia" w:ascii="宋体" w:hAnsi="宋体" w:cs="宋体"/>
          <w:szCs w:val="21"/>
        </w:rPr>
        <w:t xml:space="preserve"> </w:t>
      </w:r>
    </w:p>
    <w:p>
      <w:pPr>
        <w:spacing w:line="400" w:lineRule="exact"/>
        <w:ind w:firstLine="420" w:firstLineChars="200"/>
        <w:rPr>
          <w:rFonts w:ascii="宋体" w:hAnsi="宋体" w:cs="宋体"/>
        </w:rPr>
      </w:pPr>
      <w:r>
        <w:rPr>
          <w:rFonts w:hint="eastAsia" w:ascii="宋体" w:hAnsi="宋体" w:cs="宋体"/>
        </w:rPr>
        <w:t>2.4 工期要求：合同期限：</w:t>
      </w:r>
      <w:bookmarkStart w:id="43" w:name="_Hlk99356390"/>
      <w:r>
        <w:rPr>
          <w:rFonts w:hint="eastAsia" w:ascii="宋体" w:hAnsi="宋体" w:cs="宋体"/>
          <w:u w:val="single"/>
          <w:lang w:val="en-US" w:eastAsia="zh-CN"/>
        </w:rPr>
        <w:t>暂定于2025年1月1日至2025年12月31日</w:t>
      </w:r>
      <w:r>
        <w:rPr>
          <w:rFonts w:hint="eastAsia" w:ascii="宋体" w:hAnsi="宋体" w:cs="宋体"/>
          <w:u w:val="single"/>
        </w:rPr>
        <w:t>，具体维护时间以采购人通知时间为准</w:t>
      </w:r>
      <w:r>
        <w:rPr>
          <w:rFonts w:hint="eastAsia" w:ascii="宋体" w:hAnsi="宋体" w:cs="宋体"/>
        </w:rPr>
        <w:t>。</w:t>
      </w:r>
      <w:bookmarkEnd w:id="43"/>
    </w:p>
    <w:p>
      <w:pPr>
        <w:spacing w:line="400" w:lineRule="exact"/>
        <w:ind w:firstLine="420" w:firstLineChars="200"/>
        <w:rPr>
          <w:rFonts w:ascii="宋体" w:hAnsi="宋体" w:cs="宋体"/>
        </w:rPr>
      </w:pPr>
      <w:r>
        <w:rPr>
          <w:rFonts w:hint="eastAsia" w:ascii="宋体" w:hAnsi="宋体" w:cs="宋体"/>
        </w:rPr>
        <w:t>2.5 标段划分：一标段中西部及东北部；</w:t>
      </w:r>
    </w:p>
    <w:p>
      <w:pPr>
        <w:spacing w:line="400" w:lineRule="exact"/>
        <w:ind w:firstLine="1890" w:firstLineChars="900"/>
        <w:rPr>
          <w:rFonts w:ascii="宋体" w:hAnsi="宋体" w:cs="宋体"/>
        </w:rPr>
      </w:pPr>
      <w:r>
        <w:rPr>
          <w:rFonts w:hint="eastAsia" w:ascii="宋体" w:hAnsi="宋体" w:cs="宋体"/>
        </w:rPr>
        <w:t>二标段东南部。</w:t>
      </w:r>
    </w:p>
    <w:p>
      <w:pPr>
        <w:pStyle w:val="28"/>
        <w:ind w:firstLine="420" w:firstLineChars="200"/>
        <w:rPr>
          <w:rFonts w:hint="default" w:ascii="宋体" w:hAnsi="宋体" w:eastAsia="宋体" w:cs="宋体"/>
          <w:b w:val="0"/>
          <w:bCs w:val="0"/>
          <w:caps w:val="0"/>
          <w:sz w:val="21"/>
          <w:szCs w:val="24"/>
          <w:lang w:val="en-US" w:eastAsia="zh-CN"/>
        </w:rPr>
      </w:pPr>
      <w:r>
        <w:rPr>
          <w:rFonts w:hint="eastAsia" w:ascii="宋体" w:hAnsi="宋体" w:cs="宋体"/>
          <w:b w:val="0"/>
          <w:bCs w:val="0"/>
          <w:caps w:val="0"/>
          <w:sz w:val="21"/>
          <w:szCs w:val="24"/>
        </w:rPr>
        <w:t>2</w:t>
      </w:r>
      <w:r>
        <w:rPr>
          <w:rFonts w:ascii="宋体" w:hAnsi="宋体" w:cs="宋体"/>
          <w:b w:val="0"/>
          <w:bCs w:val="0"/>
          <w:caps w:val="0"/>
          <w:sz w:val="21"/>
          <w:szCs w:val="24"/>
        </w:rPr>
        <w:t>.6</w:t>
      </w:r>
      <w:r>
        <w:rPr>
          <w:rFonts w:hint="eastAsia" w:ascii="宋体" w:hAnsi="宋体" w:cs="宋体"/>
          <w:b w:val="0"/>
          <w:bCs w:val="0"/>
          <w:caps w:val="0"/>
          <w:sz w:val="21"/>
          <w:szCs w:val="24"/>
          <w:lang w:val="en-US" w:eastAsia="zh-CN"/>
        </w:rPr>
        <w:t xml:space="preserve"> 预算金额:一标段预算金额：550000.00元，二标段预算金额：440000.00元</w:t>
      </w:r>
    </w:p>
    <w:p>
      <w:pPr>
        <w:pStyle w:val="28"/>
        <w:ind w:firstLine="420" w:firstLineChars="200"/>
        <w:rPr>
          <w:rFonts w:ascii="宋体" w:hAnsi="宋体" w:cs="宋体"/>
          <w:b w:val="0"/>
          <w:bCs w:val="0"/>
          <w:caps w:val="0"/>
          <w:sz w:val="21"/>
          <w:szCs w:val="24"/>
        </w:rPr>
      </w:pPr>
      <w:r>
        <w:rPr>
          <w:rFonts w:hint="eastAsia" w:ascii="宋体" w:hAnsi="宋体" w:cs="宋体"/>
          <w:b w:val="0"/>
          <w:bCs w:val="0"/>
          <w:caps w:val="0"/>
          <w:sz w:val="21"/>
          <w:szCs w:val="24"/>
          <w:lang w:val="en-US" w:eastAsia="zh-CN"/>
        </w:rPr>
        <w:t xml:space="preserve">2.7 </w:t>
      </w:r>
      <w:r>
        <w:rPr>
          <w:rFonts w:hint="eastAsia" w:ascii="宋体" w:hAnsi="宋体" w:cs="宋体"/>
          <w:b w:val="0"/>
          <w:bCs w:val="0"/>
          <w:caps w:val="0"/>
          <w:sz w:val="21"/>
          <w:szCs w:val="24"/>
        </w:rPr>
        <w:t>其他：本项目共分2个标段，报价单位可以投符合报价单位资格要求的所有标段。但最多只能中一个标段。开标顺序：一标段→二标段。已开出标段的第一中标候选人参与下一标段的评审，但不推荐第二标段的中标侯选人。</w:t>
      </w:r>
    </w:p>
    <w:p>
      <w:pPr>
        <w:keepNext/>
        <w:keepLines/>
        <w:spacing w:before="120" w:line="360" w:lineRule="auto"/>
        <w:outlineLvl w:val="1"/>
        <w:rPr>
          <w:rFonts w:ascii="宋体" w:hAnsi="宋体" w:cs="宋体"/>
          <w:b/>
          <w:bCs/>
          <w:kern w:val="0"/>
          <w:sz w:val="32"/>
          <w:szCs w:val="32"/>
        </w:rPr>
      </w:pPr>
      <w:bookmarkStart w:id="44" w:name="_Toc152045514"/>
      <w:bookmarkStart w:id="45" w:name="_Toc246996903"/>
      <w:bookmarkStart w:id="46" w:name="_Toc30356"/>
      <w:bookmarkStart w:id="47" w:name="_Toc246996160"/>
      <w:bookmarkStart w:id="48" w:name="_Toc7065"/>
      <w:bookmarkStart w:id="49" w:name="_Toc144974482"/>
      <w:bookmarkStart w:id="50" w:name="_Toc247085674"/>
      <w:bookmarkStart w:id="51" w:name="_Toc179632530"/>
      <w:bookmarkStart w:id="52" w:name="_Toc10171"/>
      <w:bookmarkStart w:id="53" w:name="_Toc507319893"/>
      <w:bookmarkStart w:id="54" w:name="_Toc152042290"/>
      <w:bookmarkStart w:id="55" w:name="_Toc11329215"/>
      <w:r>
        <w:rPr>
          <w:rFonts w:hint="eastAsia" w:ascii="宋体" w:hAnsi="宋体" w:cs="宋体"/>
          <w:b/>
          <w:bCs/>
          <w:kern w:val="0"/>
          <w:sz w:val="32"/>
          <w:szCs w:val="32"/>
        </w:rPr>
        <w:t>3. 报价人资格要求</w:t>
      </w:r>
      <w:bookmarkEnd w:id="44"/>
      <w:bookmarkEnd w:id="45"/>
      <w:bookmarkEnd w:id="46"/>
      <w:bookmarkEnd w:id="47"/>
      <w:bookmarkEnd w:id="48"/>
      <w:bookmarkEnd w:id="49"/>
      <w:bookmarkEnd w:id="50"/>
      <w:bookmarkEnd w:id="51"/>
      <w:bookmarkEnd w:id="52"/>
      <w:bookmarkEnd w:id="53"/>
      <w:bookmarkEnd w:id="54"/>
      <w:bookmarkEnd w:id="55"/>
    </w:p>
    <w:p>
      <w:pPr>
        <w:spacing w:line="400" w:lineRule="exact"/>
        <w:ind w:firstLine="420" w:firstLineChars="200"/>
        <w:rPr>
          <w:rFonts w:ascii="宋体" w:hAnsi="宋体" w:cs="宋体"/>
          <w:szCs w:val="21"/>
          <w:shd w:val="clear" w:color="auto" w:fill="FFFFFF"/>
        </w:rPr>
      </w:pPr>
      <w:bookmarkStart w:id="56" w:name="_Toc247085675"/>
      <w:bookmarkStart w:id="57" w:name="_Toc246996161"/>
      <w:bookmarkStart w:id="58" w:name="_Toc179632531"/>
      <w:bookmarkStart w:id="59" w:name="_Toc144974483"/>
      <w:bookmarkStart w:id="60" w:name="_Toc152042291"/>
      <w:bookmarkStart w:id="61" w:name="_Toc246996904"/>
      <w:bookmarkStart w:id="62" w:name="_Toc152045515"/>
      <w:r>
        <w:rPr>
          <w:rFonts w:hint="eastAsia" w:ascii="宋体" w:hAnsi="宋体" w:cs="宋体"/>
          <w:szCs w:val="21"/>
          <w:shd w:val="clear" w:color="auto" w:fill="FFFFFF"/>
        </w:rPr>
        <w:t>3.1 资质要求：</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（1）报价人具有独立法人资格；</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（2）具有有效的营业执照；</w:t>
      </w:r>
    </w:p>
    <w:p>
      <w:pPr>
        <w:spacing w:line="400" w:lineRule="exact"/>
        <w:ind w:firstLine="420" w:firstLineChars="200"/>
        <w:rPr>
          <w:rFonts w:hint="eastAsia" w:ascii="宋体" w:hAnsi="宋体" w:eastAsia="宋体" w:cs="宋体"/>
          <w:szCs w:val="21"/>
          <w:shd w:val="clear" w:color="auto" w:fill="FFFFFF"/>
          <w:lang w:eastAsia="zh-CN"/>
        </w:rPr>
      </w:pPr>
      <w:r>
        <w:rPr>
          <w:rFonts w:hint="eastAsia" w:ascii="宋体" w:hAnsi="宋体" w:cs="宋体"/>
          <w:szCs w:val="21"/>
          <w:shd w:val="clear" w:color="auto" w:fill="FFFFFF"/>
        </w:rPr>
        <w:t>（</w:t>
      </w:r>
      <w:r>
        <w:rPr>
          <w:rFonts w:ascii="宋体" w:hAnsi="宋体" w:cs="宋体"/>
          <w:szCs w:val="21"/>
          <w:shd w:val="clear" w:color="auto" w:fill="FFFFFF"/>
        </w:rPr>
        <w:t>3</w:t>
      </w:r>
      <w:r>
        <w:rPr>
          <w:rFonts w:hint="eastAsia" w:ascii="宋体" w:hAnsi="宋体" w:cs="宋体"/>
          <w:szCs w:val="21"/>
          <w:shd w:val="clear" w:color="auto" w:fill="FFFFFF"/>
        </w:rPr>
        <w:t>）资质要求：报价人需具备网络安全设备制造商或授权代理商，授权代理商需提供制造商出具的项目唯一授权证书</w:t>
      </w:r>
      <w:r>
        <w:rPr>
          <w:rFonts w:hint="eastAsia" w:ascii="宋体" w:hAnsi="宋体" w:cs="宋体"/>
          <w:szCs w:val="21"/>
          <w:shd w:val="clear" w:color="auto" w:fill="FFFFFF"/>
          <w:lang w:eastAsia="zh-CN"/>
        </w:rPr>
        <w:t>；</w:t>
      </w:r>
    </w:p>
    <w:p>
      <w:pPr>
        <w:spacing w:line="400" w:lineRule="exact"/>
        <w:ind w:firstLine="420" w:firstLineChars="200"/>
        <w:rPr>
          <w:rFonts w:hint="eastAsia" w:ascii="宋体" w:hAnsi="宋体" w:cs="宋体"/>
          <w:szCs w:val="21"/>
          <w:shd w:val="clear" w:color="auto" w:fill="FFFFFF"/>
        </w:rPr>
      </w:pPr>
      <w:r>
        <w:rPr>
          <w:rFonts w:hint="eastAsia" w:ascii="宋体" w:hAnsi="宋体" w:cs="宋体"/>
          <w:szCs w:val="21"/>
          <w:shd w:val="clear" w:color="auto" w:fill="FFFFFF"/>
        </w:rPr>
        <w:t>说明：（1）本项目接受网络安全设备制造商和代理商参与报价；</w:t>
      </w:r>
    </w:p>
    <w:p>
      <w:pPr>
        <w:spacing w:line="400" w:lineRule="exact"/>
        <w:ind w:firstLine="1050" w:firstLineChars="500"/>
        <w:rPr>
          <w:rFonts w:hint="eastAsia" w:ascii="宋体" w:hAnsi="宋体" w:cs="宋体"/>
          <w:szCs w:val="21"/>
          <w:shd w:val="clear" w:color="auto" w:fill="FFFFFF"/>
        </w:rPr>
      </w:pPr>
      <w:r>
        <w:rPr>
          <w:rFonts w:hint="eastAsia" w:ascii="宋体" w:hAnsi="宋体" w:cs="宋体"/>
          <w:szCs w:val="21"/>
          <w:shd w:val="clear" w:color="auto" w:fill="FFFFFF"/>
        </w:rPr>
        <w:t>（2）如代理商参与投标，则需要提供网络安全设备制造商出具的唯一项目授权函和售后服务承诺函；</w:t>
      </w:r>
    </w:p>
    <w:p>
      <w:pPr>
        <w:spacing w:line="400" w:lineRule="exact"/>
        <w:ind w:firstLine="1050" w:firstLineChars="500"/>
        <w:rPr>
          <w:rFonts w:ascii="宋体" w:hAnsi="宋体" w:cs="宋体"/>
          <w:szCs w:val="21"/>
          <w:shd w:val="clear" w:color="auto" w:fill="FFFFFF"/>
        </w:rPr>
      </w:pPr>
      <w:r>
        <w:rPr>
          <w:rFonts w:hint="eastAsia" w:ascii="宋体" w:hAnsi="宋体" w:cs="宋体"/>
          <w:szCs w:val="21"/>
          <w:shd w:val="clear" w:color="auto" w:fill="FFFFFF"/>
        </w:rPr>
        <w:t>（3）若设备制造商参与投标，则不可授权代理商参与投标。</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3.2 业绩要求：2021年1月1日至本竞争性比选函发出之日之间独立承担过至少1项网络安全建设或者网络信息安全服务工作，单个合同金额不少于</w:t>
      </w:r>
      <w:r>
        <w:rPr>
          <w:rFonts w:hint="eastAsia" w:ascii="宋体" w:hAnsi="宋体" w:cs="宋体"/>
          <w:szCs w:val="21"/>
          <w:shd w:val="clear" w:color="auto" w:fill="FFFFFF"/>
          <w:lang w:val="en-US" w:eastAsia="zh-CN"/>
        </w:rPr>
        <w:t>15</w:t>
      </w:r>
      <w:r>
        <w:rPr>
          <w:rFonts w:hint="eastAsia" w:ascii="宋体" w:hAnsi="宋体" w:cs="宋体"/>
          <w:szCs w:val="21"/>
          <w:shd w:val="clear" w:color="auto" w:fill="FFFFFF"/>
        </w:rPr>
        <w:t>万元（需提供合同扫描件）。</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3.3 信誉要求：报价人在国家企业信用信息公示系统（http://www.gsxt.gov.cn/）中未被列入严重违法失信企业名单（黑名单）信息；在“信用中国”网站（http://www.creditchina.gov.cn/）中未被列入严重失信主体名单。</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3.4 报价人须提供采购人要求的所有资质求、业绩要求、信誉要求的复印件并加盖单位鲜公章。</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3.5 本次比选不接受联合体报价。</w:t>
      </w:r>
    </w:p>
    <w:p>
      <w:pPr>
        <w:spacing w:line="400" w:lineRule="exact"/>
        <w:ind w:firstLine="420" w:firstLineChars="200"/>
        <w:rPr>
          <w:rFonts w:ascii="宋体" w:hAnsi="宋体" w:cs="宋体"/>
          <w:szCs w:val="21"/>
          <w:shd w:val="clear" w:color="auto" w:fill="FFFFFF"/>
        </w:rPr>
      </w:pPr>
      <w:r>
        <w:rPr>
          <w:rFonts w:hint="eastAsia" w:ascii="宋体" w:hAnsi="宋体" w:cs="宋体"/>
          <w:szCs w:val="21"/>
          <w:shd w:val="clear" w:color="auto" w:fill="FFFFFF"/>
        </w:rPr>
        <w:t>3.6单位负责人为同一人或者存在控股、管理关系的不同单位，不得同时参加本项目报价，否则均按无效报价处理。</w:t>
      </w:r>
    </w:p>
    <w:p>
      <w:pPr>
        <w:spacing w:line="400" w:lineRule="exact"/>
        <w:ind w:firstLine="420" w:firstLineChars="200"/>
      </w:pPr>
      <w:r>
        <w:rPr>
          <w:rFonts w:ascii="宋体" w:hAnsi="宋体" w:cs="宋体"/>
          <w:szCs w:val="21"/>
          <w:shd w:val="clear" w:color="auto" w:fill="FFFFFF"/>
        </w:rPr>
        <w:t>3.7</w:t>
      </w:r>
      <w:r>
        <w:rPr>
          <w:rFonts w:hint="eastAsia" w:ascii="宋体" w:hAnsi="宋体" w:cs="宋体"/>
          <w:szCs w:val="21"/>
          <w:shd w:val="clear" w:color="auto" w:fill="FFFFFF"/>
        </w:rPr>
        <w:t>为保障服务质量，要求投标人投标时提供所投标段项目工勘报告（加盖采购人对应标段运维中心公章）。</w:t>
      </w:r>
    </w:p>
    <w:p>
      <w:pPr>
        <w:keepNext/>
        <w:keepLines/>
        <w:spacing w:before="120" w:line="400" w:lineRule="exact"/>
        <w:outlineLvl w:val="1"/>
        <w:rPr>
          <w:rFonts w:ascii="宋体" w:hAnsi="宋体" w:cs="宋体"/>
          <w:b/>
          <w:bCs/>
          <w:kern w:val="0"/>
          <w:sz w:val="32"/>
          <w:szCs w:val="32"/>
        </w:rPr>
      </w:pPr>
      <w:bookmarkStart w:id="63" w:name="_Toc25619"/>
      <w:bookmarkStart w:id="64" w:name="_Toc14361"/>
      <w:bookmarkStart w:id="65" w:name="_Toc507319894"/>
      <w:bookmarkStart w:id="66" w:name="_Toc11329216"/>
      <w:bookmarkStart w:id="67" w:name="_Toc12460"/>
      <w:r>
        <w:rPr>
          <w:rFonts w:hint="eastAsia" w:ascii="宋体" w:hAnsi="宋体" w:cs="宋体"/>
          <w:b/>
          <w:bCs/>
          <w:kern w:val="0"/>
          <w:sz w:val="32"/>
          <w:szCs w:val="32"/>
        </w:rPr>
        <w:t>4. 比选文件的获取</w:t>
      </w:r>
      <w:bookmarkEnd w:id="56"/>
      <w:bookmarkEnd w:id="57"/>
      <w:bookmarkEnd w:id="58"/>
      <w:bookmarkEnd w:id="59"/>
      <w:bookmarkEnd w:id="60"/>
      <w:bookmarkEnd w:id="61"/>
      <w:bookmarkEnd w:id="62"/>
      <w:bookmarkEnd w:id="63"/>
      <w:bookmarkEnd w:id="64"/>
      <w:bookmarkEnd w:id="65"/>
      <w:bookmarkEnd w:id="66"/>
      <w:bookmarkEnd w:id="67"/>
    </w:p>
    <w:p>
      <w:pPr>
        <w:spacing w:line="360" w:lineRule="auto"/>
        <w:ind w:firstLine="420" w:firstLineChars="200"/>
        <w:rPr>
          <w:rFonts w:ascii="宋体" w:hAnsi="宋体"/>
          <w:szCs w:val="21"/>
        </w:rPr>
      </w:pPr>
      <w:bookmarkStart w:id="68" w:name="_Toc246996162"/>
      <w:bookmarkStart w:id="69" w:name="_Toc507319895"/>
      <w:bookmarkStart w:id="70" w:name="_Toc246996905"/>
      <w:bookmarkStart w:id="71" w:name="_Toc11329217"/>
      <w:bookmarkStart w:id="72" w:name="_Toc179632532"/>
      <w:bookmarkStart w:id="73" w:name="_Toc152045516"/>
      <w:bookmarkStart w:id="74" w:name="_Toc152042292"/>
      <w:bookmarkStart w:id="75" w:name="_Toc144974484"/>
      <w:bookmarkStart w:id="76" w:name="_Toc247085676"/>
      <w:r>
        <w:rPr>
          <w:rFonts w:hint="eastAsia" w:ascii="宋体" w:hAnsi="宋体"/>
          <w:szCs w:val="21"/>
        </w:rPr>
        <w:t>凡愿意参加的潜在报价人，在</w:t>
      </w:r>
      <w:r>
        <w:rPr>
          <w:rFonts w:hint="eastAsia" w:ascii="宋体" w:hAnsi="宋体"/>
          <w:szCs w:val="21"/>
          <w:u w:val="single"/>
          <w:lang w:eastAsia="zh-CN"/>
        </w:rPr>
        <w:t>2024</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12</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25</w:t>
      </w:r>
      <w:r>
        <w:rPr>
          <w:rFonts w:hint="eastAsia" w:ascii="宋体" w:hAnsi="宋体"/>
          <w:szCs w:val="21"/>
        </w:rPr>
        <w:t>日</w:t>
      </w:r>
      <w:r>
        <w:rPr>
          <w:rFonts w:hint="eastAsia" w:ascii="宋体" w:hAnsi="宋体"/>
          <w:szCs w:val="21"/>
          <w:u w:val="single"/>
        </w:rPr>
        <w:t>1</w:t>
      </w:r>
      <w:r>
        <w:rPr>
          <w:rFonts w:hint="eastAsia" w:ascii="宋体" w:hAnsi="宋体"/>
          <w:szCs w:val="21"/>
          <w:u w:val="single"/>
          <w:lang w:val="en-US" w:eastAsia="zh-CN"/>
        </w:rPr>
        <w:t>1</w:t>
      </w:r>
      <w:r>
        <w:rPr>
          <w:rFonts w:hint="eastAsia" w:ascii="宋体" w:hAnsi="宋体"/>
          <w:szCs w:val="21"/>
          <w:u w:val="single"/>
        </w:rPr>
        <w:t>:00</w:t>
      </w:r>
      <w:r>
        <w:rPr>
          <w:rFonts w:hint="eastAsia" w:ascii="宋体" w:hAnsi="宋体"/>
          <w:szCs w:val="21"/>
        </w:rPr>
        <w:t>前在重庆高速集团官网上获取比选文件。各报价人应随时关注网上发布的竞争性比选文件答疑、补遗、澄清等文件内容，不管报价人是否下载，均视为已知晓竞争性比选文件的全部内容和有关事宜。</w:t>
      </w:r>
    </w:p>
    <w:p>
      <w:pPr>
        <w:keepNext/>
        <w:keepLines/>
        <w:spacing w:before="120" w:line="400" w:lineRule="exact"/>
        <w:outlineLvl w:val="1"/>
        <w:rPr>
          <w:rFonts w:ascii="宋体" w:hAnsi="宋体" w:cs="宋体"/>
          <w:b/>
          <w:bCs/>
          <w:kern w:val="0"/>
          <w:sz w:val="32"/>
          <w:szCs w:val="32"/>
        </w:rPr>
      </w:pPr>
      <w:bookmarkStart w:id="77" w:name="_Toc9131"/>
      <w:bookmarkStart w:id="78" w:name="_Toc16686"/>
      <w:bookmarkStart w:id="79" w:name="_Toc31493"/>
      <w:r>
        <w:rPr>
          <w:rFonts w:hint="eastAsia" w:ascii="宋体" w:hAnsi="宋体" w:cs="宋体"/>
          <w:b/>
          <w:bCs/>
          <w:kern w:val="0"/>
          <w:sz w:val="32"/>
          <w:szCs w:val="32"/>
        </w:rPr>
        <w:t>5. 竞争性比选响应文件的递交</w:t>
      </w:r>
      <w:bookmarkEnd w:id="68"/>
      <w:bookmarkEnd w:id="69"/>
      <w:bookmarkEnd w:id="70"/>
      <w:bookmarkEnd w:id="71"/>
      <w:bookmarkEnd w:id="72"/>
      <w:bookmarkEnd w:id="73"/>
      <w:bookmarkEnd w:id="74"/>
      <w:bookmarkEnd w:id="75"/>
      <w:bookmarkEnd w:id="76"/>
      <w:r>
        <w:rPr>
          <w:rFonts w:hint="eastAsia" w:ascii="宋体" w:hAnsi="宋体" w:cs="宋体"/>
          <w:b/>
          <w:bCs/>
          <w:kern w:val="0"/>
          <w:sz w:val="32"/>
          <w:szCs w:val="32"/>
        </w:rPr>
        <w:t>及相关事宜</w:t>
      </w:r>
      <w:bookmarkEnd w:id="77"/>
      <w:bookmarkEnd w:id="78"/>
      <w:bookmarkEnd w:id="79"/>
    </w:p>
    <w:p>
      <w:pPr>
        <w:tabs>
          <w:tab w:val="left" w:pos="360"/>
        </w:tabs>
        <w:spacing w:line="360" w:lineRule="auto"/>
        <w:ind w:firstLine="420" w:firstLineChars="200"/>
        <w:rPr>
          <w:rFonts w:ascii="宋体" w:hAnsi="宋体" w:cs="宋体"/>
          <w:szCs w:val="21"/>
          <w:highlight w:val="yellow"/>
        </w:rPr>
      </w:pPr>
      <w:r>
        <w:rPr>
          <w:rFonts w:hint="eastAsia" w:ascii="宋体" w:hAnsi="宋体" w:cs="宋体"/>
          <w:szCs w:val="21"/>
        </w:rPr>
        <w:t>5.1报价截止时间和开标时间：</w:t>
      </w:r>
      <w:r>
        <w:rPr>
          <w:rFonts w:hint="eastAsia" w:ascii="宋体" w:hAnsi="宋体"/>
          <w:szCs w:val="21"/>
          <w:u w:val="single"/>
          <w:lang w:eastAsia="zh-CN"/>
        </w:rPr>
        <w:t>2024</w:t>
      </w:r>
      <w:r>
        <w:rPr>
          <w:rFonts w:hint="eastAsia" w:ascii="宋体" w:hAnsi="宋体"/>
          <w:szCs w:val="21"/>
        </w:rPr>
        <w:t>年</w:t>
      </w:r>
      <w:r>
        <w:rPr>
          <w:rFonts w:hint="eastAsia" w:ascii="宋体" w:hAnsi="宋体"/>
          <w:szCs w:val="21"/>
          <w:u w:val="single"/>
        </w:rPr>
        <w:t xml:space="preserve"> </w:t>
      </w:r>
      <w:r>
        <w:rPr>
          <w:rFonts w:hint="eastAsia" w:ascii="宋体" w:hAnsi="宋体"/>
          <w:szCs w:val="21"/>
          <w:u w:val="single"/>
          <w:lang w:val="en-US" w:eastAsia="zh-CN"/>
        </w:rPr>
        <w:t>12</w:t>
      </w:r>
      <w:r>
        <w:rPr>
          <w:rFonts w:hint="eastAsia" w:ascii="宋体" w:hAnsi="宋体"/>
          <w:szCs w:val="21"/>
        </w:rPr>
        <w:t>月</w:t>
      </w:r>
      <w:r>
        <w:rPr>
          <w:rFonts w:hint="eastAsia" w:ascii="宋体" w:hAnsi="宋体"/>
          <w:szCs w:val="21"/>
          <w:u w:val="single"/>
        </w:rPr>
        <w:t xml:space="preserve"> </w:t>
      </w:r>
      <w:r>
        <w:rPr>
          <w:rFonts w:hint="eastAsia" w:ascii="宋体" w:hAnsi="宋体"/>
          <w:szCs w:val="21"/>
          <w:u w:val="single"/>
          <w:lang w:val="en-US" w:eastAsia="zh-CN"/>
        </w:rPr>
        <w:t>25</w:t>
      </w:r>
      <w:r>
        <w:rPr>
          <w:rFonts w:hint="eastAsia" w:ascii="宋体" w:hAnsi="宋体"/>
          <w:szCs w:val="21"/>
        </w:rPr>
        <w:t>日</w:t>
      </w:r>
      <w:r>
        <w:rPr>
          <w:rFonts w:hint="eastAsia" w:ascii="宋体" w:hAnsi="宋体"/>
          <w:szCs w:val="21"/>
          <w:lang w:val="en-US" w:eastAsia="zh-CN"/>
        </w:rPr>
        <w:t>上</w:t>
      </w:r>
      <w:r>
        <w:rPr>
          <w:rFonts w:hint="eastAsia" w:ascii="宋体" w:hAnsi="宋体"/>
          <w:szCs w:val="21"/>
        </w:rPr>
        <w:t>午</w:t>
      </w:r>
      <w:r>
        <w:rPr>
          <w:rFonts w:hint="eastAsia" w:ascii="宋体" w:hAnsi="宋体" w:cs="宋体"/>
          <w:szCs w:val="21"/>
          <w:u w:val="single"/>
        </w:rPr>
        <w:t xml:space="preserve"> 1</w:t>
      </w:r>
      <w:r>
        <w:rPr>
          <w:rFonts w:hint="eastAsia" w:ascii="宋体" w:hAnsi="宋体" w:cs="宋体"/>
          <w:szCs w:val="21"/>
          <w:u w:val="single"/>
          <w:lang w:val="en-US" w:eastAsia="zh-CN"/>
        </w:rPr>
        <w:t>1</w:t>
      </w:r>
      <w:r>
        <w:rPr>
          <w:rFonts w:hint="eastAsia" w:ascii="宋体" w:hAnsi="宋体" w:cs="宋体"/>
          <w:szCs w:val="21"/>
          <w:u w:val="single"/>
        </w:rPr>
        <w:t xml:space="preserve"> </w:t>
      </w:r>
      <w:r>
        <w:rPr>
          <w:rFonts w:hint="eastAsia" w:ascii="宋体" w:hAnsi="宋体" w:cs="宋体"/>
          <w:szCs w:val="21"/>
        </w:rPr>
        <w:t>时</w:t>
      </w:r>
      <w:r>
        <w:rPr>
          <w:rFonts w:hint="eastAsia" w:ascii="宋体" w:hAnsi="宋体" w:cs="宋体"/>
          <w:szCs w:val="21"/>
          <w:u w:val="single"/>
        </w:rPr>
        <w:t xml:space="preserve"> 00 </w:t>
      </w:r>
      <w:r>
        <w:rPr>
          <w:rFonts w:hint="eastAsia" w:ascii="宋体" w:hAnsi="宋体" w:cs="宋体"/>
          <w:szCs w:val="21"/>
        </w:rPr>
        <w:t>分（北京时间）。</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5.2报价的递交：报价文件于</w:t>
      </w:r>
      <w:r>
        <w:rPr>
          <w:rFonts w:hint="eastAsia" w:ascii="宋体" w:hAnsi="宋体" w:cs="宋体"/>
          <w:szCs w:val="21"/>
          <w:u w:val="single"/>
          <w:lang w:eastAsia="zh-CN"/>
        </w:rPr>
        <w:t>2024</w:t>
      </w:r>
      <w:r>
        <w:rPr>
          <w:rFonts w:hint="eastAsia" w:ascii="宋体" w:hAnsi="宋体" w:cs="宋体"/>
          <w:szCs w:val="21"/>
        </w:rPr>
        <w:t>年</w:t>
      </w:r>
      <w:r>
        <w:rPr>
          <w:rFonts w:hint="eastAsia" w:ascii="宋体" w:hAnsi="宋体" w:cs="宋体"/>
          <w:szCs w:val="21"/>
          <w:u w:val="single"/>
          <w:lang w:val="en-US" w:eastAsia="zh-CN"/>
        </w:rPr>
        <w:t>12</w:t>
      </w:r>
      <w:r>
        <w:rPr>
          <w:rFonts w:hint="eastAsia" w:ascii="宋体" w:hAnsi="宋体" w:cs="宋体"/>
          <w:szCs w:val="21"/>
        </w:rPr>
        <w:t>月</w:t>
      </w:r>
      <w:r>
        <w:rPr>
          <w:rFonts w:hint="eastAsia" w:ascii="宋体" w:hAnsi="宋体" w:cs="宋体"/>
          <w:szCs w:val="21"/>
          <w:u w:val="single"/>
          <w:lang w:val="en-US" w:eastAsia="zh-CN"/>
        </w:rPr>
        <w:t>25</w:t>
      </w:r>
      <w:r>
        <w:rPr>
          <w:rFonts w:hint="eastAsia" w:ascii="宋体" w:hAnsi="宋体" w:cs="宋体"/>
          <w:szCs w:val="21"/>
        </w:rPr>
        <w:t>日</w:t>
      </w:r>
      <w:r>
        <w:rPr>
          <w:rFonts w:hint="eastAsia" w:ascii="宋体" w:hAnsi="宋体" w:cs="宋体"/>
          <w:szCs w:val="21"/>
          <w:u w:val="single"/>
        </w:rPr>
        <w:t>1</w:t>
      </w:r>
      <w:r>
        <w:rPr>
          <w:rFonts w:hint="eastAsia" w:ascii="宋体" w:hAnsi="宋体" w:cs="宋体"/>
          <w:szCs w:val="21"/>
          <w:u w:val="single"/>
          <w:lang w:val="en-US" w:eastAsia="zh-CN"/>
        </w:rPr>
        <w:t>1</w:t>
      </w:r>
      <w:r>
        <w:rPr>
          <w:rFonts w:hint="eastAsia" w:ascii="宋体" w:hAnsi="宋体" w:cs="宋体"/>
          <w:szCs w:val="21"/>
          <w:u w:val="single"/>
        </w:rPr>
        <w:t>：00</w:t>
      </w:r>
      <w:r>
        <w:rPr>
          <w:rFonts w:hint="eastAsia" w:ascii="宋体" w:hAnsi="宋体" w:cs="宋体"/>
          <w:szCs w:val="21"/>
        </w:rPr>
        <w:t>提交至</w:t>
      </w:r>
      <w:r>
        <w:rPr>
          <w:rFonts w:hint="eastAsia" w:ascii="宋体" w:hAnsi="宋体" w:eastAsia="宋体" w:cs="宋体"/>
          <w:color w:val="auto"/>
          <w:szCs w:val="21"/>
          <w:highlight w:val="none"/>
        </w:rPr>
        <w:t>重庆市</w:t>
      </w:r>
      <w:r>
        <w:rPr>
          <w:rFonts w:hint="eastAsia" w:ascii="宋体" w:hAnsi="宋体" w:cs="宋体"/>
          <w:color w:val="auto"/>
          <w:szCs w:val="21"/>
          <w:highlight w:val="none"/>
          <w:lang w:val="en-US" w:eastAsia="zh-CN"/>
        </w:rPr>
        <w:t>南岸区南坪镇海峡路</w:t>
      </w:r>
      <w:r>
        <w:rPr>
          <w:rFonts w:hint="eastAsia" w:ascii="宋体" w:hAnsi="宋体" w:eastAsia="宋体" w:cs="宋体"/>
          <w:color w:val="auto"/>
          <w:szCs w:val="21"/>
          <w:highlight w:val="none"/>
        </w:rPr>
        <w:t>重庆首讯科技股份有限公司</w:t>
      </w:r>
      <w:r>
        <w:rPr>
          <w:rFonts w:hint="eastAsia" w:ascii="宋体" w:hAnsi="宋体" w:cs="宋体"/>
          <w:szCs w:val="21"/>
        </w:rPr>
        <w:t>（重庆首讯科技股份有限公司）</w:t>
      </w:r>
      <w:r>
        <w:rPr>
          <w:rFonts w:hint="eastAsia" w:ascii="宋体" w:hAnsi="宋体"/>
          <w:szCs w:val="21"/>
        </w:rPr>
        <w:t>。</w:t>
      </w:r>
    </w:p>
    <w:p>
      <w:pPr>
        <w:tabs>
          <w:tab w:val="left" w:pos="360"/>
        </w:tabs>
        <w:spacing w:line="360" w:lineRule="auto"/>
        <w:ind w:firstLine="420" w:firstLineChars="200"/>
        <w:rPr>
          <w:rFonts w:ascii="宋体" w:hAnsi="宋体" w:cs="宋体"/>
          <w:szCs w:val="21"/>
        </w:rPr>
      </w:pPr>
      <w:r>
        <w:rPr>
          <w:rFonts w:hint="eastAsia" w:ascii="宋体" w:hAnsi="宋体" w:cs="宋体"/>
          <w:szCs w:val="21"/>
        </w:rPr>
        <w:t>5.3</w:t>
      </w:r>
      <w:r>
        <w:rPr>
          <w:rFonts w:ascii="宋体" w:hAnsi="宋体" w:cs="宋体"/>
          <w:szCs w:val="21"/>
        </w:rPr>
        <w:t>采购人不组织工程现场踏勘，不召开报价预备会</w:t>
      </w:r>
      <w:r>
        <w:rPr>
          <w:rFonts w:hint="eastAsia" w:ascii="宋体" w:hAnsi="宋体" w:cs="宋体"/>
          <w:szCs w:val="21"/>
        </w:rPr>
        <w:t>，</w:t>
      </w:r>
      <w:r>
        <w:rPr>
          <w:rFonts w:hint="eastAsia" w:ascii="宋体" w:hAnsi="宋体" w:cs="宋体"/>
          <w:szCs w:val="21"/>
        </w:rPr>
        <w:tab/>
      </w:r>
      <w:r>
        <w:rPr>
          <w:rFonts w:hint="eastAsia" w:ascii="宋体" w:hAnsi="宋体" w:cs="宋体"/>
          <w:szCs w:val="21"/>
        </w:rPr>
        <w:t>报价人在报价前应到项目所在地点了解我司所需要的工作内容和要求，并领取回执单，将回执单放置在报价文件里一起在开标截止时间前报送至重庆首讯科技股份有限公司</w:t>
      </w:r>
      <w:r>
        <w:rPr>
          <w:rFonts w:hint="eastAsia" w:ascii="宋体" w:hAnsi="宋体" w:cs="宋体"/>
          <w:szCs w:val="21"/>
          <w:lang w:eastAsia="zh-CN"/>
        </w:rPr>
        <w:t>，</w:t>
      </w:r>
      <w:r>
        <w:rPr>
          <w:rFonts w:hint="eastAsia" w:ascii="宋体" w:hAnsi="宋体" w:cs="宋体"/>
          <w:szCs w:val="21"/>
        </w:rPr>
        <w:t>如若报价文件里无回执单，我司有权做废标处理</w:t>
      </w:r>
      <w:r>
        <w:rPr>
          <w:rFonts w:ascii="宋体" w:hAnsi="宋体" w:cs="宋体"/>
          <w:szCs w:val="21"/>
        </w:rPr>
        <w:t>。</w:t>
      </w:r>
    </w:p>
    <w:p>
      <w:pPr>
        <w:spacing w:after="120" w:line="360" w:lineRule="auto"/>
        <w:ind w:firstLine="408"/>
        <w:rPr>
          <w:rFonts w:ascii="宋体" w:hAnsi="宋体" w:cs="宋体"/>
          <w:szCs w:val="21"/>
        </w:rPr>
      </w:pPr>
      <w:r>
        <w:rPr>
          <w:rFonts w:hint="eastAsia" w:ascii="宋体" w:hAnsi="宋体" w:cs="宋体"/>
          <w:szCs w:val="21"/>
        </w:rPr>
        <w:t>5.4竞争性比选响应文件提交正本1份，副本1份，副本可为正本的复印件，竞争性比选响应文件需装订成册；报价人应提供竞争性比选响应文件电子文件1份（U盘1份，电子文件内容须包括竞争性比选响应文件全部内容）。当电子文件与纸质版竞争性比选响应文件不一致时，以纸质版竞争性比选响应文件为准，当正本与副本不一致时，以正本为准。</w:t>
      </w:r>
    </w:p>
    <w:p>
      <w:pPr>
        <w:spacing w:line="360" w:lineRule="auto"/>
        <w:ind w:firstLine="408"/>
        <w:rPr>
          <w:rFonts w:ascii="宋体" w:hAnsi="宋体" w:cs="宋体"/>
          <w:szCs w:val="21"/>
        </w:rPr>
      </w:pPr>
      <w:r>
        <w:rPr>
          <w:rFonts w:hint="eastAsia" w:ascii="宋体" w:hAnsi="宋体" w:cs="宋体"/>
          <w:szCs w:val="21"/>
        </w:rPr>
        <w:t>5.5本次竞争性比选响应文件的组成：竞争性比选响应声明书、法定代表人身份证明和法定代表人授权委托书、报价一览表、资格要求材料、承诺书、报价人认为需要提供的其他相关文件（注：以上所有文件均须加盖报价人的公章）。</w:t>
      </w:r>
    </w:p>
    <w:p>
      <w:pPr>
        <w:spacing w:after="120" w:line="360" w:lineRule="auto"/>
        <w:ind w:firstLine="408"/>
        <w:rPr>
          <w:rFonts w:ascii="宋体" w:hAnsi="宋体" w:cs="宋体"/>
          <w:szCs w:val="21"/>
        </w:rPr>
      </w:pPr>
      <w:r>
        <w:rPr>
          <w:rFonts w:hint="eastAsia" w:ascii="宋体" w:hAnsi="宋体" w:cs="宋体"/>
          <w:szCs w:val="21"/>
        </w:rPr>
        <w:t>5.6密封要求：竞争性比选响应文件密封到一个封袋中，在封套上写明：</w:t>
      </w:r>
      <w:r>
        <w:rPr>
          <w:rFonts w:hint="eastAsia" w:ascii="宋体" w:hAnsi="宋体" w:cs="宋体"/>
          <w:szCs w:val="21"/>
          <w:lang w:eastAsia="zh-CN"/>
        </w:rPr>
        <w:t>2025年营运公司网络安全维护服务项目</w:t>
      </w:r>
      <w:r>
        <w:rPr>
          <w:rFonts w:hint="eastAsia" w:ascii="宋体" w:hAnsi="宋体" w:cs="宋体"/>
          <w:szCs w:val="21"/>
        </w:rPr>
        <w:t>竞争性比选响应文件，在</w:t>
      </w:r>
      <w:r>
        <w:rPr>
          <w:rFonts w:hint="eastAsia" w:ascii="宋体" w:hAnsi="宋体" w:cs="宋体"/>
          <w:szCs w:val="21"/>
          <w:lang w:eastAsia="zh-CN"/>
        </w:rPr>
        <w:t>2024</w:t>
      </w:r>
      <w:r>
        <w:rPr>
          <w:rFonts w:hint="eastAsia" w:ascii="宋体" w:hAnsi="宋体" w:cs="宋体"/>
          <w:szCs w:val="21"/>
        </w:rPr>
        <w:t>年</w:t>
      </w:r>
      <w:r>
        <w:rPr>
          <w:rFonts w:hint="eastAsia" w:ascii="宋体" w:hAnsi="宋体" w:cs="宋体"/>
          <w:szCs w:val="21"/>
          <w:lang w:val="en-US" w:eastAsia="zh-CN"/>
        </w:rPr>
        <w:t>12</w:t>
      </w:r>
      <w:r>
        <w:rPr>
          <w:rFonts w:hint="eastAsia" w:ascii="宋体" w:hAnsi="宋体" w:cs="宋体"/>
          <w:szCs w:val="21"/>
        </w:rPr>
        <w:t>月</w:t>
      </w:r>
      <w:r>
        <w:rPr>
          <w:rFonts w:hint="eastAsia" w:ascii="宋体" w:hAnsi="宋体" w:cs="宋体"/>
          <w:szCs w:val="21"/>
          <w:lang w:val="en-US" w:eastAsia="zh-CN"/>
        </w:rPr>
        <w:t>25</w:t>
      </w:r>
      <w:r>
        <w:rPr>
          <w:rFonts w:hint="eastAsia" w:ascii="宋体" w:hAnsi="宋体" w:cs="宋体"/>
          <w:szCs w:val="21"/>
        </w:rPr>
        <w:t>日1</w:t>
      </w:r>
      <w:r>
        <w:rPr>
          <w:rFonts w:hint="eastAsia" w:ascii="宋体" w:hAnsi="宋体" w:cs="宋体"/>
          <w:szCs w:val="21"/>
          <w:lang w:val="en-US" w:eastAsia="zh-CN"/>
        </w:rPr>
        <w:t>1</w:t>
      </w:r>
      <w:r>
        <w:rPr>
          <w:rFonts w:hint="eastAsia" w:ascii="宋体" w:hAnsi="宋体" w:cs="宋体"/>
          <w:szCs w:val="21"/>
        </w:rPr>
        <w:t>：00时前不得开启。</w:t>
      </w:r>
    </w:p>
    <w:p>
      <w:pPr>
        <w:spacing w:after="120" w:line="360" w:lineRule="auto"/>
        <w:ind w:firstLine="408"/>
        <w:rPr>
          <w:rFonts w:ascii="宋体" w:hAnsi="宋体" w:cs="宋体"/>
          <w:szCs w:val="21"/>
        </w:rPr>
      </w:pPr>
      <w:r>
        <w:rPr>
          <w:rFonts w:hint="eastAsia" w:ascii="宋体" w:hAnsi="宋体" w:cs="宋体"/>
          <w:szCs w:val="21"/>
        </w:rPr>
        <w:t>5</w:t>
      </w:r>
      <w:r>
        <w:rPr>
          <w:rFonts w:ascii="宋体" w:hAnsi="宋体" w:cs="宋体"/>
          <w:szCs w:val="21"/>
        </w:rPr>
        <w:t>.7</w:t>
      </w:r>
      <w:r>
        <w:rPr>
          <w:rFonts w:hint="eastAsia" w:ascii="宋体" w:hAnsi="宋体" w:cs="宋体"/>
          <w:szCs w:val="21"/>
        </w:rPr>
        <w:t>逾期送达，或未送达指定地点，或未密封的竞争性比选响应文件，采购人不予受理。</w:t>
      </w:r>
    </w:p>
    <w:p>
      <w:pPr>
        <w:spacing w:after="120" w:line="360" w:lineRule="auto"/>
        <w:ind w:firstLine="408"/>
      </w:pPr>
      <w:r>
        <w:rPr>
          <w:rFonts w:hint="eastAsia" w:ascii="宋体" w:hAnsi="宋体" w:cs="宋体"/>
          <w:szCs w:val="21"/>
        </w:rPr>
        <w:t>5</w:t>
      </w:r>
      <w:r>
        <w:rPr>
          <w:rFonts w:ascii="宋体" w:hAnsi="宋体" w:cs="宋体"/>
          <w:szCs w:val="21"/>
        </w:rPr>
        <w:t>.8</w:t>
      </w:r>
      <w:r>
        <w:rPr>
          <w:rFonts w:hint="eastAsia" w:ascii="宋体" w:hAnsi="宋体" w:cs="宋体"/>
          <w:szCs w:val="21"/>
        </w:rPr>
        <w:t>递交方式：现场递交或邮寄，若采用现场递交方式需在投标截止当天将文件送达并参与现场开标；若采用邮寄方式需用顺丰等快递公司邮寄至重庆首讯科技股份有限公司（重庆市渝北区龙溪街道新南路52号东界龙湖三楼），否则采购人有权拒收，采用邮寄方式的报价人默认认可采购人的开标结果，不得由此提出任何质疑。</w:t>
      </w:r>
    </w:p>
    <w:p>
      <w:pPr>
        <w:keepNext/>
        <w:keepLines/>
        <w:spacing w:before="120" w:line="400" w:lineRule="exact"/>
        <w:outlineLvl w:val="1"/>
        <w:rPr>
          <w:rFonts w:ascii="宋体" w:hAnsi="宋体" w:cs="宋体"/>
          <w:b/>
          <w:bCs/>
          <w:kern w:val="0"/>
          <w:sz w:val="32"/>
          <w:szCs w:val="32"/>
        </w:rPr>
      </w:pPr>
      <w:bookmarkStart w:id="80" w:name="_Toc152045517"/>
      <w:bookmarkStart w:id="81" w:name="_Toc246996164"/>
      <w:bookmarkStart w:id="82" w:name="_Toc152042293"/>
      <w:bookmarkStart w:id="83" w:name="_Toc247085678"/>
      <w:bookmarkStart w:id="84" w:name="_Toc21615"/>
      <w:bookmarkStart w:id="85" w:name="_Toc18402"/>
      <w:bookmarkStart w:id="86" w:name="_Toc144974485"/>
      <w:bookmarkStart w:id="87" w:name="_Toc246996907"/>
      <w:bookmarkStart w:id="88" w:name="_Toc507319897"/>
      <w:bookmarkStart w:id="89" w:name="_Toc179632534"/>
      <w:bookmarkStart w:id="90" w:name="_Toc11329219"/>
      <w:bookmarkStart w:id="91" w:name="_Toc393"/>
      <w:r>
        <w:rPr>
          <w:rFonts w:hint="eastAsia" w:ascii="宋体" w:hAnsi="宋体" w:cs="宋体"/>
          <w:b/>
          <w:bCs/>
          <w:kern w:val="0"/>
          <w:sz w:val="32"/>
          <w:szCs w:val="32"/>
        </w:rPr>
        <w:t>6. 联系方式</w:t>
      </w:r>
      <w:bookmarkEnd w:id="80"/>
      <w:bookmarkEnd w:id="81"/>
      <w:bookmarkEnd w:id="82"/>
      <w:bookmarkEnd w:id="83"/>
      <w:bookmarkEnd w:id="84"/>
      <w:bookmarkEnd w:id="85"/>
      <w:bookmarkEnd w:id="86"/>
      <w:bookmarkEnd w:id="87"/>
      <w:bookmarkEnd w:id="88"/>
      <w:bookmarkEnd w:id="89"/>
      <w:bookmarkEnd w:id="90"/>
      <w:bookmarkEnd w:id="91"/>
    </w:p>
    <w:tbl>
      <w:tblPr>
        <w:tblStyle w:val="42"/>
        <w:tblW w:w="9628" w:type="dxa"/>
        <w:tblInd w:w="0" w:type="dxa"/>
        <w:tblLayout w:type="fixed"/>
        <w:tblCellMar>
          <w:top w:w="0" w:type="dxa"/>
          <w:left w:w="108" w:type="dxa"/>
          <w:bottom w:w="0" w:type="dxa"/>
          <w:right w:w="108" w:type="dxa"/>
        </w:tblCellMar>
      </w:tblPr>
      <w:tblGrid>
        <w:gridCol w:w="8213"/>
        <w:gridCol w:w="1415"/>
      </w:tblGrid>
      <w:tr>
        <w:tblPrEx>
          <w:tblCellMar>
            <w:top w:w="0" w:type="dxa"/>
            <w:left w:w="108" w:type="dxa"/>
            <w:bottom w:w="0" w:type="dxa"/>
            <w:right w:w="108" w:type="dxa"/>
          </w:tblCellMar>
        </w:tblPrEx>
        <w:trPr>
          <w:trHeight w:val="470" w:hRule="atLeast"/>
        </w:trPr>
        <w:tc>
          <w:tcPr>
            <w:tcW w:w="8213" w:type="dxa"/>
            <w:vAlign w:val="center"/>
          </w:tcPr>
          <w:p>
            <w:pPr>
              <w:widowControl/>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tc>
        <w:tc>
          <w:tcPr>
            <w:tcW w:w="1415" w:type="dxa"/>
            <w:vAlign w:val="center"/>
          </w:tcPr>
          <w:p>
            <w:pPr>
              <w:widowControl/>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61" w:hRule="atLeast"/>
        </w:trPr>
        <w:tc>
          <w:tcPr>
            <w:tcW w:w="8213" w:type="dxa"/>
            <w:vAlign w:val="center"/>
          </w:tcPr>
          <w:p>
            <w:pPr>
              <w:topLinePunct/>
              <w:spacing w:line="400" w:lineRule="exact"/>
              <w:ind w:left="1050" w:leftChars="200" w:hanging="630" w:hangingChars="300"/>
              <w:rPr>
                <w:rFonts w:ascii="宋体" w:hAnsi="宋体" w:cs="宋体"/>
                <w:szCs w:val="21"/>
              </w:rPr>
            </w:pPr>
            <w:r>
              <w:rPr>
                <w:rFonts w:hint="eastAsia" w:ascii="宋体" w:hAnsi="宋体" w:cs="宋体"/>
                <w:szCs w:val="21"/>
              </w:rPr>
              <w:t>地址：</w:t>
            </w:r>
            <w:r>
              <w:rPr>
                <w:rFonts w:hint="eastAsia" w:ascii="宋体" w:hAnsi="宋体" w:eastAsia="宋体" w:cs="宋体"/>
                <w:color w:val="auto"/>
                <w:szCs w:val="21"/>
                <w:highlight w:val="none"/>
              </w:rPr>
              <w:t>重庆市</w:t>
            </w:r>
            <w:r>
              <w:rPr>
                <w:rFonts w:hint="eastAsia" w:ascii="宋体" w:hAnsi="宋体" w:cs="宋体"/>
                <w:color w:val="auto"/>
                <w:szCs w:val="21"/>
                <w:highlight w:val="none"/>
                <w:lang w:val="en-US" w:eastAsia="zh-CN"/>
              </w:rPr>
              <w:t>南岸区南坪镇海峡路</w:t>
            </w:r>
            <w:r>
              <w:rPr>
                <w:rFonts w:hint="eastAsia" w:ascii="宋体" w:hAnsi="宋体" w:eastAsia="宋体" w:cs="宋体"/>
                <w:color w:val="auto"/>
                <w:szCs w:val="21"/>
                <w:highlight w:val="none"/>
              </w:rPr>
              <w:t>重庆首讯科技股份有限公司</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70" w:hRule="atLeast"/>
        </w:trPr>
        <w:tc>
          <w:tcPr>
            <w:tcW w:w="8213" w:type="dxa"/>
            <w:vAlign w:val="center"/>
          </w:tcPr>
          <w:p>
            <w:pPr>
              <w:topLinePunct/>
              <w:spacing w:line="400" w:lineRule="exact"/>
              <w:ind w:firstLine="420" w:firstLineChars="200"/>
              <w:rPr>
                <w:rFonts w:ascii="宋体" w:hAnsi="宋体" w:cs="宋体"/>
                <w:szCs w:val="21"/>
              </w:rPr>
            </w:pPr>
            <w:r>
              <w:rPr>
                <w:rFonts w:hint="eastAsia" w:ascii="宋体" w:hAnsi="宋体" w:cs="宋体"/>
                <w:szCs w:val="21"/>
              </w:rPr>
              <w:t>商务联系人：孙老师  电 话：</w:t>
            </w:r>
            <w:r>
              <w:rPr>
                <w:rFonts w:ascii="宋体" w:hAnsi="宋体" w:cs="宋体"/>
                <w:szCs w:val="21"/>
              </w:rPr>
              <w:t>15123685281</w:t>
            </w:r>
          </w:p>
        </w:tc>
        <w:tc>
          <w:tcPr>
            <w:tcW w:w="1415" w:type="dxa"/>
            <w:vAlign w:val="center"/>
          </w:tcPr>
          <w:p>
            <w:pPr>
              <w:spacing w:line="400" w:lineRule="exact"/>
              <w:ind w:firstLine="420" w:firstLineChars="200"/>
              <w:rPr>
                <w:rFonts w:ascii="宋体" w:hAnsi="宋体" w:cs="宋体"/>
                <w:szCs w:val="21"/>
              </w:rPr>
            </w:pPr>
          </w:p>
        </w:tc>
      </w:tr>
      <w:tr>
        <w:tblPrEx>
          <w:tblCellMar>
            <w:top w:w="0" w:type="dxa"/>
            <w:left w:w="108" w:type="dxa"/>
            <w:bottom w:w="0" w:type="dxa"/>
            <w:right w:w="108" w:type="dxa"/>
          </w:tblCellMar>
        </w:tblPrEx>
        <w:trPr>
          <w:trHeight w:val="405" w:hRule="atLeast"/>
        </w:trPr>
        <w:tc>
          <w:tcPr>
            <w:tcW w:w="8213" w:type="dxa"/>
            <w:vAlign w:val="center"/>
          </w:tcPr>
          <w:p>
            <w:pPr>
              <w:topLinePunct/>
              <w:spacing w:line="420" w:lineRule="exact"/>
              <w:ind w:firstLine="420" w:firstLineChars="200"/>
            </w:pPr>
            <w:r>
              <w:rPr>
                <w:rFonts w:hint="eastAsia"/>
              </w:rPr>
              <w:t>中西部技术联系人：胡老师  电 话：</w:t>
            </w:r>
            <w:r>
              <w:t>15111818577</w:t>
            </w:r>
          </w:p>
          <w:p>
            <w:pPr>
              <w:pStyle w:val="28"/>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东北部技术联系人：邹老师  电 话：</w:t>
            </w:r>
            <w:r>
              <w:rPr>
                <w:rFonts w:ascii="Times New Roman" w:hAnsi="Times New Roman"/>
                <w:b w:val="0"/>
                <w:bCs w:val="0"/>
                <w:caps w:val="0"/>
                <w:sz w:val="21"/>
                <w:szCs w:val="24"/>
              </w:rPr>
              <w:t>13896221547</w:t>
            </w:r>
          </w:p>
          <w:p>
            <w:pPr>
              <w:pStyle w:val="28"/>
              <w:ind w:firstLine="420" w:firstLineChars="200"/>
              <w:rPr>
                <w:rFonts w:ascii="Times New Roman" w:hAnsi="Times New Roman"/>
                <w:b w:val="0"/>
                <w:bCs w:val="0"/>
                <w:caps w:val="0"/>
                <w:sz w:val="21"/>
                <w:szCs w:val="24"/>
              </w:rPr>
            </w:pPr>
            <w:r>
              <w:rPr>
                <w:rFonts w:hint="eastAsia" w:ascii="Times New Roman" w:hAnsi="Times New Roman"/>
                <w:b w:val="0"/>
                <w:bCs w:val="0"/>
                <w:caps w:val="0"/>
                <w:sz w:val="21"/>
                <w:szCs w:val="24"/>
              </w:rPr>
              <w:t>东南部技术联系人：杨老师  电 话：13330397595</w:t>
            </w:r>
          </w:p>
        </w:tc>
        <w:tc>
          <w:tcPr>
            <w:tcW w:w="1415" w:type="dxa"/>
            <w:vAlign w:val="center"/>
          </w:tcPr>
          <w:p>
            <w:pPr>
              <w:spacing w:line="400" w:lineRule="exact"/>
              <w:ind w:firstLine="420" w:firstLineChars="200"/>
              <w:rPr>
                <w:rFonts w:ascii="宋体" w:hAnsi="宋体" w:cs="宋体"/>
                <w:szCs w:val="21"/>
              </w:rPr>
            </w:pPr>
          </w:p>
        </w:tc>
      </w:tr>
    </w:tbl>
    <w:p/>
    <w:p/>
    <w:p/>
    <w:p/>
    <w:p>
      <w:pPr>
        <w:pStyle w:val="28"/>
      </w:pPr>
    </w:p>
    <w:bookmarkEnd w:id="16"/>
    <w:bookmarkEnd w:id="17"/>
    <w:p>
      <w:bookmarkStart w:id="92" w:name="_Toc152045527"/>
      <w:bookmarkStart w:id="93" w:name="_Toc152042303"/>
      <w:bookmarkStart w:id="94" w:name="_Toc144974495"/>
      <w:bookmarkStart w:id="95" w:name="_Toc2000405"/>
      <w:bookmarkStart w:id="96" w:name="_Toc246996173"/>
      <w:bookmarkStart w:id="97" w:name="_Toc247085687"/>
      <w:bookmarkStart w:id="98" w:name="_Toc507319898"/>
      <w:bookmarkStart w:id="99" w:name="_Toc179632544"/>
      <w:bookmarkStart w:id="100" w:name="_Toc246996916"/>
      <w:bookmarkStart w:id="101" w:name="_Toc21719"/>
    </w:p>
    <w:p>
      <w:pPr>
        <w:keepNext/>
        <w:keepLines/>
        <w:spacing w:line="360" w:lineRule="auto"/>
        <w:jc w:val="center"/>
        <w:outlineLvl w:val="0"/>
        <w:rPr>
          <w:rFonts w:ascii="宋体" w:hAnsi="宋体" w:cs="宋体"/>
          <w:b/>
          <w:bCs/>
          <w:kern w:val="44"/>
          <w:sz w:val="44"/>
          <w:szCs w:val="44"/>
        </w:rPr>
      </w:pPr>
      <w:r>
        <w:rPr>
          <w:rFonts w:hint="eastAsia" w:ascii="宋体" w:hAnsi="宋体" w:cs="宋体"/>
          <w:b/>
          <w:bCs/>
          <w:kern w:val="44"/>
          <w:sz w:val="44"/>
          <w:szCs w:val="44"/>
        </w:rPr>
        <w:t>第二章 报价人须知</w:t>
      </w:r>
      <w:bookmarkEnd w:id="92"/>
      <w:bookmarkEnd w:id="93"/>
      <w:bookmarkEnd w:id="94"/>
      <w:bookmarkEnd w:id="95"/>
      <w:bookmarkEnd w:id="96"/>
      <w:bookmarkEnd w:id="97"/>
      <w:bookmarkEnd w:id="98"/>
      <w:bookmarkEnd w:id="99"/>
      <w:bookmarkEnd w:id="100"/>
      <w:bookmarkEnd w:id="101"/>
    </w:p>
    <w:p/>
    <w:tbl>
      <w:tblPr>
        <w:tblStyle w:val="42"/>
        <w:tblW w:w="990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7"/>
        <w:gridCol w:w="2106"/>
        <w:gridCol w:w="710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4" w:hRule="atLeast"/>
          <w:tblHeader/>
          <w:jc w:val="center"/>
        </w:trPr>
        <w:tc>
          <w:tcPr>
            <w:tcW w:w="697" w:type="dxa"/>
            <w:vAlign w:val="center"/>
          </w:tcPr>
          <w:p>
            <w:pPr>
              <w:spacing w:line="400" w:lineRule="exact"/>
              <w:jc w:val="center"/>
              <w:rPr>
                <w:rFonts w:ascii="宋体" w:hAnsi="宋体" w:cs="宋体"/>
                <w:b/>
                <w:kern w:val="0"/>
                <w:szCs w:val="21"/>
              </w:rPr>
            </w:pPr>
            <w:bookmarkStart w:id="102" w:name="_Toc326760840"/>
            <w:r>
              <w:rPr>
                <w:rFonts w:hint="eastAsia" w:ascii="宋体" w:hAnsi="宋体" w:cs="宋体"/>
                <w:b/>
                <w:kern w:val="0"/>
                <w:szCs w:val="21"/>
              </w:rPr>
              <w:t>序号</w:t>
            </w:r>
          </w:p>
        </w:tc>
        <w:tc>
          <w:tcPr>
            <w:tcW w:w="2106" w:type="dxa"/>
            <w:vAlign w:val="center"/>
          </w:tcPr>
          <w:p>
            <w:pPr>
              <w:spacing w:line="400" w:lineRule="exact"/>
              <w:jc w:val="center"/>
              <w:rPr>
                <w:rFonts w:ascii="宋体" w:hAnsi="宋体" w:cs="宋体"/>
                <w:b/>
                <w:kern w:val="0"/>
                <w:szCs w:val="21"/>
              </w:rPr>
            </w:pPr>
            <w:r>
              <w:rPr>
                <w:rFonts w:hint="eastAsia" w:ascii="宋体" w:hAnsi="宋体" w:cs="宋体"/>
                <w:b/>
                <w:kern w:val="0"/>
                <w:szCs w:val="21"/>
              </w:rPr>
              <w:t>条款名称</w:t>
            </w:r>
          </w:p>
        </w:tc>
        <w:tc>
          <w:tcPr>
            <w:tcW w:w="7104" w:type="dxa"/>
            <w:vAlign w:val="center"/>
          </w:tcPr>
          <w:p>
            <w:pPr>
              <w:spacing w:line="400" w:lineRule="exact"/>
              <w:ind w:firstLine="422" w:firstLineChars="200"/>
              <w:jc w:val="center"/>
              <w:rPr>
                <w:rFonts w:ascii="宋体" w:hAnsi="宋体" w:cs="宋体"/>
                <w:b/>
                <w:kern w:val="0"/>
                <w:szCs w:val="21"/>
              </w:rPr>
            </w:pPr>
            <w:r>
              <w:rPr>
                <w:rFonts w:hint="eastAsia" w:ascii="宋体" w:hAnsi="宋体" w:cs="宋体"/>
                <w:b/>
                <w:kern w:val="0"/>
                <w:szCs w:val="21"/>
              </w:rPr>
              <w:t>编  列  内  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28"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采购人</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采购人：重庆首讯科技股份有限公司</w:t>
            </w:r>
          </w:p>
          <w:p>
            <w:pPr>
              <w:spacing w:line="400" w:lineRule="exact"/>
              <w:ind w:firstLine="420" w:firstLineChars="200"/>
              <w:rPr>
                <w:rFonts w:ascii="宋体" w:hAnsi="宋体" w:cs="宋体"/>
                <w:szCs w:val="21"/>
              </w:rPr>
            </w:pPr>
            <w:r>
              <w:rPr>
                <w:rFonts w:hint="eastAsia" w:ascii="宋体" w:hAnsi="宋体" w:cs="宋体"/>
                <w:szCs w:val="21"/>
              </w:rPr>
              <w:t>地  址：重庆市渝北区龙溪街道新南路52号办公楼首讯公司</w:t>
            </w:r>
          </w:p>
          <w:p>
            <w:pPr>
              <w:spacing w:line="400" w:lineRule="exact"/>
              <w:ind w:firstLine="420" w:firstLineChars="200"/>
              <w:rPr>
                <w:rFonts w:ascii="宋体" w:hAnsi="宋体" w:cs="宋体"/>
                <w:szCs w:val="21"/>
              </w:rPr>
            </w:pPr>
            <w:r>
              <w:rPr>
                <w:rFonts w:hint="eastAsia" w:ascii="宋体" w:hAnsi="宋体" w:cs="宋体"/>
                <w:szCs w:val="21"/>
              </w:rPr>
              <w:t>联系人：孙老师</w:t>
            </w:r>
          </w:p>
          <w:p>
            <w:pPr>
              <w:topLinePunct/>
              <w:spacing w:line="420" w:lineRule="exact"/>
              <w:ind w:firstLine="420" w:firstLineChars="200"/>
            </w:pPr>
            <w:r>
              <w:rPr>
                <w:rFonts w:hint="eastAsia" w:ascii="宋体" w:hAnsi="宋体" w:cs="宋体"/>
                <w:szCs w:val="21"/>
              </w:rPr>
              <w:t>电  话：</w:t>
            </w:r>
            <w:r>
              <w:rPr>
                <w:rFonts w:ascii="宋体" w:hAnsi="宋体" w:cs="宋体"/>
                <w:szCs w:val="21"/>
              </w:rPr>
              <w:t>15123685281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项目名称</w:t>
            </w:r>
          </w:p>
        </w:tc>
        <w:tc>
          <w:tcPr>
            <w:tcW w:w="7104" w:type="dxa"/>
            <w:vAlign w:val="center"/>
          </w:tcPr>
          <w:p>
            <w:pPr>
              <w:spacing w:line="400" w:lineRule="exact"/>
              <w:ind w:firstLine="420" w:firstLineChars="200"/>
              <w:rPr>
                <w:rFonts w:hint="eastAsia" w:ascii="宋体" w:hAnsi="宋体" w:eastAsia="宋体" w:cs="宋体"/>
                <w:szCs w:val="21"/>
                <w:lang w:eastAsia="zh-CN"/>
              </w:rPr>
            </w:pPr>
            <w:r>
              <w:rPr>
                <w:rFonts w:hint="eastAsia" w:ascii="宋体" w:hAnsi="宋体" w:cs="宋体"/>
                <w:szCs w:val="21"/>
                <w:lang w:eastAsia="zh-CN"/>
              </w:rPr>
              <w:t>2025年营运公司网络安全维护服务项目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3</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项目地点</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比选范围</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5</w:t>
            </w:r>
          </w:p>
        </w:tc>
        <w:tc>
          <w:tcPr>
            <w:tcW w:w="2106" w:type="dxa"/>
            <w:vAlign w:val="center"/>
          </w:tcPr>
          <w:p>
            <w:pPr>
              <w:spacing w:line="400" w:lineRule="exact"/>
              <w:jc w:val="center"/>
              <w:rPr>
                <w:rFonts w:ascii="宋体" w:hAnsi="宋体" w:cs="宋体"/>
                <w:szCs w:val="21"/>
              </w:rPr>
            </w:pPr>
            <w:r>
              <w:rPr>
                <w:rFonts w:hint="eastAsia" w:ascii="宋体" w:hAnsi="宋体" w:cs="宋体"/>
                <w:kern w:val="0"/>
                <w:szCs w:val="21"/>
              </w:rPr>
              <w:t>工期要求</w:t>
            </w:r>
          </w:p>
        </w:tc>
        <w:tc>
          <w:tcPr>
            <w:tcW w:w="7104" w:type="dxa"/>
            <w:vAlign w:val="center"/>
          </w:tcPr>
          <w:p>
            <w:pPr>
              <w:tabs>
                <w:tab w:val="left" w:pos="3000"/>
                <w:tab w:val="left" w:pos="3280"/>
                <w:tab w:val="left" w:pos="6120"/>
                <w:tab w:val="left" w:pos="7540"/>
                <w:tab w:val="left" w:pos="8320"/>
              </w:tabs>
              <w:autoSpaceDE w:val="0"/>
              <w:autoSpaceDN w:val="0"/>
              <w:adjustRightInd w:val="0"/>
              <w:spacing w:line="400" w:lineRule="exact"/>
              <w:ind w:firstLine="420" w:firstLineChars="200"/>
              <w:rPr>
                <w:rFonts w:ascii="宋体" w:hAnsi="宋体" w:cs="宋体"/>
                <w:kern w:val="10"/>
                <w:szCs w:val="21"/>
              </w:rPr>
            </w:pPr>
            <w:r>
              <w:rPr>
                <w:rFonts w:hint="eastAsia" w:ascii="宋体" w:hAnsi="宋体" w:cs="宋体"/>
                <w:kern w:val="0"/>
                <w:szCs w:val="21"/>
              </w:rPr>
              <w:t>见比选公告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6</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质量要求</w:t>
            </w:r>
          </w:p>
        </w:tc>
        <w:tc>
          <w:tcPr>
            <w:tcW w:w="7104" w:type="dxa"/>
          </w:tcPr>
          <w:p>
            <w:pPr>
              <w:spacing w:line="400" w:lineRule="exact"/>
              <w:ind w:firstLine="420" w:firstLineChars="200"/>
              <w:rPr>
                <w:rFonts w:ascii="宋体" w:hAnsi="宋体" w:cs="宋体"/>
                <w:kern w:val="0"/>
                <w:szCs w:val="21"/>
              </w:rPr>
            </w:pPr>
            <w:r>
              <w:rPr>
                <w:rFonts w:hint="eastAsia" w:ascii="宋体" w:hAnsi="宋体" w:cs="宋体"/>
                <w:szCs w:val="21"/>
              </w:rPr>
              <w:t>每季度巡检维护需由业主验收签字确认。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7</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安全目标</w:t>
            </w:r>
          </w:p>
        </w:tc>
        <w:tc>
          <w:tcPr>
            <w:tcW w:w="7104" w:type="dxa"/>
          </w:tcPr>
          <w:p>
            <w:pPr>
              <w:spacing w:line="400" w:lineRule="exact"/>
              <w:ind w:firstLine="420" w:firstLineChars="200"/>
              <w:rPr>
                <w:rFonts w:ascii="宋体" w:hAnsi="宋体" w:cs="宋体"/>
                <w:szCs w:val="21"/>
              </w:rPr>
            </w:pPr>
            <w:r>
              <w:rPr>
                <w:rFonts w:hint="eastAsia" w:ascii="宋体" w:hAnsi="宋体" w:cs="宋体"/>
                <w:szCs w:val="21"/>
              </w:rPr>
              <w:t>无安全生产责任事故。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8</w:t>
            </w:r>
          </w:p>
        </w:tc>
        <w:tc>
          <w:tcPr>
            <w:tcW w:w="2106" w:type="dxa"/>
            <w:vAlign w:val="center"/>
          </w:tcPr>
          <w:p>
            <w:pPr>
              <w:spacing w:line="400" w:lineRule="exact"/>
              <w:jc w:val="center"/>
              <w:rPr>
                <w:rFonts w:ascii="宋体" w:hAnsi="宋体" w:cs="宋体"/>
                <w:kern w:val="0"/>
                <w:szCs w:val="21"/>
              </w:rPr>
            </w:pPr>
            <w:r>
              <w:rPr>
                <w:rFonts w:hint="eastAsia" w:ascii="宋体" w:hAnsi="宋体" w:cs="宋体"/>
                <w:szCs w:val="21"/>
              </w:rPr>
              <w:t>报价人资质条件、能力与信誉</w:t>
            </w:r>
          </w:p>
        </w:tc>
        <w:tc>
          <w:tcPr>
            <w:tcW w:w="7104" w:type="dxa"/>
            <w:vAlign w:val="center"/>
          </w:tcPr>
          <w:p>
            <w:pPr>
              <w:spacing w:line="400" w:lineRule="exact"/>
              <w:ind w:firstLine="420" w:firstLineChars="200"/>
              <w:rPr>
                <w:rFonts w:ascii="宋体" w:hAnsi="宋体" w:cs="宋体"/>
                <w:szCs w:val="21"/>
              </w:rPr>
            </w:pPr>
            <w:r>
              <w:rPr>
                <w:rFonts w:hint="eastAsia" w:ascii="宋体" w:hAnsi="宋体" w:cs="宋体"/>
                <w:szCs w:val="21"/>
              </w:rPr>
              <w:t>（1）资质条件：见比选公告3.1</w:t>
            </w:r>
          </w:p>
          <w:p>
            <w:pPr>
              <w:spacing w:line="400" w:lineRule="exact"/>
              <w:ind w:firstLine="420" w:firstLineChars="200"/>
              <w:rPr>
                <w:rFonts w:ascii="宋体" w:hAnsi="宋体" w:cs="宋体"/>
                <w:szCs w:val="21"/>
              </w:rPr>
            </w:pPr>
            <w:r>
              <w:rPr>
                <w:rFonts w:hint="eastAsia" w:ascii="宋体" w:hAnsi="宋体" w:cs="宋体"/>
                <w:szCs w:val="21"/>
              </w:rPr>
              <w:t>（2）业绩要求：见比选公告3.2</w:t>
            </w:r>
          </w:p>
          <w:p>
            <w:pPr>
              <w:spacing w:line="400" w:lineRule="exact"/>
              <w:ind w:firstLine="420" w:firstLineChars="200"/>
              <w:rPr>
                <w:rFonts w:ascii="宋体" w:hAnsi="宋体" w:cs="宋体"/>
                <w:szCs w:val="21"/>
              </w:rPr>
            </w:pPr>
            <w:r>
              <w:rPr>
                <w:rFonts w:hint="eastAsia" w:ascii="宋体" w:hAnsi="宋体" w:cs="宋体"/>
                <w:szCs w:val="21"/>
              </w:rPr>
              <w:t>（3）信誉要求：见比选公告3.3</w:t>
            </w:r>
          </w:p>
          <w:p>
            <w:pPr>
              <w:spacing w:line="400" w:lineRule="exact"/>
              <w:ind w:firstLine="420" w:firstLineChars="200"/>
              <w:rPr>
                <w:rFonts w:ascii="宋体" w:hAnsi="宋体" w:cs="宋体"/>
                <w:szCs w:val="21"/>
              </w:rPr>
            </w:pPr>
            <w:r>
              <w:rPr>
                <w:rFonts w:hint="eastAsia" w:ascii="宋体" w:hAnsi="宋体" w:cs="宋体"/>
                <w:szCs w:val="21"/>
              </w:rPr>
              <w:t>（4）项目主要人员要求：见附录1</w:t>
            </w:r>
          </w:p>
          <w:p>
            <w:pPr>
              <w:spacing w:line="400" w:lineRule="exact"/>
              <w:ind w:firstLine="420" w:firstLineChars="200"/>
              <w:rPr>
                <w:rFonts w:ascii="宋体" w:hAnsi="宋体" w:cs="宋体"/>
                <w:szCs w:val="21"/>
              </w:rPr>
            </w:pPr>
            <w:r>
              <w:rPr>
                <w:rFonts w:hint="eastAsia" w:ascii="宋体" w:hAnsi="宋体" w:cs="宋体"/>
                <w:szCs w:val="21"/>
              </w:rPr>
              <w:t>（5）其他要求：见附录2、见附录3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9</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是否接受</w:t>
            </w:r>
          </w:p>
          <w:p>
            <w:pPr>
              <w:spacing w:line="400" w:lineRule="exact"/>
              <w:jc w:val="center"/>
              <w:rPr>
                <w:rFonts w:ascii="宋体" w:hAnsi="宋体" w:cs="宋体"/>
                <w:kern w:val="0"/>
                <w:szCs w:val="21"/>
              </w:rPr>
            </w:pPr>
            <w:r>
              <w:rPr>
                <w:rFonts w:hint="eastAsia" w:ascii="宋体" w:hAnsi="宋体" w:cs="宋体"/>
                <w:kern w:val="0"/>
                <w:szCs w:val="21"/>
              </w:rPr>
              <w:t>联合体报价</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不接受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2"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10</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踏勘现场</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不组织，由各报价人根据需要自行完成现场踏勘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11</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分包</w:t>
            </w:r>
          </w:p>
        </w:tc>
        <w:tc>
          <w:tcPr>
            <w:tcW w:w="7104" w:type="dxa"/>
            <w:vAlign w:val="center"/>
          </w:tcPr>
          <w:p>
            <w:pPr>
              <w:spacing w:line="400" w:lineRule="exact"/>
              <w:ind w:firstLine="420" w:firstLineChars="200"/>
              <w:rPr>
                <w:rFonts w:ascii="宋体" w:hAnsi="宋体" w:cs="宋体"/>
                <w:kern w:val="0"/>
                <w:szCs w:val="21"/>
              </w:rPr>
            </w:pPr>
            <w:r>
              <w:rPr>
                <w:rFonts w:hint="eastAsia" w:ascii="宋体" w:hAnsi="宋体" w:cs="宋体"/>
                <w:kern w:val="0"/>
                <w:szCs w:val="21"/>
              </w:rPr>
              <w:t>不允许</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5"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12</w:t>
            </w:r>
          </w:p>
        </w:tc>
        <w:tc>
          <w:tcPr>
            <w:tcW w:w="2106" w:type="dxa"/>
            <w:vAlign w:val="center"/>
          </w:tcPr>
          <w:p>
            <w:pPr>
              <w:spacing w:line="400" w:lineRule="exact"/>
              <w:jc w:val="center"/>
              <w:rPr>
                <w:rFonts w:ascii="宋体" w:hAnsi="宋体" w:cs="宋体"/>
                <w:kern w:val="0"/>
                <w:szCs w:val="21"/>
              </w:rPr>
            </w:pPr>
            <w:r>
              <w:rPr>
                <w:rFonts w:hint="eastAsia" w:ascii="宋体" w:hAnsi="宋体" w:cs="宋体"/>
                <w:kern w:val="0"/>
                <w:szCs w:val="21"/>
              </w:rPr>
              <w:t>偏差</w:t>
            </w:r>
          </w:p>
        </w:tc>
        <w:tc>
          <w:tcPr>
            <w:tcW w:w="7104" w:type="dxa"/>
            <w:vAlign w:val="center"/>
          </w:tcPr>
          <w:p>
            <w:pPr>
              <w:spacing w:line="400" w:lineRule="exact"/>
              <w:ind w:firstLine="422" w:firstLineChars="200"/>
              <w:rPr>
                <w:rFonts w:ascii="宋体" w:hAnsi="宋体" w:cs="宋体"/>
                <w:kern w:val="0"/>
                <w:szCs w:val="21"/>
              </w:rPr>
            </w:pPr>
            <w:r>
              <w:rPr>
                <w:rFonts w:hint="eastAsia" w:ascii="宋体" w:hAnsi="宋体" w:cs="宋体"/>
                <w:b/>
                <w:kern w:val="0"/>
                <w:szCs w:val="21"/>
              </w:rPr>
              <w:t>不允许负偏差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3" w:hRule="atLeast"/>
          <w:jc w:val="center"/>
        </w:trPr>
        <w:tc>
          <w:tcPr>
            <w:tcW w:w="697" w:type="dxa"/>
            <w:vAlign w:val="center"/>
          </w:tcPr>
          <w:p>
            <w:pPr>
              <w:spacing w:line="400" w:lineRule="exact"/>
              <w:jc w:val="center"/>
              <w:rPr>
                <w:rFonts w:ascii="宋体" w:hAnsi="宋体" w:cs="宋体"/>
                <w:kern w:val="0"/>
                <w:szCs w:val="21"/>
              </w:rPr>
            </w:pPr>
            <w:r>
              <w:rPr>
                <w:rFonts w:hint="eastAsia" w:ascii="宋体" w:hAnsi="宋体" w:cs="宋体"/>
                <w:kern w:val="0"/>
                <w:szCs w:val="21"/>
              </w:rPr>
              <w:t>13</w:t>
            </w:r>
          </w:p>
        </w:tc>
        <w:tc>
          <w:tcPr>
            <w:tcW w:w="2106" w:type="dxa"/>
            <w:vAlign w:val="center"/>
          </w:tcPr>
          <w:p>
            <w:pPr>
              <w:spacing w:line="440" w:lineRule="exact"/>
              <w:jc w:val="center"/>
              <w:rPr>
                <w:rFonts w:ascii="宋体" w:hAnsi="宋体" w:cs="宋体"/>
                <w:kern w:val="0"/>
                <w:szCs w:val="21"/>
              </w:rPr>
            </w:pPr>
            <w:r>
              <w:rPr>
                <w:rFonts w:hint="eastAsia" w:ascii="宋体" w:hAnsi="宋体" w:cs="宋体"/>
                <w:bCs/>
                <w:szCs w:val="21"/>
              </w:rPr>
              <w:t>构成比选文件的其他材料</w:t>
            </w:r>
          </w:p>
        </w:tc>
        <w:tc>
          <w:tcPr>
            <w:tcW w:w="7104" w:type="dxa"/>
            <w:vAlign w:val="center"/>
          </w:tcPr>
          <w:p>
            <w:pPr>
              <w:spacing w:line="440" w:lineRule="exact"/>
              <w:ind w:firstLine="420" w:firstLineChars="200"/>
              <w:rPr>
                <w:rFonts w:ascii="宋体" w:hAnsi="宋体" w:cs="宋体"/>
                <w:szCs w:val="21"/>
              </w:rPr>
            </w:pPr>
            <w:r>
              <w:rPr>
                <w:rFonts w:hint="eastAsia" w:ascii="宋体" w:hAnsi="宋体" w:cs="宋体"/>
                <w:szCs w:val="21"/>
              </w:rPr>
              <w:t>采购人发布的图纸、补遗书、答疑、澄清、最高限价通知等附件。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1" w:hRule="atLeast"/>
          <w:jc w:val="center"/>
        </w:trPr>
        <w:tc>
          <w:tcPr>
            <w:tcW w:w="697" w:type="dxa"/>
            <w:vAlign w:val="center"/>
          </w:tcPr>
          <w:p>
            <w:pPr>
              <w:spacing w:line="400" w:lineRule="exact"/>
              <w:jc w:val="center"/>
              <w:rPr>
                <w:rFonts w:ascii="宋体" w:hAnsi="宋体" w:cs="宋体"/>
                <w:kern w:val="0"/>
                <w:szCs w:val="21"/>
              </w:rPr>
            </w:pPr>
            <w:bookmarkStart w:id="103" w:name="_Hlt227984024"/>
            <w:bookmarkEnd w:id="103"/>
            <w:r>
              <w:rPr>
                <w:rFonts w:hint="eastAsia" w:ascii="宋体" w:hAnsi="宋体" w:cs="宋体"/>
                <w:kern w:val="0"/>
                <w:szCs w:val="21"/>
              </w:rPr>
              <w:t>14</w:t>
            </w:r>
          </w:p>
        </w:tc>
        <w:tc>
          <w:tcPr>
            <w:tcW w:w="2106" w:type="dxa"/>
            <w:vAlign w:val="center"/>
          </w:tcPr>
          <w:p>
            <w:pPr>
              <w:spacing w:line="400" w:lineRule="exact"/>
              <w:jc w:val="center"/>
              <w:rPr>
                <w:rFonts w:ascii="宋体" w:hAnsi="宋体" w:cs="宋体"/>
                <w:szCs w:val="21"/>
              </w:rPr>
            </w:pPr>
            <w:r>
              <w:rPr>
                <w:rFonts w:hint="eastAsia" w:ascii="宋体" w:hAnsi="宋体" w:cs="宋体"/>
                <w:szCs w:val="21"/>
              </w:rPr>
              <w:t>构成竞争性比选响应文件的其他材料</w:t>
            </w:r>
          </w:p>
        </w:tc>
        <w:tc>
          <w:tcPr>
            <w:tcW w:w="7104" w:type="dxa"/>
            <w:vAlign w:val="center"/>
          </w:tcPr>
          <w:p>
            <w:pPr>
              <w:autoSpaceDE w:val="0"/>
              <w:autoSpaceDN w:val="0"/>
              <w:adjustRightInd w:val="0"/>
              <w:spacing w:before="72" w:line="400" w:lineRule="exact"/>
              <w:ind w:firstLine="420" w:firstLineChars="200"/>
              <w:rPr>
                <w:rFonts w:ascii="宋体" w:hAnsi="宋体" w:cs="宋体"/>
                <w:kern w:val="0"/>
                <w:szCs w:val="21"/>
              </w:rPr>
            </w:pPr>
            <w:r>
              <w:rPr>
                <w:rFonts w:hint="eastAsia" w:ascii="宋体" w:hAnsi="宋体" w:cs="宋体"/>
                <w:kern w:val="0"/>
                <w:szCs w:val="21"/>
              </w:rPr>
              <w:t>报价人书面澄清或补正，但不得改变竞争性比选响应文件实质。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15</w:t>
            </w:r>
          </w:p>
        </w:tc>
        <w:tc>
          <w:tcPr>
            <w:tcW w:w="2106" w:type="dxa"/>
            <w:tcBorders>
              <w:bottom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工程量清单的填写方式及其他说明</w:t>
            </w:r>
          </w:p>
        </w:tc>
        <w:tc>
          <w:tcPr>
            <w:tcW w:w="7104" w:type="dxa"/>
            <w:tcBorders>
              <w:bottom w:val="single" w:color="auto" w:sz="4" w:space="0"/>
            </w:tcBorders>
          </w:tcPr>
          <w:p>
            <w:pPr>
              <w:spacing w:line="360" w:lineRule="auto"/>
              <w:ind w:firstLine="420" w:firstLineChars="200"/>
              <w:jc w:val="left"/>
              <w:rPr>
                <w:rFonts w:ascii="宋体" w:hAnsi="宋体" w:cs="宋体"/>
                <w:szCs w:val="21"/>
              </w:rPr>
            </w:pPr>
            <w:r>
              <w:rPr>
                <w:rFonts w:hint="eastAsia" w:ascii="宋体" w:hAnsi="宋体" w:cs="宋体"/>
              </w:rPr>
              <w:t>报价人按照采购人提供的工程量清单填写工程量清单</w:t>
            </w:r>
          </w:p>
          <w:p>
            <w:pPr>
              <w:spacing w:line="360" w:lineRule="auto"/>
              <w:ind w:firstLine="422" w:firstLineChars="200"/>
              <w:rPr>
                <w:rFonts w:ascii="宋体" w:hAnsi="宋体" w:cs="宋体"/>
                <w:b/>
                <w:szCs w:val="21"/>
              </w:rPr>
            </w:pPr>
            <w:r>
              <w:rPr>
                <w:rFonts w:hint="eastAsia" w:ascii="宋体" w:hAnsi="宋体" w:cs="宋体"/>
                <w:b/>
                <w:szCs w:val="21"/>
              </w:rPr>
              <w:t>综合单价取小数点后两位，小数点后第三位四舍五入。</w:t>
            </w:r>
          </w:p>
          <w:p>
            <w:pPr>
              <w:spacing w:line="360" w:lineRule="auto"/>
              <w:ind w:firstLine="422" w:firstLineChars="200"/>
              <w:rPr>
                <w:rFonts w:ascii="宋体" w:hAnsi="宋体" w:cs="宋体"/>
                <w:b/>
                <w:bCs/>
                <w:szCs w:val="21"/>
              </w:rPr>
            </w:pPr>
            <w:r>
              <w:rPr>
                <w:rFonts w:hint="eastAsia" w:ascii="宋体" w:hAnsi="宋体" w:cs="宋体"/>
                <w:b/>
                <w:bCs/>
                <w:szCs w:val="21"/>
              </w:rPr>
              <w:t>本项目工程量清单及说明随比选文件一并发布，详见附件。</w:t>
            </w:r>
          </w:p>
          <w:p>
            <w:pPr>
              <w:spacing w:line="360" w:lineRule="auto"/>
              <w:ind w:firstLine="420" w:firstLineChars="200"/>
              <w:jc w:val="left"/>
              <w:rPr>
                <w:rFonts w:ascii="宋体" w:hAnsi="宋体" w:cs="宋体"/>
                <w:b/>
                <w:bCs/>
                <w:szCs w:val="21"/>
              </w:rPr>
            </w:pPr>
            <w:r>
              <w:rPr>
                <w:rFonts w:hint="eastAsia" w:ascii="宋体" w:hAnsi="宋体" w:cs="宋体"/>
              </w:rPr>
              <w:t>本项目报价人报价包含安装、材料（含辅材）、机械、运输、卸货、税金6%、安全措施费、交通组织费、车辆使用费、生产类耗材等费用。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5"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16</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最高投标限价</w:t>
            </w:r>
          </w:p>
        </w:tc>
        <w:tc>
          <w:tcPr>
            <w:tcW w:w="7104" w:type="dxa"/>
            <w:tcBorders>
              <w:bottom w:val="single" w:color="auto" w:sz="4" w:space="0"/>
            </w:tcBorders>
          </w:tcPr>
          <w:p>
            <w:pPr>
              <w:spacing w:line="360" w:lineRule="auto"/>
              <w:ind w:firstLine="422" w:firstLineChars="200"/>
              <w:rPr>
                <w:rFonts w:hint="eastAsia" w:ascii="宋体" w:hAnsi="宋体" w:eastAsia="宋体" w:cs="宋体"/>
                <w:b/>
                <w:szCs w:val="21"/>
              </w:rPr>
            </w:pPr>
            <w:r>
              <w:rPr>
                <w:rFonts w:hint="eastAsia" w:ascii="宋体" w:hAnsi="宋体" w:cs="宋体"/>
                <w:b/>
                <w:szCs w:val="21"/>
                <w:lang w:eastAsia="zh-CN"/>
              </w:rPr>
              <w:t>2025年营运公司网络安全维护服务项目</w:t>
            </w:r>
            <w:r>
              <w:rPr>
                <w:rFonts w:hint="eastAsia" w:ascii="宋体" w:hAnsi="宋体" w:eastAsia="宋体" w:cs="宋体"/>
                <w:b/>
                <w:szCs w:val="21"/>
              </w:rPr>
              <w:t>一标段最高限价金额</w:t>
            </w:r>
            <w:r>
              <w:rPr>
                <w:rFonts w:hint="eastAsia" w:ascii="宋体" w:hAnsi="宋体" w:cs="宋体"/>
                <w:b/>
                <w:szCs w:val="21"/>
                <w:highlight w:val="none"/>
                <w:lang w:val="en-US" w:eastAsia="zh-CN"/>
              </w:rPr>
              <w:t>550000.00</w:t>
            </w:r>
            <w:r>
              <w:rPr>
                <w:rFonts w:hint="eastAsia" w:ascii="宋体" w:hAnsi="宋体" w:eastAsia="宋体" w:cs="宋体"/>
                <w:b/>
                <w:szCs w:val="21"/>
              </w:rPr>
              <w:t>元；二标段最高限价金额</w:t>
            </w:r>
            <w:r>
              <w:rPr>
                <w:rFonts w:hint="eastAsia" w:ascii="宋体" w:hAnsi="宋体" w:cs="宋体"/>
                <w:b/>
                <w:szCs w:val="21"/>
                <w:highlight w:val="none"/>
                <w:lang w:val="en-US" w:eastAsia="zh-CN"/>
              </w:rPr>
              <w:t>440000.00</w:t>
            </w:r>
            <w:r>
              <w:rPr>
                <w:rFonts w:hint="eastAsia" w:ascii="宋体" w:hAnsi="宋体" w:eastAsia="宋体" w:cs="宋体"/>
                <w:b/>
                <w:szCs w:val="21"/>
              </w:rPr>
              <w:t>元。</w:t>
            </w:r>
          </w:p>
          <w:p>
            <w:pPr>
              <w:spacing w:line="360" w:lineRule="auto"/>
              <w:ind w:firstLine="422" w:firstLineChars="200"/>
              <w:rPr>
                <w:rFonts w:ascii="宋体" w:hAnsi="宋体" w:cs="宋体"/>
                <w:b/>
                <w:bCs/>
                <w:kern w:val="0"/>
                <w:szCs w:val="21"/>
              </w:rPr>
            </w:pPr>
            <w:r>
              <w:rPr>
                <w:rFonts w:hint="eastAsia" w:ascii="宋体" w:hAnsi="宋体" w:eastAsia="宋体" w:cs="宋体"/>
                <w:b/>
                <w:szCs w:val="21"/>
              </w:rPr>
              <w:t>报价人报价不得高于采购人发布的最高限价，否则其竞争性比选响应文件视为重大偏差，竞争性比选响应文件将按否决报价处理。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4"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17</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合同支付办法</w:t>
            </w:r>
          </w:p>
        </w:tc>
        <w:tc>
          <w:tcPr>
            <w:tcW w:w="7104" w:type="dxa"/>
            <w:tcBorders>
              <w:bottom w:val="single" w:color="auto" w:sz="4" w:space="0"/>
            </w:tcBorders>
          </w:tcPr>
          <w:p>
            <w:pPr>
              <w:spacing w:line="360" w:lineRule="auto"/>
              <w:ind w:firstLine="420" w:firstLineChars="200"/>
            </w:pPr>
            <w:r>
              <w:rPr>
                <w:rFonts w:hint="eastAsia"/>
              </w:rPr>
              <w:t>按季度据实结算，每季度完成巡检，提供巡检报告后支付每季度结算金额的</w:t>
            </w:r>
            <w:r>
              <w:t>100</w:t>
            </w:r>
            <w:r>
              <w:rPr>
                <w:rFonts w:hint="eastAsia"/>
              </w:rPr>
              <w:t>%。由乙方主动提出书面申请，经甲方业务部门确认后，30个工作日内全额支付（质量保证金不计任何利息），若乙方未提出书面申请，则相应的延迟责任由乙方自行承担；甲方每次付款前，乙方应向甲方开具等额增值税专用发票，否则甲方有权拒绝付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2"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8</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作业队伍最低要求</w:t>
            </w:r>
          </w:p>
        </w:tc>
        <w:tc>
          <w:tcPr>
            <w:tcW w:w="7104" w:type="dxa"/>
            <w:tcBorders>
              <w:bottom w:val="single" w:color="auto" w:sz="4" w:space="0"/>
            </w:tcBorders>
          </w:tcPr>
          <w:p>
            <w:pPr>
              <w:spacing w:line="360" w:lineRule="auto"/>
              <w:ind w:firstLine="420" w:firstLineChars="200"/>
              <w:rPr>
                <w:b/>
                <w:bCs/>
                <w:highlight w:val="yellow"/>
              </w:rPr>
            </w:pPr>
            <w:r>
              <w:rPr>
                <w:rFonts w:hint="eastAsia"/>
              </w:rPr>
              <w:t>每个标段中标人至少需组织</w:t>
            </w:r>
            <w:r>
              <w:t>2</w:t>
            </w:r>
            <w:r>
              <w:rPr>
                <w:rFonts w:hint="eastAsia"/>
              </w:rPr>
              <w:t>名维护人员。</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9" w:hRule="atLeast"/>
          <w:jc w:val="center"/>
        </w:trPr>
        <w:tc>
          <w:tcPr>
            <w:tcW w:w="697"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kern w:val="0"/>
                <w:szCs w:val="21"/>
              </w:rPr>
              <w:t>1</w:t>
            </w:r>
            <w:r>
              <w:rPr>
                <w:rFonts w:ascii="宋体" w:hAnsi="宋体" w:cs="宋体"/>
                <w:kern w:val="0"/>
                <w:szCs w:val="21"/>
              </w:rPr>
              <w:t>9</w:t>
            </w:r>
          </w:p>
        </w:tc>
        <w:tc>
          <w:tcPr>
            <w:tcW w:w="2106" w:type="dxa"/>
            <w:tcBorders>
              <w:bottom w:val="single" w:color="auto" w:sz="4" w:space="0"/>
            </w:tcBorders>
            <w:vAlign w:val="center"/>
          </w:tcPr>
          <w:p>
            <w:pPr>
              <w:spacing w:line="400" w:lineRule="exact"/>
              <w:jc w:val="center"/>
              <w:rPr>
                <w:rFonts w:ascii="宋体" w:hAnsi="宋体" w:cs="宋体"/>
                <w:kern w:val="0"/>
                <w:szCs w:val="21"/>
              </w:rPr>
            </w:pPr>
            <w:r>
              <w:rPr>
                <w:rFonts w:hint="eastAsia" w:ascii="宋体" w:hAnsi="宋体" w:cs="宋体"/>
                <w:szCs w:val="21"/>
              </w:rPr>
              <w:t>乙方违约的处理</w:t>
            </w:r>
          </w:p>
        </w:tc>
        <w:tc>
          <w:tcPr>
            <w:tcW w:w="7104" w:type="dxa"/>
            <w:tcBorders>
              <w:bottom w:val="single" w:color="auto" w:sz="4" w:space="0"/>
            </w:tcBorders>
          </w:tcPr>
          <w:p>
            <w:pPr>
              <w:tabs>
                <w:tab w:val="left" w:pos="2438"/>
              </w:tabs>
              <w:spacing w:line="360" w:lineRule="auto"/>
              <w:ind w:firstLine="420" w:firstLineChars="200"/>
            </w:pPr>
            <w:r>
              <w:rPr>
                <w:rFonts w:hint="eastAsia"/>
              </w:rPr>
              <w:t>1</w:t>
            </w:r>
            <w:r>
              <w:t>.</w:t>
            </w:r>
            <w:r>
              <w:rPr>
                <w:rFonts w:hint="eastAsia"/>
              </w:rPr>
              <w:t>乙方在本项目工作开展期间，更换项目经理，甲方按5万元/人进行违约处理。新更换的人员不低于比选文件人员资质要求。</w:t>
            </w:r>
          </w:p>
          <w:p>
            <w:pPr>
              <w:tabs>
                <w:tab w:val="left" w:pos="2438"/>
              </w:tabs>
              <w:spacing w:line="360" w:lineRule="auto"/>
              <w:ind w:firstLine="420" w:firstLineChars="200"/>
            </w:pPr>
            <w:r>
              <w:rPr>
                <w:rFonts w:hint="eastAsia"/>
              </w:rPr>
              <w:t>2</w:t>
            </w:r>
            <w:r>
              <w:t>.</w:t>
            </w:r>
            <w:r>
              <w:rPr>
                <w:rFonts w:hint="eastAsia"/>
              </w:rPr>
              <w:t>乙方分包的工程项目，不得再行转包或分包，否则将无条件被认为乙方违约，由此引起的一切责任、事故和损失由乙方负责。此外，乙方还应当向甲方支付1万元违约金，甲方有权终止或解除合同。</w:t>
            </w:r>
          </w:p>
          <w:p>
            <w:pPr>
              <w:tabs>
                <w:tab w:val="left" w:pos="1729"/>
              </w:tabs>
              <w:spacing w:line="360" w:lineRule="auto"/>
              <w:ind w:firstLine="420" w:firstLineChars="200"/>
            </w:pPr>
            <w:r>
              <w:rPr>
                <w:rFonts w:hint="eastAsia"/>
              </w:rPr>
              <w:t>3</w:t>
            </w:r>
            <w:r>
              <w:t>.</w:t>
            </w:r>
            <w:r>
              <w:rPr>
                <w:rFonts w:hint="eastAsia"/>
              </w:rPr>
              <w:t>在维护过程中由乙方分包的维护项目质量经检验达不到验收规范和评定标准，不能保证维护质量，或因乙方分包的维护项目进度不能满足发包人和甲方制定的进度目标要求，则甲方有权终止合同，由此造成的损失由乙方承担。此外，乙方还应当向甲方支付1万元违约金。</w:t>
            </w:r>
          </w:p>
          <w:p>
            <w:pPr>
              <w:tabs>
                <w:tab w:val="left" w:pos="2438"/>
              </w:tabs>
              <w:spacing w:line="360" w:lineRule="auto"/>
              <w:ind w:firstLine="420" w:firstLineChars="200"/>
            </w:pPr>
            <w:r>
              <w:rPr>
                <w:rFonts w:hint="eastAsia"/>
              </w:rPr>
              <w:t>4</w:t>
            </w:r>
            <w:r>
              <w:t>.</w:t>
            </w:r>
            <w:r>
              <w:rPr>
                <w:rFonts w:hint="eastAsia"/>
              </w:rPr>
              <w:t>除上一条款外，合同签订后，不经双方协商同意，任何一方不得随意变更或解除。如乙方未经甲方同意，单方解除合同时（如中途未征得甲方同意无故退场），甲方将按照乙方完成工作量的80%进行结算，同时乙方还需支付甲方1万元违约金，并且由乙方赔偿甲方因影响维护计划造成的经济损失；如甲方中途无故解除合同，按乙方完成工作量的100%进行结算，应赔偿乙方因此造成的经济损失。</w:t>
            </w:r>
          </w:p>
          <w:p>
            <w:pPr>
              <w:tabs>
                <w:tab w:val="left" w:pos="1729"/>
              </w:tabs>
              <w:spacing w:line="360" w:lineRule="auto"/>
              <w:ind w:firstLine="420" w:firstLineChars="200"/>
            </w:pPr>
            <w:r>
              <w:t>5</w:t>
            </w:r>
            <w:r>
              <w:rPr>
                <w:rFonts w:hint="eastAsia"/>
              </w:rPr>
              <w:t>.因乙方原因，出现下列情况之一的，甲方有权采取认为合理的一切措施进行处理，由此引起的损失由乙方承担。</w:t>
            </w:r>
          </w:p>
          <w:p>
            <w:pPr>
              <w:spacing w:line="400" w:lineRule="exact"/>
              <w:ind w:firstLine="420" w:firstLineChars="200"/>
            </w:pPr>
            <w:r>
              <w:rPr>
                <w:rFonts w:hint="eastAsia"/>
              </w:rPr>
              <w:t>5.1乙方的主要人员、机械设备及流动资金不能按时到位的，严重制约了维护；</w:t>
            </w:r>
          </w:p>
          <w:p>
            <w:pPr>
              <w:spacing w:line="400" w:lineRule="exact"/>
              <w:ind w:firstLine="420" w:firstLineChars="200"/>
            </w:pPr>
            <w:r>
              <w:rPr>
                <w:rFonts w:hint="eastAsia"/>
              </w:rPr>
              <w:t>5.2进度滞后该维护总体进度计划的10％或落到维护管理曲线下线以下的；</w:t>
            </w:r>
          </w:p>
          <w:p>
            <w:pPr>
              <w:spacing w:line="400" w:lineRule="exact"/>
              <w:ind w:firstLine="420" w:firstLineChars="200"/>
            </w:pPr>
            <w:r>
              <w:rPr>
                <w:rFonts w:hint="eastAsia"/>
              </w:rPr>
              <w:t>5.3不按维护技术规范和标准要求维护，造成维护质量低劣的达不到验收标准的；</w:t>
            </w:r>
          </w:p>
          <w:p>
            <w:pPr>
              <w:spacing w:line="400" w:lineRule="exact"/>
              <w:ind w:firstLine="420" w:firstLineChars="200"/>
            </w:pPr>
            <w:r>
              <w:rPr>
                <w:rFonts w:hint="eastAsia"/>
              </w:rPr>
              <w:t>5. 4不遵守甲方的管理，不能服从发包人和监理人的指令，造成维护不能管理无法推进。</w:t>
            </w:r>
          </w:p>
          <w:p>
            <w:pPr>
              <w:spacing w:line="360" w:lineRule="auto"/>
              <w:ind w:firstLine="420" w:firstLineChars="200"/>
            </w:pPr>
            <w:r>
              <w:rPr>
                <w:rFonts w:hint="eastAsia"/>
              </w:rPr>
              <w:t>6.乙方应按本合同规定的工期及质量要求完成，否则应偿付给甲方1万元/天的逾期违约金，并承担甲方项目部延期完成任务以后后续发生的管理费用，限额为 5％本合同的签约合同价。</w:t>
            </w:r>
          </w:p>
          <w:p>
            <w:pPr>
              <w:spacing w:line="360" w:lineRule="auto"/>
              <w:ind w:firstLine="420" w:firstLineChars="200"/>
              <w:rPr>
                <w:rFonts w:ascii="宋体" w:hAnsi="宋体" w:cs="宋体"/>
              </w:rPr>
            </w:pPr>
            <w:r>
              <w:rPr>
                <w:rFonts w:hint="eastAsia"/>
              </w:rPr>
              <w:t>7.</w:t>
            </w:r>
            <w:r>
              <w:rPr>
                <w:rFonts w:hint="eastAsia" w:ascii="宋体" w:hAnsi="宋体" w:cs="宋体"/>
              </w:rPr>
              <w:t>签订合同后，需在合同规定时间内进场开工。如中标人不能在3天内按要求完成人员和车辆进场，则视为中标人违约，招标人有权解除合同并追究违约责任。</w:t>
            </w:r>
          </w:p>
          <w:p>
            <w:pPr>
              <w:autoSpaceDE w:val="0"/>
              <w:autoSpaceDN w:val="0"/>
              <w:spacing w:line="360" w:lineRule="auto"/>
              <w:ind w:firstLine="420" w:firstLineChars="200"/>
            </w:pPr>
            <w:r>
              <w:rPr>
                <w:rFonts w:hint="eastAsia"/>
              </w:rPr>
              <w:t>8.采购人将不定期检查维护人员的合同及参保信息，若发现维护人员与中标单位合同到期后未续签的或中标单位未对维护人员进行参保、无参保信息的，采购人将扣除中标单位的履约保证金10000元/人次。</w:t>
            </w:r>
          </w:p>
          <w:p>
            <w:pPr>
              <w:spacing w:line="360" w:lineRule="auto"/>
              <w:ind w:firstLine="420" w:firstLineChars="200"/>
            </w:pPr>
            <w:r>
              <w:rPr>
                <w:rFonts w:hint="eastAsia"/>
              </w:rPr>
              <w:t>9.中标人所提供维护人员不能从事本项目以外的所有工程项目及其他工作，每发现一次从履约保证金中扣1000元/人罚款。维护人员必须与投标文件提供的人员一致。中标人不得随意更换人员，若中标人需更换人员，需提前14天提交资料给采购人，经采购人同意后方能进行更换。如中标人私自更换人员，一经发现从履约保证金中扣10000元/人罚款。</w:t>
            </w:r>
          </w:p>
          <w:p>
            <w:pPr>
              <w:spacing w:line="360" w:lineRule="auto"/>
              <w:ind w:firstLine="420" w:firstLineChars="200"/>
            </w:pPr>
            <w:r>
              <w:rPr>
                <w:rFonts w:hint="eastAsia"/>
              </w:rPr>
              <w:t>1</w:t>
            </w:r>
            <w:r>
              <w:rPr>
                <w:rFonts w:hint="eastAsia"/>
                <w:lang w:val="en-US" w:eastAsia="zh-CN"/>
              </w:rPr>
              <w:t>0</w:t>
            </w:r>
            <w:r>
              <w:rPr>
                <w:rFonts w:hint="eastAsia"/>
              </w:rPr>
              <w:t>.若履约保证金累计处罚到总金额的50%，则报价人应在10个工作日内补交到100%，如不能按时补交，则采购人有权终止合同。中标人擅自离场或单方面终止合同，中标人应赔付采购人合同金额的20%。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697" w:type="dxa"/>
            <w:vAlign w:val="center"/>
          </w:tcPr>
          <w:p>
            <w:pPr>
              <w:spacing w:line="400" w:lineRule="exact"/>
              <w:jc w:val="center"/>
              <w:rPr>
                <w:rFonts w:ascii="宋体" w:hAnsi="宋体" w:cs="宋体"/>
                <w:szCs w:val="21"/>
              </w:rPr>
            </w:pPr>
            <w:r>
              <w:rPr>
                <w:rFonts w:ascii="宋体" w:hAnsi="宋体" w:cs="宋体"/>
                <w:szCs w:val="21"/>
              </w:rPr>
              <w:t>20</w:t>
            </w:r>
          </w:p>
        </w:tc>
        <w:tc>
          <w:tcPr>
            <w:tcW w:w="2106" w:type="dxa"/>
          </w:tcPr>
          <w:p>
            <w:pPr>
              <w:spacing w:line="400" w:lineRule="exact"/>
              <w:jc w:val="center"/>
              <w:rPr>
                <w:rFonts w:ascii="宋体" w:hAnsi="宋体" w:cs="宋体"/>
                <w:szCs w:val="21"/>
              </w:rPr>
            </w:pPr>
            <w:r>
              <w:rPr>
                <w:rFonts w:hint="eastAsia" w:ascii="宋体" w:hAnsi="宋体" w:cs="宋体"/>
                <w:szCs w:val="21"/>
              </w:rPr>
              <w:t>中标候选人的人数</w:t>
            </w:r>
          </w:p>
        </w:tc>
        <w:tc>
          <w:tcPr>
            <w:tcW w:w="7104" w:type="dxa"/>
            <w:shd w:val="clear" w:color="auto" w:fill="auto"/>
            <w:vAlign w:val="center"/>
          </w:tcPr>
          <w:p>
            <w:pPr>
              <w:spacing w:line="400" w:lineRule="exact"/>
              <w:ind w:firstLine="420" w:firstLineChars="200"/>
              <w:jc w:val="left"/>
              <w:rPr>
                <w:rFonts w:ascii="宋体" w:hAnsi="宋体" w:cs="宋体"/>
              </w:rPr>
            </w:pPr>
            <w:r>
              <w:rPr>
                <w:rFonts w:hint="eastAsia" w:ascii="宋体" w:hAnsi="宋体" w:cs="宋体"/>
              </w:rPr>
              <w:t>推荐2名中标候选人。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1</w:t>
            </w:r>
          </w:p>
        </w:tc>
        <w:tc>
          <w:tcPr>
            <w:tcW w:w="2106"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保证金</w:t>
            </w:r>
          </w:p>
        </w:tc>
        <w:tc>
          <w:tcPr>
            <w:tcW w:w="7104" w:type="dxa"/>
            <w:vAlign w:val="center"/>
          </w:tcPr>
          <w:p>
            <w:pPr>
              <w:snapToGrid w:val="0"/>
              <w:spacing w:line="360" w:lineRule="auto"/>
              <w:ind w:firstLine="420" w:firstLineChars="200"/>
              <w:rPr>
                <w:rFonts w:ascii="宋体" w:hAnsi="宋体" w:cs="宋体"/>
              </w:rPr>
            </w:pPr>
            <w:r>
              <w:rPr>
                <w:rFonts w:hint="eastAsia" w:ascii="宋体" w:hAnsi="宋体" w:cs="宋体"/>
              </w:rPr>
              <w:t>一、投标保证金</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1、报价人须缴纳投标保证金</w:t>
            </w:r>
            <w:r>
              <w:rPr>
                <w:rFonts w:hint="eastAsia" w:ascii="宋体" w:hAnsi="宋体" w:cs="宋体"/>
                <w:szCs w:val="21"/>
                <w:lang w:val="en-US" w:eastAsia="zh-CN"/>
              </w:rPr>
              <w:t>2</w:t>
            </w:r>
            <w:r>
              <w:rPr>
                <w:rFonts w:ascii="宋体" w:hAnsi="宋体" w:cs="宋体"/>
                <w:szCs w:val="21"/>
              </w:rPr>
              <w:t>000.00</w:t>
            </w:r>
            <w:r>
              <w:rPr>
                <w:rFonts w:hint="eastAsia" w:ascii="宋体" w:hAnsi="宋体" w:cs="宋体"/>
                <w:szCs w:val="21"/>
              </w:rPr>
              <w:t>元，</w:t>
            </w:r>
            <w:r>
              <w:rPr>
                <w:rFonts w:ascii="宋体" w:hAnsi="宋体" w:cs="宋体"/>
                <w:szCs w:val="21"/>
              </w:rPr>
              <w:t>由</w:t>
            </w:r>
            <w:r>
              <w:rPr>
                <w:rFonts w:hint="eastAsia" w:ascii="宋体" w:hAnsi="宋体" w:cs="宋体"/>
                <w:szCs w:val="21"/>
              </w:rPr>
              <w:t>报价人</w:t>
            </w:r>
            <w:r>
              <w:rPr>
                <w:rFonts w:ascii="宋体" w:hAnsi="宋体" w:cs="宋体"/>
                <w:szCs w:val="21"/>
              </w:rPr>
              <w:t>从公司基本账户将投标保证金汇至以下指定账户</w:t>
            </w:r>
            <w:r>
              <w:rPr>
                <w:rFonts w:hint="eastAsia"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保证金到账截止时间：</w:t>
            </w:r>
            <w:r>
              <w:rPr>
                <w:rFonts w:hint="eastAsia" w:ascii="宋体" w:hAnsi="宋体" w:cs="宋体"/>
                <w:szCs w:val="21"/>
                <w:lang w:eastAsia="zh-CN"/>
              </w:rPr>
              <w:t>2024</w:t>
            </w:r>
            <w:r>
              <w:rPr>
                <w:rFonts w:ascii="宋体" w:hAnsi="宋体" w:cs="宋体"/>
                <w:szCs w:val="21"/>
              </w:rPr>
              <w:t>年</w:t>
            </w:r>
            <w:r>
              <w:rPr>
                <w:rFonts w:hint="eastAsia" w:ascii="宋体" w:hAnsi="宋体" w:cs="宋体"/>
                <w:szCs w:val="21"/>
                <w:lang w:val="en-US" w:eastAsia="zh-CN"/>
              </w:rPr>
              <w:t>12</w:t>
            </w:r>
            <w:r>
              <w:rPr>
                <w:rFonts w:ascii="宋体" w:hAnsi="宋体" w:cs="宋体"/>
                <w:szCs w:val="21"/>
              </w:rPr>
              <w:t>月</w:t>
            </w:r>
            <w:r>
              <w:rPr>
                <w:rFonts w:hint="eastAsia" w:ascii="宋体" w:hAnsi="宋体" w:cs="宋体"/>
                <w:szCs w:val="21"/>
                <w:lang w:val="en-US" w:eastAsia="zh-CN"/>
              </w:rPr>
              <w:t>25</w:t>
            </w:r>
            <w:r>
              <w:rPr>
                <w:rFonts w:ascii="宋体" w:hAnsi="宋体" w:cs="宋体"/>
                <w:szCs w:val="21"/>
              </w:rPr>
              <w:t>日1</w:t>
            </w:r>
            <w:r>
              <w:rPr>
                <w:rFonts w:hint="eastAsia" w:ascii="宋体" w:hAnsi="宋体" w:cs="宋体"/>
                <w:szCs w:val="21"/>
                <w:lang w:val="en-US" w:eastAsia="zh-CN"/>
              </w:rPr>
              <w:t>1</w:t>
            </w:r>
            <w:r>
              <w:rPr>
                <w:rFonts w:ascii="宋体" w:hAnsi="宋体" w:cs="宋体"/>
                <w:szCs w:val="21"/>
              </w:rPr>
              <w:t>时00分前；</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若竞争性比选响应文件内无投标保证金缴纳凭证，</w:t>
            </w:r>
            <w:r>
              <w:rPr>
                <w:rFonts w:hint="eastAsia" w:ascii="宋体" w:hAnsi="宋体" w:cs="宋体"/>
                <w:szCs w:val="21"/>
              </w:rPr>
              <w:t>采购人</w:t>
            </w:r>
            <w:r>
              <w:rPr>
                <w:rFonts w:ascii="宋体" w:hAnsi="宋体" w:cs="宋体"/>
                <w:szCs w:val="21"/>
              </w:rPr>
              <w:t>有权作废标处理，若投标保证金存在虚假不实情况，</w:t>
            </w:r>
            <w:r>
              <w:rPr>
                <w:rFonts w:hint="eastAsia" w:ascii="宋体" w:hAnsi="宋体" w:cs="宋体"/>
                <w:szCs w:val="21"/>
              </w:rPr>
              <w:t>采购人</w:t>
            </w:r>
            <w:r>
              <w:rPr>
                <w:rFonts w:ascii="宋体" w:hAnsi="宋体" w:cs="宋体"/>
                <w:szCs w:val="21"/>
              </w:rPr>
              <w:t>有权作废标处理。</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2、</w:t>
            </w:r>
            <w:r>
              <w:rPr>
                <w:rFonts w:ascii="宋体" w:hAnsi="宋体" w:cs="宋体"/>
                <w:szCs w:val="21"/>
              </w:rPr>
              <w:t>投标保证金退还方式</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报价人需按采购人相关要求递交投标保证金退还申请相关资料。</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未</w:t>
            </w:r>
            <w:r>
              <w:rPr>
                <w:rFonts w:hint="eastAsia" w:ascii="宋体" w:hAnsi="宋体" w:cs="宋体"/>
                <w:szCs w:val="21"/>
              </w:rPr>
              <w:t>中标报价人</w:t>
            </w:r>
            <w:r>
              <w:rPr>
                <w:rFonts w:ascii="宋体" w:hAnsi="宋体" w:cs="宋体"/>
                <w:szCs w:val="21"/>
              </w:rPr>
              <w:t>的投标保证金，于该项目结果公示期结束后15个工作日内无息退还至</w:t>
            </w:r>
            <w:r>
              <w:rPr>
                <w:rFonts w:hint="eastAsia" w:ascii="宋体" w:hAnsi="宋体" w:cs="宋体"/>
                <w:szCs w:val="21"/>
              </w:rPr>
              <w:t>报价人</w:t>
            </w:r>
            <w:r>
              <w:rPr>
                <w:rFonts w:ascii="宋体" w:hAnsi="宋体" w:cs="宋体"/>
                <w:szCs w:val="21"/>
              </w:rPr>
              <w:t>基本账户。</w:t>
            </w:r>
          </w:p>
          <w:p>
            <w:pPr>
              <w:autoSpaceDE w:val="0"/>
              <w:autoSpaceDN w:val="0"/>
              <w:adjustRightInd w:val="0"/>
              <w:spacing w:line="360" w:lineRule="auto"/>
              <w:ind w:firstLine="420" w:firstLineChars="200"/>
              <w:jc w:val="left"/>
              <w:rPr>
                <w:rFonts w:ascii="宋体" w:hAnsi="宋体" w:cs="宋体"/>
                <w:szCs w:val="21"/>
              </w:rPr>
            </w:pPr>
            <w:r>
              <w:rPr>
                <w:rFonts w:ascii="宋体" w:hAnsi="宋体" w:cs="宋体"/>
                <w:szCs w:val="21"/>
              </w:rPr>
              <w:t>中标人的投标保证金，自合同签订后15个工作日内无息退还至中标人基本账户。</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二、履约保证金或银行保函担保</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1、</w:t>
            </w:r>
            <w:r>
              <w:rPr>
                <w:rFonts w:ascii="宋体" w:hAnsi="宋体" w:cs="宋体"/>
                <w:szCs w:val="21"/>
              </w:rPr>
              <w:t>履约担保作为本</w:t>
            </w:r>
            <w:r>
              <w:rPr>
                <w:rFonts w:hint="eastAsia" w:ascii="宋体" w:hAnsi="宋体" w:cs="宋体"/>
                <w:szCs w:val="21"/>
              </w:rPr>
              <w:t>项目</w:t>
            </w:r>
            <w:r>
              <w:rPr>
                <w:rFonts w:ascii="宋体" w:hAnsi="宋体" w:cs="宋体"/>
                <w:szCs w:val="21"/>
              </w:rPr>
              <w:t>合同附件</w:t>
            </w:r>
            <w:r>
              <w:rPr>
                <w:rFonts w:hint="eastAsia"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2、金额：中标人合同金额的</w:t>
            </w:r>
            <w:r>
              <w:rPr>
                <w:rFonts w:hint="eastAsia" w:ascii="宋体" w:hAnsi="宋体" w:cs="宋体"/>
                <w:szCs w:val="21"/>
                <w:lang w:val="en-US" w:eastAsia="zh-CN"/>
              </w:rPr>
              <w:t>5</w:t>
            </w:r>
            <w:r>
              <w:rPr>
                <w:rFonts w:hint="eastAsia" w:ascii="宋体" w:hAnsi="宋体" w:cs="宋体"/>
                <w:szCs w:val="21"/>
              </w:rPr>
              <w:t>%。</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3、有效期：自双方签订的合同文件生效之日起，至合同约定的工程验收完成止。</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4、履约保证金的提交及退还：在甲方发出中标通知书后5个工作日内，中标人向采购人提供履约保证金</w:t>
            </w:r>
            <w:r>
              <w:rPr>
                <w:rFonts w:ascii="宋体" w:hAnsi="宋体" w:cs="宋体"/>
                <w:szCs w:val="21"/>
              </w:rPr>
              <w:t>缴纳凭证</w:t>
            </w:r>
            <w:r>
              <w:rPr>
                <w:rFonts w:hint="eastAsia" w:ascii="宋体" w:hAnsi="宋体" w:cs="宋体"/>
                <w:szCs w:val="21"/>
              </w:rPr>
              <w:t>或银行保函。履约保证金或银行保函在完成合同约定的全部工作内容后28天后无息退还剩余部分或自动失效。</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5、如果中标人出具的履约保函有效期早于合同约定的履约担保有效期，中标人应在保函到期1个月之前延长保函的有效期，否则采购人有权停止支付合同价格。</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三、保证金缴纳方式及要求：报价人从企业的基本账户（开户行）在采购人规定时间内，向采购人通过电汇方式直接划付至采购人指定的保证金账户，否则，保证金无效。报价人自行考虑汇入时间风险，如同城汇入、异地汇入、跨行汇入的时间要求。</w:t>
            </w:r>
            <w:r>
              <w:rPr>
                <w:rFonts w:ascii="宋体" w:hAnsi="宋体" w:cs="宋体"/>
                <w:szCs w:val="21"/>
              </w:rPr>
              <w:t>转款备注：</w:t>
            </w:r>
            <w:r>
              <w:rPr>
                <w:rFonts w:hint="eastAsia" w:ascii="宋体" w:hAnsi="宋体" w:cs="宋体"/>
                <w:szCs w:val="21"/>
                <w:lang w:eastAsia="zh-CN"/>
              </w:rPr>
              <w:t>2025年营运公司网络安全维护服务项目</w:t>
            </w:r>
            <w:r>
              <w:rPr>
                <w:rFonts w:hint="eastAsia" w:ascii="宋体" w:hAnsi="宋体" w:cs="宋体"/>
                <w:szCs w:val="21"/>
              </w:rPr>
              <w:t>项目XX（投标或者履约）保证金</w:t>
            </w:r>
            <w:r>
              <w:rPr>
                <w:rFonts w:ascii="宋体" w:hAnsi="宋体" w:cs="宋体"/>
                <w:szCs w:val="21"/>
              </w:rPr>
              <w:t>。</w:t>
            </w:r>
          </w:p>
          <w:p>
            <w:pPr>
              <w:spacing w:line="400" w:lineRule="exact"/>
              <w:ind w:firstLine="420" w:firstLineChars="200"/>
              <w:rPr>
                <w:rFonts w:hint="eastAsia" w:ascii="宋体" w:hAnsi="宋体" w:cs="宋体"/>
                <w:lang w:val="en-US" w:eastAsia="zh-CN"/>
              </w:rPr>
            </w:pPr>
            <w:r>
              <w:rPr>
                <w:rFonts w:hint="eastAsia" w:ascii="宋体" w:hAnsi="宋体" w:cs="宋体"/>
                <w:szCs w:val="21"/>
              </w:rPr>
              <w:t>四、</w:t>
            </w:r>
            <w:r>
              <w:rPr>
                <w:rFonts w:hint="eastAsia" w:ascii="宋体" w:hAnsi="宋体" w:cs="宋体"/>
                <w:lang w:val="en-US" w:eastAsia="zh-CN"/>
              </w:rPr>
              <w:t>低价风险保证金</w:t>
            </w:r>
          </w:p>
          <w:p>
            <w:pPr>
              <w:spacing w:line="400" w:lineRule="exact"/>
              <w:ind w:firstLine="420" w:firstLineChars="200"/>
              <w:rPr>
                <w:rFonts w:hint="eastAsia" w:ascii="宋体" w:hAnsi="宋体" w:cs="宋体"/>
                <w:lang w:val="en-US" w:eastAsia="zh-CN"/>
              </w:rPr>
            </w:pPr>
            <w:r>
              <w:rPr>
                <w:rFonts w:hint="eastAsia" w:ascii="宋体" w:hAnsi="宋体" w:cs="宋体"/>
                <w:lang w:val="en-US" w:eastAsia="zh-CN"/>
              </w:rPr>
              <w:t>1、低价风险担保：中标价低于最高限价的85%时提供，如不按时足额提供，视为中标人放弃中标，采购人有权不退还其投标保证金，招标投标行政监督部门应当按照信用管理办法的规定，对中标人的不良行为直接记12分，纳入重点关注名单。</w:t>
            </w:r>
          </w:p>
          <w:p>
            <w:pPr>
              <w:spacing w:line="400" w:lineRule="exact"/>
              <w:ind w:firstLine="420" w:firstLineChars="200"/>
              <w:rPr>
                <w:rFonts w:hint="eastAsia" w:ascii="宋体" w:hAnsi="宋体" w:cs="宋体"/>
                <w:lang w:val="en-US" w:eastAsia="zh-CN"/>
              </w:rPr>
            </w:pPr>
            <w:r>
              <w:rPr>
                <w:rFonts w:hint="eastAsia" w:ascii="宋体" w:hAnsi="宋体" w:cs="宋体"/>
                <w:lang w:val="en-US" w:eastAsia="zh-CN"/>
              </w:rPr>
              <w:t>2、中标人提供低价风险担保的形式、金额及期限：</w:t>
            </w:r>
          </w:p>
          <w:p>
            <w:pPr>
              <w:spacing w:line="400" w:lineRule="exact"/>
              <w:ind w:firstLine="210" w:firstLineChars="100"/>
              <w:rPr>
                <w:rFonts w:hint="eastAsia" w:ascii="宋体" w:hAnsi="宋体" w:cs="宋体"/>
                <w:lang w:val="en-US" w:eastAsia="zh-CN"/>
              </w:rPr>
            </w:pPr>
            <w:r>
              <w:rPr>
                <w:rFonts w:hint="eastAsia" w:ascii="宋体" w:hAnsi="宋体" w:cs="宋体"/>
                <w:lang w:val="en-US" w:eastAsia="zh-CN"/>
              </w:rPr>
              <w:t>（1）低价风险担保的形式：现金或不可撤销的见索即付银行保函；</w:t>
            </w:r>
          </w:p>
          <w:p>
            <w:pPr>
              <w:spacing w:line="400" w:lineRule="exact"/>
              <w:ind w:firstLine="210" w:firstLineChars="100"/>
              <w:rPr>
                <w:rFonts w:hint="eastAsia" w:ascii="宋体" w:hAnsi="宋体" w:cs="宋体"/>
                <w:lang w:val="en-US" w:eastAsia="zh-CN"/>
              </w:rPr>
            </w:pPr>
            <w:r>
              <w:rPr>
                <w:rFonts w:hint="eastAsia" w:ascii="宋体" w:hAnsi="宋体" w:cs="宋体"/>
                <w:lang w:val="en-US" w:eastAsia="zh-CN"/>
              </w:rPr>
              <w:t>（2）低价风险担保的金额：（最高限价×85%-中标价）×3倍；</w:t>
            </w:r>
          </w:p>
          <w:p>
            <w:pPr>
              <w:spacing w:line="400" w:lineRule="exact"/>
              <w:ind w:firstLine="210" w:firstLineChars="100"/>
              <w:rPr>
                <w:rFonts w:hint="eastAsia" w:ascii="宋体" w:hAnsi="宋体" w:cs="宋体"/>
                <w:lang w:val="en-US" w:eastAsia="zh-CN"/>
              </w:rPr>
            </w:pPr>
            <w:r>
              <w:rPr>
                <w:rFonts w:hint="eastAsia" w:ascii="宋体" w:hAnsi="宋体" w:cs="宋体"/>
                <w:lang w:val="en-US" w:eastAsia="zh-CN"/>
              </w:rPr>
              <w:t>（3）低价风险担保的提交时间：中标候选人公示结束后，采购人向中标人发出低价风险担保书面通知，从采购人低价风险担保书面通知送达中标候选人之日起10个工作日（含第10个工作日）内，中标候选人将低价风险担保提交送达至招标人。</w:t>
            </w:r>
          </w:p>
          <w:p>
            <w:pPr>
              <w:spacing w:line="400" w:lineRule="exact"/>
              <w:ind w:firstLine="210" w:firstLineChars="100"/>
              <w:rPr>
                <w:rFonts w:hint="eastAsia" w:ascii="宋体" w:hAnsi="宋体" w:cs="宋体"/>
                <w:lang w:val="en-US" w:eastAsia="zh-CN"/>
              </w:rPr>
            </w:pPr>
            <w:r>
              <w:rPr>
                <w:rFonts w:hint="eastAsia" w:ascii="宋体" w:hAnsi="宋体" w:cs="宋体"/>
                <w:lang w:val="en-US" w:eastAsia="zh-CN"/>
              </w:rPr>
              <w:t>（4）中标通知书发出后，中标候选人拒不提交或者在约定期限内未按要求提交低价风险担保的，采购人将撤销中标通知书，并在约定的低价风险担保送达截止之日起3个工作日内将处理结果书面告知中标候选人。</w:t>
            </w:r>
          </w:p>
          <w:p>
            <w:pPr>
              <w:spacing w:line="400" w:lineRule="exact"/>
              <w:ind w:firstLine="210" w:firstLineChars="100"/>
              <w:rPr>
                <w:rFonts w:hint="eastAsia" w:ascii="宋体" w:hAnsi="宋体" w:cs="宋体"/>
                <w:lang w:val="en-US" w:eastAsia="zh-CN"/>
              </w:rPr>
            </w:pPr>
            <w:r>
              <w:rPr>
                <w:rFonts w:hint="eastAsia" w:ascii="宋体" w:hAnsi="宋体" w:cs="宋体"/>
                <w:lang w:val="en-US" w:eastAsia="zh-CN"/>
              </w:rPr>
              <w:t>（5）中标人因自身原因未按中标通知书规定的时限与采购签订合同的，采购有权扣除其低价风险担保并取消中标资格。</w:t>
            </w:r>
          </w:p>
          <w:p>
            <w:pPr>
              <w:autoSpaceDE w:val="0"/>
              <w:autoSpaceDN w:val="0"/>
              <w:adjustRightInd w:val="0"/>
              <w:spacing w:line="360" w:lineRule="auto"/>
              <w:ind w:firstLine="420" w:firstLineChars="200"/>
              <w:jc w:val="left"/>
              <w:rPr>
                <w:rFonts w:hint="eastAsia" w:ascii="宋体" w:hAnsi="宋体" w:cs="宋体"/>
                <w:szCs w:val="21"/>
              </w:rPr>
            </w:pPr>
            <w:r>
              <w:rPr>
                <w:rFonts w:hint="eastAsia" w:ascii="宋体" w:hAnsi="宋体" w:cs="宋体"/>
                <w:lang w:val="en-US" w:eastAsia="zh-CN"/>
              </w:rPr>
              <w:t>（6）低价风险担保的期限：自提交低价风险担保之日起至维护工作到期或验收合格之日止。</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lang w:val="en-US" w:eastAsia="zh-CN"/>
              </w:rPr>
              <w:t>五、</w:t>
            </w:r>
            <w:r>
              <w:rPr>
                <w:rFonts w:hint="eastAsia" w:ascii="宋体" w:hAnsi="宋体" w:cs="宋体"/>
                <w:szCs w:val="21"/>
              </w:rPr>
              <w:t>采购人指定的开户银行及账号如下：</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账户名称：重庆首讯科技股份有限公司</w:t>
            </w:r>
          </w:p>
          <w:p>
            <w:pPr>
              <w:autoSpaceDE w:val="0"/>
              <w:autoSpaceDN w:val="0"/>
              <w:adjustRightInd w:val="0"/>
              <w:spacing w:line="360" w:lineRule="auto"/>
              <w:ind w:firstLine="420" w:firstLineChars="200"/>
              <w:jc w:val="left"/>
              <w:rPr>
                <w:rFonts w:ascii="宋体" w:hAnsi="宋体" w:cs="宋体"/>
                <w:szCs w:val="21"/>
              </w:rPr>
            </w:pPr>
            <w:r>
              <w:rPr>
                <w:rFonts w:hint="eastAsia" w:ascii="宋体" w:hAnsi="宋体" w:cs="宋体"/>
                <w:szCs w:val="21"/>
              </w:rPr>
              <w:t>开户银行：兴业银行重庆分行营业部</w:t>
            </w:r>
          </w:p>
          <w:p>
            <w:pPr>
              <w:autoSpaceDE w:val="0"/>
              <w:autoSpaceDN w:val="0"/>
              <w:adjustRightInd w:val="0"/>
              <w:spacing w:line="360" w:lineRule="auto"/>
              <w:ind w:firstLine="420" w:firstLineChars="200"/>
              <w:jc w:val="left"/>
              <w:rPr>
                <w:rFonts w:ascii="宋体" w:hAnsi="宋体" w:cs="宋体"/>
              </w:rPr>
            </w:pPr>
            <w:r>
              <w:rPr>
                <w:rFonts w:hint="eastAsia" w:ascii="宋体" w:hAnsi="宋体" w:cs="宋体"/>
                <w:szCs w:val="21"/>
              </w:rPr>
              <w:t>帐    号：3460 1010 0100 4791 14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6" w:hRule="atLeast"/>
          <w:jc w:val="center"/>
        </w:trPr>
        <w:tc>
          <w:tcPr>
            <w:tcW w:w="697" w:type="dxa"/>
            <w:vAlign w:val="center"/>
          </w:tcPr>
          <w:p>
            <w:pPr>
              <w:autoSpaceDE w:val="0"/>
              <w:autoSpaceDN w:val="0"/>
              <w:adjustRightInd w:val="0"/>
              <w:spacing w:line="400" w:lineRule="exact"/>
              <w:jc w:val="center"/>
              <w:rPr>
                <w:rFonts w:ascii="宋体" w:hAnsi="宋体" w:cs="宋体"/>
                <w:kern w:val="0"/>
                <w:szCs w:val="21"/>
              </w:rPr>
            </w:pPr>
            <w:r>
              <w:rPr>
                <w:rFonts w:hint="eastAsia" w:ascii="宋体" w:hAnsi="宋体" w:cs="宋体"/>
                <w:kern w:val="0"/>
                <w:szCs w:val="21"/>
              </w:rPr>
              <w:t>2</w:t>
            </w:r>
            <w:r>
              <w:rPr>
                <w:rFonts w:ascii="宋体" w:hAnsi="宋体" w:cs="宋体"/>
                <w:kern w:val="0"/>
                <w:szCs w:val="21"/>
              </w:rPr>
              <w:t>2</w:t>
            </w:r>
          </w:p>
        </w:tc>
        <w:tc>
          <w:tcPr>
            <w:tcW w:w="2106" w:type="dxa"/>
            <w:vAlign w:val="center"/>
          </w:tcPr>
          <w:p>
            <w:pPr>
              <w:autoSpaceDE w:val="0"/>
              <w:autoSpaceDN w:val="0"/>
              <w:adjustRightInd w:val="0"/>
              <w:spacing w:line="400" w:lineRule="exact"/>
              <w:jc w:val="center"/>
              <w:rPr>
                <w:rFonts w:ascii="宋体" w:hAnsi="宋体" w:cs="宋体"/>
                <w:kern w:val="0"/>
                <w:szCs w:val="21"/>
              </w:rPr>
            </w:pPr>
            <w:r>
              <w:rPr>
                <w:rFonts w:hint="eastAsia" w:ascii="宋体" w:hAnsi="宋体" w:cs="宋体"/>
                <w:szCs w:val="21"/>
              </w:rPr>
              <w:t>监督部门</w:t>
            </w:r>
          </w:p>
        </w:tc>
        <w:tc>
          <w:tcPr>
            <w:tcW w:w="7104" w:type="dxa"/>
            <w:vAlign w:val="center"/>
          </w:tcPr>
          <w:p>
            <w:pPr>
              <w:autoSpaceDE w:val="0"/>
              <w:autoSpaceDN w:val="0"/>
              <w:adjustRightInd w:val="0"/>
              <w:spacing w:line="400" w:lineRule="exact"/>
              <w:ind w:firstLine="420" w:firstLineChars="200"/>
              <w:jc w:val="left"/>
              <w:rPr>
                <w:rFonts w:ascii="宋体" w:hAnsi="宋体" w:cs="宋体"/>
                <w:szCs w:val="21"/>
              </w:rPr>
            </w:pPr>
            <w:r>
              <w:rPr>
                <w:rFonts w:hint="eastAsia" w:ascii="宋体" w:hAnsi="宋体" w:cs="宋体"/>
                <w:szCs w:val="21"/>
              </w:rPr>
              <w:t>监督部门：重庆首讯科技股份有限公司合规监管部</w:t>
            </w:r>
          </w:p>
          <w:p>
            <w:pPr>
              <w:autoSpaceDE w:val="0"/>
              <w:autoSpaceDN w:val="0"/>
              <w:adjustRightInd w:val="0"/>
              <w:spacing w:line="400" w:lineRule="exact"/>
              <w:ind w:firstLine="420" w:firstLineChars="200"/>
              <w:jc w:val="left"/>
              <w:rPr>
                <w:rFonts w:ascii="宋体" w:hAnsi="宋体" w:cs="宋体"/>
                <w:szCs w:val="21"/>
              </w:rPr>
            </w:pPr>
            <w:r>
              <w:rPr>
                <w:rFonts w:hint="eastAsia" w:ascii="宋体" w:hAnsi="宋体" w:cs="宋体"/>
                <w:szCs w:val="21"/>
              </w:rPr>
              <w:t>地    址：重庆市渝北区新南路52号东界龙湖三楼</w:t>
            </w:r>
          </w:p>
          <w:p>
            <w:pPr>
              <w:autoSpaceDE w:val="0"/>
              <w:autoSpaceDN w:val="0"/>
              <w:adjustRightInd w:val="0"/>
              <w:spacing w:line="400" w:lineRule="exact"/>
              <w:ind w:firstLine="420" w:firstLineChars="200"/>
              <w:jc w:val="left"/>
              <w:rPr>
                <w:rFonts w:ascii="宋体" w:hAnsi="宋体" w:cs="宋体"/>
                <w:kern w:val="0"/>
                <w:szCs w:val="21"/>
              </w:rPr>
            </w:pPr>
            <w:r>
              <w:rPr>
                <w:rFonts w:hint="eastAsia" w:ascii="宋体" w:hAnsi="宋体" w:cs="宋体"/>
                <w:szCs w:val="21"/>
              </w:rPr>
              <w:t>电    话：</w:t>
            </w:r>
            <w:r>
              <w:rPr>
                <w:rFonts w:ascii="宋体" w:hAnsi="宋体" w:cs="宋体"/>
                <w:szCs w:val="21"/>
              </w:rPr>
              <w:t>023-63132246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p>
        </w:tc>
        <w:tc>
          <w:tcPr>
            <w:tcW w:w="9210" w:type="dxa"/>
            <w:gridSpan w:val="2"/>
            <w:vAlign w:val="center"/>
          </w:tcPr>
          <w:p>
            <w:pPr>
              <w:autoSpaceDE w:val="0"/>
              <w:autoSpaceDN w:val="0"/>
              <w:adjustRightInd w:val="0"/>
              <w:spacing w:line="400" w:lineRule="exact"/>
              <w:ind w:firstLine="482" w:firstLineChars="200"/>
              <w:jc w:val="center"/>
              <w:rPr>
                <w:rFonts w:ascii="宋体" w:hAnsi="宋体" w:cs="宋体"/>
                <w:szCs w:val="21"/>
              </w:rPr>
            </w:pPr>
            <w:r>
              <w:rPr>
                <w:rFonts w:ascii="宋体" w:hAnsi="宋体" w:cs="宋体"/>
                <w:b/>
                <w:bCs/>
                <w:color w:val="000000"/>
                <w:kern w:val="0"/>
                <w:sz w:val="24"/>
                <w:szCs w:val="21"/>
              </w:rPr>
              <w:t>需要补充的其他内容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r>
              <w:rPr>
                <w:rFonts w:hint="eastAsia" w:ascii="宋体" w:hAnsi="宋体" w:cs="宋体"/>
                <w:szCs w:val="21"/>
              </w:rPr>
              <w:t>.1</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b/>
                <w:bCs/>
                <w:color w:val="000000"/>
                <w:kern w:val="0"/>
                <w:sz w:val="24"/>
                <w:szCs w:val="21"/>
              </w:rPr>
            </w:pPr>
            <w:r>
              <w:rPr>
                <w:rFonts w:hint="eastAsia" w:ascii="宋体" w:hAnsi="宋体" w:cs="宋体"/>
                <w:color w:val="000000"/>
                <w:kern w:val="0"/>
                <w:szCs w:val="21"/>
              </w:rPr>
              <w:t>截止竞争性比选响应文件递交时间，递交竞争性比选响应文件不足</w:t>
            </w:r>
            <w:r>
              <w:rPr>
                <w:rFonts w:ascii="宋体" w:hAnsi="宋体" w:cs="宋体"/>
                <w:color w:val="000000"/>
                <w:kern w:val="0"/>
                <w:szCs w:val="21"/>
              </w:rPr>
              <w:t>5</w:t>
            </w:r>
            <w:r>
              <w:rPr>
                <w:rFonts w:hint="eastAsia" w:ascii="宋体" w:hAnsi="宋体" w:cs="宋体"/>
                <w:color w:val="000000"/>
                <w:kern w:val="0"/>
                <w:szCs w:val="21"/>
              </w:rPr>
              <w:t>家的不得开启竞争性比选文件。重新招标后报价人仍少于</w:t>
            </w:r>
            <w:r>
              <w:rPr>
                <w:rFonts w:ascii="宋体" w:hAnsi="宋体" w:cs="宋体"/>
                <w:color w:val="000000"/>
                <w:kern w:val="0"/>
                <w:szCs w:val="21"/>
              </w:rPr>
              <w:t>5</w:t>
            </w:r>
            <w:r>
              <w:rPr>
                <w:rFonts w:hint="eastAsia" w:ascii="宋体" w:hAnsi="宋体" w:cs="宋体"/>
                <w:color w:val="000000"/>
                <w:kern w:val="0"/>
                <w:szCs w:val="21"/>
              </w:rPr>
              <w:t>个，按法定程序开标和评标，确定中标人。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r>
              <w:rPr>
                <w:rFonts w:hint="eastAsia" w:ascii="宋体" w:hAnsi="宋体" w:cs="宋体"/>
                <w:szCs w:val="21"/>
              </w:rPr>
              <w:t>.2</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在合同执行期间，报价人人应自行有效地。进行下列项目的保险：货物运输险、工程一切险、第三方责任险、车辆险、工人赔险、人员工伤险、人身意外保险、雇主责任险等，死亡/伤残赔偿上限不低于100万元/人，第三方责任险赔偿上限不低于500万元。</w:t>
            </w:r>
            <w:r>
              <w:rPr>
                <w:rFonts w:hint="eastAsia" w:ascii="宋体" w:hAnsi="宋体" w:cs="宋体"/>
                <w:kern w:val="0"/>
                <w:szCs w:val="21"/>
              </w:rPr>
              <w:t>承包人投保后须将保险单明细交与发包人备案。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w:t>
            </w:r>
            <w:r>
              <w:rPr>
                <w:rFonts w:hint="eastAsia" w:ascii="宋体" w:hAnsi="宋体" w:cs="宋体"/>
                <w:szCs w:val="21"/>
              </w:rPr>
              <w:t>.3</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现场工程量清单通过据实计量结算，若甲方要求某一路段变减，中标单位需无条件服从。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697" w:type="dxa"/>
            <w:vAlign w:val="center"/>
          </w:tcPr>
          <w:p>
            <w:pPr>
              <w:autoSpaceDE w:val="0"/>
              <w:autoSpaceDN w:val="0"/>
              <w:adjustRightInd w:val="0"/>
              <w:spacing w:line="400" w:lineRule="exact"/>
              <w:jc w:val="center"/>
              <w:rPr>
                <w:rFonts w:ascii="宋体" w:hAnsi="宋体" w:cs="宋体"/>
                <w:szCs w:val="21"/>
              </w:rPr>
            </w:pPr>
            <w:r>
              <w:rPr>
                <w:rFonts w:hint="eastAsia" w:ascii="宋体" w:hAnsi="宋体" w:cs="宋体"/>
                <w:szCs w:val="21"/>
              </w:rPr>
              <w:t>2</w:t>
            </w:r>
            <w:r>
              <w:rPr>
                <w:rFonts w:ascii="宋体" w:hAnsi="宋体" w:cs="宋体"/>
                <w:szCs w:val="21"/>
              </w:rPr>
              <w:t>3.4</w:t>
            </w:r>
          </w:p>
        </w:tc>
        <w:tc>
          <w:tcPr>
            <w:tcW w:w="9210" w:type="dxa"/>
            <w:gridSpan w:val="2"/>
            <w:vAlign w:val="center"/>
          </w:tcPr>
          <w:p>
            <w:pPr>
              <w:autoSpaceDE w:val="0"/>
              <w:autoSpaceDN w:val="0"/>
              <w:adjustRightInd w:val="0"/>
              <w:spacing w:line="400" w:lineRule="exact"/>
              <w:ind w:firstLine="420" w:firstLineChars="200"/>
              <w:jc w:val="left"/>
              <w:rPr>
                <w:rFonts w:ascii="宋体" w:hAnsi="宋体" w:cs="宋体"/>
                <w:color w:val="000000"/>
                <w:kern w:val="0"/>
                <w:szCs w:val="21"/>
              </w:rPr>
            </w:pPr>
            <w:r>
              <w:rPr>
                <w:rFonts w:hint="eastAsia" w:ascii="宋体" w:hAnsi="宋体" w:cs="宋体"/>
                <w:color w:val="000000"/>
                <w:kern w:val="0"/>
                <w:szCs w:val="21"/>
              </w:rPr>
              <w:t>其他要求见第七章</w:t>
            </w:r>
          </w:p>
        </w:tc>
      </w:tr>
      <w:bookmarkEnd w:id="102"/>
    </w:tbl>
    <w:p>
      <w:pPr>
        <w:spacing w:line="360" w:lineRule="auto"/>
        <w:jc w:val="center"/>
        <w:rPr>
          <w:rFonts w:ascii="宋体" w:hAnsi="宋体" w:cs="宋体"/>
          <w:b/>
          <w:sz w:val="28"/>
          <w:szCs w:val="28"/>
        </w:rPr>
        <w:sectPr>
          <w:footerReference r:id="rId7" w:type="default"/>
          <w:pgSz w:w="11906" w:h="16838"/>
          <w:pgMar w:top="1418" w:right="1134" w:bottom="1418" w:left="1134" w:header="851" w:footer="992" w:gutter="0"/>
          <w:pgNumType w:start="1"/>
          <w:cols w:space="720" w:num="1"/>
          <w:docGrid w:type="lines" w:linePitch="312" w:charSpace="0"/>
        </w:sectPr>
      </w:pPr>
    </w:p>
    <w:p>
      <w:pPr>
        <w:keepNext/>
        <w:keepLines/>
        <w:spacing w:before="260" w:after="260" w:line="415" w:lineRule="auto"/>
        <w:jc w:val="center"/>
        <w:outlineLvl w:val="1"/>
        <w:rPr>
          <w:rFonts w:ascii="宋体" w:hAnsi="宋体" w:cs="宋体"/>
          <w:b/>
          <w:kern w:val="0"/>
          <w:sz w:val="28"/>
          <w:szCs w:val="28"/>
        </w:rPr>
      </w:pPr>
      <w:bookmarkStart w:id="104" w:name="_Toc11284"/>
      <w:bookmarkStart w:id="105" w:name="_Toc30198"/>
      <w:bookmarkStart w:id="106" w:name="_Toc11329222"/>
      <w:bookmarkStart w:id="107" w:name="_Toc17532"/>
      <w:r>
        <w:rPr>
          <w:rFonts w:hint="eastAsia" w:ascii="宋体" w:hAnsi="宋体" w:cs="宋体"/>
          <w:b/>
          <w:bCs/>
          <w:kern w:val="0"/>
          <w:sz w:val="28"/>
          <w:szCs w:val="28"/>
        </w:rPr>
        <w:t xml:space="preserve">附录1  </w:t>
      </w:r>
      <w:bookmarkEnd w:id="104"/>
      <w:bookmarkEnd w:id="105"/>
      <w:bookmarkEnd w:id="106"/>
      <w:bookmarkEnd w:id="107"/>
      <w:bookmarkStart w:id="108" w:name="_Toc11329226"/>
      <w:bookmarkStart w:id="109" w:name="_Toc27096"/>
      <w:bookmarkStart w:id="110" w:name="_Toc12773"/>
      <w:bookmarkStart w:id="111" w:name="_Toc25591"/>
      <w:r>
        <w:rPr>
          <w:rFonts w:hint="eastAsia" w:ascii="宋体" w:hAnsi="宋体" w:cs="宋体"/>
          <w:b/>
          <w:kern w:val="0"/>
          <w:sz w:val="28"/>
          <w:szCs w:val="28"/>
        </w:rPr>
        <w:t>资格审查文件（项目主要管理人员最低要求）</w:t>
      </w:r>
      <w:bookmarkEnd w:id="108"/>
      <w:bookmarkEnd w:id="109"/>
      <w:bookmarkEnd w:id="110"/>
      <w:bookmarkEnd w:id="111"/>
    </w:p>
    <w:p>
      <w:pPr>
        <w:spacing w:line="400" w:lineRule="exact"/>
        <w:jc w:val="center"/>
        <w:rPr>
          <w:rFonts w:ascii="宋体" w:hAnsi="宋体" w:cs="宋体"/>
          <w:b/>
          <w:szCs w:val="21"/>
        </w:rPr>
      </w:pPr>
      <w:r>
        <w:rPr>
          <w:rFonts w:hint="eastAsia" w:ascii="宋体" w:hAnsi="宋体" w:cs="宋体"/>
          <w:b/>
          <w:szCs w:val="21"/>
        </w:rPr>
        <w:t>主要管理人员最低要求</w:t>
      </w:r>
    </w:p>
    <w:tbl>
      <w:tblPr>
        <w:tblStyle w:val="42"/>
        <w:tblW w:w="9628" w:type="dxa"/>
        <w:tblInd w:w="114" w:type="dxa"/>
        <w:tblLayout w:type="fixed"/>
        <w:tblCellMar>
          <w:top w:w="0" w:type="dxa"/>
          <w:left w:w="108" w:type="dxa"/>
          <w:bottom w:w="0" w:type="dxa"/>
          <w:right w:w="108" w:type="dxa"/>
        </w:tblCellMar>
      </w:tblPr>
      <w:tblGrid>
        <w:gridCol w:w="688"/>
        <w:gridCol w:w="1991"/>
        <w:gridCol w:w="2022"/>
        <w:gridCol w:w="2693"/>
        <w:gridCol w:w="2234"/>
      </w:tblGrid>
      <w:tr>
        <w:tblPrEx>
          <w:tblCellMar>
            <w:top w:w="0" w:type="dxa"/>
            <w:left w:w="108" w:type="dxa"/>
            <w:bottom w:w="0" w:type="dxa"/>
            <w:right w:w="108" w:type="dxa"/>
          </w:tblCellMar>
        </w:tblPrEx>
        <w:trPr>
          <w:trHeight w:val="360"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序号</w:t>
            </w:r>
          </w:p>
        </w:tc>
        <w:tc>
          <w:tcPr>
            <w:tcW w:w="19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人员配置</w:t>
            </w:r>
          </w:p>
        </w:tc>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职称或职业资格</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社保</w:t>
            </w:r>
          </w:p>
        </w:tc>
        <w:tc>
          <w:tcPr>
            <w:tcW w:w="2234"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安全资质</w:t>
            </w:r>
          </w:p>
        </w:tc>
      </w:tr>
      <w:tr>
        <w:tblPrEx>
          <w:tblCellMar>
            <w:top w:w="0" w:type="dxa"/>
            <w:left w:w="108" w:type="dxa"/>
            <w:bottom w:w="0" w:type="dxa"/>
            <w:right w:w="108" w:type="dxa"/>
          </w:tblCellMar>
        </w:tblPrEx>
        <w:trPr>
          <w:trHeight w:val="285"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1</w:t>
            </w:r>
          </w:p>
        </w:tc>
        <w:tc>
          <w:tcPr>
            <w:tcW w:w="19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项目经理1名</w:t>
            </w:r>
          </w:p>
        </w:tc>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szCs w:val="21"/>
              </w:rPr>
              <w:t>CISP或CISSP</w:t>
            </w: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r>
              <w:rPr>
                <w:rFonts w:hint="eastAsia" w:ascii="宋体" w:hAnsi="宋体" w:cs="宋体"/>
                <w:kern w:val="0"/>
                <w:szCs w:val="21"/>
                <w:lang w:bidi="ar"/>
              </w:rPr>
              <w:t>近三个月及以上社保证明</w:t>
            </w:r>
          </w:p>
        </w:tc>
        <w:tc>
          <w:tcPr>
            <w:tcW w:w="22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ascii="宋体" w:hAnsi="宋体" w:cs="宋体"/>
                <w:szCs w:val="21"/>
              </w:rPr>
              <w:t>无</w:t>
            </w:r>
          </w:p>
        </w:tc>
      </w:tr>
      <w:tr>
        <w:tblPrEx>
          <w:tblCellMar>
            <w:top w:w="0" w:type="dxa"/>
            <w:left w:w="108" w:type="dxa"/>
            <w:bottom w:w="0" w:type="dxa"/>
            <w:right w:w="108" w:type="dxa"/>
          </w:tblCellMar>
        </w:tblPrEx>
        <w:trPr>
          <w:trHeight w:val="285" w:hRule="atLeast"/>
        </w:trPr>
        <w:tc>
          <w:tcPr>
            <w:tcW w:w="688"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lang w:bidi="ar"/>
              </w:rPr>
            </w:pPr>
            <w:bookmarkStart w:id="112" w:name="_Toc387234996"/>
            <w:bookmarkStart w:id="113" w:name="_Toc388534043"/>
            <w:r>
              <w:rPr>
                <w:rFonts w:hint="eastAsia" w:ascii="宋体" w:hAnsi="宋体" w:cs="宋体"/>
                <w:kern w:val="0"/>
                <w:szCs w:val="21"/>
                <w:lang w:bidi="ar"/>
              </w:rPr>
              <w:t>2</w:t>
            </w:r>
          </w:p>
        </w:tc>
        <w:tc>
          <w:tcPr>
            <w:tcW w:w="1991"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lang w:bidi="ar"/>
              </w:rPr>
            </w:pPr>
            <w:r>
              <w:rPr>
                <w:rFonts w:hint="eastAsia" w:ascii="宋体" w:hAnsi="宋体" w:cs="宋体"/>
                <w:kern w:val="0"/>
                <w:szCs w:val="21"/>
                <w:lang w:bidi="ar"/>
              </w:rPr>
              <w:t>安全管理员1名</w:t>
            </w:r>
          </w:p>
        </w:tc>
        <w:tc>
          <w:tcPr>
            <w:tcW w:w="2022"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szCs w:val="21"/>
              </w:rPr>
            </w:pPr>
          </w:p>
        </w:tc>
        <w:tc>
          <w:tcPr>
            <w:tcW w:w="2693" w:type="dxa"/>
            <w:tcBorders>
              <w:top w:val="single" w:color="000000" w:sz="4" w:space="0"/>
              <w:left w:val="single" w:color="000000" w:sz="4" w:space="0"/>
              <w:bottom w:val="single" w:color="000000" w:sz="4" w:space="0"/>
              <w:right w:val="single" w:color="000000" w:sz="4" w:space="0"/>
            </w:tcBorders>
            <w:vAlign w:val="center"/>
          </w:tcPr>
          <w:p>
            <w:pPr>
              <w:widowControl/>
              <w:jc w:val="center"/>
              <w:textAlignment w:val="center"/>
              <w:rPr>
                <w:rFonts w:ascii="宋体" w:hAnsi="宋体" w:cs="宋体"/>
                <w:kern w:val="0"/>
                <w:szCs w:val="21"/>
                <w:lang w:bidi="ar"/>
              </w:rPr>
            </w:pPr>
            <w:r>
              <w:rPr>
                <w:rFonts w:hint="eastAsia" w:ascii="宋体" w:hAnsi="宋体" w:cs="宋体"/>
                <w:kern w:val="0"/>
                <w:szCs w:val="21"/>
                <w:lang w:bidi="ar"/>
              </w:rPr>
              <w:t>近三个月及以上社保证明</w:t>
            </w:r>
          </w:p>
        </w:tc>
        <w:tc>
          <w:tcPr>
            <w:tcW w:w="2234" w:type="dxa"/>
            <w:tcBorders>
              <w:top w:val="single" w:color="000000" w:sz="4" w:space="0"/>
              <w:left w:val="single" w:color="000000" w:sz="4" w:space="0"/>
              <w:bottom w:val="single" w:color="000000" w:sz="4" w:space="0"/>
              <w:right w:val="single" w:color="000000" w:sz="4" w:space="0"/>
            </w:tcBorders>
            <w:vAlign w:val="center"/>
          </w:tcPr>
          <w:p>
            <w:pPr>
              <w:jc w:val="center"/>
              <w:rPr>
                <w:rFonts w:ascii="宋体" w:hAnsi="宋体" w:cs="宋体"/>
                <w:szCs w:val="21"/>
              </w:rPr>
            </w:pPr>
            <w:r>
              <w:rPr>
                <w:rFonts w:hint="eastAsia" w:ascii="宋体" w:hAnsi="宋体" w:cs="宋体"/>
                <w:szCs w:val="21"/>
              </w:rPr>
              <w:t>无</w:t>
            </w:r>
          </w:p>
        </w:tc>
      </w:tr>
    </w:tbl>
    <w:p>
      <w:pPr>
        <w:spacing w:line="400" w:lineRule="exact"/>
        <w:jc w:val="left"/>
        <w:rPr>
          <w:rFonts w:ascii="宋体" w:hAnsi="宋体" w:cs="宋体"/>
          <w:szCs w:val="21"/>
        </w:rPr>
      </w:pPr>
      <w:r>
        <w:rPr>
          <w:rFonts w:hint="eastAsia" w:ascii="宋体" w:hAnsi="宋体" w:cs="宋体"/>
          <w:szCs w:val="21"/>
        </w:rPr>
        <w:t xml:space="preserve">  注：需提供项目主要管理人员名单（表格形式），以上人员相关资质证件、身份证复印件及由社保局出具的安全服务提供原厂商为以上人员缴纳</w:t>
      </w:r>
      <w:r>
        <w:rPr>
          <w:rFonts w:hint="eastAsia" w:ascii="宋体" w:hAnsi="宋体" w:cs="宋体"/>
          <w:szCs w:val="21"/>
          <w:lang w:val="en-US" w:eastAsia="zh-CN"/>
        </w:rPr>
        <w:t>近</w:t>
      </w:r>
      <w:r>
        <w:rPr>
          <w:rFonts w:hint="eastAsia" w:ascii="宋体" w:hAnsi="宋体" w:cs="宋体"/>
          <w:szCs w:val="21"/>
        </w:rPr>
        <w:t>3个月的社保保险证明，并带有社保部门公章或社保部门的有效电子印章，如社保为第三方代缴，则提供相关证明材料，并加盖单位鲜公章。</w:t>
      </w:r>
    </w:p>
    <w:p/>
    <w:p>
      <w:pPr>
        <w:outlineLvl w:val="1"/>
        <w:rPr>
          <w:rFonts w:ascii="宋体" w:hAnsi="宋体" w:cs="宋体"/>
          <w:b/>
          <w:sz w:val="28"/>
          <w:szCs w:val="28"/>
        </w:rPr>
        <w:sectPr>
          <w:pgSz w:w="11906" w:h="16838"/>
          <w:pgMar w:top="1418" w:right="1134" w:bottom="1418" w:left="1134" w:header="851" w:footer="992" w:gutter="0"/>
          <w:cols w:space="720" w:num="1"/>
          <w:docGrid w:type="lines" w:linePitch="312" w:charSpace="0"/>
        </w:sectPr>
      </w:pPr>
    </w:p>
    <w:p>
      <w:pPr>
        <w:keepNext/>
        <w:keepLines/>
        <w:spacing w:before="260" w:after="260" w:line="415" w:lineRule="auto"/>
        <w:jc w:val="center"/>
        <w:outlineLvl w:val="1"/>
        <w:rPr>
          <w:rFonts w:ascii="宋体" w:hAnsi="宋体" w:cs="宋体"/>
          <w:b/>
          <w:kern w:val="0"/>
          <w:sz w:val="28"/>
          <w:szCs w:val="28"/>
        </w:rPr>
      </w:pPr>
      <w:bookmarkStart w:id="114" w:name="_Toc11329227"/>
      <w:bookmarkStart w:id="115" w:name="_Toc21487"/>
      <w:bookmarkStart w:id="116" w:name="_Toc27148"/>
      <w:bookmarkStart w:id="117" w:name="_Toc8293"/>
      <w:r>
        <w:rPr>
          <w:rFonts w:hint="eastAsia" w:ascii="宋体" w:hAnsi="宋体" w:cs="宋体"/>
          <w:b/>
          <w:kern w:val="0"/>
          <w:sz w:val="28"/>
          <w:szCs w:val="28"/>
        </w:rPr>
        <w:t>附录2 资格审查文件（项目其他人员最低要求）</w:t>
      </w:r>
      <w:bookmarkEnd w:id="114"/>
      <w:bookmarkEnd w:id="115"/>
      <w:bookmarkEnd w:id="116"/>
      <w:bookmarkEnd w:id="117"/>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bookmarkStart w:id="118" w:name="_Toc413241584"/>
            <w:bookmarkStart w:id="119" w:name="_Toc23696"/>
            <w:bookmarkStart w:id="120" w:name="_Toc507319900"/>
            <w:r>
              <w:rPr>
                <w:rFonts w:hint="eastAsia" w:ascii="宋体" w:hAnsi="宋体" w:cs="宋体"/>
                <w:szCs w:val="21"/>
              </w:rPr>
              <w:t>维护人员最低要求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1、项目驻场维护人员持有效期内CISP或CISSP资质认证证书，必须2人及以上，并且为安全服务提供原厂商单位人员。（报价人自行承诺）</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2、项目驻场维护人员掌握信息安全技术相关技能，包括但不限于:安全咨询、安全评估、等保服务等方面;掌握等级保护标准、分级保护标准、安全风险评估规范和实施流程及方法，具备等级保护、风险评估、数据中心等信息安全领域咨询和建设的相关标准和测评实施的方法和经验。（报价人自行承诺）  </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3、项目驻场维护人员熟悉信息网络安全相关基础产品特性，了解市场上现有常见的网络安全设备和产品。熟悉各领域的安全技术，包括：Web安全、系统网络安全、大数据平台安全、云平台安全、网络安全域的划分等，熟悉安全漏洞扫描等常用安全设备。（报价人自行承诺）   </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4、项目驻场维护人员掌握主流操作系统、数据库、网络设备的配置及使用；掌握一种或多种编程或脚本语言，如Python、Perl等。（报价人自行承诺） </w:t>
            </w:r>
          </w:p>
          <w:p>
            <w:pPr>
              <w:autoSpaceDE w:val="0"/>
              <w:autoSpaceDN w:val="0"/>
              <w:adjustRightInd w:val="0"/>
              <w:spacing w:line="360" w:lineRule="auto"/>
              <w:ind w:left="436" w:leftChars="203" w:hanging="10"/>
              <w:jc w:val="left"/>
              <w:rPr>
                <w:rFonts w:ascii="宋体" w:hAnsi="宋体" w:cs="宋体"/>
              </w:rPr>
            </w:pPr>
            <w:r>
              <w:rPr>
                <w:rFonts w:hint="eastAsia" w:ascii="宋体" w:hAnsi="宋体" w:cs="宋体"/>
              </w:rPr>
              <w:t xml:space="preserve">5、项目驻场维护人员掌握维护设备的操作方法、故障排除方法、设备性能监测及注意事项。确保维护设备的安全运行，每日进行巡检，监测，根据业主需要进行相关配置。（报价人自行承诺） </w:t>
            </w:r>
          </w:p>
          <w:p>
            <w:pPr>
              <w:autoSpaceDE w:val="0"/>
              <w:autoSpaceDN w:val="0"/>
              <w:spacing w:line="360" w:lineRule="auto"/>
              <w:ind w:left="436" w:leftChars="203" w:hanging="10"/>
              <w:rPr>
                <w:rFonts w:ascii="宋体" w:hAnsi="宋体" w:cs="宋体"/>
              </w:rPr>
            </w:pPr>
            <w:r>
              <w:rPr>
                <w:rFonts w:hint="eastAsia" w:ascii="宋体" w:hAnsi="宋体" w:cs="宋体"/>
              </w:rPr>
              <w:t xml:space="preserve">6、项目驻场维护人员将提供5*8小时为基础的设备现场监控，需安排1名7*24小时的手机在线值班驻场。（报价人自行承诺） </w:t>
            </w:r>
          </w:p>
          <w:p>
            <w:pPr>
              <w:autoSpaceDE w:val="0"/>
              <w:autoSpaceDN w:val="0"/>
              <w:spacing w:line="360" w:lineRule="auto"/>
              <w:ind w:left="436" w:leftChars="203" w:hanging="10"/>
              <w:rPr>
                <w:rFonts w:ascii="宋体" w:hAnsi="宋体" w:cs="宋体"/>
              </w:rPr>
            </w:pPr>
            <w:r>
              <w:rPr>
                <w:rFonts w:ascii="宋体" w:hAnsi="宋体" w:cs="宋体"/>
              </w:rPr>
              <w:t>7</w:t>
            </w:r>
            <w:r>
              <w:rPr>
                <w:rFonts w:hint="eastAsia" w:ascii="宋体" w:hAnsi="宋体" w:cs="宋体"/>
              </w:rPr>
              <w:t>、项目驻场维护人员需具有2年及以上网络安全相关工作经验。（报价人自行承诺）</w:t>
            </w:r>
          </w:p>
        </w:tc>
      </w:tr>
      <w:bookmarkEnd w:id="118"/>
      <w:bookmarkEnd w:id="119"/>
      <w:bookmarkEnd w:id="120"/>
    </w:tbl>
    <w:p>
      <w:pPr>
        <w:spacing w:line="400" w:lineRule="exact"/>
        <w:jc w:val="left"/>
        <w:rPr>
          <w:rFonts w:ascii="宋体" w:hAnsi="宋体" w:cs="宋体"/>
          <w:color w:val="FF0000"/>
          <w:szCs w:val="21"/>
        </w:rPr>
      </w:pPr>
      <w:bookmarkStart w:id="121" w:name="_Toc17384"/>
      <w:bookmarkStart w:id="122" w:name="_Toc6096"/>
      <w:bookmarkStart w:id="123" w:name="_Toc4169"/>
      <w:r>
        <w:rPr>
          <w:rFonts w:hint="eastAsia" w:hAnsi="宋体"/>
          <w:szCs w:val="21"/>
        </w:rPr>
        <w:t>注：</w:t>
      </w:r>
      <w:r>
        <w:rPr>
          <w:rFonts w:hint="eastAsia" w:ascii="宋体" w:hAnsi="宋体" w:cs="宋体"/>
          <w:szCs w:val="21"/>
        </w:rPr>
        <w:t>以上人员相关资质证件、身份证复印件，并加盖单位鲜公章。</w:t>
      </w:r>
    </w:p>
    <w:p>
      <w:pPr>
        <w:autoSpaceDE w:val="0"/>
        <w:autoSpaceDN w:val="0"/>
        <w:spacing w:line="360" w:lineRule="auto"/>
        <w:rPr>
          <w:rFonts w:ascii="宋体" w:hAnsi="宋体" w:cs="宋体"/>
          <w:kern w:val="0"/>
          <w:sz w:val="28"/>
          <w:szCs w:val="28"/>
        </w:rPr>
      </w:pPr>
    </w:p>
    <w:p/>
    <w:p>
      <w:pPr>
        <w:rPr>
          <w:rFonts w:ascii="宋体" w:hAnsi="宋体" w:cs="宋体"/>
          <w:sz w:val="28"/>
          <w:szCs w:val="28"/>
        </w:rPr>
      </w:pPr>
    </w:p>
    <w:p/>
    <w:p>
      <w:pPr>
        <w:keepNext/>
        <w:keepLines/>
        <w:spacing w:before="260" w:after="260" w:line="415" w:lineRule="auto"/>
        <w:outlineLvl w:val="1"/>
        <w:rPr>
          <w:rFonts w:ascii="Arial" w:hAnsi="宋体" w:eastAsia="黑体"/>
          <w:bCs/>
          <w:kern w:val="0"/>
          <w:sz w:val="28"/>
          <w:szCs w:val="28"/>
        </w:rPr>
      </w:pPr>
      <w:r>
        <w:rPr>
          <w:rFonts w:hint="eastAsia" w:ascii="宋体" w:hAnsi="宋体" w:cs="宋体"/>
          <w:b/>
          <w:kern w:val="0"/>
          <w:sz w:val="28"/>
          <w:szCs w:val="28"/>
        </w:rPr>
        <w:t>附录3 资格审查文件（主要机械设备和试验检测设备最低要求）</w:t>
      </w:r>
      <w:bookmarkEnd w:id="121"/>
      <w:bookmarkEnd w:id="122"/>
      <w:bookmarkEnd w:id="123"/>
    </w:p>
    <w:tbl>
      <w:tblPr>
        <w:tblStyle w:val="42"/>
        <w:tblW w:w="9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6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3" w:hRule="atLeast"/>
          <w:jc w:val="center"/>
        </w:trPr>
        <w:tc>
          <w:tcPr>
            <w:tcW w:w="9160" w:type="dxa"/>
            <w:vAlign w:val="center"/>
          </w:tcPr>
          <w:p>
            <w:pPr>
              <w:spacing w:line="400" w:lineRule="exact"/>
              <w:jc w:val="center"/>
              <w:rPr>
                <w:rFonts w:ascii="宋体" w:hAnsi="宋体" w:cs="宋体"/>
                <w:szCs w:val="21"/>
              </w:rPr>
            </w:pPr>
            <w:r>
              <w:rPr>
                <w:rFonts w:hint="eastAsia" w:ascii="宋体" w:hAnsi="宋体" w:cs="宋体"/>
                <w:szCs w:val="21"/>
              </w:rPr>
              <w:t>主要机械设备和试验检测设备最低要求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 w:hRule="atLeast"/>
          <w:jc w:val="center"/>
        </w:trPr>
        <w:tc>
          <w:tcPr>
            <w:tcW w:w="9160" w:type="dxa"/>
          </w:tcPr>
          <w:p>
            <w:pPr>
              <w:spacing w:line="360" w:lineRule="auto"/>
              <w:ind w:firstLine="420" w:firstLineChars="200"/>
            </w:pPr>
            <w:r>
              <w:rPr>
                <w:rFonts w:hint="eastAsia" w:ascii="宋体" w:hAnsi="宋体" w:cs="宋体"/>
              </w:rPr>
              <w:t>无</w:t>
            </w:r>
          </w:p>
        </w:tc>
      </w:tr>
    </w:tbl>
    <w:p>
      <w:pPr>
        <w:spacing w:line="400" w:lineRule="exact"/>
        <w:ind w:firstLine="420"/>
        <w:rPr>
          <w:rFonts w:ascii="宋体" w:hAnsi="宋体" w:cs="宋体"/>
          <w:color w:val="FF0000"/>
          <w:kern w:val="0"/>
          <w:szCs w:val="21"/>
        </w:rPr>
      </w:pPr>
      <w:r>
        <w:rPr>
          <w:rFonts w:hint="eastAsia" w:ascii="宋体" w:hAnsi="宋体" w:cs="宋体"/>
          <w:bCs/>
          <w:kern w:val="0"/>
          <w:szCs w:val="21"/>
        </w:rPr>
        <w:t>注：以上设备</w:t>
      </w:r>
      <w:r>
        <w:rPr>
          <w:rFonts w:hint="eastAsia" w:ascii="宋体" w:hAnsi="宋体" w:cs="宋体"/>
          <w:kern w:val="0"/>
        </w:rPr>
        <w:t>由报价人</w:t>
      </w:r>
      <w:r>
        <w:rPr>
          <w:rFonts w:hint="eastAsia" w:ascii="宋体" w:hAnsi="宋体" w:cs="宋体"/>
          <w:b/>
          <w:kern w:val="0"/>
        </w:rPr>
        <w:t>自行承诺</w:t>
      </w:r>
      <w:r>
        <w:rPr>
          <w:rFonts w:hint="eastAsia" w:ascii="宋体" w:hAnsi="宋体" w:cs="宋体"/>
          <w:kern w:val="0"/>
        </w:rPr>
        <w:t>，</w:t>
      </w:r>
      <w:r>
        <w:rPr>
          <w:rFonts w:hint="eastAsia" w:ascii="宋体" w:hAnsi="宋体" w:cs="宋体"/>
          <w:kern w:val="0"/>
          <w:szCs w:val="21"/>
        </w:rPr>
        <w:t>无需提供有关证明资料，并加盖单位鲜公章。但需中标人在办理开工时提供以上相关资料。</w:t>
      </w:r>
    </w:p>
    <w:p>
      <w:pPr>
        <w:spacing w:line="400" w:lineRule="exact"/>
        <w:ind w:firstLine="420"/>
        <w:rPr>
          <w:rFonts w:ascii="宋体" w:hAnsi="宋体" w:cs="宋体"/>
          <w:kern w:val="0"/>
          <w:szCs w:val="21"/>
        </w:rPr>
      </w:pPr>
    </w:p>
    <w:p>
      <w:pPr>
        <w:autoSpaceDE w:val="0"/>
        <w:autoSpaceDN w:val="0"/>
        <w:spacing w:line="400" w:lineRule="exact"/>
        <w:ind w:firstLine="422" w:firstLineChars="200"/>
        <w:rPr>
          <w:rFonts w:ascii="宋体" w:hAnsi="宋体" w:cs="宋体"/>
          <w:bCs/>
          <w:kern w:val="0"/>
          <w:szCs w:val="21"/>
        </w:rPr>
      </w:pPr>
      <w:r>
        <w:rPr>
          <w:rFonts w:hint="eastAsia" w:ascii="宋体" w:hAnsi="宋体" w:cs="宋体"/>
          <w:b/>
          <w:bCs/>
          <w:kern w:val="0"/>
          <w:szCs w:val="21"/>
        </w:rPr>
        <w:t>以上（附录1-附录3中的资格审查）的要求均为强制性条件，其中任何一条不满足要求，则按否决报价处理。</w:t>
      </w:r>
    </w:p>
    <w:bookmarkEnd w:id="112"/>
    <w:bookmarkEnd w:id="113"/>
    <w:p>
      <w:pPr>
        <w:spacing w:line="440" w:lineRule="exact"/>
        <w:rPr>
          <w:rFonts w:ascii="宋体" w:hAnsi="宋体" w:cs="宋体"/>
          <w:color w:val="FF0000"/>
          <w:szCs w:val="21"/>
        </w:rPr>
        <w:sectPr>
          <w:footerReference r:id="rId8" w:type="default"/>
          <w:pgSz w:w="11906" w:h="16838"/>
          <w:pgMar w:top="1440" w:right="1800" w:bottom="1440" w:left="1800" w:header="851" w:footer="992" w:gutter="0"/>
          <w:cols w:space="720" w:num="1"/>
          <w:titlePg/>
          <w:docGrid w:type="lines" w:linePitch="312" w:charSpace="0"/>
        </w:sectPr>
      </w:pPr>
    </w:p>
    <w:p>
      <w:pPr>
        <w:keepNext/>
        <w:keepLines/>
        <w:spacing w:line="360" w:lineRule="auto"/>
        <w:jc w:val="center"/>
        <w:outlineLvl w:val="0"/>
        <w:rPr>
          <w:rFonts w:ascii="宋体" w:hAnsi="宋体" w:cs="宋体"/>
          <w:b/>
          <w:bCs/>
          <w:kern w:val="44"/>
          <w:sz w:val="44"/>
          <w:szCs w:val="44"/>
        </w:rPr>
      </w:pPr>
      <w:bookmarkStart w:id="124" w:name="_Toc246996973"/>
      <w:bookmarkStart w:id="125" w:name="_Toc152042364"/>
      <w:bookmarkStart w:id="126" w:name="_Toc2000406"/>
      <w:bookmarkStart w:id="127" w:name="_Toc179632605"/>
      <w:bookmarkStart w:id="128" w:name="_Toc7682"/>
      <w:bookmarkStart w:id="129" w:name="_Toc246996230"/>
      <w:bookmarkStart w:id="130" w:name="_Toc247085745"/>
      <w:bookmarkStart w:id="131" w:name="_Toc152045587"/>
      <w:bookmarkStart w:id="132" w:name="_Toc507319957"/>
      <w:bookmarkStart w:id="133" w:name="_Toc144974554"/>
      <w:r>
        <w:rPr>
          <w:rFonts w:hint="eastAsia" w:ascii="宋体" w:hAnsi="宋体" w:cs="宋体"/>
          <w:b/>
          <w:bCs/>
          <w:kern w:val="44"/>
          <w:sz w:val="44"/>
          <w:szCs w:val="44"/>
        </w:rPr>
        <w:t>第三章 评标办法</w:t>
      </w:r>
      <w:bookmarkEnd w:id="124"/>
      <w:bookmarkEnd w:id="125"/>
      <w:bookmarkEnd w:id="126"/>
      <w:bookmarkEnd w:id="127"/>
      <w:bookmarkEnd w:id="128"/>
      <w:bookmarkEnd w:id="129"/>
      <w:bookmarkEnd w:id="130"/>
      <w:bookmarkEnd w:id="131"/>
      <w:bookmarkEnd w:id="132"/>
      <w:bookmarkEnd w:id="133"/>
      <w:r>
        <w:rPr>
          <w:rFonts w:hint="eastAsia" w:ascii="宋体" w:hAnsi="宋体" w:cs="宋体"/>
          <w:b/>
          <w:bCs/>
          <w:kern w:val="44"/>
          <w:sz w:val="44"/>
          <w:szCs w:val="44"/>
        </w:rPr>
        <w:t>（经评审的最低投标价法）</w:t>
      </w:r>
    </w:p>
    <w:p/>
    <w:tbl>
      <w:tblPr>
        <w:tblStyle w:val="42"/>
        <w:tblW w:w="9145"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900"/>
        <w:gridCol w:w="1124"/>
        <w:gridCol w:w="2117"/>
        <w:gridCol w:w="50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blHeader/>
          <w:jc w:val="center"/>
        </w:trPr>
        <w:tc>
          <w:tcPr>
            <w:tcW w:w="2024" w:type="dxa"/>
            <w:gridSpan w:val="2"/>
            <w:tcBorders>
              <w:top w:val="single" w:color="auto" w:sz="4" w:space="0"/>
              <w:bottom w:val="single" w:color="auto" w:sz="4" w:space="0"/>
              <w:right w:val="single" w:color="auto" w:sz="4" w:space="0"/>
            </w:tcBorders>
            <w:vAlign w:val="center"/>
          </w:tcPr>
          <w:p>
            <w:pPr>
              <w:spacing w:line="400" w:lineRule="exact"/>
              <w:jc w:val="center"/>
              <w:rPr>
                <w:b/>
              </w:rPr>
            </w:pPr>
            <w:bookmarkStart w:id="134" w:name="_Toc13787"/>
            <w:r>
              <w:rPr>
                <w:b/>
              </w:rPr>
              <w:t>条款号</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b/>
              </w:rPr>
            </w:pPr>
            <w:r>
              <w:rPr>
                <w:b/>
              </w:rPr>
              <w:t>评审因素</w:t>
            </w:r>
          </w:p>
        </w:tc>
        <w:tc>
          <w:tcPr>
            <w:tcW w:w="5004" w:type="dxa"/>
            <w:tcBorders>
              <w:top w:val="single" w:color="auto" w:sz="4" w:space="0"/>
              <w:left w:val="single" w:color="auto" w:sz="4" w:space="0"/>
              <w:bottom w:val="single" w:color="auto" w:sz="4" w:space="0"/>
            </w:tcBorders>
            <w:vAlign w:val="center"/>
          </w:tcPr>
          <w:p>
            <w:pPr>
              <w:spacing w:line="400" w:lineRule="exact"/>
              <w:jc w:val="center"/>
              <w:rPr>
                <w:b/>
              </w:rPr>
            </w:pPr>
            <w:r>
              <w:rPr>
                <w:b/>
              </w:rPr>
              <w:t>评审标准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06" w:hRule="atLeast"/>
          <w:jc w:val="center"/>
        </w:trPr>
        <w:tc>
          <w:tcPr>
            <w:tcW w:w="900" w:type="dxa"/>
            <w:tcBorders>
              <w:top w:val="single" w:color="auto" w:sz="4" w:space="0"/>
              <w:right w:val="single" w:color="auto" w:sz="4" w:space="0"/>
            </w:tcBorders>
            <w:vAlign w:val="center"/>
          </w:tcPr>
          <w:p>
            <w:pPr>
              <w:spacing w:line="400" w:lineRule="exact"/>
              <w:jc w:val="center"/>
            </w:pPr>
            <w:r>
              <w:t>1</w:t>
            </w:r>
          </w:p>
        </w:tc>
        <w:tc>
          <w:tcPr>
            <w:tcW w:w="1124" w:type="dxa"/>
            <w:tcBorders>
              <w:top w:val="single" w:color="auto" w:sz="4" w:space="0"/>
              <w:left w:val="single" w:color="auto" w:sz="4" w:space="0"/>
              <w:right w:val="single" w:color="auto" w:sz="4" w:space="0"/>
            </w:tcBorders>
            <w:vAlign w:val="center"/>
          </w:tcPr>
          <w:p>
            <w:pPr>
              <w:spacing w:line="400" w:lineRule="exact"/>
              <w:jc w:val="center"/>
            </w:pPr>
            <w:r>
              <w:t>评标方法</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中标候选人排序方法</w:t>
            </w:r>
          </w:p>
        </w:tc>
        <w:tc>
          <w:tcPr>
            <w:tcW w:w="5004" w:type="dxa"/>
            <w:tcBorders>
              <w:top w:val="single" w:color="auto" w:sz="4" w:space="0"/>
              <w:left w:val="single" w:color="auto" w:sz="4" w:space="0"/>
              <w:bottom w:val="single" w:color="auto" w:sz="4" w:space="0"/>
            </w:tcBorders>
          </w:tcPr>
          <w:p>
            <w:pPr>
              <w:spacing w:line="360" w:lineRule="auto"/>
            </w:pPr>
            <w:r>
              <w:t>如出现报价相等时，评审小组按以下原则确定第一中标候选人：</w:t>
            </w:r>
          </w:p>
          <w:p>
            <w:pPr>
              <w:spacing w:line="360" w:lineRule="auto"/>
              <w:ind w:firstLine="210" w:firstLineChars="100"/>
            </w:pPr>
            <w:r>
              <w:rPr>
                <w:rFonts w:hint="eastAsia"/>
              </w:rPr>
              <w:t>以最早提交报价文件的报价人为第一中标候选人</w:t>
            </w:r>
            <w: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right w:val="single" w:color="auto" w:sz="4" w:space="0"/>
            </w:tcBorders>
            <w:vAlign w:val="center"/>
          </w:tcPr>
          <w:p>
            <w:pPr>
              <w:spacing w:line="400" w:lineRule="exact"/>
              <w:jc w:val="center"/>
            </w:pPr>
            <w:r>
              <w:rPr>
                <w:rFonts w:hint="eastAsia"/>
              </w:rPr>
              <w:t>2</w:t>
            </w:r>
          </w:p>
        </w:tc>
        <w:tc>
          <w:tcPr>
            <w:tcW w:w="1124" w:type="dxa"/>
            <w:vMerge w:val="restart"/>
            <w:tcBorders>
              <w:top w:val="single" w:color="auto" w:sz="4" w:space="0"/>
              <w:left w:val="single" w:color="auto" w:sz="4" w:space="0"/>
              <w:right w:val="single" w:color="auto" w:sz="4" w:space="0"/>
            </w:tcBorders>
            <w:vAlign w:val="center"/>
          </w:tcPr>
          <w:p>
            <w:pPr>
              <w:spacing w:line="400" w:lineRule="exact"/>
              <w:jc w:val="center"/>
            </w:pPr>
            <w:r>
              <w:t>形式评审标准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人名称</w:t>
            </w:r>
          </w:p>
        </w:tc>
        <w:tc>
          <w:tcPr>
            <w:tcW w:w="5004" w:type="dxa"/>
            <w:tcBorders>
              <w:top w:val="single" w:color="auto" w:sz="4" w:space="0"/>
              <w:left w:val="single" w:color="auto" w:sz="4" w:space="0"/>
              <w:bottom w:val="single" w:color="auto" w:sz="4" w:space="0"/>
            </w:tcBorders>
            <w:vAlign w:val="center"/>
          </w:tcPr>
          <w:p>
            <w:pPr>
              <w:spacing w:line="400" w:lineRule="exact"/>
            </w:pPr>
            <w:r>
              <w:t>与营业执照、资质证书、</w:t>
            </w:r>
            <w:r>
              <w:rPr>
                <w:rFonts w:hint="eastAsia"/>
              </w:rPr>
              <w:t>人力资源许可证及劳务派遣许可证</w:t>
            </w:r>
            <w:r>
              <w:t>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报价</w:t>
            </w:r>
            <w:r>
              <w:t>函签字盖章</w:t>
            </w:r>
          </w:p>
        </w:tc>
        <w:tc>
          <w:tcPr>
            <w:tcW w:w="5004" w:type="dxa"/>
            <w:tcBorders>
              <w:top w:val="single" w:color="auto" w:sz="4" w:space="0"/>
              <w:left w:val="single" w:color="auto" w:sz="4" w:space="0"/>
              <w:bottom w:val="single" w:color="auto" w:sz="4" w:space="0"/>
            </w:tcBorders>
            <w:vAlign w:val="center"/>
          </w:tcPr>
          <w:p>
            <w:pPr>
              <w:spacing w:line="400" w:lineRule="exact"/>
            </w:pPr>
            <w:r>
              <w:t>有法定代表人或委托代理人签字或加盖单位鲜公章。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rPr>
              <w:t>竞争性</w:t>
            </w:r>
            <w:r>
              <w:t>比选响应文件格式</w:t>
            </w:r>
          </w:p>
        </w:tc>
        <w:tc>
          <w:tcPr>
            <w:tcW w:w="5004" w:type="dxa"/>
            <w:tcBorders>
              <w:top w:val="single" w:color="auto" w:sz="4" w:space="0"/>
              <w:left w:val="single" w:color="auto" w:sz="4" w:space="0"/>
              <w:bottom w:val="single" w:color="auto" w:sz="4" w:space="0"/>
            </w:tcBorders>
            <w:vAlign w:val="center"/>
          </w:tcPr>
          <w:p>
            <w:pPr>
              <w:spacing w:line="400" w:lineRule="exact"/>
            </w:pPr>
            <w:r>
              <w:t>符合第九章“</w:t>
            </w:r>
            <w:r>
              <w:rPr>
                <w:rFonts w:hint="eastAsia"/>
              </w:rPr>
              <w:t>竞争性</w:t>
            </w:r>
            <w:r>
              <w:t>比选响应文件格式”的要求，字迹清晰可辨。</w:t>
            </w:r>
          </w:p>
          <w:p>
            <w:pPr>
              <w:spacing w:line="400" w:lineRule="exact"/>
            </w:pPr>
            <w:r>
              <w:t>1.</w:t>
            </w:r>
            <w:r>
              <w:rPr>
                <w:rFonts w:hint="eastAsia"/>
              </w:rPr>
              <w:t>报价</w:t>
            </w:r>
            <w:r>
              <w:t>函的所有数据均符合</w:t>
            </w:r>
            <w:r>
              <w:rPr>
                <w:rFonts w:hint="eastAsia"/>
              </w:rPr>
              <w:t>比选</w:t>
            </w:r>
            <w:r>
              <w:t>文件的规定；</w:t>
            </w:r>
          </w:p>
          <w:p>
            <w:pPr>
              <w:spacing w:line="400" w:lineRule="exact"/>
            </w:pPr>
            <w:r>
              <w:t>2.</w:t>
            </w:r>
            <w:r>
              <w:rPr>
                <w:rFonts w:hint="eastAsia"/>
              </w:rPr>
              <w:t>竞争性</w:t>
            </w:r>
            <w:r>
              <w:t>比选响应文件附表齐全完整，内容均按规定填写；</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已标价工程量清单</w:t>
            </w:r>
          </w:p>
        </w:tc>
        <w:tc>
          <w:tcPr>
            <w:tcW w:w="5004" w:type="dxa"/>
            <w:tcBorders>
              <w:top w:val="single" w:color="auto" w:sz="4" w:space="0"/>
              <w:left w:val="single" w:color="auto" w:sz="4" w:space="0"/>
              <w:bottom w:val="single" w:color="auto" w:sz="4" w:space="0"/>
            </w:tcBorders>
            <w:vAlign w:val="center"/>
          </w:tcPr>
          <w:p>
            <w:pPr>
              <w:spacing w:line="440" w:lineRule="exact"/>
            </w:pPr>
            <w:r>
              <w:t>符合第五章“工程量清单”给出的范围及数量</w:t>
            </w:r>
            <w:r>
              <w:rPr>
                <w:rFonts w:hint="eastAsia"/>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40" w:lineRule="exact"/>
              <w:jc w:val="center"/>
            </w:pPr>
            <w:r>
              <w:t>报价其它要求</w:t>
            </w:r>
          </w:p>
        </w:tc>
        <w:tc>
          <w:tcPr>
            <w:tcW w:w="5004" w:type="dxa"/>
            <w:tcBorders>
              <w:top w:val="single" w:color="auto" w:sz="4" w:space="0"/>
              <w:left w:val="single" w:color="auto" w:sz="4" w:space="0"/>
              <w:bottom w:val="single" w:color="auto" w:sz="4" w:space="0"/>
            </w:tcBorders>
            <w:vAlign w:val="center"/>
          </w:tcPr>
          <w:p>
            <w:pPr>
              <w:spacing w:line="440" w:lineRule="exact"/>
            </w:pPr>
            <w:r>
              <w:rPr>
                <w:rFonts w:hint="eastAsia"/>
              </w:rPr>
              <w:t>竞争性</w:t>
            </w:r>
            <w:r>
              <w:t>比选响应文件报价表中的报价与</w:t>
            </w:r>
            <w:r>
              <w:rPr>
                <w:rFonts w:hint="eastAsia"/>
              </w:rPr>
              <w:t>报价</w:t>
            </w:r>
            <w:r>
              <w:t>书文字报价应保持一致。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rPr>
                <w:rFonts w:hint="eastAsia"/>
              </w:rPr>
              <w:t>竞争性</w:t>
            </w:r>
            <w:r>
              <w:t>比选响应文件正本中法定代表人或其授权代理人签署</w:t>
            </w:r>
          </w:p>
        </w:tc>
        <w:tc>
          <w:tcPr>
            <w:tcW w:w="5004" w:type="dxa"/>
            <w:tcBorders>
              <w:top w:val="single" w:color="auto" w:sz="4" w:space="0"/>
              <w:left w:val="single" w:color="auto" w:sz="4" w:space="0"/>
              <w:bottom w:val="single" w:color="auto" w:sz="4" w:space="0"/>
            </w:tcBorders>
            <w:vAlign w:val="center"/>
          </w:tcPr>
          <w:p>
            <w:pPr>
              <w:spacing w:line="400" w:lineRule="exact"/>
            </w:pPr>
            <w:r>
              <w:rPr>
                <w:rFonts w:hint="eastAsia"/>
              </w:rPr>
              <w:t>竞争性</w:t>
            </w:r>
            <w:r>
              <w:t>比选响应文件正本中法定代表人或授权代理人签署姓名齐全，符合</w:t>
            </w:r>
            <w:r>
              <w:rPr>
                <w:rFonts w:hint="eastAsia"/>
              </w:rPr>
              <w:t>比选</w:t>
            </w:r>
            <w:r>
              <w:t>文件规定；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1470" w:hRule="atLeas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right w:val="single" w:color="auto" w:sz="4" w:space="0"/>
            </w:tcBorders>
            <w:vAlign w:val="center"/>
          </w:tcPr>
          <w:p>
            <w:pPr>
              <w:spacing w:line="400" w:lineRule="exact"/>
              <w:jc w:val="center"/>
            </w:pPr>
            <w:r>
              <w:t>其它材料</w:t>
            </w:r>
          </w:p>
        </w:tc>
        <w:tc>
          <w:tcPr>
            <w:tcW w:w="5004" w:type="dxa"/>
            <w:tcBorders>
              <w:top w:val="single" w:color="auto" w:sz="4" w:space="0"/>
              <w:left w:val="single" w:color="auto" w:sz="4" w:space="0"/>
            </w:tcBorders>
            <w:vAlign w:val="center"/>
          </w:tcPr>
          <w:p>
            <w:pPr>
              <w:spacing w:line="400" w:lineRule="exact"/>
            </w:pPr>
            <w:r>
              <w:t>与</w:t>
            </w:r>
            <w:r>
              <w:rPr>
                <w:rFonts w:hint="eastAsia"/>
              </w:rPr>
              <w:t>采购人</w:t>
            </w:r>
            <w:r>
              <w:t>存在利害关系可能影响</w:t>
            </w:r>
            <w:r>
              <w:rPr>
                <w:rFonts w:hint="eastAsia"/>
              </w:rPr>
              <w:t>比选</w:t>
            </w:r>
            <w:r>
              <w:t>公正性的法人、其他组织或者个人，不得参加</w:t>
            </w:r>
            <w:r>
              <w:rPr>
                <w:rFonts w:hint="eastAsia"/>
              </w:rPr>
              <w:t>报价</w:t>
            </w:r>
            <w:r>
              <w:t>；单位负责人为同一人或者存在控股、管理关系的不同单位，不得同时参加</w:t>
            </w:r>
            <w:r>
              <w:rPr>
                <w:rFonts w:hint="eastAsia"/>
              </w:rPr>
              <w:t>报价</w:t>
            </w:r>
            <w:r>
              <w:t>，否则相关</w:t>
            </w:r>
            <w:r>
              <w:rPr>
                <w:rFonts w:hint="eastAsia"/>
              </w:rPr>
              <w:t>报价</w:t>
            </w:r>
            <w:r>
              <w:t>均无效。</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3</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资格评审标准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营业执照</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资质要求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业绩要求</w:t>
            </w:r>
          </w:p>
        </w:tc>
        <w:tc>
          <w:tcPr>
            <w:tcW w:w="5004" w:type="dxa"/>
            <w:tcBorders>
              <w:top w:val="single" w:color="auto" w:sz="4" w:space="0"/>
              <w:left w:val="single" w:color="auto" w:sz="4" w:space="0"/>
              <w:bottom w:val="single" w:color="auto" w:sz="4" w:space="0"/>
            </w:tcBorders>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信誉要求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8</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457"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项目主要管理人员</w:t>
            </w:r>
            <w:r>
              <w:t>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1</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rPr>
                <w:rFonts w:hint="eastAsia" w:ascii="宋体" w:hAnsi="宋体" w:cs="宋体"/>
                <w:szCs w:val="21"/>
              </w:rPr>
              <w:t>其他人员最低要求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2</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355" w:hRule="atLeas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kern w:val="1"/>
              </w:rPr>
            </w:pPr>
            <w:r>
              <w:rPr>
                <w:kern w:val="1"/>
              </w:rPr>
              <w:t>主要机械设备和试验检测设备最低要求</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人须知”前附表附录</w:t>
            </w:r>
            <w:r>
              <w:rPr>
                <w:rFonts w:hint="eastAsia"/>
              </w:rPr>
              <w:t>3</w:t>
            </w:r>
            <w:r>
              <w:t>的规定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restart"/>
            <w:tcBorders>
              <w:top w:val="single" w:color="auto" w:sz="4" w:space="0"/>
              <w:bottom w:val="single" w:color="auto" w:sz="4" w:space="0"/>
              <w:right w:val="single" w:color="auto" w:sz="4" w:space="0"/>
            </w:tcBorders>
            <w:vAlign w:val="center"/>
          </w:tcPr>
          <w:p>
            <w:pPr>
              <w:spacing w:line="400" w:lineRule="exact"/>
              <w:jc w:val="center"/>
            </w:pPr>
            <w:r>
              <w:rPr>
                <w:rFonts w:hint="eastAsia"/>
              </w:rPr>
              <w:t>4</w:t>
            </w:r>
          </w:p>
        </w:tc>
        <w:tc>
          <w:tcPr>
            <w:tcW w:w="1124" w:type="dxa"/>
            <w:vMerge w:val="restart"/>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响应性评审标准</w:t>
            </w: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投标内容</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4</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right w:val="single" w:color="auto" w:sz="4" w:space="0"/>
            </w:tcBorders>
            <w:vAlign w:val="center"/>
          </w:tcPr>
          <w:p>
            <w:pPr>
              <w:spacing w:line="400" w:lineRule="exact"/>
              <w:jc w:val="center"/>
            </w:pPr>
          </w:p>
        </w:tc>
        <w:tc>
          <w:tcPr>
            <w:tcW w:w="1124" w:type="dxa"/>
            <w:vMerge w:val="continue"/>
            <w:tcBorders>
              <w:left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报价</w:t>
            </w:r>
          </w:p>
        </w:tc>
        <w:tc>
          <w:tcPr>
            <w:tcW w:w="5004" w:type="dxa"/>
            <w:tcBorders>
              <w:top w:val="single" w:color="auto" w:sz="4" w:space="0"/>
              <w:left w:val="single" w:color="auto" w:sz="4" w:space="0"/>
              <w:bottom w:val="single" w:color="auto" w:sz="4" w:space="0"/>
            </w:tcBorders>
            <w:vAlign w:val="center"/>
          </w:tcPr>
          <w:p>
            <w:pPr>
              <w:spacing w:line="400" w:lineRule="exact"/>
            </w:pPr>
            <w:r>
              <w:t>符合比选文件给出的范围及数量，且报价不得超过</w:t>
            </w:r>
            <w:r>
              <w:rPr>
                <w:rFonts w:hint="eastAsia"/>
              </w:rPr>
              <w:t>采购人</w:t>
            </w:r>
            <w:r>
              <w:t>公布的最高限价，但也不得低于</w:t>
            </w:r>
            <w:r>
              <w:rPr>
                <w:rFonts w:hint="eastAsia"/>
              </w:rPr>
              <w:t>报价</w:t>
            </w:r>
            <w:r>
              <w:t>人的企业成本。</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工期</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5</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质量标准</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6</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vMerge w:val="continue"/>
            <w:tcBorders>
              <w:top w:val="single" w:color="auto" w:sz="4" w:space="0"/>
              <w:bottom w:val="single" w:color="auto" w:sz="4" w:space="0"/>
              <w:right w:val="single" w:color="auto" w:sz="4" w:space="0"/>
            </w:tcBorders>
            <w:vAlign w:val="center"/>
          </w:tcPr>
          <w:p>
            <w:pPr>
              <w:spacing w:line="400" w:lineRule="exact"/>
              <w:jc w:val="center"/>
            </w:pPr>
          </w:p>
        </w:tc>
        <w:tc>
          <w:tcPr>
            <w:tcW w:w="1124" w:type="dxa"/>
            <w:vMerge w:val="continue"/>
            <w:tcBorders>
              <w:top w:val="single" w:color="auto" w:sz="4" w:space="0"/>
              <w:left w:val="single" w:color="auto" w:sz="4" w:space="0"/>
              <w:bottom w:val="single" w:color="auto" w:sz="4" w:space="0"/>
              <w:right w:val="single" w:color="auto" w:sz="4" w:space="0"/>
            </w:tcBorders>
            <w:vAlign w:val="center"/>
          </w:tcPr>
          <w:p>
            <w:pPr>
              <w:spacing w:line="400" w:lineRule="exact"/>
              <w:jc w:val="center"/>
            </w:pPr>
          </w:p>
        </w:tc>
        <w:tc>
          <w:tcPr>
            <w:tcW w:w="211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安全目标</w:t>
            </w:r>
          </w:p>
        </w:tc>
        <w:tc>
          <w:tcPr>
            <w:tcW w:w="5004" w:type="dxa"/>
            <w:tcBorders>
              <w:top w:val="single" w:color="auto" w:sz="4" w:space="0"/>
              <w:left w:val="single" w:color="auto" w:sz="4" w:space="0"/>
              <w:bottom w:val="single" w:color="auto" w:sz="4" w:space="0"/>
            </w:tcBorders>
            <w:vAlign w:val="center"/>
          </w:tcPr>
          <w:p>
            <w:pPr>
              <w:spacing w:line="400" w:lineRule="exact"/>
            </w:pPr>
            <w:r>
              <w:t>符合第二章“</w:t>
            </w:r>
            <w:r>
              <w:rPr>
                <w:rFonts w:hint="eastAsia"/>
              </w:rPr>
              <w:t>报价</w:t>
            </w:r>
            <w:r>
              <w:t>人须知”第</w:t>
            </w:r>
            <w:r>
              <w:rPr>
                <w:rFonts w:hint="eastAsia"/>
              </w:rPr>
              <w:t>7</w:t>
            </w:r>
            <w:r>
              <w:t>项规定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jc w:val="center"/>
        </w:trPr>
        <w:tc>
          <w:tcPr>
            <w:tcW w:w="900" w:type="dxa"/>
            <w:tcBorders>
              <w:top w:val="single" w:color="auto" w:sz="4" w:space="0"/>
              <w:bottom w:val="single" w:color="auto" w:sz="4" w:space="0"/>
              <w:right w:val="single" w:color="auto" w:sz="4" w:space="0"/>
            </w:tcBorders>
            <w:vAlign w:val="center"/>
          </w:tcPr>
          <w:p>
            <w:pPr>
              <w:spacing w:line="400" w:lineRule="exact"/>
              <w:jc w:val="center"/>
            </w:pPr>
            <w:r>
              <w:rPr>
                <w:rFonts w:hint="eastAsia"/>
              </w:rPr>
              <w:t>5</w:t>
            </w:r>
          </w:p>
        </w:tc>
        <w:tc>
          <w:tcPr>
            <w:tcW w:w="1124"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pPr>
            <w:r>
              <w:t>评标结果</w:t>
            </w:r>
          </w:p>
        </w:tc>
        <w:tc>
          <w:tcPr>
            <w:tcW w:w="7121" w:type="dxa"/>
            <w:gridSpan w:val="2"/>
            <w:tcBorders>
              <w:top w:val="single" w:color="auto" w:sz="4" w:space="0"/>
              <w:left w:val="single" w:color="auto" w:sz="4" w:space="0"/>
              <w:bottom w:val="single" w:color="auto" w:sz="4" w:space="0"/>
            </w:tcBorders>
          </w:tcPr>
          <w:p>
            <w:pPr>
              <w:spacing w:line="400" w:lineRule="exact"/>
              <w:ind w:firstLine="420"/>
            </w:pPr>
            <w:r>
              <w:t>补充细化：</w:t>
            </w:r>
          </w:p>
          <w:p>
            <w:pPr>
              <w:spacing w:line="400" w:lineRule="exact"/>
              <w:ind w:firstLine="420" w:firstLineChars="200"/>
            </w:pPr>
            <w:r>
              <w:t>本项目评标采用经评审的最低投标价法，对通过初步评审、详细评审的</w:t>
            </w:r>
            <w:r>
              <w:rPr>
                <w:rFonts w:hint="eastAsia"/>
              </w:rPr>
              <w:t>报价</w:t>
            </w:r>
            <w:r>
              <w:t>人按照</w:t>
            </w:r>
            <w:r>
              <w:rPr>
                <w:rFonts w:hint="eastAsia"/>
              </w:rPr>
              <w:t>报</w:t>
            </w:r>
            <w:r>
              <w:t>价从低到高的先后顺序，推荐</w:t>
            </w:r>
            <w:r>
              <w:rPr>
                <w:rFonts w:hint="eastAsia"/>
              </w:rPr>
              <w:t>2</w:t>
            </w:r>
            <w:r>
              <w:t>名中标候选人。</w:t>
            </w:r>
          </w:p>
        </w:tc>
      </w:tr>
    </w:tbl>
    <w:p>
      <w:pPr>
        <w:rPr>
          <w:rFonts w:ascii="宋体" w:hAnsi="宋体" w:cs="宋体"/>
        </w:rPr>
      </w:pPr>
    </w:p>
    <w:p>
      <w:pPr>
        <w:jc w:val="center"/>
        <w:rPr>
          <w:rFonts w:ascii="宋体" w:hAnsi="宋体" w:cs="宋体"/>
          <w:b/>
          <w:bCs/>
          <w:kern w:val="44"/>
          <w:sz w:val="44"/>
          <w:szCs w:val="44"/>
        </w:rPr>
      </w:pPr>
      <w:r>
        <w:rPr>
          <w:rFonts w:hint="eastAsia"/>
        </w:rPr>
        <w:br w:type="page"/>
      </w:r>
      <w:r>
        <w:rPr>
          <w:rFonts w:hint="eastAsia" w:ascii="宋体" w:hAnsi="宋体" w:cs="宋体"/>
          <w:b/>
          <w:bCs/>
          <w:kern w:val="44"/>
          <w:sz w:val="44"/>
          <w:szCs w:val="44"/>
        </w:rPr>
        <w:t>第四章 报价说明</w:t>
      </w:r>
      <w:bookmarkEnd w:id="134"/>
    </w:p>
    <w:p>
      <w:pPr>
        <w:spacing w:line="380" w:lineRule="exact"/>
        <w:ind w:firstLine="420" w:firstLineChars="200"/>
        <w:rPr>
          <w:rFonts w:ascii="宋体" w:hAnsi="宋体" w:cs="宋体"/>
          <w:b/>
          <w:bCs/>
          <w:szCs w:val="21"/>
        </w:rPr>
      </w:pPr>
      <w:r>
        <w:rPr>
          <w:rFonts w:hint="eastAsia" w:ascii="宋体" w:hAnsi="宋体" w:cs="宋体"/>
          <w:szCs w:val="21"/>
        </w:rPr>
        <w:t>1、工程量清单应与本工程竞争性比选文件、技术标准和要求等文件结合起来查阅与理解。</w:t>
      </w:r>
    </w:p>
    <w:p>
      <w:pPr>
        <w:spacing w:line="380" w:lineRule="exact"/>
        <w:ind w:firstLine="420" w:firstLineChars="200"/>
        <w:rPr>
          <w:rFonts w:ascii="宋体" w:hAnsi="宋体" w:cs="宋体"/>
          <w:b/>
          <w:bCs/>
          <w:szCs w:val="21"/>
        </w:rPr>
      </w:pPr>
      <w:r>
        <w:rPr>
          <w:rFonts w:hint="eastAsia" w:ascii="宋体" w:hAnsi="宋体" w:cs="宋体"/>
          <w:szCs w:val="21"/>
        </w:rPr>
        <w:t>2、本竞争性比选报价采用综合单价报价。综合单价是指完成工程量清单中一个规定计量单位的分部分项工程量清单费用、措施项目清单费用、其他项目清单费用、规费、税金等完成本项目的一切费用（即本项目除安全生产费以外的人工费、材料设备及采管费和二次转运费、交通组织费、工程照管费、机械使用费、安装和调试费、差旅费、交通费、车辆通行费、车辆台班费、办理施工许可、竣工资料编制、驻地建设、竣工验收、保险、环境保护、文物保护、废弃物转运处理、综合费等），以及竞争性比选文件中明示或暗示的的所有责任、义务和一般风险。</w:t>
      </w:r>
    </w:p>
    <w:p>
      <w:pPr>
        <w:spacing w:line="380" w:lineRule="exact"/>
        <w:ind w:firstLine="420" w:firstLineChars="200"/>
        <w:rPr>
          <w:rFonts w:ascii="宋体" w:hAnsi="宋体" w:cs="宋体"/>
          <w:b/>
          <w:bCs/>
          <w:szCs w:val="21"/>
        </w:rPr>
      </w:pPr>
      <w:r>
        <w:rPr>
          <w:rFonts w:hint="eastAsia" w:ascii="宋体" w:hAnsi="宋体" w:cs="宋体"/>
          <w:szCs w:val="21"/>
        </w:rPr>
        <w:t>3、“安全生产费”报价人应按照采购人在竞争性比选文件中规定的金额填写，不得调整（安全生产费包含但不限于①.设置、完善、改造和维护安全防护设施设备支出；②.配备、维护、保养应急救援的器材和设备支出和应急演练支出；③.重大危险源和事故隐患评估、监控(包括远程监控)和整改支出；④.安全生产检查、咨询、评价和安全生产标准化支出；⑤.配备和更新现场作业人员安全防护用品支出；⑥.安全生产宣传、教育、培训支出；⑦.安全生产适用的新技术、新标准、新工艺、新装备的推广应用支出；⑧.安全设施及特种设备检测检验支出；⑨.其他与安全生产直接相关的支出）。保险均由报价人承担并支付，不在报价中单列。</w:t>
      </w:r>
    </w:p>
    <w:p>
      <w:pPr>
        <w:spacing w:line="380" w:lineRule="exact"/>
        <w:ind w:firstLine="420" w:firstLineChars="200"/>
        <w:rPr>
          <w:rFonts w:ascii="宋体" w:hAnsi="宋体" w:cs="宋体"/>
          <w:b/>
          <w:bCs/>
          <w:szCs w:val="21"/>
        </w:rPr>
      </w:pPr>
      <w:r>
        <w:rPr>
          <w:rFonts w:hint="eastAsia" w:ascii="宋体" w:hAnsi="宋体" w:cs="宋体"/>
          <w:szCs w:val="21"/>
        </w:rPr>
        <w:t>4、采购人供应的材料、设备的金额不进入总报价，其他全部进入总报价。报价人在实施土建工作时，如管沟开挖、设备基础等，应包含定位放样、基础开挖和回填、弃土外运、基础钢筋制作和支模、基础浇筑及附属管道敷设等全部工作内容，电缆应根据要求进行防盗包封，设备及线缆标识按采购人要求制作安装，以上工作内容采购人不再另行计量与支付。</w:t>
      </w:r>
    </w:p>
    <w:p>
      <w:pPr>
        <w:spacing w:line="380" w:lineRule="exact"/>
        <w:ind w:firstLine="420" w:firstLineChars="200"/>
        <w:rPr>
          <w:rFonts w:ascii="宋体" w:hAnsi="宋体" w:cs="宋体"/>
          <w:b/>
          <w:bCs/>
          <w:szCs w:val="21"/>
        </w:rPr>
      </w:pPr>
      <w:r>
        <w:rPr>
          <w:rFonts w:hint="eastAsia" w:ascii="宋体" w:hAnsi="宋体" w:cs="宋体"/>
          <w:szCs w:val="21"/>
        </w:rPr>
        <w:t>5、报价人应结合施工现场实际和现在的市场情况、自身技术及管理水平、经营状况、机械设备及制定的施工方案的要求自行报价，该报价不低于报价人完成该项目的成本。</w:t>
      </w:r>
    </w:p>
    <w:p>
      <w:pPr>
        <w:spacing w:line="380" w:lineRule="exact"/>
        <w:ind w:firstLine="420" w:firstLineChars="200"/>
        <w:rPr>
          <w:rFonts w:ascii="宋体" w:hAnsi="宋体" w:cs="宋体"/>
          <w:b/>
          <w:bCs/>
          <w:szCs w:val="21"/>
        </w:rPr>
      </w:pPr>
      <w:r>
        <w:rPr>
          <w:rFonts w:hint="eastAsia" w:ascii="宋体" w:hAnsi="宋体" w:cs="宋体"/>
          <w:szCs w:val="21"/>
        </w:rPr>
        <w:t>6、工程量清单中所列工程数量是估算的数量，仅作为报价的共同基础，不能作为最终结算与支付的依据。实际支付应按实际完成的工程量*工程量清单的单价来计算支付金额。</w:t>
      </w:r>
    </w:p>
    <w:p>
      <w:pPr>
        <w:spacing w:line="380" w:lineRule="exact"/>
        <w:ind w:firstLine="420" w:firstLineChars="200"/>
        <w:rPr>
          <w:rFonts w:ascii="宋体" w:hAnsi="宋体" w:cs="宋体"/>
          <w:b/>
          <w:bCs/>
          <w:szCs w:val="21"/>
        </w:rPr>
      </w:pPr>
      <w:r>
        <w:rPr>
          <w:rFonts w:hint="eastAsia" w:ascii="宋体" w:hAnsi="宋体" w:cs="宋体"/>
          <w:szCs w:val="21"/>
        </w:rPr>
        <w:t>7、工程量清单中所列工程量的变动，丝毫不会降低或影响合同条款的效力，也不免除报价人按规定的标准进行施工和修复缺陷的责任。</w:t>
      </w:r>
    </w:p>
    <w:p>
      <w:pPr>
        <w:spacing w:line="380" w:lineRule="exact"/>
        <w:ind w:firstLine="420" w:firstLineChars="200"/>
        <w:rPr>
          <w:rFonts w:ascii="宋体" w:hAnsi="宋体" w:cs="宋体"/>
          <w:b/>
          <w:bCs/>
          <w:szCs w:val="21"/>
        </w:rPr>
      </w:pPr>
      <w:r>
        <w:rPr>
          <w:rFonts w:hint="eastAsia" w:ascii="宋体" w:hAnsi="宋体" w:cs="宋体"/>
          <w:szCs w:val="21"/>
        </w:rPr>
        <w:t>8、对工程量清单中的每一个细目，报价人均填单价和合价，对于未填入单价和合价的细目，其费用应视为已包括在工程量清单中的其他细目的单价和合价中，报价人必须按采购人指令完成工程量清单中未填入单价和合价的细目，但不能得到结算与支付，报价人的总报价应是所有工程费用的汇总。</w:t>
      </w:r>
    </w:p>
    <w:p>
      <w:pPr>
        <w:spacing w:line="380" w:lineRule="exact"/>
        <w:ind w:firstLine="420" w:firstLineChars="200"/>
        <w:rPr>
          <w:rFonts w:ascii="宋体" w:hAnsi="宋体" w:cs="宋体"/>
          <w:b/>
          <w:bCs/>
          <w:szCs w:val="21"/>
        </w:rPr>
      </w:pPr>
      <w:r>
        <w:rPr>
          <w:rFonts w:hint="eastAsia" w:ascii="宋体" w:hAnsi="宋体" w:cs="宋体"/>
          <w:szCs w:val="21"/>
        </w:rPr>
        <w:t>9、工程量清单中的任何内容不得随意删除或涂改，若有误，在有效时间内书面向采购人提出，以“补遗”资料为准。</w:t>
      </w:r>
    </w:p>
    <w:p>
      <w:pPr>
        <w:spacing w:line="380" w:lineRule="exact"/>
        <w:ind w:firstLine="420" w:firstLineChars="200"/>
        <w:rPr>
          <w:rFonts w:ascii="宋体" w:hAnsi="宋体" w:cs="宋体"/>
          <w:b/>
          <w:bCs/>
          <w:szCs w:val="21"/>
        </w:rPr>
      </w:pPr>
      <w:r>
        <w:rPr>
          <w:rFonts w:hint="eastAsia" w:ascii="宋体" w:hAnsi="宋体" w:cs="宋体"/>
          <w:szCs w:val="21"/>
        </w:rPr>
        <w:t>10、不同单项及单位工程中的分部分项工程量清单中相同项目（项目特征及工作内容相同）的应报价统一，如有差异，按最低的一个报价进行结算；材料设备单价处理办法相同。</w:t>
      </w:r>
    </w:p>
    <w:p>
      <w:pPr>
        <w:spacing w:line="380" w:lineRule="exact"/>
        <w:ind w:firstLine="420" w:firstLineChars="200"/>
        <w:rPr>
          <w:rFonts w:ascii="宋体" w:hAnsi="宋体" w:cs="宋体"/>
          <w:b/>
          <w:bCs/>
          <w:szCs w:val="21"/>
        </w:rPr>
      </w:pPr>
      <w:r>
        <w:rPr>
          <w:rFonts w:hint="eastAsia" w:ascii="宋体" w:hAnsi="宋体" w:cs="宋体"/>
          <w:szCs w:val="21"/>
        </w:rPr>
        <w:t>11、对作业和材料设备的技术标准和要求及一般说明或规定，未重复写入工程量清单内，在给工程量清单各细目报价前，应参阅并满足设计文件及竞争性比选文件中技术标准和要求的有关部分，如不满足相关技术标准和要求，由此对采购人造成的一切损失由报价人承担。</w:t>
      </w:r>
    </w:p>
    <w:p>
      <w:pPr>
        <w:spacing w:line="380" w:lineRule="exact"/>
        <w:ind w:firstLine="420" w:firstLineChars="200"/>
        <w:rPr>
          <w:rFonts w:ascii="宋体" w:hAnsi="宋体" w:cs="宋体"/>
          <w:b/>
          <w:bCs/>
          <w:szCs w:val="21"/>
        </w:rPr>
      </w:pPr>
      <w:r>
        <w:rPr>
          <w:rFonts w:hint="eastAsia" w:ascii="宋体" w:hAnsi="宋体" w:cs="宋体"/>
          <w:szCs w:val="21"/>
        </w:rPr>
        <w:t>12、对于符合要求的竞争性比选响应文件，在签订合同协议书前，如发现工程量清单中有计算方面的算术差错，按以下规定予以修正：（1）当以数字表示的金额与文字表示的金额有差异时，以文字表示的金额为准；（2）当单价与数量相乘不等于合价时，以单价计算为准，如果单价有明显的小数点位置差错，应以标出的合价为准，同时对单价予以修正；（3）当各细目的合价累计不等于总价时，应以各细目合价累计数为准，修正总价。当按以上原则对算术性差错的修正，应以取得报价人的同意，并确认修正后的最终报价。如果报价人拒绝确认，则报价做废标处理。</w:t>
      </w:r>
    </w:p>
    <w:p>
      <w:pPr>
        <w:spacing w:line="380" w:lineRule="exact"/>
        <w:ind w:firstLine="420" w:firstLineChars="200"/>
        <w:rPr>
          <w:rFonts w:ascii="宋体" w:hAnsi="宋体" w:cs="宋体"/>
          <w:b/>
          <w:bCs/>
          <w:szCs w:val="21"/>
        </w:rPr>
      </w:pPr>
      <w:r>
        <w:rPr>
          <w:rFonts w:hint="eastAsia" w:ascii="宋体" w:hAnsi="宋体" w:cs="宋体"/>
          <w:szCs w:val="21"/>
        </w:rPr>
        <w:t>13、工程量清单中的任何内容不得随意删除或涂改，若有误，在有效时间内书面向采购人提出，以“补遗”资料为准。</w:t>
      </w:r>
    </w:p>
    <w:p>
      <w:pPr>
        <w:spacing w:line="380" w:lineRule="exact"/>
        <w:ind w:firstLine="420" w:firstLineChars="200"/>
        <w:rPr>
          <w:rFonts w:ascii="宋体" w:hAnsi="宋体" w:cs="宋体"/>
          <w:b/>
          <w:bCs/>
          <w:szCs w:val="21"/>
        </w:rPr>
      </w:pPr>
      <w:r>
        <w:rPr>
          <w:rFonts w:hint="eastAsia" w:ascii="宋体" w:hAnsi="宋体" w:cs="宋体"/>
          <w:szCs w:val="21"/>
        </w:rPr>
        <w:t>14、报价中的单价和合价全部以人民币（元）表示。</w:t>
      </w:r>
    </w:p>
    <w:p>
      <w:pPr>
        <w:spacing w:line="380" w:lineRule="exact"/>
        <w:ind w:firstLine="420" w:firstLineChars="200"/>
        <w:rPr>
          <w:rFonts w:ascii="宋体" w:hAnsi="宋体" w:cs="宋体"/>
          <w:b/>
          <w:bCs/>
          <w:szCs w:val="21"/>
        </w:rPr>
      </w:pPr>
      <w:r>
        <w:rPr>
          <w:rFonts w:hint="eastAsia" w:ascii="宋体" w:hAnsi="宋体" w:cs="宋体"/>
          <w:szCs w:val="21"/>
        </w:rPr>
        <w:t>15、对于报价人报价中明显高于市场价的单项报价，采购人有权进行价格审核后调整。调整后应以取得报价人的同意，并确认修正后的最终报价。如果报价人拒绝确认，则其竞争性响应文件将不予评审。</w:t>
      </w:r>
    </w:p>
    <w:p>
      <w:pPr>
        <w:spacing w:line="380" w:lineRule="exact"/>
        <w:ind w:firstLine="420" w:firstLineChars="200"/>
        <w:rPr>
          <w:rFonts w:ascii="宋体" w:hAnsi="宋体" w:cs="宋体"/>
          <w:b/>
          <w:bCs/>
          <w:szCs w:val="21"/>
        </w:rPr>
      </w:pPr>
      <w:r>
        <w:rPr>
          <w:rFonts w:hint="eastAsia" w:ascii="宋体" w:hAnsi="宋体" w:cs="宋体"/>
          <w:szCs w:val="21"/>
        </w:rPr>
        <w:t>16、合同为单价合同，合同期间不予调价。</w:t>
      </w:r>
    </w:p>
    <w:p>
      <w:pPr>
        <w:spacing w:line="380" w:lineRule="exact"/>
        <w:ind w:firstLine="420" w:firstLineChars="200"/>
        <w:rPr>
          <w:rFonts w:ascii="宋体" w:hAnsi="宋体" w:cs="宋体"/>
          <w:b/>
          <w:bCs/>
          <w:szCs w:val="21"/>
        </w:rPr>
      </w:pPr>
      <w:r>
        <w:rPr>
          <w:rFonts w:hint="eastAsia" w:ascii="宋体" w:hAnsi="宋体" w:cs="宋体"/>
          <w:szCs w:val="21"/>
        </w:rPr>
        <w:t>17、报价人应严格按照工程量清单进行报价，不得随意修改采购人发布的工程量清单数量、公式及相关内容。</w:t>
      </w:r>
    </w:p>
    <w:p>
      <w:pPr>
        <w:spacing w:line="380" w:lineRule="exact"/>
        <w:ind w:firstLine="420" w:firstLineChars="200"/>
      </w:pPr>
      <w:r>
        <w:rPr>
          <w:rFonts w:hint="eastAsia" w:ascii="宋体" w:hAnsi="宋体" w:cs="宋体"/>
          <w:szCs w:val="21"/>
        </w:rPr>
        <w:t>18、报价人提供的材料设备需在报价清单中明确品牌及型号。</w:t>
      </w:r>
      <w:r>
        <w:t xml:space="preserve"> </w:t>
      </w:r>
    </w:p>
    <w:p>
      <w:pPr>
        <w:sectPr>
          <w:footerReference r:id="rId9" w:type="default"/>
          <w:pgSz w:w="11906" w:h="16838"/>
          <w:pgMar w:top="1440" w:right="1800" w:bottom="1440" w:left="1800" w:header="851" w:footer="992" w:gutter="0"/>
          <w:cols w:space="720" w:num="1"/>
          <w:titlePg/>
          <w:docGrid w:type="lines" w:linePitch="312" w:charSpace="0"/>
        </w:sectPr>
      </w:pPr>
    </w:p>
    <w:p>
      <w:pPr>
        <w:spacing w:line="400" w:lineRule="exact"/>
        <w:rPr>
          <w:rFonts w:ascii="宋体" w:hAnsi="宋体" w:cs="宋体"/>
          <w:szCs w:val="21"/>
        </w:rPr>
      </w:pPr>
      <w:bookmarkStart w:id="135" w:name="_Toc246996354"/>
      <w:bookmarkStart w:id="136" w:name="_Toc152042575"/>
      <w:bookmarkStart w:id="137" w:name="_Toc144974855"/>
      <w:bookmarkStart w:id="138" w:name="_Toc152045786"/>
      <w:bookmarkStart w:id="139" w:name="_Toc179632806"/>
      <w:bookmarkStart w:id="140" w:name="_Toc247085872"/>
      <w:bookmarkStart w:id="141" w:name="_Toc246997097"/>
    </w:p>
    <w:p>
      <w:pPr>
        <w:keepNext/>
        <w:keepLines/>
        <w:spacing w:line="360" w:lineRule="auto"/>
        <w:jc w:val="center"/>
        <w:outlineLvl w:val="0"/>
        <w:rPr>
          <w:rFonts w:ascii="宋体" w:hAnsi="宋体" w:cs="宋体"/>
          <w:b/>
          <w:bCs/>
          <w:kern w:val="44"/>
          <w:sz w:val="44"/>
          <w:szCs w:val="44"/>
        </w:rPr>
      </w:pPr>
      <w:bookmarkStart w:id="142" w:name="_Toc2000409"/>
      <w:bookmarkStart w:id="143" w:name="_Toc152045772"/>
      <w:bookmarkStart w:id="144" w:name="_Toc514858705"/>
      <w:bookmarkStart w:id="145" w:name="_Toc246996340"/>
      <w:bookmarkStart w:id="146" w:name="_Toc246997083"/>
      <w:bookmarkStart w:id="147" w:name="_Toc144974834"/>
      <w:bookmarkStart w:id="148" w:name="_Toc179632789"/>
      <w:bookmarkStart w:id="149" w:name="_Toc24503"/>
      <w:bookmarkStart w:id="150" w:name="_Toc152042554"/>
      <w:bookmarkStart w:id="151" w:name="_Toc247085855"/>
      <w:r>
        <w:rPr>
          <w:rFonts w:hint="eastAsia" w:ascii="宋体" w:hAnsi="宋体" w:cs="宋体"/>
          <w:b/>
          <w:bCs/>
          <w:kern w:val="44"/>
          <w:sz w:val="44"/>
          <w:szCs w:val="44"/>
        </w:rPr>
        <w:t>第五章  工程量清单</w:t>
      </w:r>
      <w:bookmarkEnd w:id="142"/>
      <w:bookmarkEnd w:id="143"/>
      <w:bookmarkEnd w:id="144"/>
      <w:bookmarkEnd w:id="145"/>
      <w:bookmarkEnd w:id="146"/>
      <w:bookmarkEnd w:id="147"/>
      <w:bookmarkEnd w:id="148"/>
      <w:bookmarkEnd w:id="149"/>
      <w:bookmarkEnd w:id="150"/>
      <w:bookmarkEnd w:id="151"/>
    </w:p>
    <w:p>
      <w:pPr>
        <w:ind w:firstLine="420"/>
        <w:jc w:val="left"/>
        <w:rPr>
          <w:rFonts w:ascii="宋体" w:hAnsi="宋体" w:cs="宋体"/>
          <w:b/>
        </w:rPr>
      </w:pPr>
      <w:bookmarkStart w:id="152" w:name="_Toc152042571"/>
      <w:bookmarkStart w:id="153" w:name="_Toc152045782"/>
      <w:bookmarkStart w:id="154" w:name="_Toc246996350"/>
      <w:bookmarkStart w:id="155" w:name="_Toc144974851"/>
      <w:bookmarkStart w:id="156" w:name="_Toc179632800"/>
      <w:bookmarkStart w:id="157" w:name="_Toc246997093"/>
      <w:bookmarkStart w:id="158" w:name="_Toc247096438"/>
      <w:bookmarkStart w:id="159" w:name="_Toc247085866"/>
    </w:p>
    <w:p>
      <w:pPr>
        <w:jc w:val="center"/>
        <w:rPr>
          <w:rFonts w:ascii="宋体" w:hAnsi="宋体" w:cs="宋体"/>
          <w:b/>
        </w:rPr>
      </w:pPr>
      <w:r>
        <w:rPr>
          <w:rFonts w:hint="eastAsia" w:ascii="宋体" w:hAnsi="宋体" w:cs="宋体"/>
          <w:b/>
          <w:kern w:val="0"/>
          <w:sz w:val="24"/>
        </w:rPr>
        <w:t>详见竞争性比选文件附件</w:t>
      </w:r>
    </w:p>
    <w:p>
      <w:pPr>
        <w:jc w:val="center"/>
        <w:rPr>
          <w:rFonts w:ascii="宋体" w:hAnsi="宋体" w:cs="宋体"/>
          <w:b/>
        </w:rPr>
      </w:pPr>
    </w:p>
    <w:p>
      <w:pPr>
        <w:jc w:val="left"/>
        <w:rPr>
          <w:rFonts w:ascii="宋体" w:hAnsi="宋体" w:cs="宋体"/>
          <w:szCs w:val="21"/>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jc w:val="center"/>
        <w:rPr>
          <w:rFonts w:ascii="宋体" w:hAnsi="宋体" w:cs="宋体"/>
          <w:b/>
        </w:rPr>
      </w:pPr>
    </w:p>
    <w:p>
      <w:pPr>
        <w:rPr>
          <w:rFonts w:ascii="宋体" w:hAnsi="宋体" w:cs="宋体"/>
          <w:b/>
        </w:rPr>
      </w:pPr>
    </w:p>
    <w:p>
      <w:pPr>
        <w:jc w:val="center"/>
        <w:rPr>
          <w:rFonts w:ascii="宋体" w:hAnsi="宋体" w:cs="宋体"/>
          <w:b/>
        </w:rPr>
        <w:sectPr>
          <w:pgSz w:w="11906" w:h="16838"/>
          <w:pgMar w:top="1440" w:right="1800" w:bottom="1440" w:left="1800" w:header="851" w:footer="992" w:gutter="0"/>
          <w:cols w:space="720" w:num="1"/>
          <w:titlePg/>
          <w:docGrid w:type="lines" w:linePitch="312" w:charSpace="0"/>
        </w:sectPr>
      </w:pPr>
    </w:p>
    <w:p>
      <w:pPr>
        <w:rPr>
          <w:rFonts w:ascii="宋体" w:hAnsi="宋体" w:cs="宋体"/>
          <w:b/>
        </w:rPr>
      </w:pPr>
    </w:p>
    <w:p>
      <w:pPr>
        <w:jc w:val="center"/>
        <w:rPr>
          <w:rFonts w:ascii="宋体" w:hAnsi="宋体" w:cs="宋体"/>
          <w:b/>
        </w:rPr>
      </w:pPr>
    </w:p>
    <w:p>
      <w:pPr>
        <w:keepNext/>
        <w:keepLines/>
        <w:spacing w:line="360" w:lineRule="auto"/>
        <w:jc w:val="center"/>
        <w:outlineLvl w:val="0"/>
        <w:rPr>
          <w:rFonts w:ascii="宋体" w:hAnsi="宋体" w:cs="宋体"/>
          <w:b/>
          <w:bCs/>
          <w:kern w:val="44"/>
          <w:sz w:val="44"/>
          <w:szCs w:val="44"/>
        </w:rPr>
      </w:pPr>
      <w:bookmarkStart w:id="160" w:name="_Toc2000410"/>
      <w:bookmarkStart w:id="161" w:name="_Toc12440"/>
      <w:bookmarkStart w:id="162" w:name="_Toc503951042"/>
      <w:bookmarkStart w:id="163" w:name="_Toc514858706"/>
      <w:bookmarkStart w:id="164" w:name="_Toc447827048"/>
      <w:bookmarkStart w:id="165" w:name="_Toc513633963"/>
      <w:r>
        <w:rPr>
          <w:rFonts w:hint="eastAsia" w:ascii="宋体" w:hAnsi="宋体" w:cs="宋体"/>
          <w:b/>
          <w:bCs/>
          <w:kern w:val="44"/>
          <w:sz w:val="44"/>
          <w:szCs w:val="44"/>
        </w:rPr>
        <w:t>第六章  图  纸</w:t>
      </w:r>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p>
    <w:p>
      <w:pPr>
        <w:jc w:val="center"/>
        <w:rPr>
          <w:rFonts w:ascii="宋体" w:hAnsi="宋体" w:cs="宋体"/>
          <w:b/>
        </w:rPr>
      </w:pPr>
      <w:r>
        <w:rPr>
          <w:rFonts w:hint="eastAsia" w:ascii="宋体" w:hAnsi="宋体" w:cs="宋体"/>
          <w:b/>
          <w:kern w:val="0"/>
          <w:sz w:val="24"/>
        </w:rPr>
        <w:t>无。</w:t>
      </w:r>
    </w:p>
    <w:p>
      <w:pPr>
        <w:spacing w:line="400" w:lineRule="exact"/>
        <w:rPr>
          <w:rFonts w:ascii="宋体" w:hAnsi="宋体" w:cs="宋体"/>
        </w:rPr>
      </w:pPr>
      <w:r>
        <w:rPr>
          <w:rFonts w:hint="eastAsia" w:ascii="宋体" w:hAnsi="宋体" w:cs="宋体"/>
        </w:rPr>
        <w:br w:type="page"/>
      </w:r>
      <w:bookmarkStart w:id="166" w:name="_Toc152042574"/>
      <w:bookmarkStart w:id="167" w:name="_Toc144974854"/>
      <w:bookmarkStart w:id="168" w:name="_Toc152045785"/>
    </w:p>
    <w:p>
      <w:pPr>
        <w:keepNext/>
        <w:keepLines/>
        <w:spacing w:line="360" w:lineRule="auto"/>
        <w:jc w:val="center"/>
        <w:outlineLvl w:val="0"/>
        <w:rPr>
          <w:rFonts w:ascii="宋体" w:hAnsi="宋体" w:cs="宋体"/>
          <w:b/>
          <w:bCs/>
          <w:kern w:val="44"/>
          <w:sz w:val="24"/>
        </w:rPr>
      </w:pPr>
      <w:bookmarkStart w:id="169" w:name="_Toc2000411"/>
      <w:bookmarkStart w:id="170" w:name="_Toc10887"/>
      <w:bookmarkStart w:id="171" w:name="_Toc513633964"/>
      <w:bookmarkStart w:id="172" w:name="_Toc503951043"/>
      <w:bookmarkStart w:id="173" w:name="_Toc246996353"/>
      <w:bookmarkStart w:id="174" w:name="_Toc247085870"/>
      <w:bookmarkStart w:id="175" w:name="_Toc514858707"/>
      <w:bookmarkStart w:id="176" w:name="_Toc447827049"/>
      <w:bookmarkStart w:id="177" w:name="_Toc246997096"/>
      <w:bookmarkStart w:id="178" w:name="_Toc179632804"/>
      <w:r>
        <w:rPr>
          <w:rFonts w:hint="eastAsia" w:ascii="宋体" w:hAnsi="宋体" w:cs="宋体"/>
          <w:b/>
          <w:bCs/>
          <w:kern w:val="44"/>
          <w:sz w:val="44"/>
          <w:szCs w:val="44"/>
        </w:rPr>
        <w:t>第七章  技术标准和工作要求</w:t>
      </w:r>
      <w:bookmarkEnd w:id="135"/>
      <w:bookmarkEnd w:id="136"/>
      <w:bookmarkEnd w:id="137"/>
      <w:bookmarkEnd w:id="138"/>
      <w:bookmarkEnd w:id="139"/>
      <w:bookmarkEnd w:id="140"/>
      <w:bookmarkEnd w:id="141"/>
      <w:bookmarkEnd w:id="166"/>
      <w:bookmarkEnd w:id="167"/>
      <w:bookmarkEnd w:id="168"/>
      <w:bookmarkEnd w:id="169"/>
      <w:bookmarkEnd w:id="170"/>
      <w:bookmarkEnd w:id="171"/>
      <w:bookmarkEnd w:id="172"/>
      <w:bookmarkEnd w:id="173"/>
      <w:bookmarkEnd w:id="174"/>
      <w:bookmarkEnd w:id="175"/>
      <w:bookmarkEnd w:id="176"/>
      <w:bookmarkEnd w:id="177"/>
      <w:bookmarkEnd w:id="178"/>
      <w:bookmarkStart w:id="179" w:name="_Toc12089"/>
      <w:bookmarkStart w:id="180" w:name="_Toc514430114"/>
      <w:bookmarkStart w:id="181" w:name="_Toc514858708"/>
      <w:bookmarkStart w:id="182" w:name="_Toc2000412"/>
      <w:bookmarkStart w:id="183" w:name="_Toc152045787"/>
      <w:bookmarkStart w:id="184" w:name="_Toc246997098"/>
      <w:bookmarkStart w:id="185" w:name="_Toc144974856"/>
      <w:bookmarkStart w:id="186" w:name="_Toc246996355"/>
      <w:bookmarkStart w:id="187" w:name="_Toc179632807"/>
      <w:bookmarkStart w:id="188" w:name="_Toc507320039"/>
      <w:bookmarkStart w:id="189" w:name="_Toc247085873"/>
      <w:bookmarkStart w:id="190" w:name="_Toc152042576"/>
    </w:p>
    <w:p>
      <w:pPr>
        <w:jc w:val="center"/>
        <w:rPr>
          <w:rFonts w:hint="default" w:eastAsia="宋体"/>
          <w:b/>
          <w:bCs/>
          <w:lang w:val="en-US" w:eastAsia="zh-CN"/>
        </w:rPr>
      </w:pPr>
      <w:r>
        <w:rPr>
          <w:rFonts w:hint="eastAsia"/>
          <w:b/>
          <w:bCs/>
          <w:lang w:val="en-US" w:eastAsia="zh-CN"/>
        </w:rPr>
        <w:t>详情见附件。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pStyle w:val="28"/>
      </w:pPr>
    </w:p>
    <w:p/>
    <w:p>
      <w:pPr>
        <w:pStyle w:val="28"/>
      </w:pPr>
    </w:p>
    <w:p>
      <w:pPr>
        <w:rPr>
          <w:rFonts w:ascii="宋体" w:hAnsi="宋体" w:cs="宋体"/>
        </w:rPr>
      </w:pPr>
    </w:p>
    <w:p>
      <w:pPr>
        <w:rPr>
          <w:rFonts w:ascii="宋体" w:hAnsi="宋体" w:cs="宋体"/>
        </w:rPr>
      </w:pPr>
    </w:p>
    <w:p>
      <w:pPr>
        <w:rPr>
          <w:rFonts w:ascii="宋体" w:hAnsi="宋体" w:cs="宋体"/>
        </w:rPr>
      </w:pPr>
    </w:p>
    <w:p/>
    <w:p/>
    <w:p/>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hint="eastAsia" w:ascii="宋体" w:hAnsi="宋体" w:cs="宋体"/>
          <w:b/>
          <w:bCs/>
          <w:kern w:val="44"/>
          <w:sz w:val="44"/>
          <w:szCs w:val="44"/>
        </w:rPr>
      </w:pPr>
    </w:p>
    <w:p>
      <w:pPr>
        <w:keepNext/>
        <w:keepLines/>
        <w:spacing w:line="360" w:lineRule="auto"/>
        <w:jc w:val="center"/>
        <w:outlineLvl w:val="0"/>
        <w:rPr>
          <w:rFonts w:ascii="宋体" w:hAnsi="宋体" w:cs="宋体"/>
          <w:b/>
          <w:bCs/>
          <w:kern w:val="44"/>
          <w:sz w:val="44"/>
          <w:szCs w:val="44"/>
        </w:rPr>
      </w:pPr>
      <w:r>
        <w:rPr>
          <w:rFonts w:hint="eastAsia" w:ascii="宋体" w:hAnsi="宋体" w:cs="宋体"/>
          <w:b/>
          <w:bCs/>
          <w:kern w:val="44"/>
          <w:sz w:val="44"/>
          <w:szCs w:val="44"/>
        </w:rPr>
        <w:t xml:space="preserve">第八章  </w:t>
      </w:r>
      <w:bookmarkEnd w:id="179"/>
      <w:bookmarkEnd w:id="180"/>
      <w:bookmarkEnd w:id="181"/>
      <w:bookmarkEnd w:id="182"/>
      <w:r>
        <w:rPr>
          <w:rFonts w:hint="eastAsia" w:ascii="宋体" w:hAnsi="宋体" w:cs="宋体"/>
          <w:b/>
          <w:bCs/>
          <w:kern w:val="44"/>
          <w:sz w:val="44"/>
          <w:szCs w:val="44"/>
        </w:rPr>
        <w:t>合同范本</w:t>
      </w:r>
    </w:p>
    <w:p>
      <w:pPr>
        <w:spacing w:line="360" w:lineRule="auto"/>
        <w:ind w:firstLine="482" w:firstLineChars="200"/>
        <w:jc w:val="center"/>
        <w:rPr>
          <w:rFonts w:ascii="宋体" w:hAnsi="宋体" w:cs="宋体"/>
          <w:szCs w:val="21"/>
        </w:rPr>
      </w:pPr>
      <w:r>
        <w:rPr>
          <w:rFonts w:hint="eastAsia" w:ascii="宋体" w:hAnsi="宋体" w:cs="宋体"/>
          <w:b/>
          <w:kern w:val="0"/>
          <w:sz w:val="24"/>
        </w:rPr>
        <w:t>详见竞争性比选文件附件。</w:t>
      </w: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bookmarkStart w:id="191" w:name="_Toc513633965"/>
    </w:p>
    <w:p>
      <w:pPr>
        <w:rPr>
          <w:rFonts w:ascii="宋体" w:hAnsi="宋体" w:cs="宋体"/>
        </w:rPr>
      </w:pPr>
    </w:p>
    <w:p>
      <w:pPr>
        <w:keepNext/>
        <w:keepLines/>
        <w:spacing w:line="360" w:lineRule="auto"/>
        <w:jc w:val="center"/>
        <w:outlineLvl w:val="0"/>
        <w:rPr>
          <w:rFonts w:ascii="宋体" w:hAnsi="宋体" w:cs="宋体"/>
          <w:b/>
          <w:bCs/>
          <w:kern w:val="44"/>
          <w:sz w:val="44"/>
          <w:szCs w:val="44"/>
        </w:rPr>
      </w:pPr>
      <w:bookmarkStart w:id="192" w:name="_Toc24853"/>
      <w:bookmarkStart w:id="193" w:name="_Toc514858709"/>
      <w:bookmarkStart w:id="194" w:name="_Toc2000413"/>
      <w:r>
        <w:rPr>
          <w:rFonts w:hint="eastAsia" w:ascii="宋体" w:hAnsi="宋体" w:cs="宋体"/>
          <w:b/>
          <w:bCs/>
          <w:kern w:val="44"/>
          <w:sz w:val="44"/>
          <w:szCs w:val="44"/>
        </w:rPr>
        <w:t>第九章  竞争性比选响应文件格式</w:t>
      </w:r>
      <w:bookmarkEnd w:id="191"/>
      <w:bookmarkEnd w:id="192"/>
      <w:bookmarkEnd w:id="193"/>
      <w:bookmarkEnd w:id="194"/>
    </w:p>
    <w:p>
      <w:pPr>
        <w:rPr>
          <w:rFonts w:ascii="宋体" w:hAnsi="宋体" w:cs="宋体"/>
        </w:rPr>
      </w:pPr>
    </w:p>
    <w:p>
      <w:pPr>
        <w:rPr>
          <w:rFonts w:ascii="宋体" w:hAnsi="宋体" w:cs="宋体"/>
        </w:rPr>
        <w:sectPr>
          <w:pgSz w:w="11906" w:h="16838"/>
          <w:pgMar w:top="1440" w:right="1803" w:bottom="1440" w:left="1803" w:header="851" w:footer="992" w:gutter="0"/>
          <w:cols w:space="720" w:num="1"/>
          <w:titlePg/>
          <w:docGrid w:type="lines" w:linePitch="319" w:charSpace="0"/>
        </w:sectPr>
      </w:pPr>
    </w:p>
    <w:p>
      <w:pPr>
        <w:rPr>
          <w:rFonts w:ascii="宋体" w:hAnsi="宋体" w:cs="宋体"/>
        </w:rPr>
      </w:pPr>
    </w:p>
    <w:p>
      <w:pPr>
        <w:jc w:val="center"/>
        <w:rPr>
          <w:rFonts w:ascii="宋体" w:hAnsi="宋体" w:cs="宋体"/>
          <w:sz w:val="52"/>
          <w:szCs w:val="52"/>
          <w:u w:val="single"/>
        </w:rPr>
      </w:pPr>
      <w:bookmarkStart w:id="195" w:name="_Toc513646738"/>
      <w:bookmarkStart w:id="196" w:name="_Toc503971829"/>
      <w:bookmarkStart w:id="197" w:name="_Toc503951046"/>
      <w:bookmarkStart w:id="198" w:name="_Toc513633967"/>
      <w:bookmarkStart w:id="199" w:name="_Toc514858710"/>
      <w:r>
        <w:rPr>
          <w:rFonts w:hint="eastAsia" w:ascii="宋体" w:hAnsi="宋体" w:cs="宋体"/>
          <w:u w:val="single"/>
        </w:rPr>
        <w:t xml:space="preserve">                           </w:t>
      </w:r>
      <w:r>
        <w:rPr>
          <w:rFonts w:hint="eastAsia" w:ascii="宋体" w:hAnsi="宋体" w:cs="宋体"/>
          <w:sz w:val="52"/>
          <w:szCs w:val="52"/>
          <w:u w:val="single"/>
        </w:rPr>
        <w:t>（项目名称）</w:t>
      </w:r>
      <w:bookmarkEnd w:id="195"/>
      <w:bookmarkEnd w:id="196"/>
      <w:bookmarkEnd w:id="197"/>
      <w:bookmarkEnd w:id="198"/>
      <w:bookmarkEnd w:id="199"/>
      <w:r>
        <w:rPr>
          <w:rFonts w:hint="eastAsia" w:ascii="宋体" w:hAnsi="宋体" w:cs="宋体"/>
          <w:sz w:val="52"/>
          <w:szCs w:val="52"/>
          <w:u w:val="single"/>
        </w:rPr>
        <w:t xml:space="preserve"> </w:t>
      </w:r>
    </w:p>
    <w:p>
      <w:pPr>
        <w:rPr>
          <w:rFonts w:ascii="宋体" w:hAnsi="宋体" w:cs="宋体"/>
          <w:sz w:val="20"/>
          <w:szCs w:val="20"/>
        </w:rPr>
      </w:pPr>
    </w:p>
    <w:p>
      <w:pPr>
        <w:jc w:val="center"/>
        <w:rPr>
          <w:rFonts w:ascii="宋体" w:hAnsi="宋体" w:cs="宋体"/>
          <w:sz w:val="44"/>
          <w:szCs w:val="44"/>
        </w:rPr>
      </w:pPr>
      <w:r>
        <w:rPr>
          <w:rFonts w:hint="eastAsia" w:ascii="宋体" w:hAnsi="宋体" w:cs="宋体"/>
          <w:sz w:val="44"/>
          <w:szCs w:val="44"/>
        </w:rPr>
        <w:t xml:space="preserve"> </w:t>
      </w: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jc w:val="center"/>
        <w:rPr>
          <w:rFonts w:ascii="宋体" w:hAnsi="宋体" w:cs="宋体"/>
          <w:b/>
          <w:sz w:val="72"/>
          <w:szCs w:val="44"/>
        </w:rPr>
      </w:pPr>
      <w:r>
        <w:rPr>
          <w:rFonts w:hint="eastAsia" w:ascii="宋体" w:hAnsi="宋体" w:cs="宋体"/>
          <w:b/>
          <w:sz w:val="72"/>
          <w:szCs w:val="44"/>
        </w:rPr>
        <w:t>竞争性比选响应文件</w:t>
      </w:r>
    </w:p>
    <w:p>
      <w:pPr>
        <w:jc w:val="center"/>
        <w:rPr>
          <w:rFonts w:ascii="宋体" w:hAnsi="宋体" w:cs="宋体"/>
          <w:b/>
          <w:sz w:val="32"/>
          <w:szCs w:val="32"/>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Pr>
        <w:rPr>
          <w:rFonts w:ascii="宋体" w:hAnsi="宋体" w:cs="宋体"/>
          <w:sz w:val="28"/>
          <w:szCs w:val="28"/>
        </w:rPr>
      </w:pPr>
    </w:p>
    <w:p/>
    <w:p/>
    <w:p/>
    <w:p/>
    <w:p/>
    <w:p>
      <w:pPr>
        <w:jc w:val="center"/>
        <w:rPr>
          <w:rFonts w:ascii="宋体" w:hAnsi="宋体" w:cs="宋体"/>
          <w:sz w:val="28"/>
          <w:szCs w:val="28"/>
          <w:u w:val="single"/>
        </w:rPr>
      </w:pPr>
      <w:r>
        <w:rPr>
          <w:rFonts w:hint="eastAsia" w:ascii="宋体" w:hAnsi="宋体" w:cs="宋体"/>
          <w:sz w:val="28"/>
          <w:szCs w:val="28"/>
        </w:rPr>
        <w:t>报价人：</w:t>
      </w:r>
      <w:r>
        <w:rPr>
          <w:rFonts w:hint="eastAsia" w:ascii="宋体" w:hAnsi="宋体" w:cs="宋体"/>
          <w:sz w:val="28"/>
          <w:szCs w:val="28"/>
          <w:u w:val="single"/>
        </w:rPr>
        <w:t xml:space="preserve">                              </w:t>
      </w:r>
      <w:r>
        <w:rPr>
          <w:rFonts w:hint="eastAsia" w:ascii="宋体" w:hAnsi="宋体" w:cs="宋体"/>
          <w:sz w:val="28"/>
          <w:szCs w:val="28"/>
        </w:rPr>
        <w:t>（盖单位鲜公章）</w:t>
      </w:r>
    </w:p>
    <w:p>
      <w:pPr>
        <w:jc w:val="center"/>
        <w:rPr>
          <w:rFonts w:ascii="宋体" w:hAnsi="宋体" w:cs="宋体"/>
          <w:sz w:val="28"/>
          <w:szCs w:val="28"/>
        </w:rPr>
      </w:pPr>
      <w:r>
        <w:rPr>
          <w:rFonts w:hint="eastAsia" w:ascii="宋体" w:hAnsi="宋体" w:cs="宋体"/>
          <w:sz w:val="28"/>
          <w:szCs w:val="28"/>
        </w:rPr>
        <w:t>法定代表人或其委托代理人：</w:t>
      </w:r>
      <w:r>
        <w:rPr>
          <w:rFonts w:hint="eastAsia" w:ascii="宋体" w:hAnsi="宋体" w:cs="宋体"/>
          <w:sz w:val="28"/>
          <w:szCs w:val="28"/>
          <w:u w:val="single"/>
        </w:rPr>
        <w:t xml:space="preserve">                </w:t>
      </w:r>
      <w:r>
        <w:rPr>
          <w:rFonts w:hint="eastAsia" w:ascii="宋体" w:hAnsi="宋体" w:cs="宋体"/>
          <w:sz w:val="28"/>
          <w:szCs w:val="28"/>
        </w:rPr>
        <w:t>（签字）</w:t>
      </w:r>
    </w:p>
    <w:p>
      <w:pPr>
        <w:jc w:val="center"/>
        <w:rPr>
          <w:rFonts w:ascii="宋体" w:hAnsi="宋体" w:cs="宋体"/>
          <w:sz w:val="20"/>
          <w:szCs w:val="20"/>
        </w:rPr>
      </w:pPr>
      <w:r>
        <w:rPr>
          <w:rFonts w:hint="eastAsia" w:ascii="宋体" w:hAnsi="宋体" w:cs="宋体"/>
          <w:sz w:val="28"/>
          <w:szCs w:val="28"/>
          <w:u w:val="single"/>
        </w:rPr>
        <w:t xml:space="preserve">        </w:t>
      </w:r>
      <w:r>
        <w:rPr>
          <w:rFonts w:hint="eastAsia" w:ascii="宋体" w:hAnsi="宋体" w:cs="宋体"/>
          <w:sz w:val="28"/>
          <w:szCs w:val="28"/>
        </w:rPr>
        <w:t>年</w:t>
      </w:r>
      <w:r>
        <w:rPr>
          <w:rFonts w:hint="eastAsia" w:ascii="宋体" w:hAnsi="宋体" w:cs="宋体"/>
          <w:sz w:val="28"/>
          <w:szCs w:val="28"/>
          <w:u w:val="single"/>
        </w:rPr>
        <w:t xml:space="preserve">        </w:t>
      </w:r>
      <w:r>
        <w:rPr>
          <w:rFonts w:hint="eastAsia" w:ascii="宋体" w:hAnsi="宋体" w:cs="宋体"/>
          <w:sz w:val="28"/>
          <w:szCs w:val="28"/>
        </w:rPr>
        <w:t>月</w:t>
      </w:r>
      <w:r>
        <w:rPr>
          <w:rFonts w:hint="eastAsia" w:ascii="宋体" w:hAnsi="宋体" w:cs="宋体"/>
          <w:sz w:val="28"/>
          <w:szCs w:val="28"/>
          <w:u w:val="single"/>
        </w:rPr>
        <w:t xml:space="preserve">        </w:t>
      </w:r>
      <w:r>
        <w:rPr>
          <w:rFonts w:hint="eastAsia" w:ascii="宋体" w:hAnsi="宋体" w:cs="宋体"/>
          <w:sz w:val="28"/>
          <w:szCs w:val="28"/>
        </w:rPr>
        <w:t>日</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keepNext/>
        <w:keepLines/>
        <w:spacing w:before="260" w:after="260" w:line="415" w:lineRule="auto"/>
        <w:jc w:val="center"/>
        <w:outlineLvl w:val="1"/>
        <w:rPr>
          <w:rFonts w:ascii="宋体" w:hAnsi="宋体" w:cs="宋体"/>
          <w:b/>
          <w:bCs/>
          <w:kern w:val="0"/>
          <w:sz w:val="32"/>
          <w:szCs w:val="32"/>
        </w:rPr>
      </w:pPr>
      <w:bookmarkStart w:id="200" w:name="_Toc11329273"/>
      <w:bookmarkStart w:id="201" w:name="_Toc28780"/>
      <w:bookmarkStart w:id="202" w:name="_Toc1368"/>
      <w:bookmarkStart w:id="203" w:name="_Toc5459"/>
      <w:r>
        <w:rPr>
          <w:rFonts w:hint="eastAsia" w:ascii="宋体" w:hAnsi="宋体" w:cs="宋体"/>
          <w:b/>
          <w:bCs/>
          <w:kern w:val="0"/>
          <w:sz w:val="32"/>
          <w:szCs w:val="32"/>
        </w:rPr>
        <w:t>目    录</w:t>
      </w:r>
      <w:bookmarkEnd w:id="183"/>
      <w:bookmarkEnd w:id="184"/>
      <w:bookmarkEnd w:id="185"/>
      <w:bookmarkEnd w:id="186"/>
      <w:bookmarkEnd w:id="187"/>
      <w:bookmarkEnd w:id="188"/>
      <w:bookmarkEnd w:id="189"/>
      <w:bookmarkEnd w:id="190"/>
      <w:bookmarkEnd w:id="200"/>
      <w:bookmarkEnd w:id="201"/>
      <w:bookmarkEnd w:id="202"/>
      <w:bookmarkEnd w:id="203"/>
    </w:p>
    <w:p>
      <w:pPr>
        <w:numPr>
          <w:ilvl w:val="0"/>
          <w:numId w:val="2"/>
        </w:numPr>
        <w:spacing w:line="400" w:lineRule="exact"/>
        <w:rPr>
          <w:rFonts w:ascii="宋体" w:hAnsi="宋体" w:cs="宋体"/>
        </w:rPr>
      </w:pPr>
      <w:r>
        <w:rPr>
          <w:rFonts w:hint="eastAsia" w:ascii="宋体" w:hAnsi="宋体" w:cs="宋体"/>
        </w:rPr>
        <w:t>竞争性响应声明书</w:t>
      </w:r>
    </w:p>
    <w:p>
      <w:pPr>
        <w:numPr>
          <w:ilvl w:val="0"/>
          <w:numId w:val="2"/>
        </w:numPr>
        <w:spacing w:line="400" w:lineRule="exact"/>
        <w:rPr>
          <w:rFonts w:ascii="宋体" w:hAnsi="宋体" w:cs="宋体"/>
        </w:rPr>
      </w:pPr>
      <w:r>
        <w:rPr>
          <w:rFonts w:ascii="宋体" w:hAnsi="宋体" w:cs="宋体"/>
        </w:rPr>
        <w:t>法定代表人身份证明或法定代表人授权委托书</w:t>
      </w:r>
    </w:p>
    <w:p>
      <w:pPr>
        <w:spacing w:line="400" w:lineRule="exact"/>
        <w:rPr>
          <w:rFonts w:ascii="宋体" w:hAnsi="宋体" w:cs="宋体"/>
        </w:rPr>
      </w:pPr>
      <w:r>
        <w:rPr>
          <w:rFonts w:hint="eastAsia" w:ascii="宋体" w:hAnsi="宋体" w:cs="宋体"/>
        </w:rPr>
        <w:t>三、报价一览表</w:t>
      </w:r>
    </w:p>
    <w:p>
      <w:pPr>
        <w:spacing w:line="400" w:lineRule="exact"/>
        <w:rPr>
          <w:rFonts w:ascii="宋体" w:hAnsi="宋体" w:cs="宋体"/>
        </w:rPr>
      </w:pPr>
      <w:r>
        <w:rPr>
          <w:rFonts w:hint="eastAsia" w:ascii="宋体" w:hAnsi="宋体" w:cs="宋体"/>
        </w:rPr>
        <w:t>四、资格审查资料</w:t>
      </w:r>
    </w:p>
    <w:p>
      <w:pPr>
        <w:spacing w:line="400" w:lineRule="exact"/>
        <w:rPr>
          <w:rFonts w:ascii="宋体" w:hAnsi="宋体" w:cs="宋体"/>
          <w:szCs w:val="21"/>
        </w:rPr>
      </w:pPr>
      <w:r>
        <w:rPr>
          <w:rFonts w:hint="eastAsia" w:ascii="宋体" w:hAnsi="宋体" w:cs="宋体"/>
        </w:rPr>
        <w:t>五、</w:t>
      </w:r>
      <w:r>
        <w:rPr>
          <w:rFonts w:hint="eastAsia" w:ascii="宋体" w:hAnsi="宋体" w:cs="宋体"/>
          <w:szCs w:val="21"/>
        </w:rPr>
        <w:t>报价人须知前附表规定要求的资料</w:t>
      </w:r>
    </w:p>
    <w:p>
      <w:pPr>
        <w:spacing w:line="400" w:lineRule="exact"/>
        <w:rPr>
          <w:rFonts w:ascii="宋体" w:hAnsi="宋体" w:cs="宋体"/>
          <w:szCs w:val="21"/>
        </w:rPr>
      </w:pPr>
      <w:r>
        <w:rPr>
          <w:rFonts w:hint="eastAsia" w:ascii="宋体" w:hAnsi="宋体" w:cs="宋体"/>
          <w:szCs w:val="21"/>
        </w:rPr>
        <w:t>六、报价人基本信息及其他材料</w:t>
      </w:r>
    </w:p>
    <w:p>
      <w:pPr>
        <w:spacing w:line="400" w:lineRule="exact"/>
        <w:rPr>
          <w:rFonts w:ascii="宋体" w:hAnsi="宋体" w:cs="宋体"/>
          <w:szCs w:val="21"/>
        </w:rPr>
      </w:pPr>
      <w:r>
        <w:rPr>
          <w:rFonts w:hint="eastAsia" w:ascii="宋体" w:hAnsi="宋体" w:cs="宋体"/>
          <w:szCs w:val="21"/>
        </w:rPr>
        <w:t>七、现场安全负责人承诺书</w:t>
      </w:r>
    </w:p>
    <w:p>
      <w:pPr>
        <w:spacing w:line="400" w:lineRule="exact"/>
        <w:rPr>
          <w:rFonts w:ascii="宋体" w:hAnsi="宋体" w:cs="宋体"/>
          <w:szCs w:val="21"/>
        </w:rPr>
      </w:pPr>
      <w:r>
        <w:rPr>
          <w:rFonts w:hint="eastAsia" w:ascii="宋体" w:hAnsi="宋体" w:cs="宋体"/>
          <w:szCs w:val="21"/>
        </w:rPr>
        <w:t>八、投标保证金转账凭证</w:t>
      </w:r>
    </w:p>
    <w:p>
      <w:pPr>
        <w:spacing w:line="400" w:lineRule="exact"/>
        <w:rPr>
          <w:rFonts w:ascii="宋体" w:hAnsi="宋体" w:cs="宋体"/>
          <w:szCs w:val="21"/>
        </w:rPr>
      </w:pPr>
      <w:r>
        <w:rPr>
          <w:rFonts w:hint="eastAsia" w:ascii="宋体" w:hAnsi="宋体" w:cs="宋体"/>
          <w:szCs w:val="21"/>
        </w:rPr>
        <w:t>九、维护工程量清单</w:t>
      </w:r>
    </w:p>
    <w:p>
      <w:pPr>
        <w:spacing w:line="400" w:lineRule="exact"/>
        <w:rPr>
          <w:rFonts w:ascii="宋体" w:hAnsi="宋体" w:cs="宋体"/>
        </w:rPr>
      </w:pPr>
      <w:r>
        <w:rPr>
          <w:rFonts w:hint="eastAsia" w:ascii="宋体" w:hAnsi="宋体" w:cs="宋体"/>
        </w:rPr>
        <w:t>十、项目工勘报告</w:t>
      </w: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pStyle w:val="28"/>
      </w:pPr>
    </w:p>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spacing w:line="400" w:lineRule="exact"/>
        <w:rPr>
          <w:rFonts w:ascii="宋体" w:hAnsi="宋体" w:cs="宋体"/>
        </w:rPr>
      </w:pPr>
    </w:p>
    <w:p>
      <w:pPr>
        <w:keepNext/>
        <w:keepLines/>
        <w:spacing w:line="360" w:lineRule="auto"/>
        <w:jc w:val="center"/>
        <w:outlineLvl w:val="1"/>
        <w:rPr>
          <w:rFonts w:ascii="宋体" w:hAnsi="宋体" w:cs="宋体"/>
          <w:b/>
          <w:bCs/>
          <w:kern w:val="0"/>
          <w:sz w:val="28"/>
          <w:szCs w:val="32"/>
        </w:rPr>
      </w:pPr>
      <w:bookmarkStart w:id="204" w:name="_Toc8870"/>
      <w:bookmarkStart w:id="205" w:name="_Toc11329274"/>
      <w:bookmarkStart w:id="206" w:name="_Toc15863"/>
      <w:bookmarkStart w:id="207" w:name="_Toc25874"/>
      <w:bookmarkStart w:id="208" w:name="_Toc29547"/>
      <w:bookmarkStart w:id="209" w:name="_Toc503951048"/>
      <w:bookmarkStart w:id="210" w:name="_Toc447827053"/>
      <w:bookmarkStart w:id="211" w:name="_Toc513633969"/>
      <w:r>
        <w:rPr>
          <w:rFonts w:hint="eastAsia" w:ascii="宋体" w:hAnsi="宋体" w:cs="宋体"/>
          <w:b/>
          <w:bCs/>
          <w:kern w:val="0"/>
          <w:sz w:val="28"/>
          <w:szCs w:val="32"/>
        </w:rPr>
        <w:t>一、</w:t>
      </w:r>
      <w:bookmarkEnd w:id="204"/>
      <w:bookmarkEnd w:id="205"/>
      <w:r>
        <w:rPr>
          <w:rFonts w:hint="eastAsia" w:ascii="宋体" w:hAnsi="宋体" w:cs="宋体"/>
          <w:b/>
          <w:bCs/>
          <w:kern w:val="0"/>
          <w:sz w:val="28"/>
          <w:szCs w:val="32"/>
        </w:rPr>
        <w:t>竞争比选响应声明书</w:t>
      </w:r>
      <w:bookmarkEnd w:id="206"/>
      <w:bookmarkEnd w:id="207"/>
      <w:bookmarkEnd w:id="208"/>
    </w:p>
    <w:p>
      <w:pPr>
        <w:tabs>
          <w:tab w:val="left" w:pos="900"/>
        </w:tabs>
        <w:spacing w:line="300" w:lineRule="auto"/>
        <w:rPr>
          <w:rFonts w:ascii="Arial" w:hAnsi="Arial" w:cs="Arial"/>
          <w:color w:val="000000"/>
          <w:sz w:val="24"/>
        </w:rPr>
      </w:pPr>
      <w:r>
        <w:rPr>
          <w:rFonts w:ascii="Arial" w:hAnsi="Arial" w:cs="Arial"/>
          <w:color w:val="000000"/>
          <w:sz w:val="24"/>
        </w:rPr>
        <w:t xml:space="preserve"> </w:t>
      </w:r>
      <w:r>
        <w:rPr>
          <w:rFonts w:hint="eastAsia" w:ascii="Arial" w:hAnsi="Arial" w:cs="Arial"/>
          <w:b/>
          <w:color w:val="000000"/>
          <w:sz w:val="24"/>
        </w:rPr>
        <w:t>致：</w:t>
      </w:r>
      <w:r>
        <w:rPr>
          <w:rFonts w:hint="eastAsia" w:ascii="Arial" w:hAnsi="Arial" w:cs="Arial"/>
          <w:b/>
          <w:bCs/>
          <w:color w:val="000000"/>
          <w:sz w:val="24"/>
          <w:u w:val="single"/>
        </w:rPr>
        <w:t>重庆首讯科技股份有限公司</w:t>
      </w:r>
    </w:p>
    <w:p>
      <w:pPr>
        <w:spacing w:line="700" w:lineRule="atLeast"/>
        <w:ind w:firstLine="480" w:firstLineChars="200"/>
        <w:rPr>
          <w:rFonts w:ascii="Arial" w:hAnsi="Arial" w:cs="Arial"/>
          <w:color w:val="000000"/>
          <w:sz w:val="24"/>
        </w:rPr>
      </w:pPr>
      <w:r>
        <w:rPr>
          <w:rFonts w:hint="eastAsia" w:ascii="Arial" w:hAnsi="Arial" w:cs="Arial"/>
          <w:color w:val="000000"/>
          <w:sz w:val="24"/>
        </w:rPr>
        <w:t>根据贵</w:t>
      </w:r>
      <w:r>
        <w:rPr>
          <w:rFonts w:hint="eastAsia" w:ascii="Arial" w:hAnsi="Arial" w:cs="Arial"/>
          <w:sz w:val="24"/>
        </w:rPr>
        <w:t>方为</w:t>
      </w:r>
      <w:r>
        <w:rPr>
          <w:rFonts w:hint="eastAsia" w:ascii="Arial" w:hAnsi="Arial" w:cs="Arial"/>
          <w:color w:val="000000"/>
          <w:sz w:val="24"/>
          <w:u w:val="single"/>
          <w:lang w:eastAsia="zh-CN"/>
        </w:rPr>
        <w:t>2025年营运公司网络安全维护服务项目</w:t>
      </w:r>
      <w:r>
        <w:rPr>
          <w:rFonts w:hint="eastAsia" w:ascii="Arial" w:hAnsi="Arial" w:cs="Arial"/>
          <w:sz w:val="24"/>
        </w:rPr>
        <w:t>竞争比选项目及服</w:t>
      </w:r>
      <w:r>
        <w:rPr>
          <w:rFonts w:hint="eastAsia" w:ascii="Arial" w:hAnsi="Arial" w:cs="Arial"/>
          <w:color w:val="000000"/>
          <w:sz w:val="24"/>
        </w:rPr>
        <w:t>务的竞争比选邀请，签字代表</w:t>
      </w:r>
      <w:r>
        <w:rPr>
          <w:rFonts w:ascii="Arial" w:hAnsi="Arial" w:cs="Arial"/>
          <w:color w:val="000000"/>
          <w:sz w:val="24"/>
          <w:u w:val="single"/>
        </w:rPr>
        <w:t xml:space="preserve">          </w:t>
      </w:r>
      <w:r>
        <w:rPr>
          <w:rFonts w:hint="eastAsia" w:ascii="Arial" w:hAnsi="Arial" w:cs="Arial"/>
          <w:color w:val="000000"/>
          <w:sz w:val="24"/>
          <w:u w:val="single"/>
        </w:rPr>
        <w:t>（全名、职务）</w:t>
      </w:r>
      <w:r>
        <w:rPr>
          <w:rFonts w:hint="eastAsia" w:ascii="Arial" w:hAnsi="Arial" w:cs="Arial"/>
          <w:color w:val="000000"/>
          <w:sz w:val="24"/>
        </w:rPr>
        <w:t>经正式授权并代表竞争比选响应单位</w:t>
      </w:r>
      <w:r>
        <w:rPr>
          <w:rFonts w:ascii="Arial" w:hAnsi="Arial" w:cs="Arial"/>
          <w:color w:val="000000"/>
          <w:sz w:val="24"/>
          <w:u w:val="single"/>
        </w:rPr>
        <w:t xml:space="preserve"> </w:t>
      </w:r>
      <w:r>
        <w:rPr>
          <w:rFonts w:hint="eastAsia" w:ascii="Arial" w:hAnsi="Arial" w:cs="Arial"/>
          <w:color w:val="000000"/>
          <w:sz w:val="24"/>
          <w:u w:val="single"/>
        </w:rPr>
        <w:t>（竞争比选响应单位名称）</w:t>
      </w:r>
      <w:r>
        <w:rPr>
          <w:rFonts w:ascii="Arial" w:hAnsi="Arial" w:cs="Arial"/>
          <w:color w:val="000000"/>
          <w:sz w:val="24"/>
          <w:u w:val="single"/>
        </w:rPr>
        <w:t xml:space="preserve"> </w:t>
      </w:r>
      <w:r>
        <w:rPr>
          <w:rFonts w:hint="eastAsia" w:ascii="Arial" w:hAnsi="Arial" w:cs="Arial"/>
          <w:color w:val="000000"/>
          <w:sz w:val="24"/>
        </w:rPr>
        <w:t>提交报价文件。</w:t>
      </w:r>
    </w:p>
    <w:p>
      <w:pPr>
        <w:spacing w:line="700" w:lineRule="atLeast"/>
        <w:ind w:firstLine="480" w:firstLineChars="200"/>
        <w:rPr>
          <w:rFonts w:ascii="Arial" w:hAnsi="Arial" w:cs="Arial"/>
          <w:color w:val="000000"/>
          <w:sz w:val="24"/>
          <w:u w:val="single"/>
        </w:rPr>
      </w:pPr>
      <w:r>
        <w:rPr>
          <w:rFonts w:hint="eastAsia" w:ascii="Arial" w:hAnsi="Arial" w:cs="Arial"/>
          <w:color w:val="000000"/>
          <w:sz w:val="24"/>
          <w:u w:val="single"/>
        </w:rPr>
        <w:t>我方愿以</w:t>
      </w:r>
      <w:r>
        <w:rPr>
          <w:rFonts w:hint="eastAsia" w:ascii="Arial" w:hAnsi="Arial" w:cs="Arial"/>
          <w:b/>
          <w:bCs/>
          <w:color w:val="000000"/>
          <w:sz w:val="24"/>
          <w:u w:val="single"/>
        </w:rPr>
        <w:t xml:space="preserve">一标段中西部、东北部报价金额： </w:t>
      </w:r>
      <w:r>
        <w:rPr>
          <w:rFonts w:ascii="Arial" w:hAnsi="Arial" w:cs="Arial"/>
          <w:b/>
          <w:bCs/>
          <w:color w:val="000000"/>
          <w:sz w:val="24"/>
          <w:u w:val="single"/>
        </w:rPr>
        <w:t xml:space="preserve">  </w:t>
      </w:r>
      <w:r>
        <w:rPr>
          <w:rFonts w:hint="eastAsia" w:ascii="Arial" w:hAnsi="Arial" w:cs="Arial"/>
          <w:b/>
          <w:bCs/>
          <w:color w:val="000000"/>
          <w:sz w:val="24"/>
          <w:u w:val="single"/>
        </w:rPr>
        <w:t xml:space="preserve"> </w:t>
      </w:r>
      <w:r>
        <w:rPr>
          <w:rFonts w:ascii="Arial" w:hAnsi="Arial" w:cs="Arial"/>
          <w:b/>
          <w:bCs/>
          <w:color w:val="000000"/>
          <w:sz w:val="24"/>
          <w:u w:val="single"/>
        </w:rPr>
        <w:t xml:space="preserve">  </w:t>
      </w:r>
      <w:r>
        <w:rPr>
          <w:rFonts w:hint="eastAsia" w:ascii="Arial" w:hAnsi="Arial" w:cs="Arial"/>
          <w:b/>
          <w:bCs/>
          <w:color w:val="000000"/>
          <w:sz w:val="24"/>
          <w:u w:val="single"/>
        </w:rPr>
        <w:t>元</w:t>
      </w:r>
      <w:r>
        <w:rPr>
          <w:rFonts w:hint="eastAsia" w:ascii="Arial" w:hAnsi="Arial" w:cs="Arial"/>
          <w:b/>
          <w:bCs/>
          <w:color w:val="000000"/>
          <w:sz w:val="24"/>
        </w:rPr>
        <w:t>；</w:t>
      </w:r>
    </w:p>
    <w:p>
      <w:pPr>
        <w:spacing w:line="700" w:lineRule="atLeast"/>
        <w:ind w:firstLine="482" w:firstLineChars="200"/>
        <w:rPr>
          <w:rFonts w:ascii="Arial" w:hAnsi="Arial" w:cs="Arial"/>
          <w:b/>
          <w:bCs/>
          <w:color w:val="000000"/>
          <w:sz w:val="24"/>
          <w:u w:val="single"/>
        </w:rPr>
      </w:pPr>
      <w:r>
        <w:rPr>
          <w:rFonts w:hint="eastAsia" w:ascii="Arial" w:hAnsi="Arial" w:cs="Arial"/>
          <w:b/>
          <w:bCs/>
          <w:color w:val="000000"/>
          <w:sz w:val="24"/>
          <w:u w:val="single"/>
        </w:rPr>
        <w:t xml:space="preserve">二标段东南部报价金额： </w:t>
      </w:r>
      <w:r>
        <w:rPr>
          <w:rFonts w:ascii="Arial" w:hAnsi="Arial" w:cs="Arial"/>
          <w:b/>
          <w:bCs/>
          <w:color w:val="000000"/>
          <w:sz w:val="24"/>
          <w:u w:val="single"/>
        </w:rPr>
        <w:t xml:space="preserve">   </w:t>
      </w:r>
      <w:r>
        <w:rPr>
          <w:rFonts w:hint="eastAsia" w:ascii="Arial" w:hAnsi="Arial" w:cs="Arial"/>
          <w:b/>
          <w:bCs/>
          <w:color w:val="000000"/>
          <w:sz w:val="24"/>
          <w:u w:val="single"/>
        </w:rPr>
        <w:t xml:space="preserve"> </w:t>
      </w:r>
      <w:r>
        <w:rPr>
          <w:rFonts w:ascii="Arial" w:hAnsi="Arial" w:cs="Arial"/>
          <w:b/>
          <w:bCs/>
          <w:color w:val="000000"/>
          <w:sz w:val="24"/>
          <w:u w:val="single"/>
        </w:rPr>
        <w:t xml:space="preserve">  </w:t>
      </w:r>
      <w:r>
        <w:rPr>
          <w:rFonts w:hint="eastAsia" w:ascii="Arial" w:hAnsi="Arial" w:cs="Arial"/>
          <w:b/>
          <w:bCs/>
          <w:color w:val="000000"/>
          <w:sz w:val="24"/>
          <w:u w:val="single"/>
        </w:rPr>
        <w:t>元</w:t>
      </w:r>
      <w:r>
        <w:rPr>
          <w:rFonts w:hint="eastAsia" w:ascii="Arial" w:hAnsi="Arial" w:cs="Arial"/>
          <w:color w:val="000000"/>
          <w:sz w:val="24"/>
        </w:rPr>
        <w:t>的报价总价按照竞争比选文件的要求，承担本次竞争比选文件要求的</w:t>
      </w:r>
      <w:r>
        <w:rPr>
          <w:rFonts w:hint="eastAsia" w:ascii="Arial" w:hAnsi="Arial" w:cs="Arial"/>
          <w:color w:val="000000"/>
          <w:sz w:val="24"/>
          <w:lang w:val="en-US" w:eastAsia="zh-CN"/>
        </w:rPr>
        <w:t>维护服务</w:t>
      </w:r>
      <w:r>
        <w:rPr>
          <w:rFonts w:hint="eastAsia" w:ascii="Arial" w:hAnsi="Arial" w:cs="Arial"/>
          <w:color w:val="000000"/>
          <w:sz w:val="24"/>
        </w:rPr>
        <w:t>工作。</w:t>
      </w:r>
    </w:p>
    <w:p>
      <w:pPr>
        <w:tabs>
          <w:tab w:val="left" w:pos="540"/>
          <w:tab w:val="left" w:pos="900"/>
        </w:tabs>
        <w:spacing w:line="300" w:lineRule="auto"/>
        <w:rPr>
          <w:rFonts w:ascii="Arial" w:hAnsi="Arial" w:cs="Arial"/>
          <w:color w:val="000000"/>
          <w:sz w:val="24"/>
        </w:rPr>
      </w:pPr>
      <w:r>
        <w:rPr>
          <w:rFonts w:ascii="Arial" w:hAnsi="Arial" w:cs="Arial"/>
          <w:color w:val="000000"/>
          <w:sz w:val="24"/>
        </w:rPr>
        <w:t xml:space="preserve">    </w:t>
      </w:r>
    </w:p>
    <w:p>
      <w:pPr>
        <w:tabs>
          <w:tab w:val="left" w:pos="540"/>
          <w:tab w:val="left" w:pos="900"/>
        </w:tabs>
        <w:spacing w:line="300" w:lineRule="auto"/>
        <w:rPr>
          <w:rFonts w:ascii="Arial" w:hAnsi="Arial" w:cs="Arial"/>
          <w:color w:val="000000"/>
          <w:sz w:val="24"/>
        </w:rPr>
      </w:pPr>
      <w:r>
        <w:rPr>
          <w:rFonts w:hint="eastAsia" w:ascii="Arial" w:hAnsi="Arial" w:cs="Arial"/>
          <w:color w:val="000000"/>
          <w:sz w:val="24"/>
        </w:rPr>
        <w:t>据此函，签字代表宣布同意如下：</w:t>
      </w:r>
    </w:p>
    <w:p>
      <w:pPr>
        <w:tabs>
          <w:tab w:val="left" w:pos="540"/>
          <w:tab w:val="left" w:pos="900"/>
        </w:tabs>
        <w:spacing w:line="300" w:lineRule="auto"/>
        <w:rPr>
          <w:rFonts w:ascii="Arial" w:hAnsi="Arial" w:cs="Arial"/>
          <w:color w:val="000000"/>
          <w:sz w:val="24"/>
        </w:rPr>
      </w:pPr>
      <w:r>
        <w:rPr>
          <w:rFonts w:ascii="Arial" w:hAnsi="Arial" w:cs="Arial"/>
          <w:color w:val="000000"/>
          <w:sz w:val="24"/>
        </w:rPr>
        <w:t>1</w:t>
      </w:r>
      <w:r>
        <w:rPr>
          <w:rFonts w:hint="eastAsia" w:ascii="Arial" w:hAnsi="Arial" w:cs="Arial"/>
          <w:color w:val="000000"/>
          <w:sz w:val="24"/>
        </w:rPr>
        <w:t>、竞争比选响应单位将按竞争比选文件规定履行合同责任和义务。</w:t>
      </w:r>
    </w:p>
    <w:p>
      <w:pPr>
        <w:tabs>
          <w:tab w:val="left" w:pos="900"/>
        </w:tabs>
        <w:spacing w:line="300" w:lineRule="auto"/>
        <w:rPr>
          <w:rFonts w:ascii="Arial" w:hAnsi="Arial" w:cs="Arial"/>
          <w:b/>
          <w:color w:val="000000"/>
          <w:sz w:val="24"/>
        </w:rPr>
      </w:pPr>
      <w:r>
        <w:rPr>
          <w:rFonts w:ascii="Arial" w:hAnsi="Arial" w:cs="Arial"/>
          <w:color w:val="000000"/>
          <w:sz w:val="24"/>
        </w:rPr>
        <w:t>2</w:t>
      </w:r>
      <w:r>
        <w:rPr>
          <w:rFonts w:hint="eastAsia" w:ascii="Arial" w:hAnsi="Arial" w:cs="Arial"/>
          <w:color w:val="000000"/>
          <w:sz w:val="24"/>
        </w:rPr>
        <w:t>、竞争比选响应单位已详细审查全部竞争比选文件，包括修改文件（如有的话）以及全部参考资料和相关附件。我们完全理解并同意放弃对这方面有不明及误解的权利。</w:t>
      </w:r>
    </w:p>
    <w:p>
      <w:pPr>
        <w:tabs>
          <w:tab w:val="left" w:pos="900"/>
        </w:tabs>
        <w:spacing w:line="300" w:lineRule="auto"/>
        <w:rPr>
          <w:rFonts w:ascii="Arial" w:hAnsi="Arial" w:cs="Arial"/>
          <w:b/>
          <w:color w:val="000000"/>
          <w:sz w:val="24"/>
        </w:rPr>
      </w:pPr>
      <w:r>
        <w:rPr>
          <w:rFonts w:hint="eastAsia" w:ascii="Arial" w:hAnsi="Arial" w:cs="Arial"/>
          <w:color w:val="000000"/>
          <w:sz w:val="24"/>
        </w:rPr>
        <w:t>3、竞争比选响应单位同意提供采购人可能要求的与其竞争比选响应文件有关的一切数据或资料，完全理解采购人不一定要接受最低报价的竞争比选响应或收到的任何报价。</w:t>
      </w:r>
    </w:p>
    <w:p>
      <w:pPr>
        <w:tabs>
          <w:tab w:val="left" w:pos="900"/>
        </w:tabs>
        <w:spacing w:line="300" w:lineRule="auto"/>
        <w:rPr>
          <w:rFonts w:ascii="Arial" w:hAnsi="Arial" w:cs="Arial"/>
          <w:b/>
          <w:color w:val="000000"/>
          <w:sz w:val="24"/>
        </w:rPr>
      </w:pPr>
      <w:r>
        <w:rPr>
          <w:rFonts w:hint="eastAsia" w:ascii="Arial" w:hAnsi="Arial" w:cs="Arial"/>
          <w:color w:val="000000"/>
          <w:sz w:val="24"/>
        </w:rPr>
        <w:t>4、与本竞争比选响应有关的一切正式往来通讯请寄：</w:t>
      </w:r>
    </w:p>
    <w:p>
      <w:pPr>
        <w:tabs>
          <w:tab w:val="left" w:pos="900"/>
        </w:tabs>
        <w:spacing w:line="300" w:lineRule="auto"/>
        <w:rPr>
          <w:rFonts w:ascii="Arial" w:hAnsi="Arial" w:cs="Arial"/>
          <w:b/>
          <w:color w:val="000000"/>
          <w:sz w:val="24"/>
        </w:rPr>
      </w:pPr>
      <w:r>
        <w:rPr>
          <w:rFonts w:hint="eastAsia" w:ascii="Arial" w:hAnsi="Arial" w:cs="Arial"/>
          <w:color w:val="000000"/>
          <w:sz w:val="24"/>
        </w:rPr>
        <w:t>地址：</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邮编：</w:t>
      </w:r>
      <w:r>
        <w:rPr>
          <w:rFonts w:ascii="Arial" w:hAnsi="Arial" w:cs="Arial"/>
          <w:color w:val="000000"/>
          <w:sz w:val="24"/>
          <w:u w:val="single"/>
        </w:rPr>
        <w:t xml:space="preserve">            </w:t>
      </w:r>
      <w:r>
        <w:rPr>
          <w:rFonts w:ascii="Arial" w:hAnsi="Arial" w:cs="Arial"/>
          <w:b/>
          <w:color w:val="000000"/>
          <w:sz w:val="24"/>
        </w:rPr>
        <w:t xml:space="preserve">  </w:t>
      </w:r>
    </w:p>
    <w:p>
      <w:pPr>
        <w:tabs>
          <w:tab w:val="left" w:pos="900"/>
        </w:tabs>
        <w:spacing w:line="300" w:lineRule="auto"/>
        <w:rPr>
          <w:rFonts w:ascii="Arial" w:hAnsi="Arial" w:cs="Arial"/>
          <w:color w:val="000000"/>
          <w:sz w:val="24"/>
          <w:u w:val="single"/>
        </w:rPr>
      </w:pPr>
      <w:r>
        <w:rPr>
          <w:rFonts w:hint="eastAsia" w:ascii="Arial" w:hAnsi="Arial" w:cs="Arial"/>
          <w:color w:val="000000"/>
          <w:sz w:val="24"/>
        </w:rPr>
        <w:t>电话：</w:t>
      </w:r>
      <w:r>
        <w:rPr>
          <w:rFonts w:ascii="Arial" w:hAnsi="Arial" w:cs="Arial"/>
          <w:color w:val="000000"/>
          <w:sz w:val="24"/>
          <w:u w:val="single"/>
        </w:rPr>
        <w:t xml:space="preserve">                         </w:t>
      </w:r>
      <w:r>
        <w:rPr>
          <w:rFonts w:ascii="Arial" w:hAnsi="Arial" w:cs="Arial"/>
          <w:color w:val="000000"/>
          <w:sz w:val="24"/>
        </w:rPr>
        <w:t xml:space="preserve">   </w:t>
      </w:r>
      <w:r>
        <w:rPr>
          <w:rFonts w:hint="eastAsia" w:ascii="Arial" w:hAnsi="Arial" w:cs="Arial"/>
          <w:color w:val="000000"/>
          <w:sz w:val="24"/>
        </w:rPr>
        <w:t>传真：</w:t>
      </w:r>
      <w:r>
        <w:rPr>
          <w:rFonts w:ascii="Arial" w:hAnsi="Arial" w:cs="Arial"/>
          <w:color w:val="000000"/>
          <w:sz w:val="24"/>
          <w:u w:val="single"/>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竞争比选响应单位法定代表人或授权代表人（签字）：</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sz w:val="24"/>
        </w:rPr>
      </w:pPr>
      <w:r>
        <w:rPr>
          <w:rFonts w:hint="eastAsia" w:ascii="Arial" w:hAnsi="Arial" w:cs="Arial"/>
          <w:sz w:val="24"/>
        </w:rPr>
        <w:t>竞争比选响应单位法定代表人或授权代表人职务：</w:t>
      </w:r>
      <w:r>
        <w:rPr>
          <w:rFonts w:ascii="Arial" w:hAnsi="Arial" w:cs="Arial"/>
          <w:sz w:val="24"/>
          <w:u w:val="single"/>
        </w:rPr>
        <w:t xml:space="preserve">             </w:t>
      </w:r>
      <w:r>
        <w:rPr>
          <w:rFonts w:ascii="Arial" w:hAnsi="Arial" w:cs="Arial"/>
          <w:sz w:val="24"/>
        </w:rPr>
        <w:t xml:space="preserve">               </w:t>
      </w:r>
    </w:p>
    <w:p>
      <w:pPr>
        <w:tabs>
          <w:tab w:val="left" w:pos="900"/>
        </w:tabs>
        <w:spacing w:line="300" w:lineRule="auto"/>
        <w:rPr>
          <w:rFonts w:ascii="Arial" w:hAnsi="Arial" w:cs="Arial"/>
          <w:color w:val="000000"/>
          <w:sz w:val="24"/>
        </w:rPr>
      </w:pPr>
      <w:r>
        <w:rPr>
          <w:rFonts w:hint="eastAsia" w:ascii="Arial" w:hAnsi="Arial" w:cs="Arial"/>
          <w:sz w:val="24"/>
        </w:rPr>
        <w:t>竞争比选响应单位名称（加盖公章）：</w:t>
      </w:r>
      <w:r>
        <w:rPr>
          <w:rFonts w:ascii="Arial" w:hAnsi="Arial" w:cs="Arial"/>
          <w:sz w:val="24"/>
          <w:u w:val="single"/>
        </w:rPr>
        <w:t xml:space="preserve">               </w:t>
      </w:r>
      <w:r>
        <w:rPr>
          <w:rFonts w:ascii="Arial" w:hAnsi="Arial" w:cs="Arial"/>
          <w:color w:val="000000"/>
          <w:sz w:val="24"/>
          <w:u w:val="single"/>
        </w:rPr>
        <w:t xml:space="preserve">             </w:t>
      </w:r>
    </w:p>
    <w:p>
      <w:pPr>
        <w:tabs>
          <w:tab w:val="left" w:pos="900"/>
        </w:tabs>
        <w:spacing w:line="300" w:lineRule="auto"/>
        <w:rPr>
          <w:rFonts w:ascii="Arial" w:hAnsi="Arial" w:cs="Arial"/>
          <w:color w:val="000000"/>
          <w:sz w:val="24"/>
        </w:rPr>
      </w:pPr>
      <w:r>
        <w:rPr>
          <w:rFonts w:hint="eastAsia" w:ascii="Arial" w:hAnsi="Arial" w:cs="Arial"/>
          <w:color w:val="000000"/>
          <w:sz w:val="24"/>
        </w:rPr>
        <w:t>日期：</w:t>
      </w:r>
      <w:r>
        <w:rPr>
          <w:rFonts w:hint="eastAsia" w:ascii="Arial" w:hAnsi="Arial" w:cs="Arial"/>
          <w:color w:val="000000"/>
          <w:sz w:val="24"/>
          <w:u w:val="single"/>
        </w:rPr>
        <w:t xml:space="preserve">     </w:t>
      </w:r>
      <w:r>
        <w:rPr>
          <w:rFonts w:hint="eastAsia" w:ascii="Arial" w:hAnsi="Arial" w:cs="Arial"/>
          <w:color w:val="000000"/>
          <w:sz w:val="24"/>
        </w:rPr>
        <w:t>年</w:t>
      </w:r>
      <w:r>
        <w:rPr>
          <w:rFonts w:ascii="Arial" w:hAnsi="Arial" w:cs="Arial"/>
          <w:color w:val="000000"/>
          <w:sz w:val="24"/>
          <w:u w:val="single"/>
        </w:rPr>
        <w:t xml:space="preserve">      </w:t>
      </w:r>
      <w:r>
        <w:rPr>
          <w:rFonts w:hint="eastAsia" w:ascii="Arial" w:hAnsi="Arial" w:cs="Arial"/>
          <w:color w:val="000000"/>
          <w:sz w:val="24"/>
        </w:rPr>
        <w:t>月</w:t>
      </w:r>
      <w:r>
        <w:rPr>
          <w:rFonts w:ascii="Arial" w:hAnsi="Arial" w:cs="Arial"/>
          <w:color w:val="000000"/>
          <w:sz w:val="24"/>
          <w:u w:val="single"/>
        </w:rPr>
        <w:t xml:space="preserve">    </w:t>
      </w:r>
      <w:r>
        <w:rPr>
          <w:rFonts w:hint="eastAsia" w:ascii="Arial" w:hAnsi="Arial" w:cs="Arial"/>
          <w:color w:val="000000"/>
          <w:sz w:val="24"/>
          <w:u w:val="single"/>
        </w:rPr>
        <w:t xml:space="preserve">  </w:t>
      </w:r>
      <w:r>
        <w:rPr>
          <w:rFonts w:hint="eastAsia" w:ascii="Arial" w:hAnsi="Arial" w:cs="Arial"/>
          <w:color w:val="000000"/>
          <w:sz w:val="24"/>
        </w:rPr>
        <w:t>日</w:t>
      </w:r>
      <w:r>
        <w:rPr>
          <w:rFonts w:ascii="Arial" w:hAnsi="Arial" w:cs="Arial"/>
          <w:color w:val="000000"/>
          <w:sz w:val="24"/>
        </w:rPr>
        <w:t xml:space="preserve"> </w:t>
      </w:r>
    </w:p>
    <w:p/>
    <w:p/>
    <w:p>
      <w:pPr>
        <w:keepNext/>
        <w:keepLines/>
        <w:spacing w:before="260" w:after="260" w:line="415" w:lineRule="auto"/>
        <w:jc w:val="center"/>
        <w:outlineLvl w:val="1"/>
        <w:rPr>
          <w:rFonts w:ascii="宋体" w:hAnsi="宋体" w:cs="宋体"/>
          <w:b/>
          <w:bCs/>
          <w:kern w:val="0"/>
          <w:sz w:val="28"/>
          <w:szCs w:val="28"/>
        </w:rPr>
      </w:pPr>
      <w:bookmarkStart w:id="212" w:name="_Toc27815"/>
      <w:bookmarkStart w:id="213" w:name="_Toc491883232"/>
      <w:r>
        <w:rPr>
          <w:rFonts w:hint="eastAsia" w:ascii="宋体" w:hAnsi="宋体" w:cs="宋体"/>
          <w:b/>
          <w:bCs/>
          <w:kern w:val="0"/>
          <w:sz w:val="28"/>
          <w:szCs w:val="28"/>
        </w:rPr>
        <w:t>二、法定代表人身份证明或法定代表人授权委托书</w:t>
      </w:r>
      <w:bookmarkEnd w:id="212"/>
    </w:p>
    <w:p>
      <w:pPr>
        <w:keepNext/>
        <w:keepLines/>
        <w:spacing w:before="260" w:after="260" w:line="415" w:lineRule="auto"/>
        <w:jc w:val="center"/>
        <w:outlineLvl w:val="1"/>
        <w:rPr>
          <w:rFonts w:ascii="宋体" w:hAnsi="宋体" w:cs="宋体"/>
          <w:b/>
          <w:bCs/>
          <w:kern w:val="0"/>
          <w:sz w:val="24"/>
        </w:rPr>
      </w:pPr>
      <w:bookmarkStart w:id="214" w:name="_Toc14141"/>
      <w:r>
        <w:rPr>
          <w:rFonts w:hint="eastAsia" w:ascii="宋体" w:hAnsi="宋体" w:cs="宋体"/>
          <w:b/>
          <w:bCs/>
          <w:kern w:val="0"/>
          <w:sz w:val="24"/>
        </w:rPr>
        <w:t>（一）法定代表人身份证明</w:t>
      </w:r>
      <w:bookmarkEnd w:id="213"/>
      <w:bookmarkEnd w:id="214"/>
    </w:p>
    <w:p>
      <w:pPr>
        <w:spacing w:line="440" w:lineRule="exact"/>
        <w:rPr>
          <w:rFonts w:ascii="宋体" w:hAnsi="宋体"/>
        </w:rPr>
      </w:pPr>
      <w:r>
        <w:rPr>
          <w:rFonts w:hint="eastAsia" w:ascii="宋体" w:hAnsi="宋体"/>
        </w:rPr>
        <w:t>报价人</w:t>
      </w:r>
      <w:r>
        <w:rPr>
          <w:rFonts w:ascii="宋体" w:hAnsi="宋体"/>
        </w:rPr>
        <w:t>名称：</w:t>
      </w:r>
      <w:r>
        <w:rPr>
          <w:rFonts w:ascii="宋体" w:hAnsi="宋体"/>
          <w:u w:val="single"/>
        </w:rPr>
        <w:t xml:space="preserve">                        </w:t>
      </w:r>
    </w:p>
    <w:p>
      <w:pPr>
        <w:spacing w:line="440" w:lineRule="exact"/>
        <w:rPr>
          <w:rFonts w:ascii="宋体" w:hAnsi="宋体"/>
        </w:rPr>
      </w:pPr>
      <w:r>
        <w:rPr>
          <w:rFonts w:ascii="宋体" w:hAnsi="宋体"/>
        </w:rPr>
        <w:t>姓名：</w:t>
      </w:r>
      <w:r>
        <w:rPr>
          <w:rFonts w:ascii="宋体" w:hAnsi="宋体"/>
          <w:u w:val="single"/>
        </w:rPr>
        <w:t xml:space="preserve">                </w:t>
      </w:r>
      <w:r>
        <w:rPr>
          <w:rFonts w:ascii="宋体" w:hAnsi="宋体"/>
        </w:rPr>
        <w:t>性别：</w:t>
      </w:r>
      <w:bookmarkStart w:id="215" w:name="_Toc369531698"/>
      <w:bookmarkStart w:id="216" w:name="_Toc352691662"/>
      <w:bookmarkStart w:id="217" w:name="_Toc27897"/>
      <w:r>
        <w:rPr>
          <w:rFonts w:ascii="宋体" w:hAnsi="宋体"/>
          <w:u w:val="single"/>
        </w:rPr>
        <w:t xml:space="preserve">        </w:t>
      </w:r>
      <w:r>
        <w:rPr>
          <w:rFonts w:ascii="宋体" w:hAnsi="宋体"/>
        </w:rPr>
        <w:t>年</w:t>
      </w:r>
      <w:bookmarkEnd w:id="215"/>
      <w:bookmarkEnd w:id="216"/>
      <w:bookmarkEnd w:id="217"/>
      <w:r>
        <w:rPr>
          <w:rFonts w:ascii="宋体" w:hAnsi="宋体"/>
        </w:rPr>
        <w:t>龄</w:t>
      </w:r>
      <w:bookmarkStart w:id="218" w:name="_Toc369531699"/>
      <w:bookmarkStart w:id="219" w:name="_Toc152045789"/>
      <w:bookmarkStart w:id="220" w:name="_Toc15573"/>
      <w:bookmarkStart w:id="221" w:name="_Toc352691663"/>
      <w:bookmarkStart w:id="222" w:name="_Toc144974858"/>
      <w:bookmarkStart w:id="223" w:name="_Toc152042578"/>
      <w:bookmarkStart w:id="224" w:name="_Toc361508754"/>
      <w:bookmarkStart w:id="225" w:name="_Toc247514248"/>
      <w:bookmarkStart w:id="226" w:name="_Toc247527829"/>
      <w:bookmarkStart w:id="227" w:name="_Toc384308377"/>
      <w:bookmarkStart w:id="228" w:name="_Toc300835211"/>
      <w:r>
        <w:rPr>
          <w:rFonts w:ascii="宋体" w:hAnsi="宋体"/>
        </w:rPr>
        <w:t>：</w:t>
      </w:r>
      <w:bookmarkEnd w:id="218"/>
      <w:bookmarkEnd w:id="219"/>
      <w:bookmarkEnd w:id="220"/>
      <w:bookmarkEnd w:id="221"/>
      <w:bookmarkEnd w:id="222"/>
      <w:bookmarkEnd w:id="223"/>
      <w:bookmarkEnd w:id="224"/>
      <w:bookmarkEnd w:id="225"/>
      <w:bookmarkEnd w:id="226"/>
      <w:bookmarkEnd w:id="227"/>
      <w:bookmarkEnd w:id="228"/>
      <w:r>
        <w:rPr>
          <w:rFonts w:ascii="宋体" w:hAnsi="宋体"/>
          <w:u w:val="single"/>
        </w:rPr>
        <w:t xml:space="preserve">        </w:t>
      </w:r>
      <w:r>
        <w:rPr>
          <w:rFonts w:ascii="宋体" w:hAnsi="宋体"/>
        </w:rPr>
        <w:t>职务：</w:t>
      </w:r>
      <w:r>
        <w:rPr>
          <w:rFonts w:ascii="宋体" w:hAnsi="宋体"/>
          <w:u w:val="single"/>
        </w:rPr>
        <w:t xml:space="preserve">        </w:t>
      </w:r>
    </w:p>
    <w:p>
      <w:pPr>
        <w:spacing w:line="440" w:lineRule="exact"/>
        <w:rPr>
          <w:rFonts w:ascii="宋体" w:hAnsi="宋体"/>
        </w:rPr>
      </w:pPr>
      <w:r>
        <w:rPr>
          <w:rFonts w:ascii="宋体" w:hAnsi="宋体"/>
        </w:rPr>
        <w:t>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w:t>
      </w:r>
    </w:p>
    <w:p>
      <w:pPr>
        <w:spacing w:line="440" w:lineRule="exact"/>
        <w:ind w:firstLine="420" w:firstLineChars="200"/>
        <w:rPr>
          <w:rFonts w:ascii="宋体" w:hAnsi="宋体"/>
        </w:rPr>
      </w:pPr>
      <w:r>
        <w:rPr>
          <w:rFonts w:ascii="宋体" w:hAnsi="宋体"/>
        </w:rPr>
        <w:t>特此证明。</w:t>
      </w:r>
    </w:p>
    <w:p>
      <w:pPr>
        <w:spacing w:line="440" w:lineRule="exact"/>
        <w:rPr>
          <w:rFonts w:ascii="宋体" w:hAnsi="宋体"/>
        </w:rPr>
      </w:pPr>
    </w:p>
    <w:p>
      <w:pPr>
        <w:spacing w:line="440" w:lineRule="exact"/>
        <w:rPr>
          <w:rFonts w:ascii="宋体" w:hAnsi="宋体"/>
        </w:rPr>
      </w:pPr>
      <w:r>
        <w:rPr>
          <w:rFonts w:ascii="宋体" w:hAnsi="宋体"/>
        </w:rPr>
        <w:t>附：法定代表人身份证复印件</w:t>
      </w:r>
      <w:r>
        <w:rPr>
          <w:rFonts w:hint="eastAsia" w:ascii="宋体" w:hAnsi="宋体"/>
        </w:rPr>
        <w:t>（正、反面）</w:t>
      </w:r>
      <w:r>
        <w:rPr>
          <w:rFonts w:ascii="宋体" w:hAnsi="宋体"/>
        </w:rPr>
        <w:t>。</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jc w:val="center"/>
        <w:rPr>
          <w:rFonts w:ascii="宋体" w:hAnsi="宋体"/>
        </w:rPr>
      </w:pPr>
      <w:r>
        <w:rPr>
          <w:rFonts w:ascii="宋体" w:hAnsi="宋体"/>
        </w:rPr>
        <w:t xml:space="preserve">                              </w:t>
      </w:r>
      <w:r>
        <w:rPr>
          <w:rFonts w:hint="eastAsia" w:ascii="宋体" w:hAnsi="宋体"/>
        </w:rPr>
        <w:t>报价人</w:t>
      </w:r>
      <w:r>
        <w:rPr>
          <w:rFonts w:ascii="宋体" w:hAnsi="宋体"/>
        </w:rPr>
        <w:t>：</w:t>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rPr>
          <w:rFonts w:ascii="宋体" w:hAnsi="宋体"/>
        </w:rPr>
      </w:pPr>
    </w:p>
    <w:p>
      <w:pPr>
        <w:spacing w:line="440" w:lineRule="exact"/>
        <w:ind w:firstLine="4620" w:firstLineChars="2200"/>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pPr>
      <w:r>
        <w:rPr>
          <w:rFonts w:ascii="宋体" w:hAnsi="宋体"/>
        </w:rPr>
        <w:t>注：本身份证明需由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w:t>
      </w:r>
    </w:p>
    <w:p>
      <w:pPr>
        <w:spacing w:line="440" w:lineRule="exact"/>
        <w:rPr>
          <w:rFonts w:ascii="宋体" w:hAnsi="宋体"/>
          <w:sz w:val="20"/>
        </w:rPr>
      </w:pPr>
    </w:p>
    <w:p>
      <w:pPr>
        <w:spacing w:line="20" w:lineRule="exact"/>
        <w:jc w:val="center"/>
        <w:rPr>
          <w:rFonts w:ascii="宋体" w:hAnsi="宋体"/>
          <w:sz w:val="20"/>
        </w:rPr>
      </w:pPr>
      <w:r>
        <w:rPr>
          <w:rFonts w:ascii="宋体" w:hAnsi="宋体"/>
          <w:sz w:val="20"/>
        </w:rPr>
        <w:br w:type="page"/>
      </w:r>
    </w:p>
    <w:p>
      <w:pPr>
        <w:keepNext/>
        <w:keepLines/>
        <w:spacing w:before="260" w:after="260" w:line="415" w:lineRule="auto"/>
        <w:jc w:val="center"/>
        <w:outlineLvl w:val="1"/>
        <w:rPr>
          <w:rFonts w:ascii="宋体" w:hAnsi="宋体" w:eastAsia="黑体"/>
          <w:b/>
          <w:bCs/>
          <w:kern w:val="0"/>
          <w:sz w:val="28"/>
          <w:szCs w:val="28"/>
        </w:rPr>
      </w:pPr>
      <w:bookmarkStart w:id="229" w:name="_Toc491883233"/>
      <w:bookmarkStart w:id="230" w:name="_Toc58"/>
      <w:r>
        <w:rPr>
          <w:rFonts w:hint="eastAsia" w:ascii="宋体" w:hAnsi="宋体" w:cs="宋体"/>
          <w:b/>
          <w:bCs/>
          <w:kern w:val="0"/>
          <w:sz w:val="24"/>
        </w:rPr>
        <w:t>（二）</w:t>
      </w:r>
      <w:bookmarkEnd w:id="229"/>
      <w:r>
        <w:rPr>
          <w:rFonts w:hint="eastAsia" w:ascii="宋体" w:hAnsi="宋体" w:cs="宋体"/>
          <w:b/>
          <w:bCs/>
          <w:kern w:val="0"/>
          <w:sz w:val="24"/>
        </w:rPr>
        <w:t>法定代表人授权委托书</w:t>
      </w:r>
      <w:bookmarkEnd w:id="230"/>
    </w:p>
    <w:p>
      <w:pPr>
        <w:topLinePunct/>
        <w:spacing w:line="440" w:lineRule="exact"/>
        <w:ind w:firstLine="420" w:firstLineChars="200"/>
        <w:rPr>
          <w:rFonts w:ascii="宋体" w:hAnsi="宋体"/>
        </w:rPr>
      </w:pPr>
      <w:r>
        <w:rPr>
          <w:rFonts w:ascii="宋体" w:hAnsi="宋体"/>
        </w:rPr>
        <w:t>本人</w:t>
      </w:r>
      <w:r>
        <w:rPr>
          <w:rFonts w:ascii="宋体" w:hAnsi="宋体"/>
          <w:u w:val="single"/>
        </w:rPr>
        <w:t xml:space="preserve">              </w:t>
      </w:r>
      <w:r>
        <w:rPr>
          <w:rFonts w:ascii="宋体" w:hAnsi="宋体"/>
        </w:rPr>
        <w:t>（姓名）系</w:t>
      </w:r>
      <w:r>
        <w:rPr>
          <w:rFonts w:ascii="宋体" w:hAnsi="宋体"/>
          <w:u w:val="single"/>
        </w:rPr>
        <w:t xml:space="preserve">                    </w:t>
      </w:r>
      <w:r>
        <w:rPr>
          <w:rFonts w:ascii="宋体" w:hAnsi="宋体"/>
        </w:rPr>
        <w:t>（</w:t>
      </w:r>
      <w:r>
        <w:rPr>
          <w:rFonts w:hint="eastAsia" w:ascii="宋体" w:hAnsi="宋体"/>
        </w:rPr>
        <w:t>报价人</w:t>
      </w:r>
      <w:r>
        <w:rPr>
          <w:rFonts w:ascii="宋体" w:hAnsi="宋体"/>
        </w:rPr>
        <w:t>名称）的法定代表人，现委托</w:t>
      </w:r>
      <w:r>
        <w:rPr>
          <w:rFonts w:ascii="宋体" w:hAnsi="宋体"/>
          <w:u w:val="single"/>
        </w:rPr>
        <w:t xml:space="preserve">            </w:t>
      </w:r>
      <w:r>
        <w:rPr>
          <w:rFonts w:ascii="宋体" w:hAnsi="宋体"/>
        </w:rPr>
        <w:t>（姓名）为我方代理人。代理人根据授权，以我方名义签署、澄清确认、递交、撤回、修改招标项目</w:t>
      </w:r>
      <w:r>
        <w:rPr>
          <w:rFonts w:hint="eastAsia" w:ascii="宋体" w:hAnsi="宋体"/>
        </w:rPr>
        <w:t>比选</w:t>
      </w:r>
      <w:r>
        <w:rPr>
          <w:rFonts w:ascii="宋体" w:hAnsi="宋体"/>
        </w:rPr>
        <w:t>文件、签订合同和处理有关事宜，其法律后果由我方承担。</w:t>
      </w:r>
    </w:p>
    <w:p>
      <w:pPr>
        <w:spacing w:line="440" w:lineRule="exact"/>
        <w:rPr>
          <w:rFonts w:ascii="宋体" w:hAnsi="宋体"/>
        </w:rPr>
      </w:pPr>
      <w:r>
        <w:rPr>
          <w:rFonts w:ascii="宋体" w:hAnsi="宋体"/>
        </w:rPr>
        <w:t>委托期限：</w:t>
      </w:r>
      <w:r>
        <w:rPr>
          <w:rFonts w:ascii="宋体" w:hAnsi="宋体"/>
          <w:u w:val="single"/>
        </w:rPr>
        <w:t xml:space="preserve">                       </w:t>
      </w:r>
      <w:r>
        <w:rPr>
          <w:rFonts w:ascii="宋体" w:hAnsi="宋体"/>
        </w:rPr>
        <w:t>。</w:t>
      </w:r>
    </w:p>
    <w:p>
      <w:pPr>
        <w:spacing w:line="440" w:lineRule="exact"/>
        <w:ind w:firstLine="420" w:firstLineChars="200"/>
        <w:rPr>
          <w:rFonts w:ascii="宋体" w:hAnsi="宋体"/>
        </w:rPr>
      </w:pPr>
      <w:r>
        <w:rPr>
          <w:rFonts w:ascii="宋体" w:hAnsi="宋体"/>
        </w:rPr>
        <w:t>代理人无转委托权。</w:t>
      </w:r>
    </w:p>
    <w:p>
      <w:pPr>
        <w:spacing w:line="440" w:lineRule="exact"/>
        <w:ind w:firstLine="420" w:firstLineChars="200"/>
        <w:rPr>
          <w:rFonts w:ascii="宋体" w:hAnsi="宋体"/>
        </w:rPr>
      </w:pPr>
    </w:p>
    <w:p>
      <w:pPr>
        <w:spacing w:line="440" w:lineRule="exact"/>
        <w:rPr>
          <w:rFonts w:ascii="宋体" w:hAnsi="宋体"/>
        </w:rPr>
      </w:pPr>
      <w:r>
        <w:rPr>
          <w:rFonts w:ascii="宋体" w:hAnsi="宋体"/>
        </w:rPr>
        <w:t>附：法定代表人身份证复印件及委托代理人身份证复印件</w:t>
      </w:r>
      <w:r>
        <w:rPr>
          <w:rFonts w:hint="eastAsia" w:ascii="宋体" w:hAnsi="宋体"/>
        </w:rPr>
        <w:t>（正、反面）</w:t>
      </w: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rPr>
          <w:rFonts w:ascii="宋体" w:hAnsi="宋体"/>
        </w:rPr>
      </w:pPr>
    </w:p>
    <w:p>
      <w:pPr>
        <w:spacing w:line="440" w:lineRule="exact"/>
        <w:ind w:firstLine="2692" w:firstLineChars="1282"/>
        <w:rPr>
          <w:rFonts w:ascii="宋体" w:hAnsi="宋体"/>
        </w:rPr>
      </w:pPr>
      <w:r>
        <w:rPr>
          <w:rFonts w:hint="eastAsia" w:ascii="宋体" w:hAnsi="宋体"/>
        </w:rPr>
        <w:t>报  价  人</w:t>
      </w:r>
      <w:r>
        <w:rPr>
          <w:rFonts w:ascii="宋体" w:hAnsi="宋体"/>
        </w:rPr>
        <w:t>：</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w:t>
      </w:r>
      <w:r>
        <w:rPr>
          <w:rFonts w:hint="eastAsia" w:ascii="宋体" w:hAnsi="宋体"/>
        </w:rPr>
        <w:t>盖</w:t>
      </w:r>
      <w:r>
        <w:rPr>
          <w:rFonts w:ascii="宋体" w:hAnsi="宋体"/>
        </w:rPr>
        <w:t>单位</w:t>
      </w:r>
      <w:r>
        <w:rPr>
          <w:rFonts w:hint="eastAsia" w:ascii="宋体" w:hAnsi="宋体"/>
        </w:rPr>
        <w:t>公章</w:t>
      </w:r>
      <w:r>
        <w:rPr>
          <w:rFonts w:ascii="宋体" w:hAnsi="宋体"/>
        </w:rPr>
        <w:t>）</w:t>
      </w:r>
    </w:p>
    <w:p>
      <w:pPr>
        <w:spacing w:line="440" w:lineRule="exact"/>
        <w:ind w:firstLine="2690" w:firstLineChars="1281"/>
        <w:jc w:val="left"/>
        <w:rPr>
          <w:rFonts w:ascii="宋体" w:hAnsi="宋体"/>
        </w:rPr>
      </w:pPr>
      <w:r>
        <w:rPr>
          <w:rFonts w:ascii="宋体" w:hAnsi="宋体"/>
        </w:rPr>
        <w:t>法定代表人：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 xml:space="preserve"> </w:t>
      </w:r>
      <w:r>
        <w:rPr>
          <w:rFonts w:hint="eastAsia" w:ascii="宋体" w:hAnsi="宋体"/>
          <w:szCs w:val="21"/>
          <w:u w:val="single"/>
        </w:rPr>
        <w:t xml:space="preserve">  </w:t>
      </w:r>
      <w:r>
        <w:rPr>
          <w:rFonts w:ascii="宋体" w:hAnsi="宋体"/>
          <w:szCs w:val="21"/>
          <w:u w:val="single"/>
        </w:rPr>
        <w:tab/>
      </w:r>
      <w:r>
        <w:rPr>
          <w:rFonts w:ascii="宋体" w:hAnsi="宋体"/>
        </w:rPr>
        <w:t>（签字</w:t>
      </w:r>
      <w:r>
        <w:rPr>
          <w:rFonts w:hint="eastAsia" w:ascii="宋体" w:hAnsi="宋体"/>
        </w:rPr>
        <w:t xml:space="preserve"> </w:t>
      </w:r>
      <w:r>
        <w:rPr>
          <w:rFonts w:ascii="宋体" w:hAnsi="宋体"/>
        </w:rPr>
        <w:t>）</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r>
        <w:rPr>
          <w:rFonts w:ascii="宋体" w:hAnsi="宋体"/>
        </w:rPr>
        <w:t>委托代理人：</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r>
        <w:rPr>
          <w:rFonts w:ascii="宋体" w:hAnsi="宋体"/>
        </w:rPr>
        <w:t>（签字）</w:t>
      </w:r>
    </w:p>
    <w:p>
      <w:pPr>
        <w:spacing w:line="440" w:lineRule="exact"/>
        <w:ind w:firstLine="2692" w:firstLineChars="1282"/>
        <w:rPr>
          <w:rFonts w:ascii="宋体" w:hAnsi="宋体"/>
        </w:rPr>
      </w:pPr>
      <w:r>
        <w:rPr>
          <w:rFonts w:ascii="宋体" w:hAnsi="宋体"/>
        </w:rPr>
        <w:t>身份证号码：</w:t>
      </w:r>
      <w:r>
        <w:rPr>
          <w:rFonts w:ascii="宋体" w:hAnsi="宋体"/>
          <w:szCs w:val="21"/>
          <w:u w:val="single"/>
        </w:rPr>
        <w:tab/>
      </w:r>
      <w:r>
        <w:rPr>
          <w:rFonts w:ascii="宋体" w:hAnsi="宋体"/>
          <w:szCs w:val="21"/>
          <w:u w:val="single"/>
        </w:rPr>
        <w:tab/>
      </w:r>
      <w:r>
        <w:rPr>
          <w:rFonts w:ascii="宋体" w:hAnsi="宋体"/>
          <w:szCs w:val="21"/>
          <w:u w:val="single"/>
        </w:rPr>
        <w:tab/>
      </w:r>
      <w:r>
        <w:rPr>
          <w:rFonts w:ascii="宋体" w:hAnsi="宋体"/>
          <w:szCs w:val="21"/>
          <w:u w:val="single"/>
        </w:rPr>
        <w:t xml:space="preserve">                            </w:t>
      </w:r>
      <w:r>
        <w:rPr>
          <w:rFonts w:ascii="宋体" w:hAnsi="宋体"/>
          <w:szCs w:val="21"/>
          <w:u w:val="single"/>
        </w:rPr>
        <w:tab/>
      </w:r>
    </w:p>
    <w:p>
      <w:pPr>
        <w:spacing w:line="440" w:lineRule="exact"/>
        <w:ind w:firstLine="2692" w:firstLineChars="1282"/>
        <w:rPr>
          <w:rFonts w:ascii="宋体" w:hAnsi="宋体"/>
        </w:rPr>
      </w:pPr>
    </w:p>
    <w:p>
      <w:pPr>
        <w:spacing w:line="440" w:lineRule="exact"/>
        <w:ind w:firstLine="4057" w:firstLineChars="1932"/>
        <w:jc w:val="right"/>
        <w:rPr>
          <w:rFonts w:ascii="宋体" w:hAnsi="宋体"/>
        </w:rPr>
      </w:pPr>
      <w:r>
        <w:rPr>
          <w:rFonts w:ascii="宋体" w:hAnsi="宋体"/>
          <w:u w:val="single"/>
        </w:rPr>
        <w:t xml:space="preserve">       </w:t>
      </w:r>
      <w:r>
        <w:rPr>
          <w:rFonts w:ascii="宋体" w:hAnsi="宋体"/>
        </w:rPr>
        <w:t>年</w:t>
      </w:r>
      <w:r>
        <w:rPr>
          <w:rFonts w:ascii="宋体" w:hAnsi="宋体"/>
          <w:u w:val="single"/>
        </w:rPr>
        <w:t xml:space="preserve">       </w:t>
      </w:r>
      <w:r>
        <w:rPr>
          <w:rFonts w:ascii="宋体" w:hAnsi="宋体"/>
        </w:rPr>
        <w:t>月</w:t>
      </w:r>
      <w:r>
        <w:rPr>
          <w:rFonts w:ascii="宋体" w:hAnsi="宋体"/>
          <w:u w:val="single"/>
        </w:rPr>
        <w:t xml:space="preserve">       </w:t>
      </w:r>
      <w:r>
        <w:rPr>
          <w:rFonts w:ascii="宋体" w:hAnsi="宋体"/>
        </w:rPr>
        <w:t>日</w:t>
      </w:r>
    </w:p>
    <w:p>
      <w:pPr>
        <w:rPr>
          <w:rFonts w:ascii="宋体" w:hAnsi="宋体"/>
        </w:rPr>
      </w:pPr>
    </w:p>
    <w:p>
      <w:pPr>
        <w:rPr>
          <w:rFonts w:ascii="宋体" w:hAnsi="宋体"/>
        </w:rPr>
      </w:pPr>
    </w:p>
    <w:p>
      <w:pPr>
        <w:spacing w:line="440" w:lineRule="exact"/>
        <w:rPr>
          <w:rFonts w:ascii="宋体" w:hAnsi="宋体"/>
        </w:rPr>
        <w:sectPr>
          <w:pgSz w:w="11906" w:h="16838"/>
          <w:pgMar w:top="1440" w:right="1803" w:bottom="1440" w:left="1803" w:header="851" w:footer="992" w:gutter="0"/>
          <w:cols w:space="720" w:num="1"/>
          <w:titlePg/>
          <w:docGrid w:type="lines" w:linePitch="319" w:charSpace="0"/>
        </w:sectPr>
      </w:pPr>
      <w:r>
        <w:rPr>
          <w:rFonts w:ascii="宋体" w:hAnsi="宋体"/>
        </w:rPr>
        <w:t>注：本授权委托书需由</w:t>
      </w:r>
      <w:r>
        <w:rPr>
          <w:rFonts w:hint="eastAsia" w:ascii="宋体" w:hAnsi="宋体"/>
        </w:rPr>
        <w:t>报价人</w:t>
      </w:r>
      <w:r>
        <w:rPr>
          <w:rFonts w:ascii="宋体" w:hAnsi="宋体"/>
        </w:rPr>
        <w:t>加盖单位</w:t>
      </w:r>
      <w:r>
        <w:rPr>
          <w:rFonts w:hint="eastAsia" w:ascii="宋体" w:hAnsi="宋体"/>
        </w:rPr>
        <w:t>公章</w:t>
      </w:r>
      <w:r>
        <w:rPr>
          <w:rFonts w:ascii="宋体" w:hAnsi="宋体"/>
        </w:rPr>
        <w:t>并由其法定代表人和委托代理人签字。</w:t>
      </w:r>
    </w:p>
    <w:p>
      <w:pPr>
        <w:rPr>
          <w:rFonts w:ascii="宋体" w:hAnsi="宋体" w:cs="宋体"/>
          <w:snapToGrid w:val="0"/>
          <w:kern w:val="0"/>
          <w:szCs w:val="21"/>
        </w:rPr>
      </w:pPr>
    </w:p>
    <w:p>
      <w:pPr>
        <w:keepNext/>
        <w:keepLines/>
        <w:spacing w:before="340" w:after="330" w:line="576" w:lineRule="auto"/>
        <w:jc w:val="center"/>
        <w:outlineLvl w:val="0"/>
        <w:rPr>
          <w:rFonts w:ascii="宋体" w:hAnsi="宋体" w:cs="宋体"/>
          <w:b/>
          <w:bCs/>
          <w:kern w:val="0"/>
          <w:sz w:val="28"/>
          <w:szCs w:val="32"/>
        </w:rPr>
      </w:pPr>
      <w:bookmarkStart w:id="231" w:name="_Toc11329275"/>
      <w:r>
        <w:rPr>
          <w:rFonts w:hint="eastAsia" w:ascii="宋体" w:hAnsi="宋体" w:cs="宋体"/>
          <w:b/>
          <w:bCs/>
          <w:kern w:val="0"/>
          <w:sz w:val="28"/>
          <w:szCs w:val="32"/>
        </w:rPr>
        <w:t>三、</w:t>
      </w:r>
      <w:bookmarkEnd w:id="209"/>
      <w:bookmarkEnd w:id="210"/>
      <w:bookmarkEnd w:id="211"/>
      <w:bookmarkEnd w:id="231"/>
      <w:r>
        <w:rPr>
          <w:rFonts w:hint="eastAsia" w:ascii="宋体" w:hAnsi="宋体" w:cs="宋体"/>
          <w:b/>
          <w:bCs/>
          <w:kern w:val="0"/>
          <w:sz w:val="28"/>
          <w:szCs w:val="32"/>
        </w:rPr>
        <w:t>报价一览表</w:t>
      </w:r>
    </w:p>
    <w:p>
      <w:pPr>
        <w:ind w:left="765"/>
        <w:jc w:val="center"/>
        <w:rPr>
          <w:rFonts w:ascii="宋体" w:hAnsi="宋体" w:cs="宋体"/>
          <w:szCs w:val="21"/>
        </w:rPr>
      </w:pPr>
    </w:p>
    <w:p>
      <w:pPr>
        <w:spacing w:line="360" w:lineRule="auto"/>
        <w:rPr>
          <w:rFonts w:ascii="宋体" w:hAnsi="宋体" w:cs="Arial"/>
          <w:b/>
          <w:color w:val="000000"/>
          <w:sz w:val="24"/>
        </w:rPr>
      </w:pPr>
      <w:r>
        <w:rPr>
          <w:rFonts w:hint="eastAsia" w:ascii="宋体" w:hAnsi="宋体" w:cs="Arial"/>
          <w:b/>
          <w:color w:val="000000"/>
          <w:sz w:val="24"/>
        </w:rPr>
        <w:t>重庆首讯科技股份有限公司：</w:t>
      </w:r>
    </w:p>
    <w:p>
      <w:pPr>
        <w:spacing w:line="360" w:lineRule="auto"/>
        <w:ind w:firstLine="480" w:firstLineChars="200"/>
        <w:jc w:val="left"/>
        <w:rPr>
          <w:rFonts w:ascii="宋体" w:hAnsi="宋体"/>
          <w:b/>
          <w:color w:val="000000"/>
          <w:sz w:val="24"/>
        </w:rPr>
      </w:pPr>
      <w:r>
        <w:rPr>
          <w:rFonts w:hint="eastAsia" w:ascii="宋体" w:hAnsi="宋体"/>
          <w:color w:val="000000"/>
          <w:sz w:val="24"/>
        </w:rPr>
        <w:t>在研究了竞争比选文件中所有文件后，我司对</w:t>
      </w:r>
      <w:r>
        <w:rPr>
          <w:rFonts w:hint="eastAsia" w:ascii="Arial" w:hAnsi="Arial" w:cs="Arial"/>
          <w:color w:val="000000"/>
          <w:sz w:val="24"/>
          <w:u w:val="single"/>
          <w:lang w:eastAsia="zh-CN"/>
        </w:rPr>
        <w:t>2025年营运公司网络安全维护服务项目</w:t>
      </w:r>
      <w:r>
        <w:rPr>
          <w:rFonts w:hint="eastAsia" w:ascii="宋体" w:hAnsi="宋体"/>
          <w:color w:val="000000"/>
          <w:sz w:val="24"/>
        </w:rPr>
        <w:t>竞</w:t>
      </w:r>
      <w:r>
        <w:rPr>
          <w:rFonts w:hint="eastAsia" w:ascii="Arial" w:hAnsi="Arial" w:cs="Arial"/>
          <w:color w:val="000000"/>
          <w:sz w:val="24"/>
        </w:rPr>
        <w:t>争比选响应</w:t>
      </w:r>
      <w:r>
        <w:rPr>
          <w:rFonts w:hint="eastAsia" w:ascii="宋体" w:hAnsi="宋体"/>
          <w:color w:val="000000"/>
          <w:sz w:val="24"/>
        </w:rPr>
        <w:t>报价如下：</w:t>
      </w:r>
      <w:r>
        <w:rPr>
          <w:rFonts w:hint="eastAsia" w:ascii="宋体" w:hAnsi="宋体"/>
          <w:b/>
          <w:color w:val="000000"/>
          <w:sz w:val="24"/>
        </w:rPr>
        <w:t xml:space="preserve"> </w:t>
      </w:r>
    </w:p>
    <w:p>
      <w:pPr>
        <w:tabs>
          <w:tab w:val="left" w:pos="1680"/>
          <w:tab w:val="left" w:pos="4215"/>
          <w:tab w:val="left" w:pos="4305"/>
          <w:tab w:val="left" w:pos="8000"/>
        </w:tabs>
        <w:autoSpaceDE w:val="0"/>
        <w:autoSpaceDN w:val="0"/>
        <w:adjustRightInd w:val="0"/>
        <w:snapToGrid w:val="0"/>
        <w:spacing w:line="360" w:lineRule="auto"/>
        <w:ind w:firstLine="482" w:firstLineChars="200"/>
        <w:rPr>
          <w:rFonts w:ascii="宋体" w:hAnsi="宋体"/>
          <w:b/>
          <w:bCs/>
          <w:color w:val="000000"/>
          <w:sz w:val="24"/>
        </w:rPr>
      </w:pPr>
      <w:r>
        <w:rPr>
          <w:rFonts w:hint="eastAsia" w:ascii="宋体" w:hAnsi="宋体"/>
          <w:b/>
          <w:bCs/>
          <w:color w:val="000000"/>
          <w:sz w:val="24"/>
        </w:rPr>
        <w:t>报价采用表格形式，如下：</w:t>
      </w:r>
    </w:p>
    <w:tbl>
      <w:tblPr>
        <w:tblStyle w:val="42"/>
        <w:tblW w:w="9214" w:type="dxa"/>
        <w:tblInd w:w="-601"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35"/>
        <w:gridCol w:w="3118"/>
        <w:gridCol w:w="1134"/>
        <w:gridCol w:w="2126"/>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3" w:hRule="atLeast"/>
        </w:trPr>
        <w:tc>
          <w:tcPr>
            <w:tcW w:w="1135"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序号</w:t>
            </w:r>
          </w:p>
        </w:tc>
        <w:tc>
          <w:tcPr>
            <w:tcW w:w="3118"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服务内容</w:t>
            </w:r>
          </w:p>
        </w:tc>
        <w:tc>
          <w:tcPr>
            <w:tcW w:w="1134"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数量</w:t>
            </w:r>
          </w:p>
        </w:tc>
        <w:tc>
          <w:tcPr>
            <w:tcW w:w="2126"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报价金额（元）</w:t>
            </w:r>
          </w:p>
        </w:tc>
        <w:tc>
          <w:tcPr>
            <w:tcW w:w="1701"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135"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3118"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2025年营运公司网络安全维护服务项目</w:t>
            </w:r>
            <w:r>
              <w:rPr>
                <w:rFonts w:hint="eastAsia" w:ascii="宋体" w:hAnsi="宋体" w:cs="宋体"/>
                <w:color w:val="000000"/>
                <w:kern w:val="0"/>
                <w:sz w:val="24"/>
              </w:rPr>
              <w:t>一标段</w:t>
            </w:r>
          </w:p>
        </w:tc>
        <w:tc>
          <w:tcPr>
            <w:tcW w:w="1134"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126"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c>
          <w:tcPr>
            <w:tcW w:w="1701"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8" w:hRule="atLeast"/>
        </w:trPr>
        <w:tc>
          <w:tcPr>
            <w:tcW w:w="1135"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2</w:t>
            </w:r>
          </w:p>
        </w:tc>
        <w:tc>
          <w:tcPr>
            <w:tcW w:w="3118"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lang w:eastAsia="zh-CN"/>
              </w:rPr>
              <w:t>2025年营运公司网络安全维护服务项目</w:t>
            </w:r>
            <w:r>
              <w:rPr>
                <w:rFonts w:hint="eastAsia" w:ascii="宋体" w:hAnsi="宋体" w:cs="宋体"/>
                <w:color w:val="000000"/>
                <w:kern w:val="0"/>
                <w:sz w:val="24"/>
              </w:rPr>
              <w:t>二标段</w:t>
            </w:r>
          </w:p>
        </w:tc>
        <w:tc>
          <w:tcPr>
            <w:tcW w:w="1134" w:type="dxa"/>
            <w:shd w:val="clear" w:color="auto" w:fill="auto"/>
            <w:vAlign w:val="center"/>
          </w:tcPr>
          <w:p>
            <w:pPr>
              <w:widowControl/>
              <w:jc w:val="center"/>
              <w:rPr>
                <w:rFonts w:ascii="宋体" w:hAnsi="宋体" w:cs="宋体"/>
                <w:color w:val="000000"/>
                <w:kern w:val="0"/>
                <w:sz w:val="24"/>
              </w:rPr>
            </w:pPr>
            <w:r>
              <w:rPr>
                <w:rFonts w:hint="eastAsia" w:ascii="宋体" w:hAnsi="宋体" w:cs="宋体"/>
                <w:color w:val="000000"/>
                <w:kern w:val="0"/>
                <w:sz w:val="24"/>
              </w:rPr>
              <w:t>1</w:t>
            </w:r>
          </w:p>
        </w:tc>
        <w:tc>
          <w:tcPr>
            <w:tcW w:w="2126" w:type="dxa"/>
            <w:shd w:val="clear" w:color="auto" w:fill="auto"/>
            <w:vAlign w:val="center"/>
          </w:tcPr>
          <w:p>
            <w:pPr>
              <w:widowControl/>
              <w:jc w:val="center"/>
              <w:rPr>
                <w:rFonts w:ascii="宋体" w:hAnsi="宋体" w:cs="宋体"/>
                <w:color w:val="000000"/>
                <w:kern w:val="0"/>
                <w:sz w:val="24"/>
              </w:rPr>
            </w:pPr>
          </w:p>
        </w:tc>
        <w:tc>
          <w:tcPr>
            <w:tcW w:w="1701" w:type="dxa"/>
            <w:shd w:val="clear" w:color="auto" w:fill="auto"/>
            <w:vAlign w:val="center"/>
          </w:tcPr>
          <w:p>
            <w:pPr>
              <w:widowControl/>
              <w:jc w:val="center"/>
              <w:rPr>
                <w:rFonts w:ascii="宋体" w:hAnsi="宋体" w:cs="宋体"/>
                <w:color w:val="000000"/>
                <w:kern w:val="0"/>
                <w:sz w:val="24"/>
              </w:rPr>
            </w:pPr>
          </w:p>
        </w:tc>
      </w:tr>
    </w:tbl>
    <w:p>
      <w:pPr>
        <w:spacing w:after="120"/>
        <w:rPr>
          <w:kern w:val="0"/>
          <w:sz w:val="20"/>
        </w:rPr>
      </w:pPr>
    </w:p>
    <w:p>
      <w:pPr>
        <w:spacing w:line="400" w:lineRule="exact"/>
        <w:rPr>
          <w:rFonts w:ascii="宋体" w:hAnsi="宋体" w:cs="宋体"/>
          <w:kern w:val="0"/>
          <w:szCs w:val="21"/>
        </w:rPr>
      </w:pPr>
    </w:p>
    <w:p>
      <w:pPr>
        <w:keepNext/>
        <w:keepLines/>
        <w:spacing w:line="360" w:lineRule="auto"/>
        <w:jc w:val="center"/>
        <w:outlineLvl w:val="1"/>
        <w:rPr>
          <w:rFonts w:ascii="宋体" w:hAnsi="宋体" w:cs="宋体"/>
          <w:b/>
          <w:bCs/>
          <w:kern w:val="0"/>
          <w:sz w:val="28"/>
          <w:szCs w:val="32"/>
        </w:rPr>
      </w:pPr>
      <w:bookmarkStart w:id="232" w:name="_Toc503951050"/>
      <w:bookmarkStart w:id="233" w:name="_Toc513633971"/>
      <w:bookmarkStart w:id="234" w:name="_Toc11329278"/>
      <w:bookmarkStart w:id="235" w:name="_Toc246997112"/>
      <w:bookmarkStart w:id="236" w:name="_Toc247085887"/>
      <w:bookmarkStart w:id="237" w:name="_Toc246996369"/>
      <w:bookmarkStart w:id="238" w:name="_Toc152042592"/>
      <w:bookmarkStart w:id="239" w:name="_Toc152045803"/>
      <w:bookmarkStart w:id="240" w:name="_Toc447827058"/>
      <w:bookmarkStart w:id="241" w:name="_Toc144974871"/>
      <w:bookmarkStart w:id="242" w:name="_Toc179632823"/>
      <w:r>
        <w:rPr>
          <w:rFonts w:hint="eastAsia" w:ascii="宋体" w:hAnsi="宋体" w:cs="宋体"/>
          <w:b/>
          <w:bCs/>
          <w:kern w:val="0"/>
          <w:sz w:val="28"/>
          <w:szCs w:val="32"/>
        </w:rPr>
        <w:br w:type="page"/>
      </w:r>
      <w:bookmarkStart w:id="243" w:name="_Toc18757"/>
      <w:bookmarkStart w:id="244" w:name="_Toc12910"/>
      <w:bookmarkStart w:id="245" w:name="_Toc11961"/>
      <w:r>
        <w:rPr>
          <w:rFonts w:hint="eastAsia" w:ascii="宋体" w:hAnsi="宋体" w:cs="宋体"/>
          <w:b/>
          <w:bCs/>
          <w:kern w:val="0"/>
          <w:sz w:val="28"/>
          <w:szCs w:val="32"/>
        </w:rPr>
        <w:t>四、资格审查资料</w:t>
      </w:r>
      <w:bookmarkEnd w:id="232"/>
      <w:bookmarkEnd w:id="233"/>
      <w:bookmarkEnd w:id="234"/>
      <w:bookmarkEnd w:id="243"/>
      <w:bookmarkEnd w:id="244"/>
      <w:bookmarkEnd w:id="245"/>
    </w:p>
    <w:p>
      <w:pPr>
        <w:keepNext/>
        <w:keepLines/>
        <w:spacing w:line="360" w:lineRule="auto"/>
        <w:jc w:val="center"/>
        <w:outlineLvl w:val="1"/>
        <w:rPr>
          <w:rFonts w:ascii="宋体" w:hAnsi="宋体" w:cs="宋体"/>
          <w:b/>
          <w:bCs/>
          <w:kern w:val="0"/>
          <w:sz w:val="28"/>
          <w:szCs w:val="32"/>
        </w:rPr>
      </w:pPr>
      <w:bookmarkStart w:id="246" w:name="_Toc32456"/>
      <w:bookmarkStart w:id="247" w:name="_Toc17915"/>
      <w:bookmarkStart w:id="248" w:name="_Toc22003"/>
      <w:r>
        <w:rPr>
          <w:rFonts w:hint="eastAsia" w:ascii="宋体" w:hAnsi="宋体" w:cs="宋体"/>
          <w:b/>
          <w:bCs/>
          <w:kern w:val="0"/>
          <w:sz w:val="28"/>
          <w:szCs w:val="32"/>
        </w:rPr>
        <w:t>（营业执照、资质证书、项目人员资料等）</w:t>
      </w:r>
      <w:bookmarkEnd w:id="246"/>
      <w:bookmarkEnd w:id="247"/>
      <w:bookmarkEnd w:id="248"/>
    </w:p>
    <w:p>
      <w:pPr>
        <w:numPr>
          <w:ilvl w:val="0"/>
          <w:numId w:val="3"/>
        </w:numPr>
        <w:rPr>
          <w:rFonts w:ascii="Calibri" w:hAnsi="Calibri"/>
          <w:sz w:val="28"/>
          <w:szCs w:val="28"/>
        </w:rPr>
      </w:pPr>
      <w:r>
        <w:rPr>
          <w:rFonts w:hint="eastAsia" w:ascii="Calibri" w:hAnsi="Calibri"/>
          <w:sz w:val="28"/>
          <w:szCs w:val="28"/>
        </w:rPr>
        <w:t>营业执照</w:t>
      </w:r>
    </w:p>
    <w:p>
      <w:pPr>
        <w:rPr>
          <w:szCs w:val="21"/>
        </w:rPr>
      </w:pPr>
      <w:r>
        <w:rPr>
          <w:rFonts w:hint="eastAsia"/>
          <w:szCs w:val="21"/>
        </w:rPr>
        <w:t>注：请附营业执照复印件或扫描件，并加盖报价人公章；</w:t>
      </w:r>
    </w:p>
    <w:p>
      <w:pPr>
        <w:rPr>
          <w:sz w:val="28"/>
          <w:szCs w:val="28"/>
        </w:rPr>
      </w:pPr>
    </w:p>
    <w:p>
      <w:pPr>
        <w:rPr>
          <w:sz w:val="28"/>
          <w:szCs w:val="28"/>
        </w:rPr>
      </w:pPr>
    </w:p>
    <w:p>
      <w:pPr>
        <w:rPr>
          <w:sz w:val="28"/>
          <w:szCs w:val="28"/>
        </w:rPr>
      </w:pPr>
    </w:p>
    <w:p>
      <w:pPr>
        <w:numPr>
          <w:ilvl w:val="0"/>
          <w:numId w:val="3"/>
        </w:numPr>
        <w:rPr>
          <w:rFonts w:ascii="Calibri" w:hAnsi="Calibri"/>
          <w:sz w:val="28"/>
          <w:szCs w:val="28"/>
        </w:rPr>
      </w:pPr>
      <w:r>
        <w:rPr>
          <w:rFonts w:hint="eastAsia" w:ascii="Calibri" w:hAnsi="Calibri"/>
          <w:sz w:val="28"/>
          <w:szCs w:val="28"/>
        </w:rPr>
        <w:t>资质证书</w:t>
      </w:r>
    </w:p>
    <w:p>
      <w:pPr>
        <w:rPr>
          <w:szCs w:val="21"/>
        </w:rPr>
      </w:pPr>
      <w:r>
        <w:rPr>
          <w:rFonts w:hint="eastAsia"/>
          <w:szCs w:val="21"/>
        </w:rPr>
        <w:t>注：报价人需具备网络安全设备制造商或授权代理商，授权代理商需提供制造商出具的项目唯一授权证书。</w:t>
      </w:r>
    </w:p>
    <w:p>
      <w:pPr>
        <w:rPr>
          <w:sz w:val="28"/>
          <w:szCs w:val="28"/>
        </w:rPr>
      </w:pPr>
    </w:p>
    <w:p>
      <w:pPr>
        <w:rPr>
          <w:sz w:val="28"/>
          <w:szCs w:val="28"/>
        </w:rPr>
      </w:pPr>
    </w:p>
    <w:p>
      <w:pPr>
        <w:numPr>
          <w:ilvl w:val="0"/>
          <w:numId w:val="3"/>
        </w:numPr>
        <w:rPr>
          <w:rFonts w:ascii="Calibri" w:hAnsi="Calibri"/>
          <w:sz w:val="28"/>
          <w:szCs w:val="28"/>
        </w:rPr>
      </w:pPr>
      <w:r>
        <w:rPr>
          <w:rFonts w:hint="eastAsia" w:ascii="Calibri" w:hAnsi="Calibri"/>
          <w:sz w:val="28"/>
          <w:szCs w:val="28"/>
        </w:rPr>
        <w:t>业绩要求</w:t>
      </w:r>
    </w:p>
    <w:p>
      <w:pPr>
        <w:rPr>
          <w:sz w:val="28"/>
          <w:szCs w:val="28"/>
        </w:rPr>
      </w:pPr>
      <w:r>
        <w:rPr>
          <w:rFonts w:hint="eastAsia"/>
          <w:szCs w:val="21"/>
        </w:rPr>
        <w:t>注：2021年1月1日至本竞争性比选函发出之日之间独立承担过至少1项网络安全建设或者网络信息安全服务工作，单个合同金额不少于</w:t>
      </w:r>
      <w:r>
        <w:rPr>
          <w:rFonts w:hint="eastAsia"/>
          <w:szCs w:val="21"/>
          <w:lang w:val="en-US" w:eastAsia="zh-CN"/>
        </w:rPr>
        <w:t>15</w:t>
      </w:r>
      <w:r>
        <w:rPr>
          <w:rFonts w:hint="eastAsia"/>
          <w:szCs w:val="21"/>
        </w:rPr>
        <w:t>万元（需提供合同扫描件）。</w:t>
      </w:r>
    </w:p>
    <w:p>
      <w:pPr>
        <w:rPr>
          <w:sz w:val="28"/>
          <w:szCs w:val="28"/>
        </w:rPr>
      </w:pPr>
    </w:p>
    <w:p>
      <w:pPr>
        <w:rPr>
          <w:sz w:val="28"/>
          <w:szCs w:val="28"/>
        </w:rPr>
      </w:pPr>
    </w:p>
    <w:p>
      <w:pPr>
        <w:numPr>
          <w:ilvl w:val="0"/>
          <w:numId w:val="3"/>
        </w:numPr>
        <w:rPr>
          <w:rFonts w:ascii="Calibri" w:hAnsi="Calibri"/>
          <w:sz w:val="28"/>
          <w:szCs w:val="28"/>
        </w:rPr>
      </w:pPr>
      <w:r>
        <w:rPr>
          <w:rFonts w:hint="eastAsia" w:ascii="Calibri" w:hAnsi="Calibri"/>
          <w:sz w:val="28"/>
          <w:szCs w:val="28"/>
        </w:rPr>
        <w:t>信誉要求</w:t>
      </w:r>
    </w:p>
    <w:p>
      <w:pPr>
        <w:rPr>
          <w:sz w:val="28"/>
          <w:szCs w:val="28"/>
        </w:rPr>
      </w:pPr>
      <w:r>
        <w:rPr>
          <w:rFonts w:hint="eastAsia"/>
          <w:szCs w:val="21"/>
        </w:rPr>
        <w:t>注：请附在国家企业信用信息公示系统（http://www.gsxt.gov.cn/）中未被列入严重违法失信企业名单（黑名单）信息，及在“信用中国”网站（http://www.creditchina.gov.cn/）中未被列入严重失信主体名单截图，并加盖报价人公章；</w:t>
      </w:r>
    </w:p>
    <w:p>
      <w:pPr>
        <w:jc w:val="center"/>
        <w:rPr>
          <w:rFonts w:ascii="宋体" w:hAnsi="宋体" w:cs="宋体"/>
          <w:b/>
          <w:szCs w:val="21"/>
        </w:rPr>
      </w:pPr>
    </w:p>
    <w:p>
      <w:pPr>
        <w:jc w:val="center"/>
        <w:rPr>
          <w:rFonts w:ascii="宋体" w:hAnsi="宋体" w:cs="宋体"/>
          <w:b/>
          <w:szCs w:val="21"/>
        </w:rPr>
      </w:pPr>
    </w:p>
    <w:p>
      <w:pPr>
        <w:jc w:val="center"/>
        <w:rPr>
          <w:rFonts w:ascii="宋体" w:hAnsi="宋体" w:cs="宋体"/>
          <w:b/>
          <w:szCs w:val="21"/>
        </w:rPr>
      </w:pPr>
    </w:p>
    <w:p/>
    <w:p>
      <w:pPr>
        <w:numPr>
          <w:numId w:val="0"/>
        </w:numPr>
        <w:ind w:leftChars="0"/>
        <w:rPr>
          <w:rFonts w:ascii="Calibri" w:hAnsi="Calibri"/>
          <w:sz w:val="28"/>
          <w:szCs w:val="28"/>
        </w:rPr>
      </w:pPr>
    </w:p>
    <w:p>
      <w:pPr>
        <w:numPr>
          <w:numId w:val="0"/>
        </w:numPr>
        <w:ind w:leftChars="0"/>
        <w:rPr>
          <w:rFonts w:ascii="Calibri" w:hAnsi="Calibri"/>
          <w:sz w:val="28"/>
          <w:szCs w:val="28"/>
        </w:rPr>
      </w:pPr>
    </w:p>
    <w:p>
      <w:pPr>
        <w:jc w:val="center"/>
        <w:rPr>
          <w:rFonts w:ascii="宋体" w:hAnsi="宋体" w:cs="宋体"/>
          <w:b/>
          <w:szCs w:val="21"/>
        </w:rPr>
      </w:pPr>
    </w:p>
    <w:p>
      <w:pPr>
        <w:jc w:val="center"/>
        <w:rPr>
          <w:rFonts w:ascii="宋体" w:hAnsi="宋体" w:cs="宋体"/>
          <w:b/>
          <w:szCs w:val="21"/>
        </w:rPr>
      </w:pPr>
    </w:p>
    <w:p>
      <w:pPr>
        <w:jc w:val="center"/>
        <w:rPr>
          <w:rFonts w:ascii="宋体" w:hAnsi="宋体" w:cs="宋体"/>
          <w:b/>
          <w:szCs w:val="21"/>
        </w:rPr>
      </w:pPr>
    </w:p>
    <w:p>
      <w:pPr>
        <w:numPr>
          <w:ilvl w:val="0"/>
          <w:numId w:val="3"/>
        </w:numPr>
        <w:rPr>
          <w:rFonts w:ascii="Calibri" w:hAnsi="Calibri"/>
          <w:sz w:val="28"/>
          <w:szCs w:val="28"/>
        </w:rPr>
      </w:pPr>
      <w:r>
        <w:rPr>
          <w:rFonts w:hint="eastAsia" w:ascii="Calibri" w:hAnsi="Calibri"/>
          <w:sz w:val="28"/>
          <w:szCs w:val="28"/>
        </w:rPr>
        <w:t>人员要求</w:t>
      </w:r>
    </w:p>
    <w:p>
      <w:pPr>
        <w:jc w:val="center"/>
        <w:rPr>
          <w:rFonts w:ascii="宋体" w:hAnsi="宋体" w:cs="宋体"/>
          <w:b/>
          <w:szCs w:val="21"/>
        </w:rPr>
      </w:pPr>
    </w:p>
    <w:p>
      <w:r>
        <w:rPr>
          <w:rFonts w:hint="eastAsia" w:ascii="宋体" w:hAnsi="宋体" w:cs="宋体"/>
          <w:b/>
          <w:szCs w:val="21"/>
        </w:rPr>
        <w:t>（1）主要管理人员名单</w:t>
      </w:r>
    </w:p>
    <w:bookmarkEnd w:id="235"/>
    <w:bookmarkEnd w:id="236"/>
    <w:bookmarkEnd w:id="237"/>
    <w:bookmarkEnd w:id="238"/>
    <w:bookmarkEnd w:id="239"/>
    <w:bookmarkEnd w:id="240"/>
    <w:bookmarkEnd w:id="241"/>
    <w:bookmarkEnd w:id="242"/>
    <w:tbl>
      <w:tblPr>
        <w:tblStyle w:val="42"/>
        <w:tblW w:w="87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93"/>
        <w:gridCol w:w="1296"/>
        <w:gridCol w:w="1213"/>
        <w:gridCol w:w="2277"/>
        <w:gridCol w:w="2328"/>
        <w:gridCol w:w="92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4"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bookmarkStart w:id="249" w:name="_Toc447827068"/>
            <w:bookmarkStart w:id="250" w:name="_Toc513633973"/>
            <w:bookmarkStart w:id="251" w:name="_Toc503951055"/>
            <w:r>
              <w:rPr>
                <w:rFonts w:hint="eastAsia" w:ascii="宋体" w:hAnsi="宋体" w:cs="宋体"/>
                <w:szCs w:val="21"/>
              </w:rPr>
              <w:t>序号</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人  员</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姓名</w:t>
            </w:r>
          </w:p>
        </w:tc>
        <w:tc>
          <w:tcPr>
            <w:tcW w:w="22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身份证号码</w:t>
            </w:r>
          </w:p>
        </w:tc>
        <w:tc>
          <w:tcPr>
            <w:tcW w:w="23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资格证件号码</w:t>
            </w:r>
          </w:p>
        </w:tc>
        <w:tc>
          <w:tcPr>
            <w:tcW w:w="9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1</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项目经理</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2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9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69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bookmarkStart w:id="252" w:name="_Toc11329281"/>
            <w:bookmarkStart w:id="253" w:name="_Toc11672"/>
            <w:r>
              <w:rPr>
                <w:rFonts w:hint="eastAsia" w:ascii="宋体" w:hAnsi="宋体" w:cs="宋体"/>
                <w:szCs w:val="21"/>
              </w:rPr>
              <w:t>2</w:t>
            </w:r>
          </w:p>
        </w:tc>
        <w:tc>
          <w:tcPr>
            <w:tcW w:w="1296"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r>
              <w:rPr>
                <w:rFonts w:hint="eastAsia" w:ascii="宋体" w:hAnsi="宋体" w:cs="宋体"/>
                <w:szCs w:val="21"/>
              </w:rPr>
              <w:t>安全管理员</w:t>
            </w:r>
          </w:p>
        </w:tc>
        <w:tc>
          <w:tcPr>
            <w:tcW w:w="1213"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277"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2328"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c>
          <w:tcPr>
            <w:tcW w:w="929" w:type="dxa"/>
            <w:tcBorders>
              <w:top w:val="single" w:color="auto" w:sz="4" w:space="0"/>
              <w:left w:val="single" w:color="auto" w:sz="4" w:space="0"/>
              <w:bottom w:val="single" w:color="auto" w:sz="4" w:space="0"/>
              <w:right w:val="single" w:color="auto" w:sz="4" w:space="0"/>
            </w:tcBorders>
            <w:vAlign w:val="center"/>
          </w:tcPr>
          <w:p>
            <w:pPr>
              <w:spacing w:line="400" w:lineRule="exact"/>
              <w:jc w:val="center"/>
              <w:rPr>
                <w:rFonts w:ascii="宋体" w:hAnsi="宋体" w:cs="宋体"/>
                <w:szCs w:val="21"/>
              </w:rPr>
            </w:pPr>
          </w:p>
        </w:tc>
      </w:tr>
    </w:tbl>
    <w:p>
      <w:pPr>
        <w:autoSpaceDE w:val="0"/>
        <w:autoSpaceDN w:val="0"/>
        <w:spacing w:line="360" w:lineRule="auto"/>
        <w:jc w:val="left"/>
        <w:rPr>
          <w:rFonts w:hAnsi="宋体"/>
          <w:b/>
          <w:kern w:val="0"/>
          <w:szCs w:val="21"/>
        </w:rPr>
      </w:pPr>
    </w:p>
    <w:p>
      <w:pPr>
        <w:autoSpaceDE w:val="0"/>
        <w:autoSpaceDN w:val="0"/>
        <w:spacing w:line="360" w:lineRule="auto"/>
        <w:jc w:val="left"/>
        <w:rPr>
          <w:rFonts w:hAnsi="宋体"/>
          <w:b/>
          <w:kern w:val="0"/>
          <w:szCs w:val="21"/>
        </w:rPr>
      </w:pPr>
    </w:p>
    <w:p>
      <w:pPr>
        <w:autoSpaceDE w:val="0"/>
        <w:autoSpaceDN w:val="0"/>
        <w:spacing w:line="360" w:lineRule="auto"/>
        <w:jc w:val="left"/>
        <w:rPr>
          <w:rFonts w:hAnsi="宋体"/>
          <w:b/>
          <w:kern w:val="0"/>
          <w:szCs w:val="21"/>
        </w:rPr>
      </w:pPr>
      <w:r>
        <w:rPr>
          <w:rFonts w:hint="eastAsia" w:hAnsi="宋体"/>
          <w:b/>
          <w:kern w:val="0"/>
          <w:szCs w:val="21"/>
        </w:rPr>
        <w:t>项目主要管理人员证件照片：</w:t>
      </w:r>
    </w:p>
    <w:p>
      <w:pPr>
        <w:rPr>
          <w:rFonts w:ascii="宋体" w:hAnsi="宋体" w:cs="宋体"/>
          <w:b/>
          <w:color w:val="FF0000"/>
          <w:szCs w:val="21"/>
        </w:rPr>
      </w:pPr>
    </w:p>
    <w:p>
      <w:pPr>
        <w:rPr>
          <w:rFonts w:ascii="宋体" w:hAnsi="宋体" w:cs="宋体"/>
          <w:b/>
          <w:szCs w:val="21"/>
        </w:rPr>
      </w:pPr>
    </w:p>
    <w:p>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br w:type="page"/>
      </w:r>
      <w:bookmarkStart w:id="254" w:name="_Toc29559"/>
      <w:bookmarkStart w:id="255" w:name="_Toc11243"/>
      <w:r>
        <w:rPr>
          <w:rFonts w:hint="eastAsia" w:ascii="宋体" w:hAnsi="宋体" w:cs="宋体"/>
          <w:b/>
          <w:bCs/>
          <w:kern w:val="0"/>
          <w:sz w:val="28"/>
          <w:szCs w:val="32"/>
        </w:rPr>
        <w:t>五、</w:t>
      </w:r>
      <w:bookmarkEnd w:id="249"/>
      <w:bookmarkEnd w:id="250"/>
      <w:bookmarkEnd w:id="251"/>
      <w:r>
        <w:rPr>
          <w:rFonts w:hint="eastAsia" w:ascii="宋体" w:hAnsi="宋体" w:cs="宋体"/>
          <w:b/>
          <w:bCs/>
          <w:kern w:val="0"/>
          <w:sz w:val="28"/>
          <w:szCs w:val="32"/>
        </w:rPr>
        <w:t>报价人须知前附表规定的材料</w:t>
      </w:r>
      <w:bookmarkEnd w:id="252"/>
      <w:bookmarkEnd w:id="253"/>
      <w:bookmarkEnd w:id="254"/>
      <w:bookmarkEnd w:id="255"/>
    </w:p>
    <w:p>
      <w:pPr>
        <w:keepNext/>
        <w:keepLines/>
        <w:spacing w:before="260" w:after="260" w:line="415" w:lineRule="auto"/>
        <w:jc w:val="center"/>
        <w:outlineLvl w:val="2"/>
        <w:rPr>
          <w:rFonts w:ascii="宋体" w:hAnsi="宋体" w:cs="宋体"/>
          <w:b/>
          <w:bCs/>
          <w:kern w:val="0"/>
          <w:sz w:val="28"/>
          <w:szCs w:val="32"/>
        </w:rPr>
      </w:pPr>
      <w:bookmarkStart w:id="256" w:name="bookmark81"/>
      <w:bookmarkStart w:id="257" w:name="_Toc513633974"/>
      <w:bookmarkStart w:id="258" w:name="_Toc503951058"/>
      <w:r>
        <w:rPr>
          <w:rFonts w:hint="eastAsia" w:ascii="宋体" w:hAnsi="宋体" w:cs="宋体"/>
          <w:b/>
          <w:bCs/>
          <w:kern w:val="0"/>
          <w:sz w:val="28"/>
          <w:szCs w:val="32"/>
        </w:rPr>
        <w:t>（一）</w:t>
      </w:r>
      <w:bookmarkEnd w:id="256"/>
      <w:bookmarkStart w:id="259" w:name="_Toc507681488"/>
      <w:bookmarkStart w:id="260" w:name="_Toc504639215"/>
      <w:bookmarkStart w:id="261" w:name="_Toc507681700"/>
      <w:r>
        <w:rPr>
          <w:rFonts w:hint="eastAsia" w:ascii="宋体" w:hAnsi="宋体" w:cs="宋体"/>
          <w:b/>
          <w:bCs/>
          <w:kern w:val="0"/>
          <w:sz w:val="28"/>
          <w:szCs w:val="32"/>
        </w:rPr>
        <w:t>报价人自行承诺部分</w:t>
      </w:r>
      <w:bookmarkEnd w:id="259"/>
      <w:bookmarkEnd w:id="260"/>
      <w:bookmarkEnd w:id="261"/>
    </w:p>
    <w:p>
      <w:pPr>
        <w:spacing w:line="360" w:lineRule="auto"/>
        <w:ind w:firstLine="420" w:firstLineChars="200"/>
        <w:jc w:val="left"/>
        <w:rPr>
          <w:rFonts w:ascii="宋体" w:hAnsi="宋体" w:cs="宋体"/>
          <w:kern w:val="0"/>
          <w:szCs w:val="21"/>
        </w:rPr>
      </w:pPr>
      <w:r>
        <w:rPr>
          <w:rFonts w:hint="eastAsia" w:ascii="宋体" w:hAnsi="宋体" w:cs="宋体"/>
          <w:kern w:val="0"/>
          <w:szCs w:val="21"/>
        </w:rPr>
        <w:t>比选文件中要求报价人自行承诺的，由报价人按比选文件要求内容承诺，格式自拟。</w:t>
      </w:r>
    </w:p>
    <w:p/>
    <w:p/>
    <w:p>
      <w:pPr>
        <w:keepNext/>
        <w:keepLines/>
        <w:spacing w:line="360" w:lineRule="auto"/>
        <w:jc w:val="center"/>
        <w:outlineLvl w:val="1"/>
        <w:rPr>
          <w:rFonts w:ascii="宋体" w:hAnsi="宋体" w:cs="宋体"/>
          <w:b/>
          <w:bCs/>
          <w:kern w:val="0"/>
          <w:sz w:val="28"/>
          <w:szCs w:val="32"/>
        </w:rPr>
      </w:pPr>
      <w:r>
        <w:rPr>
          <w:rFonts w:hint="eastAsia" w:ascii="宋体" w:hAnsi="宋体" w:eastAsia="黑体" w:cs="宋体"/>
          <w:b/>
          <w:bCs/>
          <w:kern w:val="0"/>
          <w:sz w:val="28"/>
          <w:szCs w:val="32"/>
        </w:rPr>
        <w:br w:type="page"/>
      </w:r>
      <w:r>
        <w:rPr>
          <w:rFonts w:hint="eastAsia" w:ascii="宋体" w:hAnsi="宋体" w:cs="宋体"/>
          <w:b/>
          <w:bCs/>
          <w:kern w:val="0"/>
          <w:sz w:val="28"/>
          <w:szCs w:val="32"/>
        </w:rPr>
        <w:t>六、报价人基本信息及其他材料</w:t>
      </w:r>
    </w:p>
    <w:p>
      <w:pPr>
        <w:keepNext/>
        <w:keepLines/>
        <w:spacing w:line="360" w:lineRule="auto"/>
        <w:jc w:val="center"/>
        <w:outlineLvl w:val="2"/>
        <w:rPr>
          <w:b/>
          <w:bCs/>
          <w:kern w:val="0"/>
          <w:sz w:val="28"/>
          <w:szCs w:val="28"/>
        </w:rPr>
      </w:pPr>
      <w:bookmarkStart w:id="262" w:name="_Toc452107137"/>
      <w:bookmarkStart w:id="263" w:name="_Toc508110857"/>
      <w:bookmarkStart w:id="264" w:name="_Toc4375"/>
      <w:r>
        <w:rPr>
          <w:rFonts w:hint="eastAsia"/>
          <w:b/>
          <w:bCs/>
          <w:kern w:val="0"/>
          <w:sz w:val="28"/>
          <w:szCs w:val="28"/>
        </w:rPr>
        <w:t>（一）报价人基本信息表</w:t>
      </w:r>
      <w:bookmarkEnd w:id="262"/>
      <w:bookmarkEnd w:id="263"/>
      <w:bookmarkEnd w:id="264"/>
    </w:p>
    <w:p>
      <w:pPr>
        <w:tabs>
          <w:tab w:val="center" w:pos="4153"/>
          <w:tab w:val="right" w:pos="8306"/>
        </w:tabs>
        <w:snapToGrid w:val="0"/>
        <w:jc w:val="left"/>
        <w:rPr>
          <w:kern w:val="0"/>
          <w:sz w:val="18"/>
          <w:szCs w:val="18"/>
        </w:rPr>
      </w:pPr>
    </w:p>
    <w:tbl>
      <w:tblPr>
        <w:tblStyle w:val="42"/>
        <w:tblW w:w="8565"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26"/>
        <w:gridCol w:w="897"/>
        <w:gridCol w:w="1029"/>
        <w:gridCol w:w="762"/>
        <w:gridCol w:w="420"/>
        <w:gridCol w:w="311"/>
        <w:gridCol w:w="1059"/>
        <w:gridCol w:w="19"/>
        <w:gridCol w:w="490"/>
        <w:gridCol w:w="341"/>
        <w:gridCol w:w="1511"/>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56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报价人名称</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9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报价人</w:t>
            </w:r>
          </w:p>
          <w:p>
            <w:pPr>
              <w:topLinePunct/>
              <w:spacing w:line="440" w:lineRule="exact"/>
              <w:jc w:val="center"/>
              <w:rPr>
                <w:rFonts w:ascii="宋体" w:hAnsi="宋体" w:cs="宋体"/>
                <w:color w:val="000000"/>
                <w:szCs w:val="21"/>
              </w:rPr>
            </w:pPr>
            <w:r>
              <w:rPr>
                <w:rFonts w:hint="eastAsia" w:ascii="宋体" w:hAnsi="宋体" w:cs="宋体"/>
                <w:color w:val="000000"/>
                <w:szCs w:val="21"/>
              </w:rPr>
              <w:t>公司股权结构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1"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注册地址</w:t>
            </w:r>
          </w:p>
        </w:tc>
        <w:tc>
          <w:tcPr>
            <w:tcW w:w="341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邮政编码</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5" w:hRule="atLeast"/>
        </w:trPr>
        <w:tc>
          <w:tcPr>
            <w:tcW w:w="1726"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联系方式</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联系人</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3" w:hRule="atLeast"/>
        </w:trPr>
        <w:tc>
          <w:tcPr>
            <w:tcW w:w="1726"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传真</w:t>
            </w:r>
          </w:p>
        </w:tc>
        <w:tc>
          <w:tcPr>
            <w:tcW w:w="2522" w:type="dxa"/>
            <w:gridSpan w:val="4"/>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078"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网址</w:t>
            </w:r>
          </w:p>
        </w:tc>
        <w:tc>
          <w:tcPr>
            <w:tcW w:w="2342"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组织结构</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法定代表人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2"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技术负责人</w:t>
            </w:r>
          </w:p>
        </w:tc>
        <w:tc>
          <w:tcPr>
            <w:tcW w:w="897"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姓名</w:t>
            </w:r>
          </w:p>
        </w:tc>
        <w:tc>
          <w:tcPr>
            <w:tcW w:w="1029"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118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技术职称</w:t>
            </w:r>
          </w:p>
        </w:tc>
        <w:tc>
          <w:tcPr>
            <w:tcW w:w="1370"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850" w:type="dxa"/>
            <w:gridSpan w:val="3"/>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电话</w:t>
            </w:r>
          </w:p>
        </w:tc>
        <w:tc>
          <w:tcPr>
            <w:tcW w:w="1511"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2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成立时间</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年 月 日</w:t>
            </w:r>
          </w:p>
        </w:tc>
        <w:tc>
          <w:tcPr>
            <w:tcW w:w="4913" w:type="dxa"/>
            <w:gridSpan w:val="8"/>
            <w:tcBorders>
              <w:top w:val="single" w:color="auto" w:sz="4" w:space="0"/>
              <w:left w:val="single" w:color="auto" w:sz="4" w:space="0"/>
              <w:bottom w:val="single" w:color="auto" w:sz="4" w:space="0"/>
              <w:right w:val="single" w:color="auto" w:sz="4" w:space="0"/>
            </w:tcBorders>
            <w:vAlign w:val="center"/>
          </w:tcPr>
          <w:p>
            <w:pPr>
              <w:topLinePunct/>
              <w:spacing w:line="440" w:lineRule="exact"/>
              <w:ind w:firstLine="105" w:firstLineChars="50"/>
              <w:jc w:val="center"/>
              <w:rPr>
                <w:rFonts w:ascii="宋体" w:hAnsi="宋体" w:cs="宋体"/>
                <w:color w:val="000000"/>
                <w:szCs w:val="21"/>
              </w:rPr>
            </w:pPr>
            <w:r>
              <w:rPr>
                <w:rFonts w:hint="eastAsia" w:ascii="宋体" w:hAnsi="宋体" w:cs="宋体"/>
                <w:color w:val="000000"/>
                <w:szCs w:val="21"/>
              </w:rPr>
              <w:t>员工总人数：</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58"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企业资质等级</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restart"/>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其中</w:t>
            </w: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项目经理</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10"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营业执照号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高级职称人员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4"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注册资金</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中级职称人员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2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开户银行</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初级职称人员</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06"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账号</w:t>
            </w:r>
          </w:p>
        </w:tc>
        <w:tc>
          <w:tcPr>
            <w:tcW w:w="1926"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c>
          <w:tcPr>
            <w:tcW w:w="762"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cs="宋体"/>
                <w:color w:val="000000"/>
                <w:szCs w:val="21"/>
              </w:rPr>
            </w:pPr>
          </w:p>
        </w:tc>
        <w:tc>
          <w:tcPr>
            <w:tcW w:w="2299" w:type="dxa"/>
            <w:gridSpan w:val="5"/>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rPr>
            </w:pPr>
            <w:r>
              <w:rPr>
                <w:rFonts w:hint="eastAsia" w:ascii="宋体" w:hAnsi="宋体" w:cs="宋体"/>
                <w:color w:val="000000"/>
                <w:szCs w:val="21"/>
              </w:rPr>
              <w:t>技工</w:t>
            </w:r>
          </w:p>
        </w:tc>
        <w:tc>
          <w:tcPr>
            <w:tcW w:w="1852" w:type="dxa"/>
            <w:gridSpan w:val="2"/>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1163" w:hRule="atLeast"/>
        </w:trPr>
        <w:tc>
          <w:tcPr>
            <w:tcW w:w="1726" w:type="dxa"/>
            <w:tcBorders>
              <w:top w:val="single" w:color="auto" w:sz="4" w:space="0"/>
              <w:left w:val="single" w:color="auto" w:sz="4" w:space="0"/>
              <w:bottom w:val="nil"/>
              <w:right w:val="single" w:color="auto" w:sz="4" w:space="0"/>
            </w:tcBorders>
            <w:vAlign w:val="center"/>
          </w:tcPr>
          <w:p>
            <w:pPr>
              <w:topLinePunct/>
              <w:spacing w:line="440" w:lineRule="exact"/>
              <w:ind w:firstLine="210" w:firstLineChars="100"/>
              <w:jc w:val="center"/>
              <w:rPr>
                <w:rFonts w:ascii="宋体" w:hAnsi="宋体" w:cs="宋体"/>
                <w:color w:val="000000"/>
                <w:szCs w:val="21"/>
              </w:rPr>
            </w:pPr>
            <w:r>
              <w:rPr>
                <w:rFonts w:hint="eastAsia" w:ascii="宋体" w:hAnsi="宋体" w:cs="宋体"/>
                <w:color w:val="000000"/>
                <w:szCs w:val="21"/>
              </w:rPr>
              <w:t>经营范围</w:t>
            </w:r>
          </w:p>
        </w:tc>
        <w:tc>
          <w:tcPr>
            <w:tcW w:w="6839" w:type="dxa"/>
            <w:gridSpan w:val="10"/>
            <w:tcBorders>
              <w:top w:val="single" w:color="auto" w:sz="4" w:space="0"/>
              <w:left w:val="single" w:color="auto" w:sz="4" w:space="0"/>
              <w:bottom w:val="nil"/>
              <w:right w:val="single" w:color="auto" w:sz="4" w:space="0"/>
            </w:tcBorders>
            <w:vAlign w:val="center"/>
          </w:tcPr>
          <w:p>
            <w:pPr>
              <w:topLinePunct/>
              <w:spacing w:line="440" w:lineRule="exact"/>
              <w:rPr>
                <w:rFonts w:ascii="宋体" w:hAnsi="宋体" w:cs="宋体"/>
                <w:color w:val="000000"/>
                <w:szCs w:val="21"/>
              </w:rPr>
            </w:pPr>
            <w:r>
              <w:rPr>
                <w:rFonts w:hint="eastAsia" w:ascii="宋体" w:hAnsi="宋体" w:cs="宋体"/>
                <w:color w:val="000000"/>
                <w:szCs w:val="21"/>
              </w:rPr>
              <w:t> </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5" w:hRule="atLeast"/>
        </w:trPr>
        <w:tc>
          <w:tcPr>
            <w:tcW w:w="1726" w:type="dxa"/>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r>
              <w:rPr>
                <w:rFonts w:hint="eastAsia" w:ascii="宋体" w:hAnsi="宋体" w:cs="宋体"/>
                <w:color w:val="000000"/>
                <w:szCs w:val="21"/>
              </w:rPr>
              <w:t>备注</w:t>
            </w:r>
          </w:p>
        </w:tc>
        <w:tc>
          <w:tcPr>
            <w:tcW w:w="6839" w:type="dxa"/>
            <w:gridSpan w:val="10"/>
            <w:tcBorders>
              <w:top w:val="single" w:color="auto" w:sz="4" w:space="0"/>
              <w:left w:val="single" w:color="auto" w:sz="4" w:space="0"/>
              <w:bottom w:val="single" w:color="auto" w:sz="4" w:space="0"/>
              <w:right w:val="single" w:color="auto" w:sz="4" w:space="0"/>
            </w:tcBorders>
            <w:vAlign w:val="center"/>
          </w:tcPr>
          <w:p>
            <w:pPr>
              <w:topLinePunct/>
              <w:spacing w:line="440" w:lineRule="exact"/>
              <w:jc w:val="center"/>
              <w:rPr>
                <w:rFonts w:ascii="宋体" w:hAnsi="宋体" w:cs="宋体"/>
                <w:color w:val="000000"/>
                <w:szCs w:val="21"/>
              </w:rPr>
            </w:pPr>
          </w:p>
        </w:tc>
      </w:tr>
    </w:tbl>
    <w:p>
      <w:pPr>
        <w:keepNext/>
        <w:keepLines/>
        <w:spacing w:before="260" w:after="260" w:line="415" w:lineRule="auto"/>
        <w:jc w:val="center"/>
        <w:outlineLvl w:val="2"/>
        <w:rPr>
          <w:rFonts w:ascii="宋体" w:hAnsi="宋体" w:cs="宋体"/>
          <w:b/>
          <w:bCs/>
          <w:kern w:val="0"/>
          <w:sz w:val="28"/>
          <w:szCs w:val="32"/>
        </w:rPr>
      </w:pPr>
      <w:r>
        <w:rPr>
          <w:rFonts w:hint="eastAsia" w:ascii="宋体" w:hAnsi="宋体" w:cs="宋体"/>
          <w:b/>
          <w:bCs/>
          <w:kern w:val="0"/>
          <w:sz w:val="28"/>
          <w:szCs w:val="32"/>
        </w:rPr>
        <w:t>（二）其他材料</w:t>
      </w:r>
    </w:p>
    <w:p/>
    <w:p>
      <w:pPr>
        <w:keepNext/>
        <w:keepLines/>
        <w:spacing w:before="340" w:after="330" w:line="576" w:lineRule="auto"/>
        <w:jc w:val="center"/>
        <w:outlineLvl w:val="0"/>
        <w:rPr>
          <w:rFonts w:ascii="宋体" w:hAnsi="宋体" w:cs="宋体"/>
          <w:b/>
          <w:bCs/>
          <w:kern w:val="0"/>
          <w:sz w:val="28"/>
          <w:szCs w:val="32"/>
        </w:rPr>
      </w:pPr>
      <w:r>
        <w:rPr>
          <w:rFonts w:hint="eastAsia" w:ascii="宋体" w:hAnsi="宋体" w:cs="宋体"/>
          <w:b/>
          <w:bCs/>
          <w:kern w:val="0"/>
          <w:sz w:val="28"/>
          <w:szCs w:val="32"/>
        </w:rPr>
        <w:t>七、现场安全负责人承诺书</w:t>
      </w:r>
    </w:p>
    <w:p/>
    <w:p>
      <w:pPr>
        <w:tabs>
          <w:tab w:val="left" w:pos="900"/>
        </w:tabs>
        <w:spacing w:line="300" w:lineRule="auto"/>
        <w:rPr>
          <w:rFonts w:ascii="Arial" w:hAnsi="Arial" w:cs="Arial"/>
          <w:b/>
          <w:bCs/>
          <w:sz w:val="24"/>
          <w:u w:val="single"/>
        </w:rPr>
      </w:pPr>
      <w:r>
        <w:rPr>
          <w:rFonts w:ascii="Arial" w:hAnsi="Arial" w:cs="Arial"/>
          <w:sz w:val="24"/>
        </w:rPr>
        <w:t xml:space="preserve"> </w:t>
      </w:r>
      <w:r>
        <w:rPr>
          <w:rFonts w:hint="eastAsia" w:ascii="Arial" w:hAnsi="Arial" w:cs="Arial"/>
          <w:b/>
          <w:sz w:val="24"/>
        </w:rPr>
        <w:t>致：</w:t>
      </w:r>
      <w:r>
        <w:rPr>
          <w:rFonts w:hint="eastAsia" w:ascii="Arial" w:hAnsi="Arial" w:cs="Arial"/>
          <w:b/>
          <w:bCs/>
          <w:sz w:val="24"/>
          <w:u w:val="single"/>
        </w:rPr>
        <w:t>重庆首讯科技股份有限公司</w:t>
      </w:r>
    </w:p>
    <w:p>
      <w:pPr>
        <w:spacing w:line="700" w:lineRule="atLeast"/>
        <w:ind w:firstLine="480" w:firstLineChars="200"/>
      </w:pPr>
      <w:r>
        <w:rPr>
          <w:rFonts w:hint="eastAsia" w:ascii="Arial" w:hAnsi="Arial" w:cs="Arial"/>
          <w:sz w:val="24"/>
        </w:rPr>
        <w:t>根据贵方为</w:t>
      </w:r>
      <w:r>
        <w:rPr>
          <w:rFonts w:hint="eastAsia" w:ascii="Arial" w:hAnsi="Arial" w:cs="Arial"/>
          <w:sz w:val="24"/>
          <w:u w:val="single"/>
          <w:lang w:eastAsia="zh-CN"/>
        </w:rPr>
        <w:t>2025年营运公司网络安全维护服务项目</w:t>
      </w:r>
      <w:r>
        <w:rPr>
          <w:rFonts w:hint="eastAsia" w:ascii="Arial" w:hAnsi="Arial" w:cs="Arial"/>
          <w:sz w:val="24"/>
        </w:rPr>
        <w:t>竞争比选项目及服务的竞争比选邀请，</w:t>
      </w:r>
      <w:r>
        <w:rPr>
          <w:rFonts w:hint="eastAsia" w:ascii="Arial" w:hAnsi="Arial" w:cs="Arial"/>
          <w:sz w:val="24"/>
          <w:u w:val="single"/>
        </w:rPr>
        <w:t>（姓名）</w:t>
      </w:r>
      <w:r>
        <w:rPr>
          <w:rFonts w:hint="eastAsia" w:ascii="Arial" w:hAnsi="Arial" w:cs="Arial"/>
          <w:sz w:val="24"/>
        </w:rPr>
        <w:t>经正式任命为</w:t>
      </w:r>
      <w:r>
        <w:rPr>
          <w:rFonts w:hint="eastAsia" w:ascii="Arial" w:hAnsi="Arial" w:cs="Arial"/>
          <w:sz w:val="24"/>
          <w:u w:val="single"/>
          <w:lang w:eastAsia="zh-CN"/>
        </w:rPr>
        <w:t>2025年营运公司网络安全维护服务项目</w:t>
      </w:r>
      <w:r>
        <w:rPr>
          <w:rFonts w:hint="eastAsia" w:ascii="Arial" w:hAnsi="Arial" w:cs="Arial"/>
          <w:sz w:val="24"/>
        </w:rPr>
        <w:t>竞争比选项目及服务安全负责人，严格遵守国家有关安全生产的法律法规、交通部颁发的《公路养护安全作业规程》(JTGH30—2015）、《重庆市营运高速公路施工管理规范》DB50/T 959-2019及《首讯公司工程安全生产的违约处理细则》渝高速首讯文〔2019〕40 号等有关安全生产的规定，承诺施工期间在现场开展安全管理工作。</w:t>
      </w:r>
    </w:p>
    <w:p>
      <w:pPr>
        <w:tabs>
          <w:tab w:val="left" w:pos="540"/>
          <w:tab w:val="left" w:pos="900"/>
        </w:tabs>
        <w:spacing w:line="300" w:lineRule="auto"/>
        <w:rPr>
          <w:rFonts w:ascii="Arial" w:hAnsi="Arial" w:cs="Arial"/>
          <w:sz w:val="24"/>
        </w:rPr>
      </w:pPr>
      <w:r>
        <w:rPr>
          <w:rFonts w:hint="eastAsia" w:ascii="Arial" w:hAnsi="Arial" w:cs="Arial"/>
          <w:sz w:val="24"/>
        </w:rPr>
        <w:t xml:space="preserve">    </w:t>
      </w:r>
    </w:p>
    <w:p>
      <w:pPr>
        <w:rPr>
          <w:rFonts w:ascii="Arial" w:hAnsi="Arial" w:cs="Arial"/>
          <w:caps/>
          <w:color w:val="000000"/>
          <w:sz w:val="24"/>
        </w:rPr>
      </w:pPr>
    </w:p>
    <w:p>
      <w:pPr>
        <w:rPr>
          <w:rFonts w:ascii="Arial" w:hAnsi="Arial" w:cs="Arial"/>
          <w:b/>
          <w:bCs/>
          <w:color w:val="000000"/>
          <w:sz w:val="24"/>
        </w:rPr>
      </w:pPr>
    </w:p>
    <w:p>
      <w:pPr>
        <w:rPr>
          <w:rFonts w:ascii="Arial" w:hAnsi="Arial" w:cs="Arial"/>
          <w:caps/>
          <w:color w:val="000000"/>
          <w:sz w:val="24"/>
        </w:rPr>
      </w:pPr>
    </w:p>
    <w:p>
      <w:pPr>
        <w:rPr>
          <w:rFonts w:ascii="Arial" w:hAnsi="Arial" w:cs="Arial"/>
          <w:b/>
          <w:bCs/>
          <w:color w:val="000000"/>
          <w:sz w:val="24"/>
        </w:rPr>
      </w:pPr>
    </w:p>
    <w:p>
      <w:pPr>
        <w:rPr>
          <w:rFonts w:ascii="Arial" w:hAnsi="Arial" w:cs="Arial"/>
          <w:b/>
          <w:bCs/>
          <w:color w:val="000000"/>
          <w:sz w:val="24"/>
        </w:rPr>
      </w:pPr>
    </w:p>
    <w:p>
      <w:pPr>
        <w:rPr>
          <w:rFonts w:ascii="Arial" w:hAnsi="Arial" w:cs="Arial"/>
          <w:caps/>
          <w:color w:val="000000"/>
          <w:sz w:val="24"/>
          <w:u w:val="single"/>
        </w:rPr>
      </w:pPr>
      <w:r>
        <w:rPr>
          <w:rFonts w:ascii="Arial" w:hAnsi="Arial" w:cs="Arial"/>
          <w:color w:val="000000"/>
          <w:sz w:val="24"/>
        </w:rPr>
        <w:t>竞争比选响应单位</w:t>
      </w:r>
      <w:r>
        <w:rPr>
          <w:rFonts w:hint="eastAsia" w:ascii="Arial" w:hAnsi="Arial" w:cs="Arial"/>
          <w:color w:val="000000"/>
          <w:sz w:val="24"/>
        </w:rPr>
        <w:t>现场安全负责人</w:t>
      </w:r>
      <w:r>
        <w:rPr>
          <w:rFonts w:ascii="Arial" w:hAnsi="Arial" w:cs="Arial"/>
          <w:color w:val="000000"/>
          <w:sz w:val="24"/>
        </w:rPr>
        <w:t>（签字）：</w:t>
      </w:r>
      <w:r>
        <w:rPr>
          <w:rFonts w:hint="eastAsia" w:ascii="Arial" w:hAnsi="Arial" w:cs="Arial"/>
          <w:color w:val="000000"/>
          <w:sz w:val="24"/>
          <w:u w:val="single"/>
        </w:rPr>
        <w:t xml:space="preserve">               </w:t>
      </w:r>
    </w:p>
    <w:p>
      <w:pPr>
        <w:rPr>
          <w:rFonts w:ascii="Arial" w:hAnsi="Arial" w:cs="Arial"/>
          <w:caps/>
          <w:color w:val="000000"/>
          <w:sz w:val="24"/>
        </w:rPr>
      </w:pPr>
      <w:r>
        <w:rPr>
          <w:rFonts w:ascii="Arial" w:hAnsi="Arial" w:cs="Arial"/>
          <w:color w:val="000000"/>
          <w:sz w:val="24"/>
        </w:rPr>
        <w:t>竞争比选响应单位名称（加盖公章）：</w:t>
      </w:r>
    </w:p>
    <w:p>
      <w:pPr>
        <w:rPr>
          <w:rFonts w:ascii="Arial" w:hAnsi="Arial" w:cs="Arial"/>
          <w:caps/>
          <w:color w:val="000000"/>
          <w:sz w:val="24"/>
        </w:rPr>
      </w:pPr>
      <w:r>
        <w:rPr>
          <w:rFonts w:ascii="Arial" w:hAnsi="Arial" w:cs="Arial"/>
          <w:color w:val="000000"/>
          <w:sz w:val="24"/>
        </w:rPr>
        <w:t>日期：</w:t>
      </w:r>
      <w:r>
        <w:rPr>
          <w:rFonts w:ascii="Arial" w:hAnsi="Arial" w:cs="Arial"/>
          <w:color w:val="000000"/>
          <w:sz w:val="24"/>
          <w:u w:val="single"/>
        </w:rPr>
        <w:t xml:space="preserve">     </w:t>
      </w:r>
      <w:r>
        <w:rPr>
          <w:rFonts w:ascii="Arial" w:hAnsi="Arial" w:cs="Arial"/>
          <w:color w:val="000000"/>
          <w:sz w:val="24"/>
        </w:rPr>
        <w:t>年</w:t>
      </w:r>
      <w:r>
        <w:rPr>
          <w:rFonts w:ascii="Arial" w:hAnsi="Arial" w:cs="Arial"/>
          <w:color w:val="000000"/>
          <w:sz w:val="24"/>
          <w:u w:val="single"/>
        </w:rPr>
        <w:t xml:space="preserve">      </w:t>
      </w:r>
      <w:r>
        <w:rPr>
          <w:rFonts w:ascii="Arial" w:hAnsi="Arial" w:cs="Arial"/>
          <w:color w:val="000000"/>
          <w:sz w:val="24"/>
        </w:rPr>
        <w:t>月</w:t>
      </w:r>
      <w:r>
        <w:rPr>
          <w:rFonts w:ascii="Arial" w:hAnsi="Arial" w:cs="Arial"/>
          <w:color w:val="000000"/>
          <w:sz w:val="24"/>
          <w:u w:val="single"/>
        </w:rPr>
        <w:t xml:space="preserve">      </w:t>
      </w:r>
      <w:r>
        <w:rPr>
          <w:rFonts w:ascii="Arial" w:hAnsi="Arial" w:cs="Arial"/>
          <w:color w:val="000000"/>
          <w:sz w:val="24"/>
        </w:rPr>
        <w:t>日</w:t>
      </w:r>
    </w:p>
    <w:p>
      <w:pPr>
        <w:rPr>
          <w:rFonts w:ascii="Arial" w:hAnsi="Arial" w:cs="Arial"/>
          <w:caps/>
          <w:color w:val="000000"/>
          <w:sz w:val="24"/>
        </w:rPr>
      </w:pPr>
    </w:p>
    <w:p>
      <w:pPr>
        <w:rPr>
          <w:rFonts w:ascii="Arial" w:hAnsi="Arial" w:cs="Arial"/>
          <w:b/>
          <w:bCs/>
          <w:color w:val="000000"/>
          <w:sz w:val="24"/>
        </w:rPr>
      </w:pPr>
    </w:p>
    <w:p>
      <w:pPr>
        <w:rPr>
          <w:rFonts w:ascii="Arial" w:hAnsi="Arial" w:cs="Arial"/>
          <w:caps/>
          <w:color w:val="000000"/>
          <w:sz w:val="24"/>
        </w:rPr>
      </w:pPr>
    </w:p>
    <w:p>
      <w:pPr>
        <w:rPr>
          <w:rFonts w:ascii="Arial" w:hAnsi="Arial" w:cs="Arial"/>
          <w:caps/>
          <w:color w:val="000000"/>
          <w:sz w:val="24"/>
        </w:rPr>
      </w:pPr>
    </w:p>
    <w:bookmarkEnd w:id="257"/>
    <w:bookmarkEnd w:id="258"/>
    <w:p/>
    <w:p/>
    <w:p/>
    <w:p>
      <w:pPr>
        <w:pStyle w:val="28"/>
      </w:pPr>
    </w:p>
    <w:p/>
    <w:p>
      <w:pPr>
        <w:pStyle w:val="28"/>
      </w:pPr>
    </w:p>
    <w:p/>
    <w:p/>
    <w:p>
      <w:pPr>
        <w:keepNext/>
        <w:keepLines/>
        <w:spacing w:line="360" w:lineRule="auto"/>
        <w:jc w:val="center"/>
        <w:outlineLvl w:val="1"/>
        <w:rPr>
          <w:rFonts w:ascii="宋体" w:hAnsi="宋体" w:cs="宋体"/>
          <w:b/>
          <w:bCs/>
          <w:kern w:val="0"/>
          <w:sz w:val="28"/>
          <w:szCs w:val="32"/>
        </w:rPr>
      </w:pPr>
      <w:r>
        <w:rPr>
          <w:rFonts w:hint="eastAsia" w:ascii="宋体" w:hAnsi="宋体" w:cs="宋体"/>
          <w:b/>
          <w:bCs/>
          <w:kern w:val="0"/>
          <w:sz w:val="28"/>
          <w:szCs w:val="32"/>
        </w:rPr>
        <w:t>八、投标保证金转账凭证</w:t>
      </w:r>
    </w:p>
    <w:p/>
    <w:p>
      <w:r>
        <w:br w:type="page"/>
      </w:r>
    </w:p>
    <w:p>
      <w:pPr>
        <w:jc w:val="center"/>
      </w:pPr>
      <w:bookmarkStart w:id="265" w:name="_Hlk132097277"/>
      <w:r>
        <w:rPr>
          <w:rFonts w:hint="eastAsia" w:ascii="宋体" w:hAnsi="宋体" w:cs="宋体"/>
          <w:b/>
          <w:bCs/>
          <w:kern w:val="0"/>
          <w:sz w:val="28"/>
          <w:szCs w:val="32"/>
        </w:rPr>
        <w:t>九、维护工程量清单</w:t>
      </w:r>
      <w:bookmarkEnd w:id="265"/>
    </w:p>
    <w:p/>
    <w:p>
      <w:pPr>
        <w:pStyle w:val="28"/>
      </w:pPr>
      <w:r>
        <w:br w:type="page"/>
      </w:r>
    </w:p>
    <w:p>
      <w:pPr>
        <w:jc w:val="center"/>
        <w:rPr>
          <w:rFonts w:ascii="宋体" w:hAnsi="宋体" w:cs="宋体"/>
          <w:b/>
          <w:bCs/>
          <w:kern w:val="0"/>
          <w:sz w:val="28"/>
          <w:szCs w:val="32"/>
        </w:rPr>
      </w:pPr>
      <w:r>
        <w:rPr>
          <w:rFonts w:hint="eastAsia" w:ascii="宋体" w:hAnsi="宋体" w:cs="宋体"/>
          <w:b/>
          <w:bCs/>
          <w:kern w:val="0"/>
          <w:sz w:val="28"/>
          <w:szCs w:val="32"/>
        </w:rPr>
        <w:t>十、项目工勘报告</w:t>
      </w:r>
    </w:p>
    <w:p>
      <w:pPr>
        <w:jc w:val="center"/>
        <w:rPr>
          <w:rFonts w:ascii="宋体" w:hAnsi="宋体" w:cs="宋体"/>
          <w:b/>
          <w:bCs/>
          <w:sz w:val="30"/>
          <w:szCs w:val="30"/>
          <w:shd w:val="clear" w:color="auto" w:fill="FFFFFF"/>
        </w:rPr>
      </w:pPr>
      <w:r>
        <w:rPr>
          <w:rFonts w:hint="eastAsia" w:ascii="宋体" w:hAnsi="宋体" w:cs="宋体"/>
          <w:b/>
          <w:bCs/>
          <w:sz w:val="30"/>
          <w:szCs w:val="30"/>
          <w:shd w:val="clear" w:color="auto" w:fill="FFFFFF"/>
        </w:rPr>
        <w:t>项  目  工  勘  报  告</w:t>
      </w:r>
    </w:p>
    <w:p>
      <w:pPr>
        <w:pStyle w:val="28"/>
      </w:pPr>
    </w:p>
    <w:tbl>
      <w:tblPr>
        <w:tblStyle w:val="42"/>
        <w:tblW w:w="5702" w:type="pct"/>
        <w:tblInd w:w="-563" w:type="dxa"/>
        <w:tblLayout w:type="fixed"/>
        <w:tblCellMar>
          <w:top w:w="0" w:type="dxa"/>
          <w:left w:w="108" w:type="dxa"/>
          <w:bottom w:w="0" w:type="dxa"/>
          <w:right w:w="108" w:type="dxa"/>
        </w:tblCellMar>
      </w:tblPr>
      <w:tblGrid>
        <w:gridCol w:w="1531"/>
        <w:gridCol w:w="3302"/>
        <w:gridCol w:w="1283"/>
        <w:gridCol w:w="1283"/>
        <w:gridCol w:w="785"/>
        <w:gridCol w:w="1534"/>
      </w:tblGrid>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项目名称</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2"/>
                <w:szCs w:val="22"/>
              </w:rPr>
            </w:pP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项目地址</w:t>
            </w:r>
          </w:p>
        </w:tc>
        <w:tc>
          <w:tcPr>
            <w:tcW w:w="1853" w:type="pct"/>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业主单位</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联系人</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电话</w:t>
            </w:r>
          </w:p>
        </w:tc>
        <w:tc>
          <w:tcPr>
            <w:tcW w:w="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实施单位</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联系人</w:t>
            </w:r>
          </w:p>
        </w:tc>
        <w:tc>
          <w:tcPr>
            <w:tcW w:w="660"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c>
          <w:tcPr>
            <w:tcW w:w="404"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电话</w:t>
            </w:r>
          </w:p>
        </w:tc>
        <w:tc>
          <w:tcPr>
            <w:tcW w:w="78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p>
        </w:tc>
      </w:tr>
      <w:tr>
        <w:tblPrEx>
          <w:tblCellMar>
            <w:top w:w="0" w:type="dxa"/>
            <w:left w:w="108" w:type="dxa"/>
            <w:bottom w:w="0" w:type="dxa"/>
            <w:right w:w="108" w:type="dxa"/>
          </w:tblCellMar>
        </w:tblPrEx>
        <w:trPr>
          <w:trHeight w:val="726"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勘查内容</w:t>
            </w:r>
          </w:p>
        </w:tc>
        <w:tc>
          <w:tcPr>
            <w:tcW w:w="4212" w:type="pct"/>
            <w:gridSpan w:val="5"/>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36"/>
                <w:szCs w:val="36"/>
              </w:rPr>
            </w:pPr>
            <w:r>
              <w:rPr>
                <w:rFonts w:hint="eastAsia" w:ascii="宋体" w:hAnsi="宋体" w:cs="宋体"/>
                <w:b/>
                <w:bCs/>
                <w:sz w:val="28"/>
                <w:szCs w:val="28"/>
                <w:shd w:val="clear" w:color="auto" w:fill="FFFFFF"/>
              </w:rPr>
              <w:t>现 场 勘 查 内 容</w:t>
            </w:r>
          </w:p>
        </w:tc>
      </w:tr>
      <w:tr>
        <w:tblPrEx>
          <w:tblCellMar>
            <w:top w:w="0" w:type="dxa"/>
            <w:left w:w="108" w:type="dxa"/>
            <w:bottom w:w="0" w:type="dxa"/>
            <w:right w:w="108" w:type="dxa"/>
          </w:tblCellMar>
        </w:tblPrEx>
        <w:trPr>
          <w:trHeight w:val="734"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1</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702"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2</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698"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3</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694"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4</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691" w:hRule="atLeast"/>
        </w:trPr>
        <w:tc>
          <w:tcPr>
            <w:tcW w:w="788"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宋体" w:hAnsi="宋体" w:cs="宋体"/>
                <w:color w:val="000000"/>
                <w:sz w:val="24"/>
              </w:rPr>
            </w:pPr>
            <w:r>
              <w:rPr>
                <w:rFonts w:hint="eastAsia" w:ascii="宋体" w:hAnsi="宋体" w:cs="宋体"/>
                <w:color w:val="000000"/>
                <w:kern w:val="0"/>
                <w:sz w:val="24"/>
                <w:lang w:bidi="ar"/>
              </w:rPr>
              <w:t>5</w:t>
            </w:r>
          </w:p>
        </w:tc>
        <w:tc>
          <w:tcPr>
            <w:tcW w:w="1699" w:type="pct"/>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2"/>
                <w:szCs w:val="22"/>
              </w:rPr>
            </w:pPr>
          </w:p>
        </w:tc>
        <w:tc>
          <w:tcPr>
            <w:tcW w:w="2513" w:type="pct"/>
            <w:gridSpan w:val="4"/>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ascii="宋体" w:hAnsi="宋体" w:cs="宋体"/>
                <w:color w:val="000000"/>
                <w:sz w:val="24"/>
              </w:rPr>
            </w:pPr>
          </w:p>
        </w:tc>
      </w:tr>
      <w:tr>
        <w:tblPrEx>
          <w:tblCellMar>
            <w:top w:w="0" w:type="dxa"/>
            <w:left w:w="108" w:type="dxa"/>
            <w:bottom w:w="0" w:type="dxa"/>
            <w:right w:w="108" w:type="dxa"/>
          </w:tblCellMar>
        </w:tblPrEx>
        <w:trPr>
          <w:trHeight w:val="70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lang w:bidi="ar"/>
              </w:rPr>
              <w:t>勘查人：</w:t>
            </w:r>
          </w:p>
        </w:tc>
      </w:tr>
      <w:tr>
        <w:tblPrEx>
          <w:tblCellMar>
            <w:top w:w="0" w:type="dxa"/>
            <w:left w:w="108" w:type="dxa"/>
            <w:bottom w:w="0" w:type="dxa"/>
            <w:right w:w="108" w:type="dxa"/>
          </w:tblCellMar>
        </w:tblPrEx>
        <w:trPr>
          <w:trHeight w:val="710" w:hRule="atLeast"/>
        </w:trPr>
        <w:tc>
          <w:tcPr>
            <w:tcW w:w="5000" w:type="pct"/>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ascii="宋体" w:hAnsi="宋体" w:cs="宋体"/>
                <w:color w:val="000000"/>
                <w:sz w:val="24"/>
              </w:rPr>
            </w:pPr>
            <w:r>
              <w:rPr>
                <w:rFonts w:hint="eastAsia" w:ascii="宋体" w:hAnsi="宋体" w:cs="宋体"/>
                <w:color w:val="000000"/>
                <w:kern w:val="0"/>
                <w:sz w:val="24"/>
                <w:lang w:bidi="ar"/>
              </w:rPr>
              <w:t>勘查时间：</w:t>
            </w:r>
            <w:bookmarkStart w:id="266" w:name="_GoBack"/>
            <w:bookmarkEnd w:id="266"/>
          </w:p>
        </w:tc>
      </w:tr>
    </w:tbl>
    <w:p/>
    <w:p>
      <w:pPr>
        <w:rPr>
          <w:rFonts w:ascii="宋体" w:hAnsi="宋体" w:cs="宋体"/>
          <w:color w:val="000000"/>
          <w:kern w:val="0"/>
          <w:sz w:val="24"/>
          <w:lang w:bidi="ar"/>
        </w:rPr>
      </w:pPr>
      <w:r>
        <w:rPr>
          <w:rFonts w:hint="eastAsia"/>
          <w:sz w:val="24"/>
        </w:rPr>
        <w:t xml:space="preserve">勘查单位：                                       </w:t>
      </w:r>
      <w:r>
        <w:rPr>
          <w:rFonts w:hint="eastAsia" w:ascii="宋体" w:hAnsi="宋体" w:cs="宋体"/>
          <w:color w:val="000000"/>
          <w:kern w:val="0"/>
          <w:sz w:val="24"/>
          <w:lang w:bidi="ar"/>
        </w:rPr>
        <w:t>业主单位：</w:t>
      </w:r>
    </w:p>
    <w:p>
      <w:pPr>
        <w:pStyle w:val="28"/>
        <w:rPr>
          <w:rFonts w:ascii="宋体" w:hAnsi="宋体" w:cs="宋体"/>
          <w:color w:val="000000"/>
          <w:kern w:val="0"/>
          <w:sz w:val="24"/>
          <w:szCs w:val="24"/>
          <w:lang w:bidi="ar"/>
        </w:rPr>
      </w:pPr>
    </w:p>
    <w:p>
      <w:pPr>
        <w:rPr>
          <w:sz w:val="24"/>
        </w:rPr>
      </w:pPr>
      <w:r>
        <w:rPr>
          <w:rFonts w:hint="eastAsia"/>
          <w:sz w:val="24"/>
        </w:rPr>
        <w:t>时    间：</w:t>
      </w:r>
    </w:p>
    <w:sectPr>
      <w:footerReference r:id="rId11" w:type="first"/>
      <w:footerReference r:id="rId10" w:type="default"/>
      <w:pgSz w:w="11906" w:h="16838"/>
      <w:pgMar w:top="1440" w:right="1800" w:bottom="1440" w:left="1800" w:header="851" w:footer="992" w:gutter="0"/>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0E95929E-C96C-48BB-B08C-BF3229AACC55}"/>
  </w:font>
  <w:font w:name="黑体">
    <w:panose1 w:val="02010609060101010101"/>
    <w:charset w:val="86"/>
    <w:family w:val="auto"/>
    <w:pitch w:val="default"/>
    <w:sig w:usb0="800002BF" w:usb1="38CF7CFA" w:usb2="00000016" w:usb3="00000000" w:csb0="00040001" w:csb1="00000000"/>
    <w:embedRegular r:id="rId2" w:fontKey="{8AE92A00-3186-4EC8-9E35-0015627EDD0D}"/>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3" w:fontKey="{7078D0E3-8B21-48AE-9049-F3D5251DE74B}"/>
  </w:font>
  <w:font w:name="仿宋_GB2312">
    <w:altName w:val="仿宋"/>
    <w:panose1 w:val="00000000000000000000"/>
    <w:charset w:val="86"/>
    <w:family w:val="modern"/>
    <w:pitch w:val="default"/>
    <w:sig w:usb0="00000000" w:usb1="00000000" w:usb2="00000000" w:usb3="00000000" w:csb0="00000000" w:csb1="00000000"/>
  </w:font>
  <w:font w:name="微软雅黑">
    <w:panose1 w:val="020B0503020204020204"/>
    <w:charset w:val="86"/>
    <w:family w:val="swiss"/>
    <w:pitch w:val="default"/>
    <w:sig w:usb0="80000287" w:usb1="2ACF3C50" w:usb2="00000016" w:usb3="00000000" w:csb0="0004001F" w:csb1="00000000"/>
  </w:font>
  <w:font w:name="楷体_GB2312">
    <w:altName w:val="楷体"/>
    <w:panose1 w:val="00000000000000000000"/>
    <w:charset w:val="86"/>
    <w:family w:val="modern"/>
    <w:pitch w:val="default"/>
    <w:sig w:usb0="00000000" w:usb1="00000000" w:usb2="00000010" w:usb3="00000000" w:csb0="00040000" w:csb1="00000000"/>
  </w:font>
  <w:font w:name="Verdana">
    <w:panose1 w:val="020B0604030504040204"/>
    <w:charset w:val="00"/>
    <w:family w:val="swiss"/>
    <w:pitch w:val="default"/>
    <w:sig w:usb0="A00006FF" w:usb1="4000205B" w:usb2="00000010" w:usb3="00000000" w:csb0="2000019F" w:csb1="00000000"/>
  </w:font>
  <w:font w:name="MingLiU">
    <w:altName w:val="PMingLiU-ExtB"/>
    <w:panose1 w:val="02010609000101010101"/>
    <w:charset w:val="88"/>
    <w:family w:val="modern"/>
    <w:pitch w:val="default"/>
    <w:sig w:usb0="00000000" w:usb1="00000000" w:usb2="00000016" w:usb3="00000000" w:csb0="00100001" w:csb1="00000000"/>
  </w:font>
  <w:font w:name="Calibri Light">
    <w:panose1 w:val="020F0302020204030204"/>
    <w:charset w:val="00"/>
    <w:family w:val="swiss"/>
    <w:pitch w:val="default"/>
    <w:sig w:usb0="E4002EFF" w:usb1="C200247B" w:usb2="00000009" w:usb3="00000000" w:csb0="200001FF" w:csb1="00000000"/>
  </w:font>
  <w:font w:name="华文细黑">
    <w:panose1 w:val="02010600040101010101"/>
    <w:charset w:val="86"/>
    <w:family w:val="auto"/>
    <w:pitch w:val="default"/>
    <w:sig w:usb0="00000287" w:usb1="080F0000" w:usb2="00000000" w:usb3="00000000" w:csb0="0004009F" w:csb1="DFD70000"/>
  </w:font>
  <w:font w:name="新宋体">
    <w:panose1 w:val="02010609030101010101"/>
    <w:charset w:val="86"/>
    <w:family w:val="modern"/>
    <w:pitch w:val="default"/>
    <w:sig w:usb0="00000203" w:usb1="288F0000" w:usb2="00000006" w:usb3="00000000" w:csb0="00040001" w:csb1="00000000"/>
  </w:font>
  <w:font w:name="Arial Unicode MS">
    <w:altName w:val="宋体"/>
    <w:panose1 w:val="020B0604020202020204"/>
    <w:charset w:val="86"/>
    <w:family w:val="auto"/>
    <w:pitch w:val="default"/>
    <w:sig w:usb0="00000000" w:usb1="00000000" w:usb2="0000003F" w:usb3="00000000" w:csb0="603F01FF" w:csb1="FFFF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PMingLiU-ExtB">
    <w:panose1 w:val="02020500000000000000"/>
    <w:charset w:val="88"/>
    <w:family w:val="auto"/>
    <w:pitch w:val="default"/>
    <w:sig w:usb0="8000002F" w:usb1="02000008" w:usb2="00000000" w:usb3="00000000" w:csb0="001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p>
  <w:p>
    <w:pPr>
      <w:pStyle w:val="2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rap="around" w:vAnchor="text" w:hAnchor="margin" w:xAlign="center" w:y="1"/>
      <w:rPr>
        <w:rStyle w:val="46"/>
      </w:rPr>
    </w:pPr>
    <w:r>
      <w:fldChar w:fldCharType="begin"/>
    </w:r>
    <w:r>
      <w:rPr>
        <w:rStyle w:val="46"/>
      </w:rPr>
      <w:instrText xml:space="preserve">PAGE  </w:instrText>
    </w:r>
    <w:r>
      <w:fldChar w:fldCharType="end"/>
    </w:r>
  </w:p>
  <w:p>
    <w:pPr>
      <w:pStyle w:val="2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25</w:t>
    </w:r>
    <w:r>
      <w:fldChar w:fldCharType="end"/>
    </w:r>
  </w:p>
  <w:p>
    <w:pPr>
      <w:pStyle w:val="26"/>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jc w:val="center"/>
    </w:pPr>
    <w:r>
      <w:fldChar w:fldCharType="begin"/>
    </w:r>
    <w:r>
      <w:instrText xml:space="preserve">PAGE   \* MERGEFORMAT</w:instrText>
    </w:r>
    <w:r>
      <w:fldChar w:fldCharType="separate"/>
    </w:r>
    <w:r>
      <w:rPr>
        <w:lang w:val="zh-CN"/>
      </w:rPr>
      <w:t>8</w:t>
    </w:r>
    <w:r>
      <w:fldChar w:fldCharType="end"/>
    </w:r>
  </w:p>
  <w:p>
    <w:pPr>
      <w:pStyle w:val="26"/>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10</w:t>
    </w:r>
    <w:r>
      <w:fldChar w:fldCharType="end"/>
    </w:r>
  </w:p>
  <w:p>
    <w:pPr>
      <w:pStyle w:val="26"/>
      <w:ind w:right="360"/>
      <w:jc w:val="cente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framePr w:w="520" w:h="235" w:hRule="exact" w:wrap="around" w:vAnchor="text" w:hAnchor="page" w:x="6073" w:y="-2"/>
      <w:rPr>
        <w:rStyle w:val="46"/>
      </w:rPr>
    </w:pPr>
    <w:r>
      <w:fldChar w:fldCharType="begin"/>
    </w:r>
    <w:r>
      <w:rPr>
        <w:rStyle w:val="46"/>
      </w:rPr>
      <w:instrText xml:space="preserve">PAGE  </w:instrText>
    </w:r>
    <w:r>
      <w:fldChar w:fldCharType="separate"/>
    </w:r>
    <w:r>
      <w:rPr>
        <w:rStyle w:val="46"/>
      </w:rPr>
      <w:t>30</w:t>
    </w:r>
    <w:r>
      <w:fldChar w:fldCharType="end"/>
    </w:r>
  </w:p>
  <w:p>
    <w:pPr>
      <w:pStyle w:val="26"/>
      <w:ind w:right="360"/>
      <w:jc w:val="cente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ind w:right="360"/>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rPr>
                              <w:rStyle w:val="46"/>
                            </w:rPr>
                          </w:pPr>
                          <w:r>
                            <w:fldChar w:fldCharType="begin"/>
                          </w:r>
                          <w:r>
                            <w:rPr>
                              <w:rStyle w:val="46"/>
                            </w:rPr>
                            <w:instrText xml:space="preserve">PAGE  </w:instrText>
                          </w:r>
                          <w:r>
                            <w:fldChar w:fldCharType="separate"/>
                          </w:r>
                          <w:r>
                            <w:rPr>
                              <w:rStyle w:val="46"/>
                            </w:rPr>
                            <w:t>37</w:t>
                          </w:r>
                          <w:r>
                            <w:fldChar w:fldCharType="end"/>
                          </w:r>
                        </w:p>
                      </w:txbxContent>
                    </wps:txbx>
                    <wps:bodyPr wrap="none" lIns="0" tIns="0" rIns="0" bIns="0" upright="1">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KtTgfXLAQAAnAMAAA4AAAAAAAAAAQAgAAAAHgEAAGRycy9lMm9E&#10;b2MueG1sUEsFBgAAAAAGAAYAWQEAAFsFAAAAAA==&#10;">
              <v:fill on="f" focussize="0,0"/>
              <v:stroke on="f"/>
              <v:imagedata o:title=""/>
              <o:lock v:ext="edit" aspectratio="f"/>
              <v:textbox inset="0mm,0mm,0mm,0mm" style="mso-fit-shape-to-text:t;">
                <w:txbxContent>
                  <w:p>
                    <w:pPr>
                      <w:pStyle w:val="26"/>
                      <w:rPr>
                        <w:rStyle w:val="46"/>
                      </w:rPr>
                    </w:pPr>
                    <w:r>
                      <w:fldChar w:fldCharType="begin"/>
                    </w:r>
                    <w:r>
                      <w:rPr>
                        <w:rStyle w:val="46"/>
                      </w:rPr>
                      <w:instrText xml:space="preserve">PAGE  </w:instrText>
                    </w:r>
                    <w:r>
                      <w:fldChar w:fldCharType="separate"/>
                    </w:r>
                    <w:r>
                      <w:rPr>
                        <w:rStyle w:val="46"/>
                      </w:rPr>
                      <w:t>37</w:t>
                    </w:r>
                    <w:r>
                      <w:fldChar w:fldCharType="end"/>
                    </w:r>
                  </w:p>
                </w:txbxContent>
              </v:textbox>
            </v:shape>
          </w:pict>
        </mc:Fallback>
      </mc:AlternateContent>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6"/>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26"/>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wps:txbx>
                    <wps:bodyPr wrap="none" lIns="0" tIns="0" rIns="0" bIns="0" upright="1">
                      <a:spAutoFit/>
                    </wps:bodyPr>
                  </wps:wsp>
                </a:graphicData>
              </a:graphic>
            </wp:anchor>
          </w:drawing>
        </mc:Choice>
        <mc:Fallback>
          <w:pict>
            <v:shape id="文本框 1025"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LRDXfXLAQAAnAMAAA4AAAAAAAAAAQAgAAAAHgEAAGRycy9lMm9E&#10;b2MueG1sUEsFBgAAAAAGAAYAWQEAAFsFAAAAAA==&#10;">
              <v:fill on="f" focussize="0,0"/>
              <v:stroke on="f"/>
              <v:imagedata o:title=""/>
              <o:lock v:ext="edit" aspectratio="f"/>
              <v:textbox inset="0mm,0mm,0mm,0mm" style="mso-fit-shape-to-text:t;">
                <w:txbxContent>
                  <w:p>
                    <w:pPr>
                      <w:pStyle w:val="26"/>
                    </w:pPr>
                    <w:r>
                      <w:rPr>
                        <w:rFonts w:hint="eastAsia"/>
                      </w:rPr>
                      <w:fldChar w:fldCharType="begin"/>
                    </w:r>
                    <w:r>
                      <w:rPr>
                        <w:rFonts w:hint="eastAsia"/>
                      </w:rPr>
                      <w:instrText xml:space="preserve"> PAGE  \* MERGEFORMAT </w:instrText>
                    </w:r>
                    <w:r>
                      <w:rPr>
                        <w:rFonts w:hint="eastAsia"/>
                      </w:rPr>
                      <w:fldChar w:fldCharType="separate"/>
                    </w:r>
                    <w:r>
                      <w:t>31</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multilevel"/>
    <w:tmpl w:val="0000000D"/>
    <w:lvl w:ilvl="0" w:tentative="0">
      <w:start w:val="1"/>
      <w:numFmt w:val="bullet"/>
      <w:lvlText w:val=""/>
      <w:lvlJc w:val="left"/>
      <w:pPr>
        <w:tabs>
          <w:tab w:val="left" w:pos="840"/>
        </w:tabs>
        <w:ind w:left="840" w:hanging="420"/>
      </w:pPr>
      <w:rPr>
        <w:rFonts w:hint="default" w:ascii="Wingdings" w:hAnsi="Wingdings"/>
      </w:rPr>
    </w:lvl>
    <w:lvl w:ilvl="1" w:tentative="0">
      <w:start w:val="1"/>
      <w:numFmt w:val="bullet"/>
      <w:pStyle w:val="141"/>
      <w:lvlText w:val=""/>
      <w:lvlJc w:val="left"/>
      <w:pPr>
        <w:tabs>
          <w:tab w:val="left" w:pos="1260"/>
        </w:tabs>
        <w:ind w:left="1260" w:hanging="420"/>
      </w:pPr>
      <w:rPr>
        <w:rFonts w:hint="default" w:ascii="Wingdings" w:hAnsi="Wingdings"/>
      </w:rPr>
    </w:lvl>
    <w:lvl w:ilvl="2" w:tentative="0">
      <w:start w:val="1"/>
      <w:numFmt w:val="bullet"/>
      <w:lvlText w:val=""/>
      <w:lvlJc w:val="left"/>
      <w:pPr>
        <w:tabs>
          <w:tab w:val="left" w:pos="1680"/>
        </w:tabs>
        <w:ind w:left="1680" w:hanging="420"/>
      </w:pPr>
      <w:rPr>
        <w:rFonts w:hint="default" w:ascii="Wingdings" w:hAnsi="Wingdings"/>
      </w:rPr>
    </w:lvl>
    <w:lvl w:ilvl="3" w:tentative="0">
      <w:start w:val="1"/>
      <w:numFmt w:val="bullet"/>
      <w:lvlText w:val=""/>
      <w:lvlJc w:val="left"/>
      <w:pPr>
        <w:tabs>
          <w:tab w:val="left" w:pos="2100"/>
        </w:tabs>
        <w:ind w:left="2100" w:hanging="420"/>
      </w:pPr>
      <w:rPr>
        <w:rFonts w:hint="default" w:ascii="Wingdings" w:hAnsi="Wingdings"/>
      </w:rPr>
    </w:lvl>
    <w:lvl w:ilvl="4" w:tentative="0">
      <w:start w:val="1"/>
      <w:numFmt w:val="bullet"/>
      <w:lvlText w:val=""/>
      <w:lvlJc w:val="left"/>
      <w:pPr>
        <w:tabs>
          <w:tab w:val="left" w:pos="2520"/>
        </w:tabs>
        <w:ind w:left="2520" w:hanging="420"/>
      </w:pPr>
      <w:rPr>
        <w:rFonts w:hint="default" w:ascii="Wingdings" w:hAnsi="Wingdings"/>
      </w:rPr>
    </w:lvl>
    <w:lvl w:ilvl="5" w:tentative="0">
      <w:start w:val="1"/>
      <w:numFmt w:val="bullet"/>
      <w:lvlText w:val=""/>
      <w:lvlJc w:val="left"/>
      <w:pPr>
        <w:tabs>
          <w:tab w:val="left" w:pos="2940"/>
        </w:tabs>
        <w:ind w:left="2940" w:hanging="420"/>
      </w:pPr>
      <w:rPr>
        <w:rFonts w:hint="default" w:ascii="Wingdings" w:hAnsi="Wingdings"/>
      </w:rPr>
    </w:lvl>
    <w:lvl w:ilvl="6" w:tentative="0">
      <w:start w:val="1"/>
      <w:numFmt w:val="bullet"/>
      <w:lvlText w:val=""/>
      <w:lvlJc w:val="left"/>
      <w:pPr>
        <w:tabs>
          <w:tab w:val="left" w:pos="3360"/>
        </w:tabs>
        <w:ind w:left="3360" w:hanging="420"/>
      </w:pPr>
      <w:rPr>
        <w:rFonts w:hint="default" w:ascii="Wingdings" w:hAnsi="Wingdings"/>
      </w:rPr>
    </w:lvl>
    <w:lvl w:ilvl="7" w:tentative="0">
      <w:start w:val="1"/>
      <w:numFmt w:val="bullet"/>
      <w:lvlText w:val=""/>
      <w:lvlJc w:val="left"/>
      <w:pPr>
        <w:tabs>
          <w:tab w:val="left" w:pos="3780"/>
        </w:tabs>
        <w:ind w:left="3780" w:hanging="420"/>
      </w:pPr>
      <w:rPr>
        <w:rFonts w:hint="default" w:ascii="Wingdings" w:hAnsi="Wingdings"/>
      </w:rPr>
    </w:lvl>
    <w:lvl w:ilvl="8" w:tentative="0">
      <w:start w:val="1"/>
      <w:numFmt w:val="bullet"/>
      <w:lvlText w:val=""/>
      <w:lvlJc w:val="left"/>
      <w:pPr>
        <w:tabs>
          <w:tab w:val="left" w:pos="4200"/>
        </w:tabs>
        <w:ind w:left="4200" w:hanging="420"/>
      </w:pPr>
      <w:rPr>
        <w:rFonts w:hint="default" w:ascii="Wingdings" w:hAnsi="Wingdings"/>
      </w:rPr>
    </w:lvl>
  </w:abstractNum>
  <w:abstractNum w:abstractNumId="1">
    <w:nsid w:val="3871CE1D"/>
    <w:multiLevelType w:val="singleLevel"/>
    <w:tmpl w:val="3871CE1D"/>
    <w:lvl w:ilvl="0" w:tentative="0">
      <w:start w:val="1"/>
      <w:numFmt w:val="chineseCounting"/>
      <w:suff w:val="nothing"/>
      <w:lvlText w:val="%1、"/>
      <w:lvlJc w:val="left"/>
      <w:rPr>
        <w:rFonts w:hint="eastAsia"/>
      </w:rPr>
    </w:lvl>
  </w:abstractNum>
  <w:abstractNum w:abstractNumId="2">
    <w:nsid w:val="5E2C7F43"/>
    <w:multiLevelType w:val="multilevel"/>
    <w:tmpl w:val="5E2C7F43"/>
    <w:lvl w:ilvl="0" w:tentative="0">
      <w:start w:val="1"/>
      <w:numFmt w:val="decimal"/>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60"/>
  <w:doNotDisplayPageBoundaries w:val="1"/>
  <w:embedTrueTypeFonts/>
  <w:saveSubsetFonts/>
  <w:bordersDoNotSurroundHeader w:val="0"/>
  <w:bordersDoNotSurroundFooter w:val="0"/>
  <w:doNotTrackMoves/>
  <w:documentProtection w:enforcement="0"/>
  <w:defaultTabStop w:val="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FlMzc0YmY5ZGIxYTRlZTc2ZDIwYzQ2NjFiYWNmOGUifQ=="/>
  </w:docVars>
  <w:rsids>
    <w:rsidRoot w:val="00F1787C"/>
    <w:rsid w:val="00002283"/>
    <w:rsid w:val="0000322E"/>
    <w:rsid w:val="00003524"/>
    <w:rsid w:val="00003A86"/>
    <w:rsid w:val="00006DC2"/>
    <w:rsid w:val="00014F18"/>
    <w:rsid w:val="00020D82"/>
    <w:rsid w:val="0002191D"/>
    <w:rsid w:val="00022C81"/>
    <w:rsid w:val="000247E8"/>
    <w:rsid w:val="00025133"/>
    <w:rsid w:val="000252CD"/>
    <w:rsid w:val="00025B39"/>
    <w:rsid w:val="00031B7B"/>
    <w:rsid w:val="000329B5"/>
    <w:rsid w:val="000338C1"/>
    <w:rsid w:val="000349C1"/>
    <w:rsid w:val="00035D65"/>
    <w:rsid w:val="00035FD9"/>
    <w:rsid w:val="00037178"/>
    <w:rsid w:val="000439F3"/>
    <w:rsid w:val="00046EC8"/>
    <w:rsid w:val="00047C8F"/>
    <w:rsid w:val="00047E6F"/>
    <w:rsid w:val="0005109B"/>
    <w:rsid w:val="000552F0"/>
    <w:rsid w:val="00055B95"/>
    <w:rsid w:val="00055FA2"/>
    <w:rsid w:val="000563B8"/>
    <w:rsid w:val="000572DF"/>
    <w:rsid w:val="00057B74"/>
    <w:rsid w:val="0006209E"/>
    <w:rsid w:val="000620D8"/>
    <w:rsid w:val="00066BA0"/>
    <w:rsid w:val="00067251"/>
    <w:rsid w:val="000757B2"/>
    <w:rsid w:val="0007698A"/>
    <w:rsid w:val="00076FDF"/>
    <w:rsid w:val="0008303D"/>
    <w:rsid w:val="0008378C"/>
    <w:rsid w:val="000837E8"/>
    <w:rsid w:val="000849FA"/>
    <w:rsid w:val="00085499"/>
    <w:rsid w:val="00086CAB"/>
    <w:rsid w:val="000875BF"/>
    <w:rsid w:val="00087626"/>
    <w:rsid w:val="0009000C"/>
    <w:rsid w:val="0009140C"/>
    <w:rsid w:val="00093516"/>
    <w:rsid w:val="000939F8"/>
    <w:rsid w:val="00093CD5"/>
    <w:rsid w:val="000940B1"/>
    <w:rsid w:val="000945AC"/>
    <w:rsid w:val="000948DA"/>
    <w:rsid w:val="00095B35"/>
    <w:rsid w:val="00095EDA"/>
    <w:rsid w:val="0009781C"/>
    <w:rsid w:val="000A18D6"/>
    <w:rsid w:val="000A1E4C"/>
    <w:rsid w:val="000A2296"/>
    <w:rsid w:val="000A31DB"/>
    <w:rsid w:val="000A32A6"/>
    <w:rsid w:val="000A423A"/>
    <w:rsid w:val="000A4B3C"/>
    <w:rsid w:val="000A5164"/>
    <w:rsid w:val="000A60BC"/>
    <w:rsid w:val="000A6558"/>
    <w:rsid w:val="000B3499"/>
    <w:rsid w:val="000B446C"/>
    <w:rsid w:val="000B48BA"/>
    <w:rsid w:val="000B7D1A"/>
    <w:rsid w:val="000C0102"/>
    <w:rsid w:val="000C153A"/>
    <w:rsid w:val="000C3C36"/>
    <w:rsid w:val="000C4170"/>
    <w:rsid w:val="000C42B0"/>
    <w:rsid w:val="000C4955"/>
    <w:rsid w:val="000C5DB1"/>
    <w:rsid w:val="000C6C80"/>
    <w:rsid w:val="000C6EF3"/>
    <w:rsid w:val="000D0FF5"/>
    <w:rsid w:val="000D6003"/>
    <w:rsid w:val="000E2A4B"/>
    <w:rsid w:val="000E313E"/>
    <w:rsid w:val="000E496D"/>
    <w:rsid w:val="000E59C6"/>
    <w:rsid w:val="000F2842"/>
    <w:rsid w:val="00100F21"/>
    <w:rsid w:val="0010112E"/>
    <w:rsid w:val="00101194"/>
    <w:rsid w:val="00104DDA"/>
    <w:rsid w:val="00105562"/>
    <w:rsid w:val="001060F0"/>
    <w:rsid w:val="00107D39"/>
    <w:rsid w:val="00107E81"/>
    <w:rsid w:val="00110CAE"/>
    <w:rsid w:val="00111E55"/>
    <w:rsid w:val="00112802"/>
    <w:rsid w:val="001150C8"/>
    <w:rsid w:val="00115A03"/>
    <w:rsid w:val="001170EE"/>
    <w:rsid w:val="00120582"/>
    <w:rsid w:val="00123DF3"/>
    <w:rsid w:val="0012612C"/>
    <w:rsid w:val="0012618D"/>
    <w:rsid w:val="001264BE"/>
    <w:rsid w:val="001265D0"/>
    <w:rsid w:val="00131319"/>
    <w:rsid w:val="001324F8"/>
    <w:rsid w:val="001326B8"/>
    <w:rsid w:val="00133F0F"/>
    <w:rsid w:val="0013640A"/>
    <w:rsid w:val="00137B7C"/>
    <w:rsid w:val="00137FF4"/>
    <w:rsid w:val="00142542"/>
    <w:rsid w:val="00143D4F"/>
    <w:rsid w:val="00147ECF"/>
    <w:rsid w:val="001509A5"/>
    <w:rsid w:val="00151358"/>
    <w:rsid w:val="001528F7"/>
    <w:rsid w:val="00157E7E"/>
    <w:rsid w:val="00160A9D"/>
    <w:rsid w:val="00161FBA"/>
    <w:rsid w:val="0016324C"/>
    <w:rsid w:val="001637E6"/>
    <w:rsid w:val="001646C7"/>
    <w:rsid w:val="001661DF"/>
    <w:rsid w:val="00166289"/>
    <w:rsid w:val="00167BC0"/>
    <w:rsid w:val="00170C4F"/>
    <w:rsid w:val="001743B9"/>
    <w:rsid w:val="00180EFE"/>
    <w:rsid w:val="00183BEA"/>
    <w:rsid w:val="00184A5E"/>
    <w:rsid w:val="0018579A"/>
    <w:rsid w:val="0019148A"/>
    <w:rsid w:val="00197DCE"/>
    <w:rsid w:val="001A0539"/>
    <w:rsid w:val="001A09DE"/>
    <w:rsid w:val="001A5CDC"/>
    <w:rsid w:val="001A7336"/>
    <w:rsid w:val="001B37EE"/>
    <w:rsid w:val="001B455F"/>
    <w:rsid w:val="001B7789"/>
    <w:rsid w:val="001C0BBE"/>
    <w:rsid w:val="001C47B4"/>
    <w:rsid w:val="001C7A81"/>
    <w:rsid w:val="001D0E4A"/>
    <w:rsid w:val="001D2422"/>
    <w:rsid w:val="001D4A30"/>
    <w:rsid w:val="001D5992"/>
    <w:rsid w:val="001D620B"/>
    <w:rsid w:val="001D748A"/>
    <w:rsid w:val="001E2FBC"/>
    <w:rsid w:val="001E35E5"/>
    <w:rsid w:val="001E3AE0"/>
    <w:rsid w:val="001E4ED8"/>
    <w:rsid w:val="001F5D0C"/>
    <w:rsid w:val="001F6241"/>
    <w:rsid w:val="00203576"/>
    <w:rsid w:val="00204B88"/>
    <w:rsid w:val="002111A4"/>
    <w:rsid w:val="002136F9"/>
    <w:rsid w:val="00213715"/>
    <w:rsid w:val="00213C13"/>
    <w:rsid w:val="00214A65"/>
    <w:rsid w:val="00214E11"/>
    <w:rsid w:val="0021510A"/>
    <w:rsid w:val="00217ABC"/>
    <w:rsid w:val="00217CD9"/>
    <w:rsid w:val="00217F8C"/>
    <w:rsid w:val="002202C8"/>
    <w:rsid w:val="00220469"/>
    <w:rsid w:val="00220B1B"/>
    <w:rsid w:val="00220F2D"/>
    <w:rsid w:val="00222DE6"/>
    <w:rsid w:val="002258E9"/>
    <w:rsid w:val="00226226"/>
    <w:rsid w:val="00230813"/>
    <w:rsid w:val="00231314"/>
    <w:rsid w:val="00231845"/>
    <w:rsid w:val="002339FF"/>
    <w:rsid w:val="00235CEC"/>
    <w:rsid w:val="00236024"/>
    <w:rsid w:val="00240925"/>
    <w:rsid w:val="002460EA"/>
    <w:rsid w:val="00246DBB"/>
    <w:rsid w:val="002537F9"/>
    <w:rsid w:val="00253875"/>
    <w:rsid w:val="0025448C"/>
    <w:rsid w:val="00264707"/>
    <w:rsid w:val="00265918"/>
    <w:rsid w:val="002660DD"/>
    <w:rsid w:val="0026776E"/>
    <w:rsid w:val="00272FC8"/>
    <w:rsid w:val="00277351"/>
    <w:rsid w:val="00277BB5"/>
    <w:rsid w:val="002826F6"/>
    <w:rsid w:val="0028698F"/>
    <w:rsid w:val="00287A1A"/>
    <w:rsid w:val="0029648C"/>
    <w:rsid w:val="002966A3"/>
    <w:rsid w:val="00296F6F"/>
    <w:rsid w:val="00297D35"/>
    <w:rsid w:val="002A0370"/>
    <w:rsid w:val="002A055F"/>
    <w:rsid w:val="002A2803"/>
    <w:rsid w:val="002A4245"/>
    <w:rsid w:val="002A4B9A"/>
    <w:rsid w:val="002A59E2"/>
    <w:rsid w:val="002B19F4"/>
    <w:rsid w:val="002B4E72"/>
    <w:rsid w:val="002B52E8"/>
    <w:rsid w:val="002B6790"/>
    <w:rsid w:val="002B6B13"/>
    <w:rsid w:val="002B6E57"/>
    <w:rsid w:val="002B72CF"/>
    <w:rsid w:val="002C2E51"/>
    <w:rsid w:val="002C471B"/>
    <w:rsid w:val="002C5A0E"/>
    <w:rsid w:val="002C7AB6"/>
    <w:rsid w:val="002D54DB"/>
    <w:rsid w:val="002E1D11"/>
    <w:rsid w:val="002E695F"/>
    <w:rsid w:val="002F308B"/>
    <w:rsid w:val="002F59DF"/>
    <w:rsid w:val="002F6545"/>
    <w:rsid w:val="002F737A"/>
    <w:rsid w:val="002F73BF"/>
    <w:rsid w:val="002F7968"/>
    <w:rsid w:val="00300BA8"/>
    <w:rsid w:val="003014E5"/>
    <w:rsid w:val="0030183E"/>
    <w:rsid w:val="003044CF"/>
    <w:rsid w:val="00305027"/>
    <w:rsid w:val="003111A2"/>
    <w:rsid w:val="0031451A"/>
    <w:rsid w:val="0031530B"/>
    <w:rsid w:val="00315430"/>
    <w:rsid w:val="00321B30"/>
    <w:rsid w:val="00322C4B"/>
    <w:rsid w:val="00323A00"/>
    <w:rsid w:val="0032479B"/>
    <w:rsid w:val="00325CDF"/>
    <w:rsid w:val="00326D75"/>
    <w:rsid w:val="003331DE"/>
    <w:rsid w:val="003332D7"/>
    <w:rsid w:val="003349A6"/>
    <w:rsid w:val="00336D14"/>
    <w:rsid w:val="00340515"/>
    <w:rsid w:val="003413B4"/>
    <w:rsid w:val="0034521F"/>
    <w:rsid w:val="003458EB"/>
    <w:rsid w:val="00345A28"/>
    <w:rsid w:val="003467A2"/>
    <w:rsid w:val="003515E2"/>
    <w:rsid w:val="00351749"/>
    <w:rsid w:val="0035184A"/>
    <w:rsid w:val="00355399"/>
    <w:rsid w:val="003600B5"/>
    <w:rsid w:val="00361ABE"/>
    <w:rsid w:val="00362AD2"/>
    <w:rsid w:val="003638FE"/>
    <w:rsid w:val="00364D8A"/>
    <w:rsid w:val="003668C2"/>
    <w:rsid w:val="00367182"/>
    <w:rsid w:val="0037709D"/>
    <w:rsid w:val="00380543"/>
    <w:rsid w:val="00383AFE"/>
    <w:rsid w:val="003840AE"/>
    <w:rsid w:val="00384108"/>
    <w:rsid w:val="0038483D"/>
    <w:rsid w:val="00384E9A"/>
    <w:rsid w:val="003856B3"/>
    <w:rsid w:val="003858BE"/>
    <w:rsid w:val="003859B8"/>
    <w:rsid w:val="00386BA2"/>
    <w:rsid w:val="0039099F"/>
    <w:rsid w:val="00396BE5"/>
    <w:rsid w:val="00397134"/>
    <w:rsid w:val="003A063A"/>
    <w:rsid w:val="003A67CF"/>
    <w:rsid w:val="003B013B"/>
    <w:rsid w:val="003B5115"/>
    <w:rsid w:val="003B5AAE"/>
    <w:rsid w:val="003B696A"/>
    <w:rsid w:val="003C18C8"/>
    <w:rsid w:val="003C260B"/>
    <w:rsid w:val="003C28DD"/>
    <w:rsid w:val="003C2D04"/>
    <w:rsid w:val="003C4C34"/>
    <w:rsid w:val="003C7632"/>
    <w:rsid w:val="003C7809"/>
    <w:rsid w:val="003D0BF2"/>
    <w:rsid w:val="003D4436"/>
    <w:rsid w:val="003D5153"/>
    <w:rsid w:val="003D5F84"/>
    <w:rsid w:val="003E0D5A"/>
    <w:rsid w:val="003E3829"/>
    <w:rsid w:val="003E38BD"/>
    <w:rsid w:val="003E4A5A"/>
    <w:rsid w:val="003E68AB"/>
    <w:rsid w:val="003F04A7"/>
    <w:rsid w:val="003F098D"/>
    <w:rsid w:val="003F1C45"/>
    <w:rsid w:val="003F1F45"/>
    <w:rsid w:val="003F34F8"/>
    <w:rsid w:val="003F6AEE"/>
    <w:rsid w:val="003F7927"/>
    <w:rsid w:val="003F7A0C"/>
    <w:rsid w:val="003F7C2F"/>
    <w:rsid w:val="00402F66"/>
    <w:rsid w:val="00403314"/>
    <w:rsid w:val="00404848"/>
    <w:rsid w:val="00411545"/>
    <w:rsid w:val="00412072"/>
    <w:rsid w:val="00415B93"/>
    <w:rsid w:val="00420586"/>
    <w:rsid w:val="00420FC3"/>
    <w:rsid w:val="00421DFA"/>
    <w:rsid w:val="00423CEA"/>
    <w:rsid w:val="00426621"/>
    <w:rsid w:val="004274F1"/>
    <w:rsid w:val="0043226B"/>
    <w:rsid w:val="0043326B"/>
    <w:rsid w:val="00434144"/>
    <w:rsid w:val="00435BC6"/>
    <w:rsid w:val="004409EE"/>
    <w:rsid w:val="0044320E"/>
    <w:rsid w:val="00443CBF"/>
    <w:rsid w:val="00443D8E"/>
    <w:rsid w:val="00444730"/>
    <w:rsid w:val="00452F25"/>
    <w:rsid w:val="00453BE6"/>
    <w:rsid w:val="00454E6B"/>
    <w:rsid w:val="0045502B"/>
    <w:rsid w:val="004566D2"/>
    <w:rsid w:val="0045695D"/>
    <w:rsid w:val="00456FD1"/>
    <w:rsid w:val="00461AD0"/>
    <w:rsid w:val="004634AB"/>
    <w:rsid w:val="0046406D"/>
    <w:rsid w:val="00466348"/>
    <w:rsid w:val="004706E6"/>
    <w:rsid w:val="0047569F"/>
    <w:rsid w:val="00476803"/>
    <w:rsid w:val="004774EC"/>
    <w:rsid w:val="00480132"/>
    <w:rsid w:val="004802D9"/>
    <w:rsid w:val="00480430"/>
    <w:rsid w:val="00480BDB"/>
    <w:rsid w:val="00481254"/>
    <w:rsid w:val="00481CDD"/>
    <w:rsid w:val="0048320C"/>
    <w:rsid w:val="004851D3"/>
    <w:rsid w:val="00492555"/>
    <w:rsid w:val="00493C71"/>
    <w:rsid w:val="00494844"/>
    <w:rsid w:val="00496C67"/>
    <w:rsid w:val="004A15BA"/>
    <w:rsid w:val="004A1630"/>
    <w:rsid w:val="004A16CA"/>
    <w:rsid w:val="004A19AC"/>
    <w:rsid w:val="004A3E48"/>
    <w:rsid w:val="004B13EB"/>
    <w:rsid w:val="004B24DB"/>
    <w:rsid w:val="004B36BA"/>
    <w:rsid w:val="004C00BE"/>
    <w:rsid w:val="004C023B"/>
    <w:rsid w:val="004C0E82"/>
    <w:rsid w:val="004C1326"/>
    <w:rsid w:val="004C1C0B"/>
    <w:rsid w:val="004C42BC"/>
    <w:rsid w:val="004C4B65"/>
    <w:rsid w:val="004C5682"/>
    <w:rsid w:val="004C6795"/>
    <w:rsid w:val="004C71DC"/>
    <w:rsid w:val="004D1ADF"/>
    <w:rsid w:val="004D4A97"/>
    <w:rsid w:val="004D5467"/>
    <w:rsid w:val="004D6EA5"/>
    <w:rsid w:val="004E6A77"/>
    <w:rsid w:val="004F03D1"/>
    <w:rsid w:val="004F05BD"/>
    <w:rsid w:val="004F0F94"/>
    <w:rsid w:val="004F5845"/>
    <w:rsid w:val="004F7236"/>
    <w:rsid w:val="0050127B"/>
    <w:rsid w:val="005016AD"/>
    <w:rsid w:val="00501C58"/>
    <w:rsid w:val="00502E26"/>
    <w:rsid w:val="00504C8A"/>
    <w:rsid w:val="00504EDE"/>
    <w:rsid w:val="00511134"/>
    <w:rsid w:val="005118BF"/>
    <w:rsid w:val="00513072"/>
    <w:rsid w:val="005142E6"/>
    <w:rsid w:val="00514DF5"/>
    <w:rsid w:val="005216B1"/>
    <w:rsid w:val="005230E8"/>
    <w:rsid w:val="005248B7"/>
    <w:rsid w:val="00524AAD"/>
    <w:rsid w:val="00527DED"/>
    <w:rsid w:val="005340DE"/>
    <w:rsid w:val="0053576A"/>
    <w:rsid w:val="0053749E"/>
    <w:rsid w:val="0053783C"/>
    <w:rsid w:val="00540A63"/>
    <w:rsid w:val="00541EAD"/>
    <w:rsid w:val="00543B84"/>
    <w:rsid w:val="00551444"/>
    <w:rsid w:val="005516BA"/>
    <w:rsid w:val="005528CF"/>
    <w:rsid w:val="00554CE3"/>
    <w:rsid w:val="00562199"/>
    <w:rsid w:val="00565E3C"/>
    <w:rsid w:val="0056641F"/>
    <w:rsid w:val="005668C7"/>
    <w:rsid w:val="00571660"/>
    <w:rsid w:val="0057233D"/>
    <w:rsid w:val="00573321"/>
    <w:rsid w:val="005758E3"/>
    <w:rsid w:val="0057689B"/>
    <w:rsid w:val="00582E36"/>
    <w:rsid w:val="005914DA"/>
    <w:rsid w:val="00591F3F"/>
    <w:rsid w:val="00594228"/>
    <w:rsid w:val="005946A1"/>
    <w:rsid w:val="00594DBC"/>
    <w:rsid w:val="0059501D"/>
    <w:rsid w:val="005A0E5B"/>
    <w:rsid w:val="005A15EC"/>
    <w:rsid w:val="005A1707"/>
    <w:rsid w:val="005A390C"/>
    <w:rsid w:val="005A3A26"/>
    <w:rsid w:val="005A6CF0"/>
    <w:rsid w:val="005B0870"/>
    <w:rsid w:val="005B2C7F"/>
    <w:rsid w:val="005B635A"/>
    <w:rsid w:val="005C1367"/>
    <w:rsid w:val="005C137A"/>
    <w:rsid w:val="005C3C93"/>
    <w:rsid w:val="005C7304"/>
    <w:rsid w:val="005D1938"/>
    <w:rsid w:val="005D1C59"/>
    <w:rsid w:val="005D3202"/>
    <w:rsid w:val="005D48DB"/>
    <w:rsid w:val="005E1E95"/>
    <w:rsid w:val="005E25FB"/>
    <w:rsid w:val="005E2DF9"/>
    <w:rsid w:val="005E3EBE"/>
    <w:rsid w:val="005E3F38"/>
    <w:rsid w:val="005E782A"/>
    <w:rsid w:val="005F18AC"/>
    <w:rsid w:val="005F2C77"/>
    <w:rsid w:val="00605878"/>
    <w:rsid w:val="00606A11"/>
    <w:rsid w:val="00610C35"/>
    <w:rsid w:val="00611462"/>
    <w:rsid w:val="00612C1F"/>
    <w:rsid w:val="006133CC"/>
    <w:rsid w:val="00614387"/>
    <w:rsid w:val="00614689"/>
    <w:rsid w:val="00616253"/>
    <w:rsid w:val="0061673D"/>
    <w:rsid w:val="00617262"/>
    <w:rsid w:val="006201A2"/>
    <w:rsid w:val="006226F3"/>
    <w:rsid w:val="006227F1"/>
    <w:rsid w:val="00622C1A"/>
    <w:rsid w:val="00623718"/>
    <w:rsid w:val="00625AF6"/>
    <w:rsid w:val="00626C3A"/>
    <w:rsid w:val="00633525"/>
    <w:rsid w:val="00634491"/>
    <w:rsid w:val="00635712"/>
    <w:rsid w:val="00640A2B"/>
    <w:rsid w:val="006410AE"/>
    <w:rsid w:val="00641DDB"/>
    <w:rsid w:val="00645AA4"/>
    <w:rsid w:val="0064614C"/>
    <w:rsid w:val="006501D9"/>
    <w:rsid w:val="0065343F"/>
    <w:rsid w:val="00662461"/>
    <w:rsid w:val="00663C2A"/>
    <w:rsid w:val="00664ABD"/>
    <w:rsid w:val="00670D30"/>
    <w:rsid w:val="00672863"/>
    <w:rsid w:val="0067333E"/>
    <w:rsid w:val="00674008"/>
    <w:rsid w:val="006747F2"/>
    <w:rsid w:val="00674A85"/>
    <w:rsid w:val="0067739E"/>
    <w:rsid w:val="00677827"/>
    <w:rsid w:val="00680AC1"/>
    <w:rsid w:val="00681547"/>
    <w:rsid w:val="00681630"/>
    <w:rsid w:val="00682C95"/>
    <w:rsid w:val="00685B7E"/>
    <w:rsid w:val="00685D10"/>
    <w:rsid w:val="00694FA7"/>
    <w:rsid w:val="006A29F5"/>
    <w:rsid w:val="006A2D0D"/>
    <w:rsid w:val="006A37AE"/>
    <w:rsid w:val="006A4D20"/>
    <w:rsid w:val="006A79F4"/>
    <w:rsid w:val="006B1A0A"/>
    <w:rsid w:val="006B391F"/>
    <w:rsid w:val="006B49C1"/>
    <w:rsid w:val="006B4DFE"/>
    <w:rsid w:val="006B60A9"/>
    <w:rsid w:val="006C41F0"/>
    <w:rsid w:val="006C497C"/>
    <w:rsid w:val="006C75C9"/>
    <w:rsid w:val="006C7F0A"/>
    <w:rsid w:val="006D1032"/>
    <w:rsid w:val="006D334A"/>
    <w:rsid w:val="006D48FF"/>
    <w:rsid w:val="006D4950"/>
    <w:rsid w:val="006D792B"/>
    <w:rsid w:val="006E2BEB"/>
    <w:rsid w:val="006E2F3D"/>
    <w:rsid w:val="006E3F3F"/>
    <w:rsid w:val="006E44D5"/>
    <w:rsid w:val="006E7C2D"/>
    <w:rsid w:val="006F08B7"/>
    <w:rsid w:val="00702554"/>
    <w:rsid w:val="0070267A"/>
    <w:rsid w:val="00704E87"/>
    <w:rsid w:val="00705864"/>
    <w:rsid w:val="0071015C"/>
    <w:rsid w:val="0071261D"/>
    <w:rsid w:val="0071777A"/>
    <w:rsid w:val="00722FD3"/>
    <w:rsid w:val="00724D14"/>
    <w:rsid w:val="00727D4B"/>
    <w:rsid w:val="00736D71"/>
    <w:rsid w:val="007372DF"/>
    <w:rsid w:val="00737EEA"/>
    <w:rsid w:val="00741B7A"/>
    <w:rsid w:val="00747B86"/>
    <w:rsid w:val="007504EC"/>
    <w:rsid w:val="007508E2"/>
    <w:rsid w:val="00751425"/>
    <w:rsid w:val="007560DB"/>
    <w:rsid w:val="00756FB5"/>
    <w:rsid w:val="00756FFD"/>
    <w:rsid w:val="00761FD8"/>
    <w:rsid w:val="00766052"/>
    <w:rsid w:val="00767E72"/>
    <w:rsid w:val="00770B52"/>
    <w:rsid w:val="00771915"/>
    <w:rsid w:val="0077304F"/>
    <w:rsid w:val="00775C9B"/>
    <w:rsid w:val="00776703"/>
    <w:rsid w:val="007857ED"/>
    <w:rsid w:val="0079289A"/>
    <w:rsid w:val="00795C0E"/>
    <w:rsid w:val="007961C7"/>
    <w:rsid w:val="0079740B"/>
    <w:rsid w:val="00797B24"/>
    <w:rsid w:val="007A0CD6"/>
    <w:rsid w:val="007A0FAF"/>
    <w:rsid w:val="007A113F"/>
    <w:rsid w:val="007A1179"/>
    <w:rsid w:val="007A1D32"/>
    <w:rsid w:val="007A1D60"/>
    <w:rsid w:val="007A5B10"/>
    <w:rsid w:val="007A6154"/>
    <w:rsid w:val="007A683C"/>
    <w:rsid w:val="007A6D78"/>
    <w:rsid w:val="007B04A9"/>
    <w:rsid w:val="007B119C"/>
    <w:rsid w:val="007B187B"/>
    <w:rsid w:val="007B1FF2"/>
    <w:rsid w:val="007B212E"/>
    <w:rsid w:val="007B536D"/>
    <w:rsid w:val="007B53BD"/>
    <w:rsid w:val="007C074F"/>
    <w:rsid w:val="007C2233"/>
    <w:rsid w:val="007C27E7"/>
    <w:rsid w:val="007C38AE"/>
    <w:rsid w:val="007C4438"/>
    <w:rsid w:val="007C4BDE"/>
    <w:rsid w:val="007C6B07"/>
    <w:rsid w:val="007D0ED0"/>
    <w:rsid w:val="007D39FA"/>
    <w:rsid w:val="007D3CE4"/>
    <w:rsid w:val="007D6D40"/>
    <w:rsid w:val="007D719A"/>
    <w:rsid w:val="007E07E5"/>
    <w:rsid w:val="007E090D"/>
    <w:rsid w:val="007E4D6B"/>
    <w:rsid w:val="007E586D"/>
    <w:rsid w:val="007E5AE7"/>
    <w:rsid w:val="007F1DF1"/>
    <w:rsid w:val="007F2820"/>
    <w:rsid w:val="007F2E31"/>
    <w:rsid w:val="007F2F27"/>
    <w:rsid w:val="007F341C"/>
    <w:rsid w:val="007F3F04"/>
    <w:rsid w:val="007F5056"/>
    <w:rsid w:val="007F6705"/>
    <w:rsid w:val="007F77D6"/>
    <w:rsid w:val="00800029"/>
    <w:rsid w:val="00800203"/>
    <w:rsid w:val="00802994"/>
    <w:rsid w:val="00802E86"/>
    <w:rsid w:val="00803A57"/>
    <w:rsid w:val="008048A3"/>
    <w:rsid w:val="00805344"/>
    <w:rsid w:val="00805BEB"/>
    <w:rsid w:val="00806DE5"/>
    <w:rsid w:val="008104E5"/>
    <w:rsid w:val="008111A1"/>
    <w:rsid w:val="00812A52"/>
    <w:rsid w:val="00812B54"/>
    <w:rsid w:val="00816118"/>
    <w:rsid w:val="00816C40"/>
    <w:rsid w:val="008170C3"/>
    <w:rsid w:val="00825742"/>
    <w:rsid w:val="008311BA"/>
    <w:rsid w:val="00833989"/>
    <w:rsid w:val="00833FEE"/>
    <w:rsid w:val="00834654"/>
    <w:rsid w:val="008346F1"/>
    <w:rsid w:val="008354B1"/>
    <w:rsid w:val="008365E2"/>
    <w:rsid w:val="008366E3"/>
    <w:rsid w:val="00836AA3"/>
    <w:rsid w:val="0084014A"/>
    <w:rsid w:val="00840D93"/>
    <w:rsid w:val="0084176C"/>
    <w:rsid w:val="00842D69"/>
    <w:rsid w:val="008450AB"/>
    <w:rsid w:val="00846D68"/>
    <w:rsid w:val="008539A0"/>
    <w:rsid w:val="00855C88"/>
    <w:rsid w:val="00857785"/>
    <w:rsid w:val="00857AD8"/>
    <w:rsid w:val="008601D6"/>
    <w:rsid w:val="008607DC"/>
    <w:rsid w:val="00860E29"/>
    <w:rsid w:val="00861BC4"/>
    <w:rsid w:val="00863EE0"/>
    <w:rsid w:val="00866111"/>
    <w:rsid w:val="00866AB6"/>
    <w:rsid w:val="008704B2"/>
    <w:rsid w:val="0087167A"/>
    <w:rsid w:val="00872187"/>
    <w:rsid w:val="00874906"/>
    <w:rsid w:val="00874BFC"/>
    <w:rsid w:val="00876B56"/>
    <w:rsid w:val="0088161E"/>
    <w:rsid w:val="0088193E"/>
    <w:rsid w:val="00882774"/>
    <w:rsid w:val="00882B8D"/>
    <w:rsid w:val="00885AC5"/>
    <w:rsid w:val="00886F6A"/>
    <w:rsid w:val="00887D97"/>
    <w:rsid w:val="00890EBC"/>
    <w:rsid w:val="00891734"/>
    <w:rsid w:val="00895E46"/>
    <w:rsid w:val="008967CB"/>
    <w:rsid w:val="008977A4"/>
    <w:rsid w:val="008A3AA0"/>
    <w:rsid w:val="008A55D4"/>
    <w:rsid w:val="008A60A9"/>
    <w:rsid w:val="008B1019"/>
    <w:rsid w:val="008B3FC7"/>
    <w:rsid w:val="008B5DEA"/>
    <w:rsid w:val="008B6331"/>
    <w:rsid w:val="008B67BA"/>
    <w:rsid w:val="008B7405"/>
    <w:rsid w:val="008C301B"/>
    <w:rsid w:val="008C5B46"/>
    <w:rsid w:val="008C725C"/>
    <w:rsid w:val="008D00FA"/>
    <w:rsid w:val="008D2B77"/>
    <w:rsid w:val="008D63E7"/>
    <w:rsid w:val="008D662C"/>
    <w:rsid w:val="008D73C7"/>
    <w:rsid w:val="008E0572"/>
    <w:rsid w:val="008E1519"/>
    <w:rsid w:val="008E287D"/>
    <w:rsid w:val="008E45A7"/>
    <w:rsid w:val="008F40DF"/>
    <w:rsid w:val="00900693"/>
    <w:rsid w:val="009006A6"/>
    <w:rsid w:val="00903037"/>
    <w:rsid w:val="00904336"/>
    <w:rsid w:val="009046B3"/>
    <w:rsid w:val="00905508"/>
    <w:rsid w:val="00905B3A"/>
    <w:rsid w:val="00907866"/>
    <w:rsid w:val="00916B64"/>
    <w:rsid w:val="00920C99"/>
    <w:rsid w:val="00925EBF"/>
    <w:rsid w:val="00927097"/>
    <w:rsid w:val="009275AE"/>
    <w:rsid w:val="009279C7"/>
    <w:rsid w:val="00931886"/>
    <w:rsid w:val="009330D7"/>
    <w:rsid w:val="009332B4"/>
    <w:rsid w:val="0093372E"/>
    <w:rsid w:val="00933E5E"/>
    <w:rsid w:val="00936E0A"/>
    <w:rsid w:val="00940847"/>
    <w:rsid w:val="00940FA6"/>
    <w:rsid w:val="0094101C"/>
    <w:rsid w:val="009421B0"/>
    <w:rsid w:val="0094715F"/>
    <w:rsid w:val="009514A5"/>
    <w:rsid w:val="00953549"/>
    <w:rsid w:val="00954247"/>
    <w:rsid w:val="009564C7"/>
    <w:rsid w:val="00956F8D"/>
    <w:rsid w:val="009572C8"/>
    <w:rsid w:val="00960B66"/>
    <w:rsid w:val="00962870"/>
    <w:rsid w:val="00962ACC"/>
    <w:rsid w:val="00964B02"/>
    <w:rsid w:val="009661C5"/>
    <w:rsid w:val="00966BCF"/>
    <w:rsid w:val="00972900"/>
    <w:rsid w:val="00972BE1"/>
    <w:rsid w:val="00974712"/>
    <w:rsid w:val="00974ED2"/>
    <w:rsid w:val="009756CC"/>
    <w:rsid w:val="00984865"/>
    <w:rsid w:val="00993114"/>
    <w:rsid w:val="009933AA"/>
    <w:rsid w:val="00995F5E"/>
    <w:rsid w:val="009967E9"/>
    <w:rsid w:val="00997538"/>
    <w:rsid w:val="009A2809"/>
    <w:rsid w:val="009A2EF8"/>
    <w:rsid w:val="009A4256"/>
    <w:rsid w:val="009A7916"/>
    <w:rsid w:val="009B2BC0"/>
    <w:rsid w:val="009B447F"/>
    <w:rsid w:val="009B6B7C"/>
    <w:rsid w:val="009C1CE2"/>
    <w:rsid w:val="009C33B6"/>
    <w:rsid w:val="009C5D1A"/>
    <w:rsid w:val="009C64B8"/>
    <w:rsid w:val="009C672B"/>
    <w:rsid w:val="009C6EA7"/>
    <w:rsid w:val="009D1627"/>
    <w:rsid w:val="009D21C8"/>
    <w:rsid w:val="009D412F"/>
    <w:rsid w:val="009D797B"/>
    <w:rsid w:val="009D7B9F"/>
    <w:rsid w:val="009E0777"/>
    <w:rsid w:val="009E1498"/>
    <w:rsid w:val="009E1C34"/>
    <w:rsid w:val="009E2FCF"/>
    <w:rsid w:val="009E3D1F"/>
    <w:rsid w:val="009E7FE7"/>
    <w:rsid w:val="009F2D22"/>
    <w:rsid w:val="009F5199"/>
    <w:rsid w:val="009F6408"/>
    <w:rsid w:val="00A00E02"/>
    <w:rsid w:val="00A047ED"/>
    <w:rsid w:val="00A05452"/>
    <w:rsid w:val="00A05CFC"/>
    <w:rsid w:val="00A077AC"/>
    <w:rsid w:val="00A07D0B"/>
    <w:rsid w:val="00A123BA"/>
    <w:rsid w:val="00A14408"/>
    <w:rsid w:val="00A2117A"/>
    <w:rsid w:val="00A21CCE"/>
    <w:rsid w:val="00A2254A"/>
    <w:rsid w:val="00A23A4F"/>
    <w:rsid w:val="00A23CC4"/>
    <w:rsid w:val="00A2552A"/>
    <w:rsid w:val="00A260BF"/>
    <w:rsid w:val="00A268ED"/>
    <w:rsid w:val="00A27BFC"/>
    <w:rsid w:val="00A31826"/>
    <w:rsid w:val="00A31954"/>
    <w:rsid w:val="00A3283D"/>
    <w:rsid w:val="00A32C05"/>
    <w:rsid w:val="00A347AC"/>
    <w:rsid w:val="00A35AB5"/>
    <w:rsid w:val="00A35DDA"/>
    <w:rsid w:val="00A40D7A"/>
    <w:rsid w:val="00A428B1"/>
    <w:rsid w:val="00A4428D"/>
    <w:rsid w:val="00A45C50"/>
    <w:rsid w:val="00A45DFE"/>
    <w:rsid w:val="00A47351"/>
    <w:rsid w:val="00A47721"/>
    <w:rsid w:val="00A47E7E"/>
    <w:rsid w:val="00A47FEC"/>
    <w:rsid w:val="00A50146"/>
    <w:rsid w:val="00A52E4B"/>
    <w:rsid w:val="00A53075"/>
    <w:rsid w:val="00A543C4"/>
    <w:rsid w:val="00A569A9"/>
    <w:rsid w:val="00A56AFF"/>
    <w:rsid w:val="00A637BA"/>
    <w:rsid w:val="00A63F81"/>
    <w:rsid w:val="00A66FA8"/>
    <w:rsid w:val="00A70CA2"/>
    <w:rsid w:val="00A71A44"/>
    <w:rsid w:val="00A7363E"/>
    <w:rsid w:val="00A805C4"/>
    <w:rsid w:val="00A80606"/>
    <w:rsid w:val="00A81C0E"/>
    <w:rsid w:val="00A826A4"/>
    <w:rsid w:val="00A828D4"/>
    <w:rsid w:val="00A83919"/>
    <w:rsid w:val="00A84585"/>
    <w:rsid w:val="00A84832"/>
    <w:rsid w:val="00A8542F"/>
    <w:rsid w:val="00A92E22"/>
    <w:rsid w:val="00A95AFB"/>
    <w:rsid w:val="00AA1E77"/>
    <w:rsid w:val="00AA1ED7"/>
    <w:rsid w:val="00AA2125"/>
    <w:rsid w:val="00AA7B39"/>
    <w:rsid w:val="00AB291E"/>
    <w:rsid w:val="00AB3079"/>
    <w:rsid w:val="00AB454C"/>
    <w:rsid w:val="00AB7314"/>
    <w:rsid w:val="00AC0B60"/>
    <w:rsid w:val="00AC35C8"/>
    <w:rsid w:val="00AC5579"/>
    <w:rsid w:val="00AC77D9"/>
    <w:rsid w:val="00AD254C"/>
    <w:rsid w:val="00AD3F91"/>
    <w:rsid w:val="00AD5063"/>
    <w:rsid w:val="00AD6590"/>
    <w:rsid w:val="00AE0656"/>
    <w:rsid w:val="00AE0F5B"/>
    <w:rsid w:val="00AE17FA"/>
    <w:rsid w:val="00AE3AEB"/>
    <w:rsid w:val="00AE6236"/>
    <w:rsid w:val="00AE7FF3"/>
    <w:rsid w:val="00AF5F1C"/>
    <w:rsid w:val="00AF6CF5"/>
    <w:rsid w:val="00B0490C"/>
    <w:rsid w:val="00B05534"/>
    <w:rsid w:val="00B05CAE"/>
    <w:rsid w:val="00B070E2"/>
    <w:rsid w:val="00B12019"/>
    <w:rsid w:val="00B122D8"/>
    <w:rsid w:val="00B13624"/>
    <w:rsid w:val="00B13908"/>
    <w:rsid w:val="00B151A8"/>
    <w:rsid w:val="00B20392"/>
    <w:rsid w:val="00B235BC"/>
    <w:rsid w:val="00B24221"/>
    <w:rsid w:val="00B24368"/>
    <w:rsid w:val="00B2626C"/>
    <w:rsid w:val="00B307F7"/>
    <w:rsid w:val="00B32CAE"/>
    <w:rsid w:val="00B3421D"/>
    <w:rsid w:val="00B35641"/>
    <w:rsid w:val="00B36173"/>
    <w:rsid w:val="00B41020"/>
    <w:rsid w:val="00B42F9A"/>
    <w:rsid w:val="00B459DA"/>
    <w:rsid w:val="00B4774B"/>
    <w:rsid w:val="00B502F9"/>
    <w:rsid w:val="00B52622"/>
    <w:rsid w:val="00B529B8"/>
    <w:rsid w:val="00B53EAE"/>
    <w:rsid w:val="00B619C4"/>
    <w:rsid w:val="00B63108"/>
    <w:rsid w:val="00B64A4E"/>
    <w:rsid w:val="00B64BC6"/>
    <w:rsid w:val="00B657A0"/>
    <w:rsid w:val="00B66875"/>
    <w:rsid w:val="00B71C05"/>
    <w:rsid w:val="00B73167"/>
    <w:rsid w:val="00B756D1"/>
    <w:rsid w:val="00B7661F"/>
    <w:rsid w:val="00B77958"/>
    <w:rsid w:val="00B7798B"/>
    <w:rsid w:val="00B807A2"/>
    <w:rsid w:val="00B82491"/>
    <w:rsid w:val="00B851D0"/>
    <w:rsid w:val="00B92194"/>
    <w:rsid w:val="00B94AC5"/>
    <w:rsid w:val="00B95D90"/>
    <w:rsid w:val="00B96171"/>
    <w:rsid w:val="00B97C03"/>
    <w:rsid w:val="00BA114B"/>
    <w:rsid w:val="00BA4C4A"/>
    <w:rsid w:val="00BA5453"/>
    <w:rsid w:val="00BA65F5"/>
    <w:rsid w:val="00BA7026"/>
    <w:rsid w:val="00BA718D"/>
    <w:rsid w:val="00BA7E13"/>
    <w:rsid w:val="00BB1932"/>
    <w:rsid w:val="00BB471C"/>
    <w:rsid w:val="00BB4F74"/>
    <w:rsid w:val="00BB5003"/>
    <w:rsid w:val="00BB60E7"/>
    <w:rsid w:val="00BC050E"/>
    <w:rsid w:val="00BC12EE"/>
    <w:rsid w:val="00BC1489"/>
    <w:rsid w:val="00BC203B"/>
    <w:rsid w:val="00BC33A9"/>
    <w:rsid w:val="00BD2F65"/>
    <w:rsid w:val="00BD6DC6"/>
    <w:rsid w:val="00BE1BEC"/>
    <w:rsid w:val="00BE4973"/>
    <w:rsid w:val="00BE4A86"/>
    <w:rsid w:val="00BE4A91"/>
    <w:rsid w:val="00BE60A7"/>
    <w:rsid w:val="00BF28B3"/>
    <w:rsid w:val="00BF6FA8"/>
    <w:rsid w:val="00BF76B0"/>
    <w:rsid w:val="00C02712"/>
    <w:rsid w:val="00C051A8"/>
    <w:rsid w:val="00C07B2A"/>
    <w:rsid w:val="00C11F6E"/>
    <w:rsid w:val="00C13F63"/>
    <w:rsid w:val="00C15831"/>
    <w:rsid w:val="00C168B7"/>
    <w:rsid w:val="00C20B39"/>
    <w:rsid w:val="00C21595"/>
    <w:rsid w:val="00C22F13"/>
    <w:rsid w:val="00C22FCC"/>
    <w:rsid w:val="00C24264"/>
    <w:rsid w:val="00C2444F"/>
    <w:rsid w:val="00C30D22"/>
    <w:rsid w:val="00C31744"/>
    <w:rsid w:val="00C33666"/>
    <w:rsid w:val="00C35E36"/>
    <w:rsid w:val="00C364DD"/>
    <w:rsid w:val="00C37792"/>
    <w:rsid w:val="00C415BC"/>
    <w:rsid w:val="00C44E2D"/>
    <w:rsid w:val="00C465D3"/>
    <w:rsid w:val="00C46B60"/>
    <w:rsid w:val="00C474B2"/>
    <w:rsid w:val="00C563B6"/>
    <w:rsid w:val="00C57B8C"/>
    <w:rsid w:val="00C624A2"/>
    <w:rsid w:val="00C645BB"/>
    <w:rsid w:val="00C65656"/>
    <w:rsid w:val="00C66A53"/>
    <w:rsid w:val="00C66FB7"/>
    <w:rsid w:val="00C76490"/>
    <w:rsid w:val="00C848C9"/>
    <w:rsid w:val="00C8655B"/>
    <w:rsid w:val="00C91CDE"/>
    <w:rsid w:val="00C91F22"/>
    <w:rsid w:val="00C92C81"/>
    <w:rsid w:val="00C943E9"/>
    <w:rsid w:val="00CA01B6"/>
    <w:rsid w:val="00CA2781"/>
    <w:rsid w:val="00CA398D"/>
    <w:rsid w:val="00CA45CB"/>
    <w:rsid w:val="00CA6808"/>
    <w:rsid w:val="00CA7567"/>
    <w:rsid w:val="00CB452C"/>
    <w:rsid w:val="00CB4A3D"/>
    <w:rsid w:val="00CB5583"/>
    <w:rsid w:val="00CB5C0F"/>
    <w:rsid w:val="00CB7FDA"/>
    <w:rsid w:val="00CC4995"/>
    <w:rsid w:val="00CC505F"/>
    <w:rsid w:val="00CC5715"/>
    <w:rsid w:val="00CD1726"/>
    <w:rsid w:val="00CD225D"/>
    <w:rsid w:val="00CD4175"/>
    <w:rsid w:val="00CD6C71"/>
    <w:rsid w:val="00CD78E5"/>
    <w:rsid w:val="00CE076F"/>
    <w:rsid w:val="00CE0E41"/>
    <w:rsid w:val="00CE2D7F"/>
    <w:rsid w:val="00CE32CD"/>
    <w:rsid w:val="00CE3D0B"/>
    <w:rsid w:val="00CE44DD"/>
    <w:rsid w:val="00CF2931"/>
    <w:rsid w:val="00CF3754"/>
    <w:rsid w:val="00CF3D31"/>
    <w:rsid w:val="00CF3FE8"/>
    <w:rsid w:val="00CF5C55"/>
    <w:rsid w:val="00D0363A"/>
    <w:rsid w:val="00D065C5"/>
    <w:rsid w:val="00D0782A"/>
    <w:rsid w:val="00D1077A"/>
    <w:rsid w:val="00D1446B"/>
    <w:rsid w:val="00D21F7E"/>
    <w:rsid w:val="00D230C6"/>
    <w:rsid w:val="00D2649C"/>
    <w:rsid w:val="00D273BE"/>
    <w:rsid w:val="00D3252E"/>
    <w:rsid w:val="00D32643"/>
    <w:rsid w:val="00D3367B"/>
    <w:rsid w:val="00D336D8"/>
    <w:rsid w:val="00D3696B"/>
    <w:rsid w:val="00D37D3B"/>
    <w:rsid w:val="00D47623"/>
    <w:rsid w:val="00D51558"/>
    <w:rsid w:val="00D60678"/>
    <w:rsid w:val="00D609BA"/>
    <w:rsid w:val="00D61413"/>
    <w:rsid w:val="00D62541"/>
    <w:rsid w:val="00D64F3A"/>
    <w:rsid w:val="00D66247"/>
    <w:rsid w:val="00D66886"/>
    <w:rsid w:val="00D66F49"/>
    <w:rsid w:val="00D7284C"/>
    <w:rsid w:val="00D74280"/>
    <w:rsid w:val="00D74B9C"/>
    <w:rsid w:val="00D765D5"/>
    <w:rsid w:val="00D77AEF"/>
    <w:rsid w:val="00D813D8"/>
    <w:rsid w:val="00D8175D"/>
    <w:rsid w:val="00D818CF"/>
    <w:rsid w:val="00D81A15"/>
    <w:rsid w:val="00D83624"/>
    <w:rsid w:val="00D83DD9"/>
    <w:rsid w:val="00D8654A"/>
    <w:rsid w:val="00D879C7"/>
    <w:rsid w:val="00D9071B"/>
    <w:rsid w:val="00D91A54"/>
    <w:rsid w:val="00D92014"/>
    <w:rsid w:val="00D9317E"/>
    <w:rsid w:val="00D96176"/>
    <w:rsid w:val="00D97A95"/>
    <w:rsid w:val="00DA0216"/>
    <w:rsid w:val="00DA24A3"/>
    <w:rsid w:val="00DB0400"/>
    <w:rsid w:val="00DB0B93"/>
    <w:rsid w:val="00DB0CCC"/>
    <w:rsid w:val="00DB0E7C"/>
    <w:rsid w:val="00DB227F"/>
    <w:rsid w:val="00DB2BAB"/>
    <w:rsid w:val="00DB49D5"/>
    <w:rsid w:val="00DB759D"/>
    <w:rsid w:val="00DC0B72"/>
    <w:rsid w:val="00DC578C"/>
    <w:rsid w:val="00DC6A1F"/>
    <w:rsid w:val="00DC6F92"/>
    <w:rsid w:val="00DD1747"/>
    <w:rsid w:val="00DD2133"/>
    <w:rsid w:val="00DD38F6"/>
    <w:rsid w:val="00DD4A11"/>
    <w:rsid w:val="00DD4FB9"/>
    <w:rsid w:val="00DD737B"/>
    <w:rsid w:val="00DE1033"/>
    <w:rsid w:val="00DE288F"/>
    <w:rsid w:val="00DE2BFF"/>
    <w:rsid w:val="00DE3226"/>
    <w:rsid w:val="00DE58F9"/>
    <w:rsid w:val="00DE680C"/>
    <w:rsid w:val="00DE7971"/>
    <w:rsid w:val="00DF1985"/>
    <w:rsid w:val="00DF5B31"/>
    <w:rsid w:val="00DF7C64"/>
    <w:rsid w:val="00E02114"/>
    <w:rsid w:val="00E03783"/>
    <w:rsid w:val="00E06502"/>
    <w:rsid w:val="00E0716D"/>
    <w:rsid w:val="00E1016B"/>
    <w:rsid w:val="00E10E7C"/>
    <w:rsid w:val="00E15007"/>
    <w:rsid w:val="00E17769"/>
    <w:rsid w:val="00E20ABC"/>
    <w:rsid w:val="00E20C19"/>
    <w:rsid w:val="00E23505"/>
    <w:rsid w:val="00E24890"/>
    <w:rsid w:val="00E26737"/>
    <w:rsid w:val="00E30BDB"/>
    <w:rsid w:val="00E34C6A"/>
    <w:rsid w:val="00E36724"/>
    <w:rsid w:val="00E42612"/>
    <w:rsid w:val="00E42AF9"/>
    <w:rsid w:val="00E44E76"/>
    <w:rsid w:val="00E457A5"/>
    <w:rsid w:val="00E45EDE"/>
    <w:rsid w:val="00E46CE6"/>
    <w:rsid w:val="00E508A0"/>
    <w:rsid w:val="00E516C7"/>
    <w:rsid w:val="00E52782"/>
    <w:rsid w:val="00E52FD0"/>
    <w:rsid w:val="00E53668"/>
    <w:rsid w:val="00E562C9"/>
    <w:rsid w:val="00E57CE7"/>
    <w:rsid w:val="00E64D73"/>
    <w:rsid w:val="00E65B2B"/>
    <w:rsid w:val="00E67DC6"/>
    <w:rsid w:val="00E84AD3"/>
    <w:rsid w:val="00E8555A"/>
    <w:rsid w:val="00E907D3"/>
    <w:rsid w:val="00E9117E"/>
    <w:rsid w:val="00E91C2B"/>
    <w:rsid w:val="00E9267B"/>
    <w:rsid w:val="00E9477F"/>
    <w:rsid w:val="00E97632"/>
    <w:rsid w:val="00EA168E"/>
    <w:rsid w:val="00EA2585"/>
    <w:rsid w:val="00EA416E"/>
    <w:rsid w:val="00EA6533"/>
    <w:rsid w:val="00EA7196"/>
    <w:rsid w:val="00EB209E"/>
    <w:rsid w:val="00EB2EE0"/>
    <w:rsid w:val="00EB6899"/>
    <w:rsid w:val="00EC0FB9"/>
    <w:rsid w:val="00EC1329"/>
    <w:rsid w:val="00EC1698"/>
    <w:rsid w:val="00EC21B3"/>
    <w:rsid w:val="00EC26B2"/>
    <w:rsid w:val="00EC4BAC"/>
    <w:rsid w:val="00EC56C9"/>
    <w:rsid w:val="00EC58D0"/>
    <w:rsid w:val="00EC6200"/>
    <w:rsid w:val="00ED29DF"/>
    <w:rsid w:val="00EE220D"/>
    <w:rsid w:val="00EE440D"/>
    <w:rsid w:val="00EE4955"/>
    <w:rsid w:val="00EE5143"/>
    <w:rsid w:val="00EE75C1"/>
    <w:rsid w:val="00EF0C12"/>
    <w:rsid w:val="00EF4112"/>
    <w:rsid w:val="00EF6643"/>
    <w:rsid w:val="00EF7399"/>
    <w:rsid w:val="00F02127"/>
    <w:rsid w:val="00F03096"/>
    <w:rsid w:val="00F04171"/>
    <w:rsid w:val="00F04CFE"/>
    <w:rsid w:val="00F04E3D"/>
    <w:rsid w:val="00F10690"/>
    <w:rsid w:val="00F14AAD"/>
    <w:rsid w:val="00F15A03"/>
    <w:rsid w:val="00F1614E"/>
    <w:rsid w:val="00F1787C"/>
    <w:rsid w:val="00F23B12"/>
    <w:rsid w:val="00F3551B"/>
    <w:rsid w:val="00F41C83"/>
    <w:rsid w:val="00F43948"/>
    <w:rsid w:val="00F4432F"/>
    <w:rsid w:val="00F47A3D"/>
    <w:rsid w:val="00F47D02"/>
    <w:rsid w:val="00F47F50"/>
    <w:rsid w:val="00F518DB"/>
    <w:rsid w:val="00F53D6E"/>
    <w:rsid w:val="00F55898"/>
    <w:rsid w:val="00F55EB1"/>
    <w:rsid w:val="00F56076"/>
    <w:rsid w:val="00F620DD"/>
    <w:rsid w:val="00F6265D"/>
    <w:rsid w:val="00F646A2"/>
    <w:rsid w:val="00F65BF5"/>
    <w:rsid w:val="00F70302"/>
    <w:rsid w:val="00F72A20"/>
    <w:rsid w:val="00F72AAD"/>
    <w:rsid w:val="00F72FBB"/>
    <w:rsid w:val="00F73BC2"/>
    <w:rsid w:val="00F73F3B"/>
    <w:rsid w:val="00F74775"/>
    <w:rsid w:val="00F75143"/>
    <w:rsid w:val="00F76043"/>
    <w:rsid w:val="00F807D7"/>
    <w:rsid w:val="00F8218B"/>
    <w:rsid w:val="00F8241E"/>
    <w:rsid w:val="00F83C2D"/>
    <w:rsid w:val="00F84451"/>
    <w:rsid w:val="00F848FF"/>
    <w:rsid w:val="00F8555B"/>
    <w:rsid w:val="00F8662C"/>
    <w:rsid w:val="00F90AD7"/>
    <w:rsid w:val="00F91675"/>
    <w:rsid w:val="00F92857"/>
    <w:rsid w:val="00F941F8"/>
    <w:rsid w:val="00F97718"/>
    <w:rsid w:val="00F97C4A"/>
    <w:rsid w:val="00FA1207"/>
    <w:rsid w:val="00FA6D96"/>
    <w:rsid w:val="00FA7E59"/>
    <w:rsid w:val="00FB438B"/>
    <w:rsid w:val="00FB5E2B"/>
    <w:rsid w:val="00FB671E"/>
    <w:rsid w:val="00FC070A"/>
    <w:rsid w:val="00FC15A2"/>
    <w:rsid w:val="00FC3792"/>
    <w:rsid w:val="00FC6389"/>
    <w:rsid w:val="00FD2B70"/>
    <w:rsid w:val="00FD3DD4"/>
    <w:rsid w:val="00FD480A"/>
    <w:rsid w:val="00FD4E1C"/>
    <w:rsid w:val="00FD5A4F"/>
    <w:rsid w:val="00FE041C"/>
    <w:rsid w:val="00FE3166"/>
    <w:rsid w:val="00FE3EEF"/>
    <w:rsid w:val="00FE5EBF"/>
    <w:rsid w:val="00FE7AEA"/>
    <w:rsid w:val="00FF3180"/>
    <w:rsid w:val="00FF4C28"/>
    <w:rsid w:val="00FF569F"/>
    <w:rsid w:val="00FF7182"/>
    <w:rsid w:val="015D18DC"/>
    <w:rsid w:val="01852BD3"/>
    <w:rsid w:val="018A6C3C"/>
    <w:rsid w:val="01A8609A"/>
    <w:rsid w:val="02195A53"/>
    <w:rsid w:val="029D41FE"/>
    <w:rsid w:val="02A800C5"/>
    <w:rsid w:val="02C6499B"/>
    <w:rsid w:val="02C91CAA"/>
    <w:rsid w:val="037D0CD2"/>
    <w:rsid w:val="038B3366"/>
    <w:rsid w:val="03981B5E"/>
    <w:rsid w:val="03996EAD"/>
    <w:rsid w:val="03F60BFA"/>
    <w:rsid w:val="04023CC8"/>
    <w:rsid w:val="042674F4"/>
    <w:rsid w:val="042D3C13"/>
    <w:rsid w:val="04722D72"/>
    <w:rsid w:val="047A0BBC"/>
    <w:rsid w:val="04C12ED8"/>
    <w:rsid w:val="04DC5749"/>
    <w:rsid w:val="04E26FED"/>
    <w:rsid w:val="04E41F94"/>
    <w:rsid w:val="04FD6633"/>
    <w:rsid w:val="050F0413"/>
    <w:rsid w:val="052E2B3B"/>
    <w:rsid w:val="054416D2"/>
    <w:rsid w:val="054B05E2"/>
    <w:rsid w:val="05507F0F"/>
    <w:rsid w:val="057E5F0D"/>
    <w:rsid w:val="05871A0A"/>
    <w:rsid w:val="05A42E7B"/>
    <w:rsid w:val="05A70EA9"/>
    <w:rsid w:val="05D55D36"/>
    <w:rsid w:val="05EF03F3"/>
    <w:rsid w:val="060C2525"/>
    <w:rsid w:val="062756FD"/>
    <w:rsid w:val="065F7A31"/>
    <w:rsid w:val="067C53E7"/>
    <w:rsid w:val="06820F5E"/>
    <w:rsid w:val="06AE2ABA"/>
    <w:rsid w:val="06C75DF5"/>
    <w:rsid w:val="06DD02BB"/>
    <w:rsid w:val="06E71F51"/>
    <w:rsid w:val="06F965AD"/>
    <w:rsid w:val="07050666"/>
    <w:rsid w:val="071C4DB7"/>
    <w:rsid w:val="07362674"/>
    <w:rsid w:val="073B54B2"/>
    <w:rsid w:val="07537EF9"/>
    <w:rsid w:val="07815EE7"/>
    <w:rsid w:val="081748AE"/>
    <w:rsid w:val="08635851"/>
    <w:rsid w:val="08817572"/>
    <w:rsid w:val="08C2359B"/>
    <w:rsid w:val="09041814"/>
    <w:rsid w:val="092D7BDC"/>
    <w:rsid w:val="09332D2B"/>
    <w:rsid w:val="093E2D64"/>
    <w:rsid w:val="09472203"/>
    <w:rsid w:val="09633686"/>
    <w:rsid w:val="098B1DA7"/>
    <w:rsid w:val="09907951"/>
    <w:rsid w:val="099F43E4"/>
    <w:rsid w:val="09A31A61"/>
    <w:rsid w:val="09BA7A85"/>
    <w:rsid w:val="09DE1094"/>
    <w:rsid w:val="09E2475B"/>
    <w:rsid w:val="0A3F34B7"/>
    <w:rsid w:val="0A4B11BE"/>
    <w:rsid w:val="0A7B4003"/>
    <w:rsid w:val="0A8E5B8D"/>
    <w:rsid w:val="0AA240FA"/>
    <w:rsid w:val="0AAC0CBB"/>
    <w:rsid w:val="0ACE6829"/>
    <w:rsid w:val="0AD84BD3"/>
    <w:rsid w:val="0AE941D3"/>
    <w:rsid w:val="0B0E3A62"/>
    <w:rsid w:val="0B1061C6"/>
    <w:rsid w:val="0B2B08D5"/>
    <w:rsid w:val="0BA35012"/>
    <w:rsid w:val="0BB825ED"/>
    <w:rsid w:val="0BC0647C"/>
    <w:rsid w:val="0BD7624B"/>
    <w:rsid w:val="0BF26817"/>
    <w:rsid w:val="0C22464A"/>
    <w:rsid w:val="0C2B72AE"/>
    <w:rsid w:val="0C623EAC"/>
    <w:rsid w:val="0C946488"/>
    <w:rsid w:val="0CA339DF"/>
    <w:rsid w:val="0CAD24AF"/>
    <w:rsid w:val="0CB27F34"/>
    <w:rsid w:val="0D0D3F93"/>
    <w:rsid w:val="0D12389F"/>
    <w:rsid w:val="0D2820B7"/>
    <w:rsid w:val="0D662EE5"/>
    <w:rsid w:val="0D780CCE"/>
    <w:rsid w:val="0D860EC5"/>
    <w:rsid w:val="0D9339BE"/>
    <w:rsid w:val="0D9E6A67"/>
    <w:rsid w:val="0D9F0DC4"/>
    <w:rsid w:val="0DC02AA1"/>
    <w:rsid w:val="0DDE695A"/>
    <w:rsid w:val="0DF73A5B"/>
    <w:rsid w:val="0E164CA8"/>
    <w:rsid w:val="0E231949"/>
    <w:rsid w:val="0E2D072E"/>
    <w:rsid w:val="0E3B295D"/>
    <w:rsid w:val="0E47249B"/>
    <w:rsid w:val="0E551882"/>
    <w:rsid w:val="0E7306EC"/>
    <w:rsid w:val="0EB254B2"/>
    <w:rsid w:val="0EFB3F5D"/>
    <w:rsid w:val="0F041CC7"/>
    <w:rsid w:val="0F042317"/>
    <w:rsid w:val="0F1209F8"/>
    <w:rsid w:val="0F4C19DA"/>
    <w:rsid w:val="0F4C7D05"/>
    <w:rsid w:val="0F4F31AF"/>
    <w:rsid w:val="0F5F17BD"/>
    <w:rsid w:val="0F90531D"/>
    <w:rsid w:val="0FAD64B5"/>
    <w:rsid w:val="0FB21FD4"/>
    <w:rsid w:val="0FFF5930"/>
    <w:rsid w:val="102B0279"/>
    <w:rsid w:val="10A265EF"/>
    <w:rsid w:val="10EC4A0F"/>
    <w:rsid w:val="11156FC6"/>
    <w:rsid w:val="11485B0D"/>
    <w:rsid w:val="114C7209"/>
    <w:rsid w:val="1154158B"/>
    <w:rsid w:val="117076B2"/>
    <w:rsid w:val="119E6579"/>
    <w:rsid w:val="11D435DD"/>
    <w:rsid w:val="11DA3C43"/>
    <w:rsid w:val="11DB3F4B"/>
    <w:rsid w:val="11FD0857"/>
    <w:rsid w:val="1220326C"/>
    <w:rsid w:val="123A67B6"/>
    <w:rsid w:val="125670E6"/>
    <w:rsid w:val="125E1A9C"/>
    <w:rsid w:val="1276289F"/>
    <w:rsid w:val="1288522D"/>
    <w:rsid w:val="12973CBF"/>
    <w:rsid w:val="129D6A95"/>
    <w:rsid w:val="12AF4046"/>
    <w:rsid w:val="12BB2799"/>
    <w:rsid w:val="12CE506D"/>
    <w:rsid w:val="12EF7191"/>
    <w:rsid w:val="12F65490"/>
    <w:rsid w:val="12F73D2A"/>
    <w:rsid w:val="12F9698E"/>
    <w:rsid w:val="13112273"/>
    <w:rsid w:val="131C7C5D"/>
    <w:rsid w:val="13511DF6"/>
    <w:rsid w:val="138B4634"/>
    <w:rsid w:val="138F1214"/>
    <w:rsid w:val="13BF412F"/>
    <w:rsid w:val="13D101C7"/>
    <w:rsid w:val="1400440E"/>
    <w:rsid w:val="142669A3"/>
    <w:rsid w:val="143805F9"/>
    <w:rsid w:val="144729D8"/>
    <w:rsid w:val="148E78CB"/>
    <w:rsid w:val="149F4D92"/>
    <w:rsid w:val="14A13E6D"/>
    <w:rsid w:val="14AB614D"/>
    <w:rsid w:val="14B96C2B"/>
    <w:rsid w:val="15436E45"/>
    <w:rsid w:val="15507C7E"/>
    <w:rsid w:val="15664AEF"/>
    <w:rsid w:val="158E23E1"/>
    <w:rsid w:val="159D7EA6"/>
    <w:rsid w:val="159F1BF9"/>
    <w:rsid w:val="15B71B1D"/>
    <w:rsid w:val="15E63361"/>
    <w:rsid w:val="160B0227"/>
    <w:rsid w:val="16652508"/>
    <w:rsid w:val="16864176"/>
    <w:rsid w:val="16E04880"/>
    <w:rsid w:val="16F86032"/>
    <w:rsid w:val="17081A7A"/>
    <w:rsid w:val="17292C0C"/>
    <w:rsid w:val="176F50FE"/>
    <w:rsid w:val="17D10049"/>
    <w:rsid w:val="17DD0B49"/>
    <w:rsid w:val="17F1563C"/>
    <w:rsid w:val="17F23C73"/>
    <w:rsid w:val="180F3B80"/>
    <w:rsid w:val="181B1411"/>
    <w:rsid w:val="181C1400"/>
    <w:rsid w:val="18223BBF"/>
    <w:rsid w:val="18406E44"/>
    <w:rsid w:val="185C1918"/>
    <w:rsid w:val="1880349D"/>
    <w:rsid w:val="18D435BC"/>
    <w:rsid w:val="18E261BC"/>
    <w:rsid w:val="19193365"/>
    <w:rsid w:val="19261639"/>
    <w:rsid w:val="195D5C0E"/>
    <w:rsid w:val="19B64CC2"/>
    <w:rsid w:val="19BA69A5"/>
    <w:rsid w:val="19DF6D3F"/>
    <w:rsid w:val="19E24459"/>
    <w:rsid w:val="1A305FF4"/>
    <w:rsid w:val="1A3D7EBE"/>
    <w:rsid w:val="1A4353A0"/>
    <w:rsid w:val="1A557489"/>
    <w:rsid w:val="1AF45443"/>
    <w:rsid w:val="1B075A0C"/>
    <w:rsid w:val="1B67066F"/>
    <w:rsid w:val="1B7229E4"/>
    <w:rsid w:val="1B7A5EC7"/>
    <w:rsid w:val="1B8E5EC0"/>
    <w:rsid w:val="1CB33990"/>
    <w:rsid w:val="1CF6260F"/>
    <w:rsid w:val="1CF83AEA"/>
    <w:rsid w:val="1CF911FC"/>
    <w:rsid w:val="1D6914D5"/>
    <w:rsid w:val="1D7C7A22"/>
    <w:rsid w:val="1D7E09CF"/>
    <w:rsid w:val="1D9F1A69"/>
    <w:rsid w:val="1DE41480"/>
    <w:rsid w:val="1E2139B7"/>
    <w:rsid w:val="1E7A14A8"/>
    <w:rsid w:val="1E7F32B0"/>
    <w:rsid w:val="1EBA058B"/>
    <w:rsid w:val="1EBB622E"/>
    <w:rsid w:val="1EEA13A6"/>
    <w:rsid w:val="1EFE64E9"/>
    <w:rsid w:val="1F6207D0"/>
    <w:rsid w:val="1FE1627D"/>
    <w:rsid w:val="1FEA603B"/>
    <w:rsid w:val="20133D98"/>
    <w:rsid w:val="20226856"/>
    <w:rsid w:val="20293E2F"/>
    <w:rsid w:val="20686E43"/>
    <w:rsid w:val="206E3E8E"/>
    <w:rsid w:val="207224C8"/>
    <w:rsid w:val="2076639A"/>
    <w:rsid w:val="2093114F"/>
    <w:rsid w:val="209B57AA"/>
    <w:rsid w:val="20A121FD"/>
    <w:rsid w:val="20C20004"/>
    <w:rsid w:val="20D83D6E"/>
    <w:rsid w:val="20DE5531"/>
    <w:rsid w:val="20E1180E"/>
    <w:rsid w:val="20EA6084"/>
    <w:rsid w:val="20F01139"/>
    <w:rsid w:val="20F1461D"/>
    <w:rsid w:val="212B522B"/>
    <w:rsid w:val="21736537"/>
    <w:rsid w:val="217A1085"/>
    <w:rsid w:val="21977807"/>
    <w:rsid w:val="219A6D4B"/>
    <w:rsid w:val="21C2735E"/>
    <w:rsid w:val="21E57FA3"/>
    <w:rsid w:val="21FB5A74"/>
    <w:rsid w:val="226827C0"/>
    <w:rsid w:val="227C6EFF"/>
    <w:rsid w:val="228B24F6"/>
    <w:rsid w:val="22942795"/>
    <w:rsid w:val="22A10D06"/>
    <w:rsid w:val="22B665A5"/>
    <w:rsid w:val="22C925E0"/>
    <w:rsid w:val="22E46F4A"/>
    <w:rsid w:val="22F20159"/>
    <w:rsid w:val="23005537"/>
    <w:rsid w:val="233C2C53"/>
    <w:rsid w:val="23486890"/>
    <w:rsid w:val="236F1F61"/>
    <w:rsid w:val="2392227D"/>
    <w:rsid w:val="23AB4CDF"/>
    <w:rsid w:val="23C37A75"/>
    <w:rsid w:val="24220F3E"/>
    <w:rsid w:val="2423604B"/>
    <w:rsid w:val="243A3F7E"/>
    <w:rsid w:val="24436391"/>
    <w:rsid w:val="2450121E"/>
    <w:rsid w:val="2487622C"/>
    <w:rsid w:val="24973094"/>
    <w:rsid w:val="24AD6D9A"/>
    <w:rsid w:val="251418FC"/>
    <w:rsid w:val="252E0BC1"/>
    <w:rsid w:val="25A845B3"/>
    <w:rsid w:val="25C5358D"/>
    <w:rsid w:val="25EB71B7"/>
    <w:rsid w:val="26154215"/>
    <w:rsid w:val="261A0BE6"/>
    <w:rsid w:val="263C7691"/>
    <w:rsid w:val="265E2776"/>
    <w:rsid w:val="26666FDC"/>
    <w:rsid w:val="26AB763C"/>
    <w:rsid w:val="26B267E7"/>
    <w:rsid w:val="26F131DC"/>
    <w:rsid w:val="26F65310"/>
    <w:rsid w:val="27052D05"/>
    <w:rsid w:val="27082804"/>
    <w:rsid w:val="270832AE"/>
    <w:rsid w:val="27357F9F"/>
    <w:rsid w:val="27A4553F"/>
    <w:rsid w:val="27D35135"/>
    <w:rsid w:val="27EF1935"/>
    <w:rsid w:val="280A1B75"/>
    <w:rsid w:val="283962F8"/>
    <w:rsid w:val="284F363F"/>
    <w:rsid w:val="287A36F4"/>
    <w:rsid w:val="288458E7"/>
    <w:rsid w:val="28A33A20"/>
    <w:rsid w:val="28A47F17"/>
    <w:rsid w:val="290212C1"/>
    <w:rsid w:val="290D5ED8"/>
    <w:rsid w:val="29656DCE"/>
    <w:rsid w:val="298B4B23"/>
    <w:rsid w:val="29B71FDB"/>
    <w:rsid w:val="29CF18DD"/>
    <w:rsid w:val="29D65D23"/>
    <w:rsid w:val="29D875FE"/>
    <w:rsid w:val="2A194E5D"/>
    <w:rsid w:val="2A21554B"/>
    <w:rsid w:val="2A594BC2"/>
    <w:rsid w:val="2A9F7561"/>
    <w:rsid w:val="2AA90FA0"/>
    <w:rsid w:val="2AB31CE2"/>
    <w:rsid w:val="2AB55266"/>
    <w:rsid w:val="2B487382"/>
    <w:rsid w:val="2B552F60"/>
    <w:rsid w:val="2B7841A6"/>
    <w:rsid w:val="2BB367B9"/>
    <w:rsid w:val="2C13380B"/>
    <w:rsid w:val="2C184D47"/>
    <w:rsid w:val="2C796A89"/>
    <w:rsid w:val="2CBD3A96"/>
    <w:rsid w:val="2CC74339"/>
    <w:rsid w:val="2CCC23F7"/>
    <w:rsid w:val="2CCE1414"/>
    <w:rsid w:val="2CF93ABF"/>
    <w:rsid w:val="2D1E27A3"/>
    <w:rsid w:val="2D394FF5"/>
    <w:rsid w:val="2D766528"/>
    <w:rsid w:val="2E6A704D"/>
    <w:rsid w:val="2E8A6255"/>
    <w:rsid w:val="2F0B1048"/>
    <w:rsid w:val="2F141AAA"/>
    <w:rsid w:val="2FCA4353"/>
    <w:rsid w:val="2FE55D75"/>
    <w:rsid w:val="2FF23F99"/>
    <w:rsid w:val="30236367"/>
    <w:rsid w:val="30331BC6"/>
    <w:rsid w:val="303E7E03"/>
    <w:rsid w:val="304A182B"/>
    <w:rsid w:val="30700C52"/>
    <w:rsid w:val="30757C00"/>
    <w:rsid w:val="307D5D65"/>
    <w:rsid w:val="30B34CE3"/>
    <w:rsid w:val="30C9177E"/>
    <w:rsid w:val="30CB1C83"/>
    <w:rsid w:val="30ED2830"/>
    <w:rsid w:val="316B2857"/>
    <w:rsid w:val="31832D29"/>
    <w:rsid w:val="319D5339"/>
    <w:rsid w:val="319F2F47"/>
    <w:rsid w:val="31B514CB"/>
    <w:rsid w:val="31D20CDE"/>
    <w:rsid w:val="31F37E23"/>
    <w:rsid w:val="31FE689A"/>
    <w:rsid w:val="32223DC6"/>
    <w:rsid w:val="325A02A1"/>
    <w:rsid w:val="329032EF"/>
    <w:rsid w:val="329970EF"/>
    <w:rsid w:val="32B35AAA"/>
    <w:rsid w:val="33135210"/>
    <w:rsid w:val="3326373F"/>
    <w:rsid w:val="334459AC"/>
    <w:rsid w:val="33705A64"/>
    <w:rsid w:val="33A055AF"/>
    <w:rsid w:val="33A51E80"/>
    <w:rsid w:val="33EE589E"/>
    <w:rsid w:val="340329A9"/>
    <w:rsid w:val="342645AD"/>
    <w:rsid w:val="342B057B"/>
    <w:rsid w:val="34335C8F"/>
    <w:rsid w:val="34617CD8"/>
    <w:rsid w:val="34753860"/>
    <w:rsid w:val="34A61339"/>
    <w:rsid w:val="34CC3006"/>
    <w:rsid w:val="34D82ABA"/>
    <w:rsid w:val="34F3793E"/>
    <w:rsid w:val="35574E9C"/>
    <w:rsid w:val="35712E34"/>
    <w:rsid w:val="35ED793B"/>
    <w:rsid w:val="35F84740"/>
    <w:rsid w:val="36383125"/>
    <w:rsid w:val="366C082D"/>
    <w:rsid w:val="368C388A"/>
    <w:rsid w:val="36C90DD1"/>
    <w:rsid w:val="374634AB"/>
    <w:rsid w:val="37704489"/>
    <w:rsid w:val="37710026"/>
    <w:rsid w:val="379136F3"/>
    <w:rsid w:val="37925427"/>
    <w:rsid w:val="37A55DCC"/>
    <w:rsid w:val="37CA04FF"/>
    <w:rsid w:val="37D30771"/>
    <w:rsid w:val="37EC0BB8"/>
    <w:rsid w:val="381F4CF2"/>
    <w:rsid w:val="394C68A5"/>
    <w:rsid w:val="395E479A"/>
    <w:rsid w:val="39675804"/>
    <w:rsid w:val="39A36C2D"/>
    <w:rsid w:val="39AA29B9"/>
    <w:rsid w:val="39E71AEC"/>
    <w:rsid w:val="39F44455"/>
    <w:rsid w:val="39F60058"/>
    <w:rsid w:val="3A104089"/>
    <w:rsid w:val="3A8217DE"/>
    <w:rsid w:val="3A822B01"/>
    <w:rsid w:val="3AB8426E"/>
    <w:rsid w:val="3ACF765C"/>
    <w:rsid w:val="3AD278CD"/>
    <w:rsid w:val="3AFA4BE5"/>
    <w:rsid w:val="3B2A44B8"/>
    <w:rsid w:val="3B2B6476"/>
    <w:rsid w:val="3BBC038E"/>
    <w:rsid w:val="3BFE3F02"/>
    <w:rsid w:val="3C2972FD"/>
    <w:rsid w:val="3C5B4444"/>
    <w:rsid w:val="3C852047"/>
    <w:rsid w:val="3CA13116"/>
    <w:rsid w:val="3CA925AE"/>
    <w:rsid w:val="3CF877AB"/>
    <w:rsid w:val="3D2131D7"/>
    <w:rsid w:val="3D306CB2"/>
    <w:rsid w:val="3D32729D"/>
    <w:rsid w:val="3D485E54"/>
    <w:rsid w:val="3D667959"/>
    <w:rsid w:val="3D8230F2"/>
    <w:rsid w:val="3D886E2C"/>
    <w:rsid w:val="3DAA5519"/>
    <w:rsid w:val="3DC413E8"/>
    <w:rsid w:val="3DCA34BB"/>
    <w:rsid w:val="3DD83D60"/>
    <w:rsid w:val="3E044CAE"/>
    <w:rsid w:val="3E12201C"/>
    <w:rsid w:val="3E427218"/>
    <w:rsid w:val="3EA72ABE"/>
    <w:rsid w:val="3EAD4174"/>
    <w:rsid w:val="3EAD7F9C"/>
    <w:rsid w:val="3EB32892"/>
    <w:rsid w:val="3EBC3336"/>
    <w:rsid w:val="3EDE79C6"/>
    <w:rsid w:val="3EF65530"/>
    <w:rsid w:val="3F064AE9"/>
    <w:rsid w:val="3F3B0C43"/>
    <w:rsid w:val="3F4C62B0"/>
    <w:rsid w:val="3F7279F0"/>
    <w:rsid w:val="3F9717D1"/>
    <w:rsid w:val="3FB2485B"/>
    <w:rsid w:val="402A34B8"/>
    <w:rsid w:val="40360CD1"/>
    <w:rsid w:val="40361D66"/>
    <w:rsid w:val="406060C3"/>
    <w:rsid w:val="40613E30"/>
    <w:rsid w:val="40736573"/>
    <w:rsid w:val="407D7357"/>
    <w:rsid w:val="409B4A07"/>
    <w:rsid w:val="40BF6E39"/>
    <w:rsid w:val="40C25B7F"/>
    <w:rsid w:val="40F66678"/>
    <w:rsid w:val="410E1C56"/>
    <w:rsid w:val="4120577A"/>
    <w:rsid w:val="416C142E"/>
    <w:rsid w:val="41B473E0"/>
    <w:rsid w:val="41FD121E"/>
    <w:rsid w:val="421A7627"/>
    <w:rsid w:val="4233112B"/>
    <w:rsid w:val="42401E98"/>
    <w:rsid w:val="42872311"/>
    <w:rsid w:val="428B5762"/>
    <w:rsid w:val="42D47C2B"/>
    <w:rsid w:val="42DA32B5"/>
    <w:rsid w:val="433543AC"/>
    <w:rsid w:val="43420FE8"/>
    <w:rsid w:val="434513F0"/>
    <w:rsid w:val="43702851"/>
    <w:rsid w:val="43CA4F48"/>
    <w:rsid w:val="4424604A"/>
    <w:rsid w:val="442967DE"/>
    <w:rsid w:val="445014AB"/>
    <w:rsid w:val="44CE660D"/>
    <w:rsid w:val="454F0B76"/>
    <w:rsid w:val="45795008"/>
    <w:rsid w:val="4579514B"/>
    <w:rsid w:val="457E2BBE"/>
    <w:rsid w:val="457F72E8"/>
    <w:rsid w:val="45DE083B"/>
    <w:rsid w:val="45E076C0"/>
    <w:rsid w:val="45F36067"/>
    <w:rsid w:val="460C0745"/>
    <w:rsid w:val="463122D8"/>
    <w:rsid w:val="4632053D"/>
    <w:rsid w:val="46577675"/>
    <w:rsid w:val="4662415A"/>
    <w:rsid w:val="4662498C"/>
    <w:rsid w:val="46A022D9"/>
    <w:rsid w:val="46A165C4"/>
    <w:rsid w:val="46A9554B"/>
    <w:rsid w:val="46B21457"/>
    <w:rsid w:val="46BE1A6C"/>
    <w:rsid w:val="46BE6647"/>
    <w:rsid w:val="46EE3897"/>
    <w:rsid w:val="471B3499"/>
    <w:rsid w:val="4730142A"/>
    <w:rsid w:val="478E4BD2"/>
    <w:rsid w:val="47DD756D"/>
    <w:rsid w:val="48037A8A"/>
    <w:rsid w:val="48377D23"/>
    <w:rsid w:val="486634EE"/>
    <w:rsid w:val="48807890"/>
    <w:rsid w:val="489D72F5"/>
    <w:rsid w:val="48A64B98"/>
    <w:rsid w:val="48BC156D"/>
    <w:rsid w:val="48F765BE"/>
    <w:rsid w:val="490445F2"/>
    <w:rsid w:val="49320F23"/>
    <w:rsid w:val="49DD73AE"/>
    <w:rsid w:val="49E12961"/>
    <w:rsid w:val="49F95BD6"/>
    <w:rsid w:val="4AA73240"/>
    <w:rsid w:val="4AB72272"/>
    <w:rsid w:val="4AD703A4"/>
    <w:rsid w:val="4B305E1B"/>
    <w:rsid w:val="4BB92D8E"/>
    <w:rsid w:val="4BD07B58"/>
    <w:rsid w:val="4BE87BA5"/>
    <w:rsid w:val="4C3176AB"/>
    <w:rsid w:val="4C415DC1"/>
    <w:rsid w:val="4C6E278E"/>
    <w:rsid w:val="4CFF538B"/>
    <w:rsid w:val="4D4D7800"/>
    <w:rsid w:val="4D7251FF"/>
    <w:rsid w:val="4DE50C0B"/>
    <w:rsid w:val="4E11105D"/>
    <w:rsid w:val="4E16225A"/>
    <w:rsid w:val="4E253AB8"/>
    <w:rsid w:val="4E472C92"/>
    <w:rsid w:val="4E614802"/>
    <w:rsid w:val="4E824D97"/>
    <w:rsid w:val="4E9D5C2D"/>
    <w:rsid w:val="4EBA57C1"/>
    <w:rsid w:val="4F047E0A"/>
    <w:rsid w:val="4F477F24"/>
    <w:rsid w:val="4FA91AAC"/>
    <w:rsid w:val="4FBD0FF5"/>
    <w:rsid w:val="4FC854D7"/>
    <w:rsid w:val="50142DE1"/>
    <w:rsid w:val="5015687B"/>
    <w:rsid w:val="501926CA"/>
    <w:rsid w:val="503109FF"/>
    <w:rsid w:val="505E3D68"/>
    <w:rsid w:val="50D13748"/>
    <w:rsid w:val="516A440A"/>
    <w:rsid w:val="5190495A"/>
    <w:rsid w:val="51BA5A6F"/>
    <w:rsid w:val="51C42E16"/>
    <w:rsid w:val="525351F4"/>
    <w:rsid w:val="525A6FBC"/>
    <w:rsid w:val="526C0997"/>
    <w:rsid w:val="52855A65"/>
    <w:rsid w:val="53311AB3"/>
    <w:rsid w:val="53317F44"/>
    <w:rsid w:val="533D33D1"/>
    <w:rsid w:val="53511F1B"/>
    <w:rsid w:val="53670B33"/>
    <w:rsid w:val="537735FB"/>
    <w:rsid w:val="53775B6A"/>
    <w:rsid w:val="538F5737"/>
    <w:rsid w:val="53D43855"/>
    <w:rsid w:val="53D6214F"/>
    <w:rsid w:val="53EE1101"/>
    <w:rsid w:val="53FC4E8E"/>
    <w:rsid w:val="541717DC"/>
    <w:rsid w:val="54271D5C"/>
    <w:rsid w:val="54321AE7"/>
    <w:rsid w:val="54976AA9"/>
    <w:rsid w:val="549A3F89"/>
    <w:rsid w:val="54DE0134"/>
    <w:rsid w:val="553C46BA"/>
    <w:rsid w:val="55494082"/>
    <w:rsid w:val="557D5B60"/>
    <w:rsid w:val="55834A19"/>
    <w:rsid w:val="55F27046"/>
    <w:rsid w:val="55F526C6"/>
    <w:rsid w:val="56066DC9"/>
    <w:rsid w:val="564E1228"/>
    <w:rsid w:val="56A6131D"/>
    <w:rsid w:val="56A82B00"/>
    <w:rsid w:val="56BC5AD0"/>
    <w:rsid w:val="56D00C68"/>
    <w:rsid w:val="57022BD1"/>
    <w:rsid w:val="57212B27"/>
    <w:rsid w:val="572809C2"/>
    <w:rsid w:val="57480C4D"/>
    <w:rsid w:val="574C27F3"/>
    <w:rsid w:val="57895A45"/>
    <w:rsid w:val="57C5313B"/>
    <w:rsid w:val="57D807D4"/>
    <w:rsid w:val="57EA7969"/>
    <w:rsid w:val="57F740F4"/>
    <w:rsid w:val="57FA3D86"/>
    <w:rsid w:val="580B63A1"/>
    <w:rsid w:val="58750691"/>
    <w:rsid w:val="58AB575D"/>
    <w:rsid w:val="58BC728D"/>
    <w:rsid w:val="58DD0763"/>
    <w:rsid w:val="58EB0E57"/>
    <w:rsid w:val="59445F91"/>
    <w:rsid w:val="596F21C7"/>
    <w:rsid w:val="59815208"/>
    <w:rsid w:val="59F001A4"/>
    <w:rsid w:val="5A1E2DE7"/>
    <w:rsid w:val="5A20427A"/>
    <w:rsid w:val="5A395FB6"/>
    <w:rsid w:val="5A436A2D"/>
    <w:rsid w:val="5B0A066E"/>
    <w:rsid w:val="5B123FA7"/>
    <w:rsid w:val="5B5E18A4"/>
    <w:rsid w:val="5B613C0E"/>
    <w:rsid w:val="5B955E96"/>
    <w:rsid w:val="5B9B3675"/>
    <w:rsid w:val="5BA26571"/>
    <w:rsid w:val="5BB57082"/>
    <w:rsid w:val="5BCA6564"/>
    <w:rsid w:val="5BD66D67"/>
    <w:rsid w:val="5C107D40"/>
    <w:rsid w:val="5C1E3775"/>
    <w:rsid w:val="5C381264"/>
    <w:rsid w:val="5C3849C9"/>
    <w:rsid w:val="5C672644"/>
    <w:rsid w:val="5C8132C7"/>
    <w:rsid w:val="5CA23A25"/>
    <w:rsid w:val="5CC26330"/>
    <w:rsid w:val="5CD67F41"/>
    <w:rsid w:val="5CDF760E"/>
    <w:rsid w:val="5D017C51"/>
    <w:rsid w:val="5D4165A3"/>
    <w:rsid w:val="5D463591"/>
    <w:rsid w:val="5D4F2A78"/>
    <w:rsid w:val="5D792AE4"/>
    <w:rsid w:val="5D7B5F87"/>
    <w:rsid w:val="5DC25C67"/>
    <w:rsid w:val="5DD97571"/>
    <w:rsid w:val="5E2F58D3"/>
    <w:rsid w:val="5E5A06FD"/>
    <w:rsid w:val="5E9342EC"/>
    <w:rsid w:val="5EA27CF7"/>
    <w:rsid w:val="5EBC3C1E"/>
    <w:rsid w:val="5ED57321"/>
    <w:rsid w:val="5F3815EE"/>
    <w:rsid w:val="5F5C32D6"/>
    <w:rsid w:val="5FB10E83"/>
    <w:rsid w:val="600E788A"/>
    <w:rsid w:val="60296056"/>
    <w:rsid w:val="604130CF"/>
    <w:rsid w:val="60663C94"/>
    <w:rsid w:val="60794FD4"/>
    <w:rsid w:val="60814FEF"/>
    <w:rsid w:val="60AE4E89"/>
    <w:rsid w:val="60C36E6E"/>
    <w:rsid w:val="60D32F5A"/>
    <w:rsid w:val="610E2B4C"/>
    <w:rsid w:val="619945D7"/>
    <w:rsid w:val="61C24BFD"/>
    <w:rsid w:val="61DE43D4"/>
    <w:rsid w:val="61E06967"/>
    <w:rsid w:val="61ED083B"/>
    <w:rsid w:val="624216A0"/>
    <w:rsid w:val="626343A0"/>
    <w:rsid w:val="626736F9"/>
    <w:rsid w:val="626B4082"/>
    <w:rsid w:val="626B6B00"/>
    <w:rsid w:val="628E1BE9"/>
    <w:rsid w:val="62D06FF9"/>
    <w:rsid w:val="62D765EB"/>
    <w:rsid w:val="636B22CC"/>
    <w:rsid w:val="636C198B"/>
    <w:rsid w:val="63B65AC7"/>
    <w:rsid w:val="63D7428B"/>
    <w:rsid w:val="640C4C0D"/>
    <w:rsid w:val="643B5584"/>
    <w:rsid w:val="645830D7"/>
    <w:rsid w:val="64675414"/>
    <w:rsid w:val="647258C3"/>
    <w:rsid w:val="64AA2E73"/>
    <w:rsid w:val="64B8434A"/>
    <w:rsid w:val="64C5008F"/>
    <w:rsid w:val="64E8446E"/>
    <w:rsid w:val="65376B47"/>
    <w:rsid w:val="654042F5"/>
    <w:rsid w:val="657E0B59"/>
    <w:rsid w:val="65F66C79"/>
    <w:rsid w:val="660447CA"/>
    <w:rsid w:val="665622BC"/>
    <w:rsid w:val="66653739"/>
    <w:rsid w:val="666C4EE6"/>
    <w:rsid w:val="66792487"/>
    <w:rsid w:val="66FB0FDC"/>
    <w:rsid w:val="66FC5AFF"/>
    <w:rsid w:val="6709462E"/>
    <w:rsid w:val="6777196F"/>
    <w:rsid w:val="678A1ED0"/>
    <w:rsid w:val="67AB61F8"/>
    <w:rsid w:val="67BA7741"/>
    <w:rsid w:val="67C4025E"/>
    <w:rsid w:val="67E6170C"/>
    <w:rsid w:val="680D0CA5"/>
    <w:rsid w:val="68A45648"/>
    <w:rsid w:val="68A5668C"/>
    <w:rsid w:val="68D27297"/>
    <w:rsid w:val="6911241F"/>
    <w:rsid w:val="69B67115"/>
    <w:rsid w:val="69B82DF4"/>
    <w:rsid w:val="69EF53B4"/>
    <w:rsid w:val="6A126DD2"/>
    <w:rsid w:val="6A420E56"/>
    <w:rsid w:val="6A924E32"/>
    <w:rsid w:val="6A94008C"/>
    <w:rsid w:val="6AC635A8"/>
    <w:rsid w:val="6AE60947"/>
    <w:rsid w:val="6AEF6EB8"/>
    <w:rsid w:val="6B0B374F"/>
    <w:rsid w:val="6B0E6D92"/>
    <w:rsid w:val="6B17074E"/>
    <w:rsid w:val="6B1F0CCB"/>
    <w:rsid w:val="6B6234E5"/>
    <w:rsid w:val="6BBD11F5"/>
    <w:rsid w:val="6BCE1834"/>
    <w:rsid w:val="6BD12800"/>
    <w:rsid w:val="6C022DB1"/>
    <w:rsid w:val="6C5E02FC"/>
    <w:rsid w:val="6C721812"/>
    <w:rsid w:val="6C8B0F52"/>
    <w:rsid w:val="6CDD0DD0"/>
    <w:rsid w:val="6CFA7DB1"/>
    <w:rsid w:val="6D0127E4"/>
    <w:rsid w:val="6D135E16"/>
    <w:rsid w:val="6D1C168A"/>
    <w:rsid w:val="6D347A31"/>
    <w:rsid w:val="6D3668DD"/>
    <w:rsid w:val="6D471CAB"/>
    <w:rsid w:val="6DAC0977"/>
    <w:rsid w:val="6DB941BD"/>
    <w:rsid w:val="6DC60F63"/>
    <w:rsid w:val="6E4C770B"/>
    <w:rsid w:val="6E5F1098"/>
    <w:rsid w:val="6E6F2793"/>
    <w:rsid w:val="6E703D8E"/>
    <w:rsid w:val="6E84323D"/>
    <w:rsid w:val="6E942A76"/>
    <w:rsid w:val="6EA41FA2"/>
    <w:rsid w:val="6EB44AD4"/>
    <w:rsid w:val="6F023787"/>
    <w:rsid w:val="6F313FE8"/>
    <w:rsid w:val="6F381CAC"/>
    <w:rsid w:val="6F6128C1"/>
    <w:rsid w:val="6F9C6902"/>
    <w:rsid w:val="6FA0729C"/>
    <w:rsid w:val="70100CA2"/>
    <w:rsid w:val="70393572"/>
    <w:rsid w:val="706D2B3E"/>
    <w:rsid w:val="70A24D48"/>
    <w:rsid w:val="70BA64EF"/>
    <w:rsid w:val="70C900DF"/>
    <w:rsid w:val="70F80524"/>
    <w:rsid w:val="710A2419"/>
    <w:rsid w:val="71326D32"/>
    <w:rsid w:val="714C2CD0"/>
    <w:rsid w:val="715A596A"/>
    <w:rsid w:val="717C247D"/>
    <w:rsid w:val="717F26E4"/>
    <w:rsid w:val="71816B8E"/>
    <w:rsid w:val="71832D29"/>
    <w:rsid w:val="71907818"/>
    <w:rsid w:val="71B252F9"/>
    <w:rsid w:val="71E95916"/>
    <w:rsid w:val="7203413E"/>
    <w:rsid w:val="7250588C"/>
    <w:rsid w:val="726F5278"/>
    <w:rsid w:val="727E786A"/>
    <w:rsid w:val="72887FD4"/>
    <w:rsid w:val="72BD0544"/>
    <w:rsid w:val="72C0472D"/>
    <w:rsid w:val="72D11D5C"/>
    <w:rsid w:val="72E85DAD"/>
    <w:rsid w:val="732303D9"/>
    <w:rsid w:val="73532CC9"/>
    <w:rsid w:val="735E36CE"/>
    <w:rsid w:val="73D73D11"/>
    <w:rsid w:val="744975DD"/>
    <w:rsid w:val="746920A5"/>
    <w:rsid w:val="74CB1EDB"/>
    <w:rsid w:val="74DE73F5"/>
    <w:rsid w:val="751E77AF"/>
    <w:rsid w:val="75D07F8B"/>
    <w:rsid w:val="75EE5669"/>
    <w:rsid w:val="76957051"/>
    <w:rsid w:val="76BD4232"/>
    <w:rsid w:val="76C10199"/>
    <w:rsid w:val="76C57BCB"/>
    <w:rsid w:val="76F927CD"/>
    <w:rsid w:val="773B2934"/>
    <w:rsid w:val="773E064E"/>
    <w:rsid w:val="774E1211"/>
    <w:rsid w:val="777B71D8"/>
    <w:rsid w:val="778A6ACC"/>
    <w:rsid w:val="77A54D53"/>
    <w:rsid w:val="77D75F2B"/>
    <w:rsid w:val="77FC6767"/>
    <w:rsid w:val="781A0BEC"/>
    <w:rsid w:val="78202415"/>
    <w:rsid w:val="78213FC9"/>
    <w:rsid w:val="78701D9C"/>
    <w:rsid w:val="78FA0671"/>
    <w:rsid w:val="793A634F"/>
    <w:rsid w:val="798635EB"/>
    <w:rsid w:val="798862DA"/>
    <w:rsid w:val="79A5750A"/>
    <w:rsid w:val="7A0C1011"/>
    <w:rsid w:val="7A0E7A81"/>
    <w:rsid w:val="7A321CDB"/>
    <w:rsid w:val="7A567B6E"/>
    <w:rsid w:val="7A6E32C8"/>
    <w:rsid w:val="7AC900CF"/>
    <w:rsid w:val="7B052FBD"/>
    <w:rsid w:val="7B5A5A6C"/>
    <w:rsid w:val="7B5C250E"/>
    <w:rsid w:val="7B6D0F87"/>
    <w:rsid w:val="7B72691F"/>
    <w:rsid w:val="7B783FD8"/>
    <w:rsid w:val="7B9A3DB8"/>
    <w:rsid w:val="7BA113AB"/>
    <w:rsid w:val="7BD52290"/>
    <w:rsid w:val="7BD568A0"/>
    <w:rsid w:val="7BF20E1E"/>
    <w:rsid w:val="7C3B4809"/>
    <w:rsid w:val="7C5728ED"/>
    <w:rsid w:val="7C9408F4"/>
    <w:rsid w:val="7CB83597"/>
    <w:rsid w:val="7CB90CC2"/>
    <w:rsid w:val="7CFB2CE9"/>
    <w:rsid w:val="7D0C34C4"/>
    <w:rsid w:val="7D212CA5"/>
    <w:rsid w:val="7D255EE2"/>
    <w:rsid w:val="7D293184"/>
    <w:rsid w:val="7D4B3EE6"/>
    <w:rsid w:val="7D6112EF"/>
    <w:rsid w:val="7D68620F"/>
    <w:rsid w:val="7D69777E"/>
    <w:rsid w:val="7D927DC0"/>
    <w:rsid w:val="7DB34706"/>
    <w:rsid w:val="7E1A0A9F"/>
    <w:rsid w:val="7E3C401A"/>
    <w:rsid w:val="7E641213"/>
    <w:rsid w:val="7EE33139"/>
    <w:rsid w:val="7EF34773"/>
    <w:rsid w:val="7F0D08DC"/>
    <w:rsid w:val="7F173D26"/>
    <w:rsid w:val="7F666017"/>
    <w:rsid w:val="7F714EE5"/>
    <w:rsid w:val="7F7F2734"/>
    <w:rsid w:val="7FA63F96"/>
    <w:rsid w:val="7FB9287C"/>
    <w:rsid w:val="7FCC47FD"/>
    <w:rsid w:val="7FD31973"/>
    <w:rsid w:val="7FE15B01"/>
    <w:rsid w:val="7FFB1B6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iPriority="9"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qFormat="1" w:unhideWhenUsed="0" w:uiPriority="0"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39" w:semiHidden="0" w:name="toc 4"/>
    <w:lsdException w:qFormat="1" w:unhideWhenUsed="0" w:uiPriority="39" w:semiHidden="0" w:name="toc 5"/>
    <w:lsdException w:qFormat="1" w:unhideWhenUsed="0" w:uiPriority="39" w:semiHidden="0" w:name="toc 6"/>
    <w:lsdException w:qFormat="1" w:unhideWhenUsed="0" w:uiPriority="39" w:semiHidden="0" w:name="toc 7"/>
    <w:lsdException w:qFormat="1" w:unhideWhenUsed="0" w:uiPriority="39" w:semiHidden="0" w:name="toc 8"/>
    <w:lsdException w:qFormat="1" w:unhideWhenUsed="0" w:uiPriority="39" w:semiHidden="0" w:name="toc 9"/>
    <w:lsdException w:qFormat="1" w:unhideWhenUsed="0" w:uiPriority="0" w:semiHidden="0" w:name="Normal Indent"/>
    <w:lsdException w:qFormat="1" w:unhideWhenUsed="0" w:uiPriority="0" w:semiHidden="0" w:name="footnote text"/>
    <w:lsdException w:qFormat="1" w:uiPriority="99" w:semiHidden="0" w:name="annotation text"/>
    <w:lsdException w:qFormat="1" w:unhideWhenUsed="0" w:uiPriority="0" w:semiHidden="0" w:name="header"/>
    <w:lsdException w:qFormat="1" w:unhideWhenUsed="0" w:uiPriority="99" w:semiHidden="0" w:name="footer"/>
    <w:lsdException w:uiPriority="99" w:name="index heading"/>
    <w:lsdException w:qFormat="1" w:uiPriority="35" w:name="caption"/>
    <w:lsdException w:qFormat="1" w:unhideWhenUsed="0" w:uiPriority="0" w:semiHidden="0" w:name="table of figures"/>
    <w:lsdException w:uiPriority="99" w:name="envelope address"/>
    <w:lsdException w:uiPriority="99" w:name="envelope return"/>
    <w:lsdException w:qFormat="1" w:unhideWhenUsed="0" w:uiPriority="0" w:semiHidden="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qFormat="1" w:unhideWhenUsed="0" w:uiPriority="99" w:semiHidden="0"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qFormat="1" w:unhideWhenUsed="0" w:uiPriority="0" w:semiHidden="0" w:name="Block Text"/>
    <w:lsdException w:qFormat="1" w:unhideWhenUsed="0" w:uiPriority="99" w:semiHidden="0" w:name="Hyperlink"/>
    <w:lsdException w:qFormat="1" w:unhideWhenUsed="0" w:uiPriority="0" w:semiHidden="0" w:name="FollowedHyperlink"/>
    <w:lsdException w:qFormat="1" w:unhideWhenUsed="0" w:uiPriority="0" w:semiHidden="0" w:name="Strong"/>
    <w:lsdException w:qFormat="1" w:unhideWhenUsed="0" w:uiPriority="20" w:semiHidden="0" w:name="Emphasis"/>
    <w:lsdException w:qFormat="1" w:unhideWhenUsed="0" w:uiPriority="0" w:semiHidden="0" w:name="Document Map"/>
    <w:lsdException w:qFormat="1" w:unhideWhenUsed="0" w:uiPriority="99"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nhideWhenUsed="0" w:uiPriority="0" w:semiHidden="0" w:name="HTML Preformatted"/>
    <w:lsdException w:uiPriority="99" w:name="HTML Sample"/>
    <w:lsdException w:uiPriority="99" w:name="HTML Typewriter"/>
    <w:lsdException w:uiPriority="99" w:name="HTML Variable"/>
    <w:lsdException w:qFormat="1" w:uiPriority="99"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qFormat="1"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81"/>
    <w:autoRedefine/>
    <w:qFormat/>
    <w:uiPriority w:val="0"/>
    <w:pPr>
      <w:keepNext/>
      <w:keepLines/>
      <w:spacing w:before="340" w:after="330" w:line="576" w:lineRule="auto"/>
      <w:outlineLvl w:val="0"/>
    </w:pPr>
    <w:rPr>
      <w:b/>
      <w:bCs/>
      <w:kern w:val="44"/>
      <w:sz w:val="44"/>
      <w:szCs w:val="44"/>
    </w:rPr>
  </w:style>
  <w:style w:type="paragraph" w:styleId="3">
    <w:name w:val="heading 2"/>
    <w:basedOn w:val="1"/>
    <w:next w:val="1"/>
    <w:link w:val="76"/>
    <w:autoRedefine/>
    <w:qFormat/>
    <w:uiPriority w:val="0"/>
    <w:pPr>
      <w:keepNext/>
      <w:keepLines/>
      <w:spacing w:before="260" w:after="260" w:line="415" w:lineRule="auto"/>
      <w:outlineLvl w:val="1"/>
    </w:pPr>
    <w:rPr>
      <w:rFonts w:ascii="Arial" w:hAnsi="Arial" w:eastAsia="黑体"/>
      <w:b/>
      <w:bCs/>
      <w:kern w:val="0"/>
      <w:sz w:val="32"/>
      <w:szCs w:val="32"/>
    </w:rPr>
  </w:style>
  <w:style w:type="paragraph" w:styleId="4">
    <w:name w:val="heading 3"/>
    <w:basedOn w:val="1"/>
    <w:next w:val="1"/>
    <w:link w:val="55"/>
    <w:autoRedefine/>
    <w:qFormat/>
    <w:uiPriority w:val="0"/>
    <w:pPr>
      <w:keepNext/>
      <w:keepLines/>
      <w:spacing w:before="260" w:after="260" w:line="415" w:lineRule="auto"/>
      <w:outlineLvl w:val="2"/>
    </w:pPr>
    <w:rPr>
      <w:b/>
      <w:bCs/>
      <w:kern w:val="0"/>
      <w:sz w:val="32"/>
      <w:szCs w:val="32"/>
    </w:rPr>
  </w:style>
  <w:style w:type="paragraph" w:styleId="5">
    <w:name w:val="heading 4"/>
    <w:basedOn w:val="1"/>
    <w:next w:val="1"/>
    <w:link w:val="90"/>
    <w:autoRedefine/>
    <w:qFormat/>
    <w:uiPriority w:val="0"/>
    <w:pPr>
      <w:keepNext/>
      <w:keepLines/>
      <w:spacing w:before="280" w:after="290" w:line="374" w:lineRule="auto"/>
      <w:outlineLvl w:val="3"/>
    </w:pPr>
    <w:rPr>
      <w:rFonts w:ascii="Arial" w:hAnsi="Arial" w:eastAsia="黑体"/>
      <w:b/>
      <w:bCs/>
      <w:kern w:val="0"/>
      <w:sz w:val="28"/>
      <w:szCs w:val="28"/>
    </w:rPr>
  </w:style>
  <w:style w:type="paragraph" w:styleId="6">
    <w:name w:val="heading 6"/>
    <w:basedOn w:val="1"/>
    <w:next w:val="1"/>
    <w:link w:val="57"/>
    <w:autoRedefine/>
    <w:qFormat/>
    <w:uiPriority w:val="0"/>
    <w:pPr>
      <w:keepNext/>
      <w:keepLines/>
      <w:widowControl/>
      <w:tabs>
        <w:tab w:val="left" w:pos="1440"/>
      </w:tabs>
      <w:spacing w:before="240" w:after="64" w:line="319" w:lineRule="auto"/>
      <w:ind w:left="1152" w:hanging="1152"/>
      <w:jc w:val="left"/>
      <w:outlineLvl w:val="5"/>
    </w:pPr>
    <w:rPr>
      <w:rFonts w:ascii="Arial" w:hAnsi="Arial" w:eastAsia="黑体"/>
      <w:b/>
      <w:bCs/>
      <w:kern w:val="0"/>
      <w:sz w:val="24"/>
    </w:rPr>
  </w:style>
  <w:style w:type="paragraph" w:styleId="7">
    <w:name w:val="heading 7"/>
    <w:basedOn w:val="1"/>
    <w:next w:val="1"/>
    <w:link w:val="97"/>
    <w:autoRedefine/>
    <w:qFormat/>
    <w:uiPriority w:val="0"/>
    <w:pPr>
      <w:keepNext/>
      <w:keepLines/>
      <w:widowControl/>
      <w:tabs>
        <w:tab w:val="left" w:pos="2520"/>
      </w:tabs>
      <w:spacing w:before="240" w:after="64" w:line="319" w:lineRule="auto"/>
      <w:ind w:left="1296" w:hanging="1296"/>
      <w:jc w:val="left"/>
      <w:outlineLvl w:val="6"/>
    </w:pPr>
    <w:rPr>
      <w:b/>
      <w:bCs/>
      <w:kern w:val="0"/>
      <w:sz w:val="24"/>
    </w:rPr>
  </w:style>
  <w:style w:type="paragraph" w:styleId="8">
    <w:name w:val="heading 8"/>
    <w:basedOn w:val="1"/>
    <w:next w:val="1"/>
    <w:link w:val="79"/>
    <w:autoRedefine/>
    <w:qFormat/>
    <w:uiPriority w:val="0"/>
    <w:pPr>
      <w:keepNext/>
      <w:keepLines/>
      <w:widowControl/>
      <w:tabs>
        <w:tab w:val="left" w:pos="1440"/>
      </w:tabs>
      <w:spacing w:before="240" w:after="64" w:line="319" w:lineRule="auto"/>
      <w:ind w:left="1440" w:hanging="1440"/>
      <w:jc w:val="left"/>
      <w:outlineLvl w:val="7"/>
    </w:pPr>
    <w:rPr>
      <w:rFonts w:ascii="Arial" w:hAnsi="Arial" w:eastAsia="黑体"/>
      <w:kern w:val="0"/>
      <w:sz w:val="24"/>
    </w:rPr>
  </w:style>
  <w:style w:type="paragraph" w:styleId="9">
    <w:name w:val="heading 9"/>
    <w:basedOn w:val="1"/>
    <w:next w:val="1"/>
    <w:link w:val="71"/>
    <w:autoRedefine/>
    <w:qFormat/>
    <w:uiPriority w:val="0"/>
    <w:pPr>
      <w:keepNext/>
      <w:keepLines/>
      <w:widowControl/>
      <w:tabs>
        <w:tab w:val="left" w:pos="1584"/>
      </w:tabs>
      <w:spacing w:before="240" w:after="64" w:line="319" w:lineRule="auto"/>
      <w:ind w:left="1584" w:hanging="1584"/>
      <w:jc w:val="left"/>
      <w:outlineLvl w:val="8"/>
    </w:pPr>
    <w:rPr>
      <w:rFonts w:ascii="Arial" w:hAnsi="Arial" w:eastAsia="黑体"/>
      <w:kern w:val="0"/>
      <w:sz w:val="20"/>
      <w:szCs w:val="21"/>
    </w:rPr>
  </w:style>
  <w:style w:type="character" w:default="1" w:styleId="44">
    <w:name w:val="Default Paragraph Font"/>
    <w:autoRedefine/>
    <w:semiHidden/>
    <w:unhideWhenUsed/>
    <w:qFormat/>
    <w:uiPriority w:val="1"/>
  </w:style>
  <w:style w:type="table" w:default="1" w:styleId="42">
    <w:name w:val="Normal Table"/>
    <w:autoRedefine/>
    <w:semiHidden/>
    <w:unhideWhenUsed/>
    <w:qFormat/>
    <w:uiPriority w:val="99"/>
    <w:tblPr>
      <w:tblCellMar>
        <w:top w:w="0" w:type="dxa"/>
        <w:left w:w="108" w:type="dxa"/>
        <w:bottom w:w="0" w:type="dxa"/>
        <w:right w:w="108" w:type="dxa"/>
      </w:tblCellMar>
    </w:tblPr>
  </w:style>
  <w:style w:type="paragraph" w:styleId="10">
    <w:name w:val="toc 7"/>
    <w:basedOn w:val="1"/>
    <w:next w:val="1"/>
    <w:autoRedefine/>
    <w:qFormat/>
    <w:uiPriority w:val="39"/>
    <w:pPr>
      <w:ind w:left="1260"/>
      <w:jc w:val="left"/>
    </w:pPr>
    <w:rPr>
      <w:rFonts w:ascii="Calibri" w:hAnsi="Calibri"/>
      <w:sz w:val="18"/>
      <w:szCs w:val="18"/>
    </w:rPr>
  </w:style>
  <w:style w:type="paragraph" w:styleId="11">
    <w:name w:val="table of authorities"/>
    <w:basedOn w:val="1"/>
    <w:next w:val="1"/>
    <w:autoRedefine/>
    <w:qFormat/>
    <w:uiPriority w:val="99"/>
    <w:pPr>
      <w:ind w:left="420" w:leftChars="200"/>
    </w:pPr>
  </w:style>
  <w:style w:type="paragraph" w:styleId="12">
    <w:name w:val="Normal Indent"/>
    <w:basedOn w:val="1"/>
    <w:link w:val="67"/>
    <w:autoRedefine/>
    <w:qFormat/>
    <w:uiPriority w:val="0"/>
    <w:pPr>
      <w:ind w:firstLine="420" w:firstLineChars="200"/>
    </w:pPr>
  </w:style>
  <w:style w:type="paragraph" w:styleId="13">
    <w:name w:val="Document Map"/>
    <w:basedOn w:val="1"/>
    <w:link w:val="74"/>
    <w:autoRedefine/>
    <w:qFormat/>
    <w:uiPriority w:val="0"/>
    <w:pPr>
      <w:shd w:val="clear" w:color="auto" w:fill="000080"/>
    </w:pPr>
    <w:rPr>
      <w:kern w:val="0"/>
      <w:sz w:val="20"/>
    </w:rPr>
  </w:style>
  <w:style w:type="paragraph" w:styleId="14">
    <w:name w:val="annotation text"/>
    <w:basedOn w:val="1"/>
    <w:link w:val="56"/>
    <w:autoRedefine/>
    <w:unhideWhenUsed/>
    <w:qFormat/>
    <w:uiPriority w:val="99"/>
    <w:pPr>
      <w:jc w:val="left"/>
    </w:pPr>
    <w:rPr>
      <w:kern w:val="0"/>
      <w:sz w:val="20"/>
    </w:rPr>
  </w:style>
  <w:style w:type="paragraph" w:styleId="15">
    <w:name w:val="Body Text 3"/>
    <w:basedOn w:val="1"/>
    <w:link w:val="60"/>
    <w:autoRedefine/>
    <w:qFormat/>
    <w:uiPriority w:val="0"/>
    <w:rPr>
      <w:rFonts w:ascii="宋体"/>
      <w:kern w:val="0"/>
      <w:sz w:val="24"/>
      <w:szCs w:val="20"/>
    </w:rPr>
  </w:style>
  <w:style w:type="paragraph" w:styleId="16">
    <w:name w:val="Body Text"/>
    <w:basedOn w:val="1"/>
    <w:next w:val="1"/>
    <w:link w:val="63"/>
    <w:autoRedefine/>
    <w:qFormat/>
    <w:uiPriority w:val="0"/>
    <w:pPr>
      <w:spacing w:after="120"/>
    </w:pPr>
    <w:rPr>
      <w:kern w:val="0"/>
      <w:sz w:val="20"/>
    </w:rPr>
  </w:style>
  <w:style w:type="paragraph" w:styleId="17">
    <w:name w:val="Body Text Indent"/>
    <w:basedOn w:val="1"/>
    <w:link w:val="73"/>
    <w:autoRedefine/>
    <w:qFormat/>
    <w:uiPriority w:val="0"/>
    <w:pPr>
      <w:spacing w:after="120"/>
      <w:ind w:left="420" w:leftChars="200"/>
    </w:pPr>
    <w:rPr>
      <w:kern w:val="0"/>
      <w:sz w:val="20"/>
    </w:rPr>
  </w:style>
  <w:style w:type="paragraph" w:styleId="18">
    <w:name w:val="Block Text"/>
    <w:basedOn w:val="1"/>
    <w:autoRedefine/>
    <w:qFormat/>
    <w:uiPriority w:val="0"/>
    <w:pPr>
      <w:autoSpaceDE w:val="0"/>
      <w:autoSpaceDN w:val="0"/>
      <w:adjustRightInd w:val="0"/>
      <w:spacing w:line="1270" w:lineRule="exact"/>
      <w:ind w:left="2160" w:right="-20" w:hanging="2160" w:hangingChars="300"/>
      <w:jc w:val="left"/>
    </w:pPr>
    <w:rPr>
      <w:rFonts w:eastAsia="仿宋_GB2312"/>
      <w:sz w:val="72"/>
    </w:rPr>
  </w:style>
  <w:style w:type="paragraph" w:styleId="19">
    <w:name w:val="toc 5"/>
    <w:basedOn w:val="1"/>
    <w:next w:val="1"/>
    <w:autoRedefine/>
    <w:qFormat/>
    <w:uiPriority w:val="39"/>
    <w:pPr>
      <w:ind w:left="840"/>
      <w:jc w:val="left"/>
    </w:pPr>
    <w:rPr>
      <w:rFonts w:ascii="Calibri" w:hAnsi="Calibri"/>
      <w:sz w:val="18"/>
      <w:szCs w:val="18"/>
    </w:rPr>
  </w:style>
  <w:style w:type="paragraph" w:styleId="20">
    <w:name w:val="toc 3"/>
    <w:basedOn w:val="1"/>
    <w:next w:val="1"/>
    <w:autoRedefine/>
    <w:qFormat/>
    <w:uiPriority w:val="39"/>
    <w:pPr>
      <w:ind w:left="420"/>
      <w:jc w:val="left"/>
    </w:pPr>
    <w:rPr>
      <w:rFonts w:ascii="Calibri" w:hAnsi="Calibri"/>
      <w:i/>
      <w:iCs/>
      <w:sz w:val="20"/>
      <w:szCs w:val="20"/>
    </w:rPr>
  </w:style>
  <w:style w:type="paragraph" w:styleId="21">
    <w:name w:val="Plain Text"/>
    <w:basedOn w:val="1"/>
    <w:link w:val="96"/>
    <w:autoRedefine/>
    <w:qFormat/>
    <w:uiPriority w:val="99"/>
    <w:rPr>
      <w:rFonts w:ascii="Courier New" w:hAnsi="Courier New"/>
      <w:kern w:val="0"/>
      <w:sz w:val="20"/>
      <w:szCs w:val="20"/>
    </w:rPr>
  </w:style>
  <w:style w:type="paragraph" w:styleId="22">
    <w:name w:val="toc 8"/>
    <w:basedOn w:val="1"/>
    <w:next w:val="1"/>
    <w:autoRedefine/>
    <w:qFormat/>
    <w:uiPriority w:val="39"/>
    <w:pPr>
      <w:ind w:left="1470"/>
      <w:jc w:val="left"/>
    </w:pPr>
    <w:rPr>
      <w:rFonts w:ascii="Calibri" w:hAnsi="Calibri"/>
      <w:sz w:val="18"/>
      <w:szCs w:val="18"/>
    </w:rPr>
  </w:style>
  <w:style w:type="paragraph" w:styleId="23">
    <w:name w:val="Date"/>
    <w:basedOn w:val="1"/>
    <w:next w:val="1"/>
    <w:link w:val="80"/>
    <w:autoRedefine/>
    <w:qFormat/>
    <w:uiPriority w:val="0"/>
    <w:rPr>
      <w:kern w:val="0"/>
      <w:sz w:val="24"/>
      <w:szCs w:val="20"/>
    </w:rPr>
  </w:style>
  <w:style w:type="paragraph" w:styleId="24">
    <w:name w:val="Body Text Indent 2"/>
    <w:basedOn w:val="1"/>
    <w:link w:val="169"/>
    <w:autoRedefine/>
    <w:qFormat/>
    <w:uiPriority w:val="0"/>
    <w:pPr>
      <w:spacing w:after="120" w:line="480" w:lineRule="auto"/>
      <w:ind w:left="420" w:leftChars="200"/>
    </w:pPr>
  </w:style>
  <w:style w:type="paragraph" w:styleId="25">
    <w:name w:val="Balloon Text"/>
    <w:basedOn w:val="1"/>
    <w:link w:val="78"/>
    <w:autoRedefine/>
    <w:qFormat/>
    <w:uiPriority w:val="0"/>
    <w:rPr>
      <w:kern w:val="0"/>
      <w:sz w:val="18"/>
      <w:szCs w:val="18"/>
    </w:rPr>
  </w:style>
  <w:style w:type="paragraph" w:styleId="26">
    <w:name w:val="footer"/>
    <w:basedOn w:val="1"/>
    <w:link w:val="92"/>
    <w:autoRedefine/>
    <w:qFormat/>
    <w:uiPriority w:val="99"/>
    <w:pPr>
      <w:tabs>
        <w:tab w:val="center" w:pos="4153"/>
        <w:tab w:val="right" w:pos="8306"/>
      </w:tabs>
      <w:snapToGrid w:val="0"/>
      <w:jc w:val="left"/>
    </w:pPr>
    <w:rPr>
      <w:kern w:val="0"/>
      <w:sz w:val="18"/>
      <w:szCs w:val="18"/>
    </w:rPr>
  </w:style>
  <w:style w:type="paragraph" w:styleId="27">
    <w:name w:val="header"/>
    <w:basedOn w:val="1"/>
    <w:link w:val="70"/>
    <w:autoRedefine/>
    <w:qFormat/>
    <w:uiPriority w:val="0"/>
    <w:pPr>
      <w:pBdr>
        <w:bottom w:val="single" w:color="auto" w:sz="6" w:space="1"/>
      </w:pBdr>
      <w:tabs>
        <w:tab w:val="center" w:pos="4153"/>
        <w:tab w:val="right" w:pos="8306"/>
      </w:tabs>
      <w:snapToGrid w:val="0"/>
      <w:jc w:val="center"/>
    </w:pPr>
    <w:rPr>
      <w:kern w:val="0"/>
      <w:sz w:val="18"/>
      <w:szCs w:val="18"/>
    </w:rPr>
  </w:style>
  <w:style w:type="paragraph" w:styleId="28">
    <w:name w:val="toc 1"/>
    <w:basedOn w:val="1"/>
    <w:next w:val="1"/>
    <w:autoRedefine/>
    <w:qFormat/>
    <w:uiPriority w:val="39"/>
    <w:pPr>
      <w:spacing w:before="120" w:after="120"/>
      <w:jc w:val="left"/>
    </w:pPr>
    <w:rPr>
      <w:rFonts w:ascii="Calibri" w:hAnsi="Calibri"/>
      <w:b/>
      <w:bCs/>
      <w:caps/>
      <w:sz w:val="20"/>
      <w:szCs w:val="20"/>
    </w:rPr>
  </w:style>
  <w:style w:type="paragraph" w:styleId="29">
    <w:name w:val="toc 4"/>
    <w:basedOn w:val="1"/>
    <w:next w:val="1"/>
    <w:autoRedefine/>
    <w:qFormat/>
    <w:uiPriority w:val="39"/>
    <w:pPr>
      <w:ind w:left="630"/>
      <w:jc w:val="left"/>
    </w:pPr>
    <w:rPr>
      <w:rFonts w:ascii="Calibri" w:hAnsi="Calibri"/>
      <w:sz w:val="18"/>
      <w:szCs w:val="18"/>
    </w:rPr>
  </w:style>
  <w:style w:type="paragraph" w:styleId="30">
    <w:name w:val="footnote text"/>
    <w:basedOn w:val="1"/>
    <w:link w:val="64"/>
    <w:autoRedefine/>
    <w:qFormat/>
    <w:uiPriority w:val="0"/>
    <w:rPr>
      <w:kern w:val="0"/>
      <w:sz w:val="20"/>
      <w:szCs w:val="20"/>
    </w:rPr>
  </w:style>
  <w:style w:type="paragraph" w:styleId="31">
    <w:name w:val="toc 6"/>
    <w:basedOn w:val="1"/>
    <w:next w:val="1"/>
    <w:autoRedefine/>
    <w:qFormat/>
    <w:uiPriority w:val="39"/>
    <w:pPr>
      <w:ind w:left="1050"/>
      <w:jc w:val="left"/>
    </w:pPr>
    <w:rPr>
      <w:rFonts w:ascii="Calibri" w:hAnsi="Calibri"/>
      <w:sz w:val="18"/>
      <w:szCs w:val="18"/>
    </w:rPr>
  </w:style>
  <w:style w:type="paragraph" w:styleId="32">
    <w:name w:val="Body Text Indent 3"/>
    <w:basedOn w:val="1"/>
    <w:link w:val="84"/>
    <w:autoRedefine/>
    <w:qFormat/>
    <w:uiPriority w:val="0"/>
    <w:pPr>
      <w:spacing w:after="120"/>
      <w:ind w:left="420" w:leftChars="200"/>
    </w:pPr>
    <w:rPr>
      <w:kern w:val="0"/>
      <w:sz w:val="16"/>
      <w:szCs w:val="16"/>
    </w:rPr>
  </w:style>
  <w:style w:type="paragraph" w:styleId="33">
    <w:name w:val="table of figures"/>
    <w:basedOn w:val="1"/>
    <w:next w:val="1"/>
    <w:autoRedefine/>
    <w:qFormat/>
    <w:uiPriority w:val="0"/>
    <w:pPr>
      <w:ind w:left="200" w:leftChars="200" w:hanging="200" w:hangingChars="200"/>
    </w:pPr>
  </w:style>
  <w:style w:type="paragraph" w:styleId="34">
    <w:name w:val="toc 2"/>
    <w:basedOn w:val="1"/>
    <w:next w:val="1"/>
    <w:autoRedefine/>
    <w:qFormat/>
    <w:uiPriority w:val="39"/>
    <w:pPr>
      <w:ind w:left="210"/>
      <w:jc w:val="left"/>
    </w:pPr>
    <w:rPr>
      <w:rFonts w:ascii="Calibri" w:hAnsi="Calibri"/>
      <w:smallCaps/>
      <w:sz w:val="20"/>
      <w:szCs w:val="20"/>
    </w:rPr>
  </w:style>
  <w:style w:type="paragraph" w:styleId="35">
    <w:name w:val="toc 9"/>
    <w:basedOn w:val="1"/>
    <w:next w:val="1"/>
    <w:autoRedefine/>
    <w:qFormat/>
    <w:uiPriority w:val="39"/>
    <w:pPr>
      <w:ind w:left="1680"/>
      <w:jc w:val="left"/>
    </w:pPr>
    <w:rPr>
      <w:rFonts w:ascii="Calibri" w:hAnsi="Calibri"/>
      <w:sz w:val="18"/>
      <w:szCs w:val="18"/>
    </w:rPr>
  </w:style>
  <w:style w:type="paragraph" w:styleId="36">
    <w:name w:val="HTML Preformatted"/>
    <w:basedOn w:val="1"/>
    <w:link w:val="94"/>
    <w:autoRedefine/>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微软雅黑" w:hAnsi="微软雅黑" w:eastAsia="微软雅黑"/>
      <w:kern w:val="0"/>
      <w:sz w:val="24"/>
    </w:rPr>
  </w:style>
  <w:style w:type="paragraph" w:styleId="3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38">
    <w:name w:val="index 1"/>
    <w:basedOn w:val="1"/>
    <w:next w:val="1"/>
    <w:autoRedefine/>
    <w:semiHidden/>
    <w:qFormat/>
    <w:uiPriority w:val="0"/>
    <w:pPr>
      <w:spacing w:line="360" w:lineRule="auto"/>
      <w:jc w:val="center"/>
    </w:pPr>
    <w:rPr>
      <w:rFonts w:ascii="宋体" w:hAnsi="Arial" w:cs="Arial"/>
      <w:b/>
      <w:color w:val="000000"/>
      <w:sz w:val="24"/>
    </w:rPr>
  </w:style>
  <w:style w:type="paragraph" w:styleId="39">
    <w:name w:val="Title"/>
    <w:basedOn w:val="1"/>
    <w:link w:val="77"/>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40">
    <w:name w:val="annotation subject"/>
    <w:basedOn w:val="14"/>
    <w:next w:val="14"/>
    <w:link w:val="66"/>
    <w:autoRedefine/>
    <w:qFormat/>
    <w:uiPriority w:val="0"/>
    <w:rPr>
      <w:b/>
      <w:bCs/>
    </w:rPr>
  </w:style>
  <w:style w:type="paragraph" w:styleId="41">
    <w:name w:val="Body Text First Indent"/>
    <w:basedOn w:val="16"/>
    <w:link w:val="170"/>
    <w:autoRedefine/>
    <w:qFormat/>
    <w:uiPriority w:val="0"/>
    <w:pPr>
      <w:adjustRightInd w:val="0"/>
      <w:spacing w:line="275" w:lineRule="atLeast"/>
      <w:ind w:firstLine="420"/>
      <w:textAlignment w:val="baseline"/>
    </w:pPr>
    <w:rPr>
      <w:rFonts w:ascii="宋体" w:eastAsia="楷体_GB2312"/>
      <w:sz w:val="24"/>
      <w:szCs w:val="20"/>
    </w:rPr>
  </w:style>
  <w:style w:type="table" w:styleId="43">
    <w:name w:val="Table Grid"/>
    <w:basedOn w:val="42"/>
    <w:autoRedefine/>
    <w:qFormat/>
    <w:uiPriority w:val="0"/>
    <w:pPr>
      <w:widowControl w:val="0"/>
      <w:jc w:val="both"/>
    </w:pPr>
    <w:rPr>
      <w:rFonts w:eastAsia="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45">
    <w:name w:val="Strong"/>
    <w:autoRedefine/>
    <w:qFormat/>
    <w:uiPriority w:val="0"/>
    <w:rPr>
      <w:b/>
      <w:bCs/>
    </w:rPr>
  </w:style>
  <w:style w:type="character" w:styleId="46">
    <w:name w:val="page number"/>
    <w:autoRedefine/>
    <w:qFormat/>
    <w:uiPriority w:val="0"/>
  </w:style>
  <w:style w:type="character" w:styleId="47">
    <w:name w:val="FollowedHyperlink"/>
    <w:basedOn w:val="44"/>
    <w:autoRedefine/>
    <w:qFormat/>
    <w:uiPriority w:val="0"/>
    <w:rPr>
      <w:rFonts w:hint="default" w:ascii="Arial" w:hAnsi="Arial" w:eastAsia="Arial" w:cs="Arial"/>
      <w:color w:val="333333"/>
      <w:sz w:val="21"/>
      <w:szCs w:val="21"/>
      <w:u w:val="none"/>
    </w:rPr>
  </w:style>
  <w:style w:type="character" w:styleId="48">
    <w:name w:val="Hyperlink"/>
    <w:basedOn w:val="44"/>
    <w:autoRedefine/>
    <w:qFormat/>
    <w:uiPriority w:val="99"/>
    <w:rPr>
      <w:rFonts w:ascii="Arial" w:hAnsi="Arial" w:eastAsia="Arial" w:cs="Arial"/>
      <w:color w:val="333333"/>
      <w:sz w:val="21"/>
      <w:szCs w:val="21"/>
      <w:u w:val="none"/>
    </w:rPr>
  </w:style>
  <w:style w:type="character" w:styleId="49">
    <w:name w:val="annotation reference"/>
    <w:basedOn w:val="44"/>
    <w:autoRedefine/>
    <w:qFormat/>
    <w:uiPriority w:val="0"/>
    <w:rPr>
      <w:sz w:val="21"/>
      <w:szCs w:val="21"/>
    </w:rPr>
  </w:style>
  <w:style w:type="character" w:styleId="50">
    <w:name w:val="footnote reference"/>
    <w:autoRedefine/>
    <w:qFormat/>
    <w:uiPriority w:val="0"/>
    <w:rPr>
      <w:vertAlign w:val="superscript"/>
    </w:rPr>
  </w:style>
  <w:style w:type="character" w:customStyle="1" w:styleId="51">
    <w:name w:val="apple-style-span"/>
    <w:autoRedefine/>
    <w:qFormat/>
    <w:uiPriority w:val="0"/>
    <w:rPr>
      <w:rFonts w:ascii="Verdana" w:hAnsi="Verdana" w:eastAsia="宋体"/>
      <w:sz w:val="21"/>
      <w:lang w:val="en-US" w:eastAsia="en-US" w:bidi="ar-SA"/>
    </w:rPr>
  </w:style>
  <w:style w:type="character" w:customStyle="1" w:styleId="52">
    <w:name w:val="正文文本 3 Char1"/>
    <w:autoRedefine/>
    <w:semiHidden/>
    <w:qFormat/>
    <w:uiPriority w:val="99"/>
    <w:rPr>
      <w:rFonts w:ascii="Times New Roman" w:hAnsi="Times New Roman" w:eastAsia="宋体" w:cs="Times New Roman"/>
      <w:sz w:val="16"/>
      <w:szCs w:val="16"/>
    </w:rPr>
  </w:style>
  <w:style w:type="character" w:customStyle="1" w:styleId="53">
    <w:name w:val="样式 宋体"/>
    <w:autoRedefine/>
    <w:qFormat/>
    <w:uiPriority w:val="0"/>
    <w:rPr>
      <w:rFonts w:ascii="Times New Roman" w:hAnsi="Times New Roman" w:eastAsia="宋体"/>
      <w:sz w:val="21"/>
    </w:rPr>
  </w:style>
  <w:style w:type="character" w:customStyle="1" w:styleId="54">
    <w:name w:val="正文文本 (2) + 9.5 pt"/>
    <w:autoRedefine/>
    <w:qFormat/>
    <w:uiPriority w:val="0"/>
    <w:rPr>
      <w:rFonts w:ascii="MingLiU" w:hAnsi="MingLiU" w:eastAsia="MingLiU" w:cs="MingLiU"/>
      <w:color w:val="000000"/>
      <w:spacing w:val="0"/>
      <w:w w:val="100"/>
      <w:position w:val="0"/>
      <w:sz w:val="19"/>
      <w:szCs w:val="19"/>
      <w:u w:val="none"/>
      <w:lang w:val="zh-TW" w:eastAsia="zh-TW" w:bidi="zh-TW"/>
    </w:rPr>
  </w:style>
  <w:style w:type="character" w:customStyle="1" w:styleId="55">
    <w:name w:val="标题 3 字符"/>
    <w:link w:val="4"/>
    <w:autoRedefine/>
    <w:qFormat/>
    <w:uiPriority w:val="0"/>
    <w:rPr>
      <w:rFonts w:ascii="Times New Roman" w:hAnsi="Times New Roman" w:eastAsia="宋体" w:cs="Times New Roman"/>
      <w:b/>
      <w:bCs/>
      <w:sz w:val="32"/>
      <w:szCs w:val="32"/>
    </w:rPr>
  </w:style>
  <w:style w:type="character" w:customStyle="1" w:styleId="56">
    <w:name w:val="批注文字 字符"/>
    <w:link w:val="14"/>
    <w:autoRedefine/>
    <w:qFormat/>
    <w:uiPriority w:val="99"/>
    <w:rPr>
      <w:rFonts w:ascii="Times New Roman" w:hAnsi="Times New Roman" w:eastAsia="宋体" w:cs="Times New Roman"/>
      <w:szCs w:val="24"/>
    </w:rPr>
  </w:style>
  <w:style w:type="character" w:customStyle="1" w:styleId="57">
    <w:name w:val="标题 6 字符"/>
    <w:link w:val="6"/>
    <w:autoRedefine/>
    <w:qFormat/>
    <w:uiPriority w:val="0"/>
    <w:rPr>
      <w:rFonts w:ascii="Arial" w:hAnsi="Arial" w:eastAsia="黑体" w:cs="Times New Roman"/>
      <w:b/>
      <w:bCs/>
      <w:kern w:val="0"/>
      <w:sz w:val="24"/>
      <w:szCs w:val="24"/>
    </w:rPr>
  </w:style>
  <w:style w:type="character" w:customStyle="1" w:styleId="58">
    <w:name w:val="Char Char8"/>
    <w:autoRedefine/>
    <w:qFormat/>
    <w:uiPriority w:val="0"/>
    <w:rPr>
      <w:rFonts w:ascii="Arial" w:hAnsi="Arial" w:eastAsia="黑体"/>
      <w:b/>
      <w:bCs/>
      <w:kern w:val="2"/>
      <w:sz w:val="32"/>
      <w:szCs w:val="32"/>
      <w:lang w:val="en-US" w:eastAsia="zh-CN" w:bidi="ar-SA"/>
    </w:rPr>
  </w:style>
  <w:style w:type="character" w:customStyle="1" w:styleId="59">
    <w:name w:val="脚注文本 Char1"/>
    <w:autoRedefine/>
    <w:semiHidden/>
    <w:qFormat/>
    <w:uiPriority w:val="99"/>
    <w:rPr>
      <w:rFonts w:ascii="Times New Roman" w:hAnsi="Times New Roman" w:eastAsia="宋体" w:cs="Times New Roman"/>
      <w:sz w:val="18"/>
      <w:szCs w:val="18"/>
    </w:rPr>
  </w:style>
  <w:style w:type="character" w:customStyle="1" w:styleId="60">
    <w:name w:val="正文文本 3 字符"/>
    <w:link w:val="15"/>
    <w:autoRedefine/>
    <w:qFormat/>
    <w:uiPriority w:val="0"/>
    <w:rPr>
      <w:rFonts w:ascii="宋体"/>
      <w:sz w:val="24"/>
    </w:rPr>
  </w:style>
  <w:style w:type="character" w:customStyle="1" w:styleId="61">
    <w:name w:val="页脚 Char1"/>
    <w:autoRedefine/>
    <w:semiHidden/>
    <w:qFormat/>
    <w:uiPriority w:val="99"/>
    <w:rPr>
      <w:rFonts w:ascii="Times New Roman" w:hAnsi="Times New Roman" w:eastAsia="宋体" w:cs="Times New Roman"/>
      <w:sz w:val="18"/>
      <w:szCs w:val="18"/>
    </w:rPr>
  </w:style>
  <w:style w:type="character" w:customStyle="1" w:styleId="62">
    <w:name w:val="标题 Char1"/>
    <w:autoRedefine/>
    <w:qFormat/>
    <w:uiPriority w:val="10"/>
    <w:rPr>
      <w:rFonts w:ascii="Calibri Light" w:hAnsi="Calibri Light" w:eastAsia="宋体" w:cs="Times New Roman"/>
      <w:b/>
      <w:bCs/>
      <w:sz w:val="32"/>
      <w:szCs w:val="32"/>
    </w:rPr>
  </w:style>
  <w:style w:type="character" w:customStyle="1" w:styleId="63">
    <w:name w:val="正文文本 字符"/>
    <w:link w:val="16"/>
    <w:autoRedefine/>
    <w:qFormat/>
    <w:uiPriority w:val="0"/>
    <w:rPr>
      <w:rFonts w:eastAsia="宋体"/>
      <w:szCs w:val="24"/>
    </w:rPr>
  </w:style>
  <w:style w:type="character" w:customStyle="1" w:styleId="64">
    <w:name w:val="脚注文本 字符"/>
    <w:link w:val="30"/>
    <w:autoRedefine/>
    <w:qFormat/>
    <w:uiPriority w:val="0"/>
    <w:rPr>
      <w:rFonts w:eastAsia="宋体"/>
    </w:rPr>
  </w:style>
  <w:style w:type="character" w:customStyle="1" w:styleId="65">
    <w:name w:val="纯文本 Char1"/>
    <w:autoRedefine/>
    <w:semiHidden/>
    <w:qFormat/>
    <w:uiPriority w:val="99"/>
    <w:rPr>
      <w:rFonts w:ascii="宋体" w:hAnsi="Courier New" w:eastAsia="宋体" w:cs="Courier New"/>
      <w:szCs w:val="21"/>
    </w:rPr>
  </w:style>
  <w:style w:type="character" w:customStyle="1" w:styleId="66">
    <w:name w:val="批注主题 字符"/>
    <w:link w:val="40"/>
    <w:autoRedefine/>
    <w:qFormat/>
    <w:uiPriority w:val="0"/>
    <w:rPr>
      <w:rFonts w:ascii="Times New Roman" w:hAnsi="Times New Roman" w:eastAsia="宋体" w:cs="Times New Roman"/>
      <w:b/>
      <w:bCs/>
      <w:szCs w:val="24"/>
    </w:rPr>
  </w:style>
  <w:style w:type="character" w:customStyle="1" w:styleId="67">
    <w:name w:val="正文缩进 字符"/>
    <w:link w:val="12"/>
    <w:autoRedefine/>
    <w:qFormat/>
    <w:locked/>
    <w:uiPriority w:val="0"/>
    <w:rPr>
      <w:kern w:val="2"/>
      <w:sz w:val="21"/>
      <w:szCs w:val="24"/>
    </w:rPr>
  </w:style>
  <w:style w:type="character" w:customStyle="1" w:styleId="68">
    <w:name w:val="font11"/>
    <w:autoRedefine/>
    <w:qFormat/>
    <w:uiPriority w:val="0"/>
    <w:rPr>
      <w:rFonts w:hint="default" w:ascii="Times New Roman" w:hAnsi="Times New Roman" w:cs="Times New Roman"/>
      <w:color w:val="000000"/>
      <w:sz w:val="22"/>
      <w:szCs w:val="22"/>
      <w:u w:val="none"/>
    </w:rPr>
  </w:style>
  <w:style w:type="character" w:customStyle="1" w:styleId="69">
    <w:name w:val="font01"/>
    <w:autoRedefine/>
    <w:qFormat/>
    <w:uiPriority w:val="0"/>
    <w:rPr>
      <w:rFonts w:hint="eastAsia" w:ascii="宋体" w:hAnsi="宋体" w:eastAsia="宋体" w:cs="宋体"/>
      <w:color w:val="000000"/>
      <w:sz w:val="22"/>
      <w:szCs w:val="22"/>
      <w:u w:val="none"/>
    </w:rPr>
  </w:style>
  <w:style w:type="character" w:customStyle="1" w:styleId="70">
    <w:name w:val="页眉 字符"/>
    <w:link w:val="27"/>
    <w:autoRedefine/>
    <w:qFormat/>
    <w:uiPriority w:val="0"/>
    <w:rPr>
      <w:rFonts w:ascii="Times New Roman" w:hAnsi="Times New Roman" w:eastAsia="宋体" w:cs="Times New Roman"/>
      <w:sz w:val="18"/>
      <w:szCs w:val="18"/>
    </w:rPr>
  </w:style>
  <w:style w:type="character" w:customStyle="1" w:styleId="71">
    <w:name w:val="标题 9 字符"/>
    <w:link w:val="9"/>
    <w:autoRedefine/>
    <w:qFormat/>
    <w:uiPriority w:val="0"/>
    <w:rPr>
      <w:rFonts w:ascii="Arial" w:hAnsi="Arial" w:eastAsia="黑体" w:cs="Times New Roman"/>
      <w:kern w:val="0"/>
      <w:szCs w:val="21"/>
    </w:rPr>
  </w:style>
  <w:style w:type="character" w:customStyle="1" w:styleId="72">
    <w:name w:val="标题 2 Char1"/>
    <w:autoRedefine/>
    <w:qFormat/>
    <w:uiPriority w:val="0"/>
    <w:rPr>
      <w:rFonts w:ascii="Arial" w:hAnsi="Arial" w:eastAsia="黑体" w:cs="Times New Roman"/>
      <w:b/>
      <w:bCs/>
      <w:sz w:val="32"/>
      <w:szCs w:val="32"/>
      <w:lang w:val="en-US" w:eastAsia="en-US" w:bidi="ar-SA"/>
    </w:rPr>
  </w:style>
  <w:style w:type="character" w:customStyle="1" w:styleId="73">
    <w:name w:val="正文文本缩进 字符"/>
    <w:link w:val="17"/>
    <w:autoRedefine/>
    <w:qFormat/>
    <w:uiPriority w:val="0"/>
    <w:rPr>
      <w:szCs w:val="24"/>
    </w:rPr>
  </w:style>
  <w:style w:type="character" w:customStyle="1" w:styleId="74">
    <w:name w:val="文档结构图 字符"/>
    <w:link w:val="13"/>
    <w:autoRedefine/>
    <w:qFormat/>
    <w:uiPriority w:val="0"/>
    <w:rPr>
      <w:rFonts w:ascii="Times New Roman" w:hAnsi="Times New Roman" w:eastAsia="宋体" w:cs="Times New Roman"/>
      <w:szCs w:val="24"/>
      <w:shd w:val="clear" w:color="auto" w:fill="000080"/>
    </w:rPr>
  </w:style>
  <w:style w:type="character" w:customStyle="1" w:styleId="75">
    <w:name w:val="font161"/>
    <w:autoRedefine/>
    <w:qFormat/>
    <w:uiPriority w:val="0"/>
    <w:rPr>
      <w:b/>
      <w:bCs/>
      <w:sz w:val="32"/>
      <w:szCs w:val="32"/>
    </w:rPr>
  </w:style>
  <w:style w:type="character" w:customStyle="1" w:styleId="76">
    <w:name w:val="标题 2 字符"/>
    <w:link w:val="3"/>
    <w:autoRedefine/>
    <w:qFormat/>
    <w:uiPriority w:val="0"/>
    <w:rPr>
      <w:rFonts w:ascii="Arial" w:hAnsi="Arial" w:eastAsia="黑体" w:cs="Times New Roman"/>
      <w:b/>
      <w:bCs/>
      <w:sz w:val="32"/>
      <w:szCs w:val="32"/>
    </w:rPr>
  </w:style>
  <w:style w:type="character" w:customStyle="1" w:styleId="77">
    <w:name w:val="标题 字符"/>
    <w:link w:val="39"/>
    <w:autoRedefine/>
    <w:qFormat/>
    <w:uiPriority w:val="0"/>
    <w:rPr>
      <w:rFonts w:ascii="Arial" w:hAnsi="Arial"/>
      <w:b/>
      <w:sz w:val="32"/>
    </w:rPr>
  </w:style>
  <w:style w:type="character" w:customStyle="1" w:styleId="78">
    <w:name w:val="批注框文本 字符"/>
    <w:link w:val="25"/>
    <w:autoRedefine/>
    <w:qFormat/>
    <w:uiPriority w:val="0"/>
    <w:rPr>
      <w:rFonts w:ascii="Times New Roman" w:hAnsi="Times New Roman" w:eastAsia="宋体" w:cs="Times New Roman"/>
      <w:sz w:val="18"/>
      <w:szCs w:val="18"/>
    </w:rPr>
  </w:style>
  <w:style w:type="character" w:customStyle="1" w:styleId="79">
    <w:name w:val="标题 8 字符"/>
    <w:link w:val="8"/>
    <w:autoRedefine/>
    <w:qFormat/>
    <w:uiPriority w:val="0"/>
    <w:rPr>
      <w:rFonts w:ascii="Arial" w:hAnsi="Arial" w:eastAsia="黑体" w:cs="Times New Roman"/>
      <w:kern w:val="0"/>
      <w:sz w:val="24"/>
      <w:szCs w:val="24"/>
    </w:rPr>
  </w:style>
  <w:style w:type="character" w:customStyle="1" w:styleId="80">
    <w:name w:val="日期 字符"/>
    <w:link w:val="23"/>
    <w:autoRedefine/>
    <w:qFormat/>
    <w:uiPriority w:val="0"/>
    <w:rPr>
      <w:rFonts w:ascii="Times New Roman" w:hAnsi="Times New Roman" w:eastAsia="宋体" w:cs="Times New Roman"/>
      <w:sz w:val="24"/>
      <w:szCs w:val="20"/>
    </w:rPr>
  </w:style>
  <w:style w:type="character" w:customStyle="1" w:styleId="81">
    <w:name w:val="标题 1 字符"/>
    <w:link w:val="2"/>
    <w:autoRedefine/>
    <w:qFormat/>
    <w:uiPriority w:val="0"/>
    <w:rPr>
      <w:rFonts w:ascii="Times New Roman" w:hAnsi="Times New Roman" w:eastAsia="宋体" w:cs="Times New Roman"/>
      <w:b/>
      <w:bCs/>
      <w:kern w:val="44"/>
      <w:sz w:val="44"/>
      <w:szCs w:val="44"/>
    </w:rPr>
  </w:style>
  <w:style w:type="character" w:customStyle="1" w:styleId="82">
    <w:name w:val="招标节 Char"/>
    <w:link w:val="83"/>
    <w:autoRedefine/>
    <w:qFormat/>
    <w:locked/>
    <w:uiPriority w:val="0"/>
    <w:rPr>
      <w:b/>
      <w:sz w:val="24"/>
      <w:szCs w:val="24"/>
    </w:rPr>
  </w:style>
  <w:style w:type="paragraph" w:customStyle="1" w:styleId="83">
    <w:name w:val="招标节"/>
    <w:basedOn w:val="1"/>
    <w:next w:val="1"/>
    <w:link w:val="82"/>
    <w:autoRedefine/>
    <w:qFormat/>
    <w:uiPriority w:val="0"/>
    <w:pPr>
      <w:spacing w:beforeLines="50" w:afterLines="50"/>
      <w:outlineLvl w:val="1"/>
    </w:pPr>
    <w:rPr>
      <w:b/>
      <w:kern w:val="0"/>
      <w:sz w:val="24"/>
    </w:rPr>
  </w:style>
  <w:style w:type="character" w:customStyle="1" w:styleId="84">
    <w:name w:val="正文文本缩进 3 字符"/>
    <w:link w:val="32"/>
    <w:autoRedefine/>
    <w:qFormat/>
    <w:uiPriority w:val="0"/>
    <w:rPr>
      <w:rFonts w:ascii="Times New Roman" w:hAnsi="Times New Roman" w:eastAsia="宋体" w:cs="Times New Roman"/>
      <w:sz w:val="16"/>
      <w:szCs w:val="16"/>
    </w:rPr>
  </w:style>
  <w:style w:type="character" w:customStyle="1" w:styleId="85">
    <w:name w:val="tpc_content1"/>
    <w:autoRedefine/>
    <w:qFormat/>
    <w:uiPriority w:val="0"/>
    <w:rPr>
      <w:sz w:val="20"/>
      <w:szCs w:val="20"/>
    </w:rPr>
  </w:style>
  <w:style w:type="character" w:customStyle="1" w:styleId="86">
    <w:name w:val="Char Char"/>
    <w:autoRedefine/>
    <w:qFormat/>
    <w:uiPriority w:val="0"/>
    <w:rPr>
      <w:rFonts w:ascii="Arial" w:hAnsi="Arial" w:eastAsia="黑体"/>
      <w:b/>
      <w:bCs/>
      <w:kern w:val="2"/>
      <w:sz w:val="32"/>
      <w:szCs w:val="32"/>
      <w:lang w:val="en-US" w:eastAsia="zh-CN" w:bidi="ar-SA"/>
    </w:rPr>
  </w:style>
  <w:style w:type="character" w:customStyle="1" w:styleId="87">
    <w:name w:val="正文文本 Char1"/>
    <w:autoRedefine/>
    <w:semiHidden/>
    <w:qFormat/>
    <w:uiPriority w:val="99"/>
    <w:rPr>
      <w:rFonts w:ascii="Times New Roman" w:hAnsi="Times New Roman" w:eastAsia="宋体" w:cs="Times New Roman"/>
      <w:szCs w:val="24"/>
    </w:rPr>
  </w:style>
  <w:style w:type="character" w:customStyle="1" w:styleId="88">
    <w:name w:val="Char Char2"/>
    <w:autoRedefine/>
    <w:qFormat/>
    <w:uiPriority w:val="0"/>
    <w:rPr>
      <w:rFonts w:eastAsia="宋体"/>
      <w:kern w:val="2"/>
      <w:sz w:val="21"/>
      <w:szCs w:val="24"/>
      <w:lang w:val="en-US" w:eastAsia="zh-CN" w:bidi="ar-SA"/>
    </w:rPr>
  </w:style>
  <w:style w:type="character" w:customStyle="1" w:styleId="89">
    <w:name w:val="apple-converted-space"/>
    <w:autoRedefine/>
    <w:qFormat/>
    <w:uiPriority w:val="0"/>
  </w:style>
  <w:style w:type="character" w:customStyle="1" w:styleId="90">
    <w:name w:val="标题 4 字符"/>
    <w:link w:val="5"/>
    <w:autoRedefine/>
    <w:qFormat/>
    <w:uiPriority w:val="0"/>
    <w:rPr>
      <w:rFonts w:ascii="Arial" w:hAnsi="Arial" w:eastAsia="黑体" w:cs="Times New Roman"/>
      <w:b/>
      <w:bCs/>
      <w:sz w:val="28"/>
      <w:szCs w:val="28"/>
    </w:rPr>
  </w:style>
  <w:style w:type="character" w:customStyle="1" w:styleId="91">
    <w:name w:val="正文文本缩进 Char1"/>
    <w:autoRedefine/>
    <w:semiHidden/>
    <w:qFormat/>
    <w:uiPriority w:val="99"/>
    <w:rPr>
      <w:rFonts w:ascii="Times New Roman" w:hAnsi="Times New Roman" w:eastAsia="宋体" w:cs="Times New Roman"/>
      <w:szCs w:val="24"/>
    </w:rPr>
  </w:style>
  <w:style w:type="character" w:customStyle="1" w:styleId="92">
    <w:name w:val="页脚 字符"/>
    <w:link w:val="26"/>
    <w:autoRedefine/>
    <w:qFormat/>
    <w:uiPriority w:val="99"/>
    <w:rPr>
      <w:sz w:val="18"/>
      <w:szCs w:val="18"/>
    </w:rPr>
  </w:style>
  <w:style w:type="character" w:customStyle="1" w:styleId="93">
    <w:name w:val="Char Char7"/>
    <w:autoRedefine/>
    <w:qFormat/>
    <w:uiPriority w:val="0"/>
    <w:rPr>
      <w:rFonts w:ascii="Arial" w:hAnsi="Arial" w:eastAsia="黑体"/>
      <w:b/>
      <w:bCs/>
      <w:kern w:val="2"/>
      <w:sz w:val="32"/>
      <w:szCs w:val="32"/>
      <w:lang w:val="en-US" w:eastAsia="zh-CN" w:bidi="ar-SA"/>
    </w:rPr>
  </w:style>
  <w:style w:type="character" w:customStyle="1" w:styleId="94">
    <w:name w:val="HTML 预设格式 字符"/>
    <w:link w:val="36"/>
    <w:autoRedefine/>
    <w:qFormat/>
    <w:uiPriority w:val="0"/>
    <w:rPr>
      <w:rFonts w:ascii="微软雅黑" w:hAnsi="微软雅黑" w:eastAsia="微软雅黑" w:cs="Times New Roman"/>
      <w:kern w:val="0"/>
      <w:sz w:val="24"/>
      <w:szCs w:val="24"/>
    </w:rPr>
  </w:style>
  <w:style w:type="character" w:customStyle="1" w:styleId="95">
    <w:name w:val="批注文字 Char"/>
    <w:autoRedefine/>
    <w:qFormat/>
    <w:uiPriority w:val="0"/>
    <w:rPr>
      <w:rFonts w:eastAsia="宋体"/>
      <w:kern w:val="2"/>
      <w:sz w:val="21"/>
      <w:szCs w:val="24"/>
      <w:lang w:val="en-US" w:eastAsia="zh-CN" w:bidi="ar-SA"/>
    </w:rPr>
  </w:style>
  <w:style w:type="character" w:customStyle="1" w:styleId="96">
    <w:name w:val="纯文本 字符"/>
    <w:link w:val="21"/>
    <w:autoRedefine/>
    <w:qFormat/>
    <w:uiPriority w:val="99"/>
    <w:rPr>
      <w:rFonts w:ascii="Courier New" w:hAnsi="Courier New"/>
    </w:rPr>
  </w:style>
  <w:style w:type="character" w:customStyle="1" w:styleId="97">
    <w:name w:val="标题 7 字符"/>
    <w:link w:val="7"/>
    <w:autoRedefine/>
    <w:qFormat/>
    <w:uiPriority w:val="0"/>
    <w:rPr>
      <w:rFonts w:ascii="Times New Roman" w:hAnsi="Times New Roman" w:eastAsia="宋体" w:cs="Times New Roman"/>
      <w:b/>
      <w:bCs/>
      <w:kern w:val="0"/>
      <w:sz w:val="24"/>
      <w:szCs w:val="24"/>
    </w:rPr>
  </w:style>
  <w:style w:type="paragraph" w:customStyle="1" w:styleId="98">
    <w:name w:val="样式4"/>
    <w:basedOn w:val="4"/>
    <w:autoRedefine/>
    <w:qFormat/>
    <w:uiPriority w:val="0"/>
    <w:rPr>
      <w:rFonts w:eastAsia="Arial"/>
    </w:rPr>
  </w:style>
  <w:style w:type="paragraph" w:customStyle="1" w:styleId="99">
    <w:name w:val="Normal_9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0">
    <w:name w:val="Normal_6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1">
    <w:name w:val="font10"/>
    <w:basedOn w:val="1"/>
    <w:autoRedefine/>
    <w:qFormat/>
    <w:uiPriority w:val="0"/>
    <w:pPr>
      <w:widowControl/>
      <w:spacing w:before="100" w:beforeAutospacing="1" w:after="100" w:afterAutospacing="1"/>
      <w:jc w:val="left"/>
    </w:pPr>
    <w:rPr>
      <w:kern w:val="0"/>
      <w:sz w:val="28"/>
      <w:szCs w:val="28"/>
    </w:rPr>
  </w:style>
  <w:style w:type="paragraph" w:customStyle="1" w:styleId="102">
    <w:name w:val="Normal_5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3">
    <w:name w:val="Normal_6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4">
    <w:name w:val="样式1"/>
    <w:basedOn w:val="4"/>
    <w:autoRedefine/>
    <w:qFormat/>
    <w:uiPriority w:val="0"/>
    <w:rPr>
      <w:rFonts w:eastAsia="Arial"/>
    </w:rPr>
  </w:style>
  <w:style w:type="paragraph" w:customStyle="1" w:styleId="105">
    <w:name w:val="Normal_2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6">
    <w:name w:val="Normal_5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7">
    <w:name w:val="Char"/>
    <w:basedOn w:val="1"/>
    <w:autoRedefine/>
    <w:qFormat/>
    <w:uiPriority w:val="0"/>
    <w:pPr>
      <w:tabs>
        <w:tab w:val="left" w:pos="360"/>
      </w:tabs>
    </w:pPr>
    <w:rPr>
      <w:sz w:val="24"/>
    </w:rPr>
  </w:style>
  <w:style w:type="paragraph" w:customStyle="1" w:styleId="108">
    <w:name w:val="Normal_9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09">
    <w:name w:val="表格"/>
    <w:basedOn w:val="1"/>
    <w:autoRedefine/>
    <w:qFormat/>
    <w:uiPriority w:val="0"/>
    <w:pPr>
      <w:jc w:val="center"/>
      <w:textAlignment w:val="center"/>
    </w:pPr>
    <w:rPr>
      <w:rFonts w:ascii="华文细黑" w:hAnsi="华文细黑"/>
      <w:kern w:val="0"/>
      <w:szCs w:val="20"/>
    </w:rPr>
  </w:style>
  <w:style w:type="paragraph" w:customStyle="1" w:styleId="110">
    <w:name w:val="Normal_5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1">
    <w:name w:val="Normal_6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2">
    <w:name w:val="Normal_6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3">
    <w:name w:val="样式 居中 首行缩进:  2 字符"/>
    <w:basedOn w:val="1"/>
    <w:autoRedefine/>
    <w:qFormat/>
    <w:uiPriority w:val="0"/>
    <w:pPr>
      <w:widowControl/>
      <w:spacing w:line="360" w:lineRule="auto"/>
      <w:ind w:firstLine="480" w:firstLineChars="200"/>
      <w:jc w:val="center"/>
    </w:pPr>
    <w:rPr>
      <w:rFonts w:ascii="Calibri" w:hAnsi="Calibri" w:cs="宋体"/>
      <w:kern w:val="0"/>
      <w:szCs w:val="20"/>
      <w:lang w:eastAsia="en-US" w:bidi="en-US"/>
    </w:rPr>
  </w:style>
  <w:style w:type="paragraph" w:customStyle="1" w:styleId="114">
    <w:name w:val="Normal_63"/>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5">
    <w:name w:val="Normal_51"/>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6">
    <w:name w:val="Normal_5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7">
    <w:name w:val="Normal_6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8">
    <w:name w:val="Normal_6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19">
    <w:name w:val="列出段落1"/>
    <w:basedOn w:val="1"/>
    <w:autoRedefine/>
    <w:qFormat/>
    <w:uiPriority w:val="34"/>
    <w:pPr>
      <w:ind w:firstLine="420" w:firstLineChars="200"/>
    </w:pPr>
    <w:rPr>
      <w:rFonts w:ascii="Calibri" w:hAnsi="Calibri"/>
      <w:szCs w:val="22"/>
    </w:rPr>
  </w:style>
  <w:style w:type="paragraph" w:customStyle="1" w:styleId="120">
    <w:name w:val="样式 标题 2 + Times New Roman 四号 非加粗 段前: 5 磅 段后: 0 磅 行距: 固定值 20..."/>
    <w:basedOn w:val="3"/>
    <w:autoRedefine/>
    <w:qFormat/>
    <w:uiPriority w:val="0"/>
    <w:pPr>
      <w:spacing w:before="100" w:after="0" w:line="400" w:lineRule="exact"/>
    </w:pPr>
    <w:rPr>
      <w:rFonts w:ascii="Times New Roman" w:hAnsi="Times New Roman" w:cs="宋体"/>
      <w:b w:val="0"/>
      <w:bCs w:val="0"/>
      <w:sz w:val="28"/>
      <w:szCs w:val="20"/>
    </w:rPr>
  </w:style>
  <w:style w:type="paragraph" w:customStyle="1" w:styleId="121">
    <w:name w:val="Normal_50"/>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2">
    <w:name w:val="Normal_65"/>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3">
    <w:name w:val="表中"/>
    <w:basedOn w:val="1"/>
    <w:autoRedefine/>
    <w:qFormat/>
    <w:uiPriority w:val="0"/>
    <w:pPr>
      <w:autoSpaceDE w:val="0"/>
      <w:autoSpaceDN w:val="0"/>
      <w:adjustRightInd w:val="0"/>
      <w:spacing w:line="360" w:lineRule="atLeast"/>
      <w:jc w:val="center"/>
    </w:pPr>
    <w:rPr>
      <w:rFonts w:ascii="宋体"/>
      <w:kern w:val="0"/>
      <w:szCs w:val="20"/>
    </w:rPr>
  </w:style>
  <w:style w:type="paragraph" w:customStyle="1" w:styleId="124">
    <w:name w:val="样式 标题 1 + 黑体 三号 非加粗 居中 段前: 6 磅 段后: 6 磅 行距: 固定值 20 磅"/>
    <w:basedOn w:val="2"/>
    <w:autoRedefine/>
    <w:qFormat/>
    <w:uiPriority w:val="0"/>
    <w:pPr>
      <w:spacing w:before="120" w:after="120" w:line="400" w:lineRule="exact"/>
      <w:jc w:val="center"/>
    </w:pPr>
    <w:rPr>
      <w:rFonts w:ascii="黑体" w:hAnsi="黑体" w:eastAsia="黑体" w:cs="宋体"/>
      <w:b w:val="0"/>
      <w:bCs w:val="0"/>
      <w:sz w:val="32"/>
      <w:szCs w:val="20"/>
    </w:rPr>
  </w:style>
  <w:style w:type="paragraph" w:customStyle="1" w:styleId="125">
    <w:name w:val="1"/>
    <w:basedOn w:val="1"/>
    <w:next w:val="1"/>
    <w:autoRedefine/>
    <w:qFormat/>
    <w:uiPriority w:val="0"/>
  </w:style>
  <w:style w:type="paragraph" w:customStyle="1" w:styleId="126">
    <w:name w:val="Normal_5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7">
    <w:name w:val="Normal_5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28">
    <w:name w:val="规范文本"/>
    <w:basedOn w:val="21"/>
    <w:autoRedefine/>
    <w:qFormat/>
    <w:uiPriority w:val="0"/>
    <w:pPr>
      <w:adjustRightInd w:val="0"/>
      <w:snapToGrid w:val="0"/>
      <w:spacing w:line="360" w:lineRule="exact"/>
      <w:ind w:firstLine="420"/>
    </w:pPr>
    <w:rPr>
      <w:rFonts w:ascii="宋体"/>
      <w:snapToGrid w:val="0"/>
      <w:szCs w:val="21"/>
    </w:rPr>
  </w:style>
  <w:style w:type="paragraph" w:customStyle="1" w:styleId="129">
    <w:name w:val="样式 标题 2 + Times New Roman 四号 非加粗 行距: 单倍行距"/>
    <w:basedOn w:val="3"/>
    <w:autoRedefine/>
    <w:qFormat/>
    <w:uiPriority w:val="0"/>
    <w:pPr>
      <w:spacing w:before="0" w:after="0" w:line="240" w:lineRule="auto"/>
      <w:jc w:val="center"/>
    </w:pPr>
    <w:rPr>
      <w:rFonts w:ascii="宋体" w:hAnsi="宋体" w:eastAsia="宋体"/>
      <w:bCs w:val="0"/>
      <w:color w:val="000000"/>
      <w:kern w:val="44"/>
      <w:sz w:val="28"/>
      <w:szCs w:val="28"/>
    </w:rPr>
  </w:style>
  <w:style w:type="paragraph" w:customStyle="1" w:styleId="130">
    <w:name w:val="节"/>
    <w:basedOn w:val="21"/>
    <w:autoRedefine/>
    <w:qFormat/>
    <w:uiPriority w:val="0"/>
    <w:pPr>
      <w:adjustRightInd w:val="0"/>
      <w:snapToGrid w:val="0"/>
      <w:spacing w:before="600" w:after="600"/>
      <w:jc w:val="center"/>
      <w:outlineLvl w:val="2"/>
    </w:pPr>
    <w:rPr>
      <w:rFonts w:ascii="黑体" w:eastAsia="黑体"/>
      <w:snapToGrid w:val="0"/>
      <w:w w:val="90"/>
      <w:sz w:val="32"/>
    </w:rPr>
  </w:style>
  <w:style w:type="paragraph" w:customStyle="1" w:styleId="131">
    <w:name w:val="Normal_8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2">
    <w:name w:val="样式3"/>
    <w:basedOn w:val="4"/>
    <w:autoRedefine/>
    <w:qFormat/>
    <w:uiPriority w:val="0"/>
    <w:rPr>
      <w:rFonts w:eastAsia="Arial"/>
    </w:rPr>
  </w:style>
  <w:style w:type="paragraph" w:customStyle="1" w:styleId="133">
    <w:name w:val="Normal_96"/>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4">
    <w:name w:val="Normal_5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5">
    <w:name w:val="6'"/>
    <w:basedOn w:val="1"/>
    <w:autoRedefine/>
    <w:qFormat/>
    <w:uiPriority w:val="0"/>
    <w:pPr>
      <w:autoSpaceDE w:val="0"/>
      <w:autoSpaceDN w:val="0"/>
      <w:adjustRightInd w:val="0"/>
      <w:snapToGrid w:val="0"/>
      <w:spacing w:line="320" w:lineRule="exact"/>
      <w:jc w:val="center"/>
      <w:textAlignment w:val="baseline"/>
    </w:pPr>
    <w:rPr>
      <w:spacing w:val="20"/>
      <w:kern w:val="28"/>
      <w:szCs w:val="20"/>
    </w:rPr>
  </w:style>
  <w:style w:type="paragraph" w:customStyle="1" w:styleId="136">
    <w:name w:val="Normal_9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7">
    <w:name w:val="正文文本 (15)"/>
    <w:basedOn w:val="1"/>
    <w:autoRedefine/>
    <w:qFormat/>
    <w:uiPriority w:val="0"/>
    <w:pPr>
      <w:shd w:val="clear" w:color="auto" w:fill="FFFFFF"/>
      <w:spacing w:line="0" w:lineRule="atLeast"/>
      <w:jc w:val="left"/>
    </w:pPr>
    <w:rPr>
      <w:rFonts w:ascii="MingLiU" w:hAnsi="MingLiU" w:eastAsia="MingLiU"/>
      <w:spacing w:val="10"/>
      <w:kern w:val="0"/>
      <w:sz w:val="19"/>
      <w:szCs w:val="19"/>
    </w:rPr>
  </w:style>
  <w:style w:type="paragraph" w:customStyle="1" w:styleId="138">
    <w:name w:val="Normal_9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39">
    <w:name w:val="Normal_48"/>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0">
    <w:name w:val="正文文本 (2)"/>
    <w:basedOn w:val="1"/>
    <w:autoRedefine/>
    <w:qFormat/>
    <w:uiPriority w:val="0"/>
    <w:pPr>
      <w:shd w:val="clear" w:color="auto" w:fill="FFFFFF"/>
      <w:spacing w:before="300" w:line="439" w:lineRule="exact"/>
      <w:jc w:val="distribute"/>
    </w:pPr>
    <w:rPr>
      <w:rFonts w:ascii="MingLiU" w:hAnsi="MingLiU" w:eastAsia="MingLiU"/>
      <w:kern w:val="0"/>
      <w:sz w:val="22"/>
      <w:szCs w:val="22"/>
    </w:rPr>
  </w:style>
  <w:style w:type="paragraph" w:customStyle="1" w:styleId="141">
    <w:name w:val="设计说明2"/>
    <w:basedOn w:val="1"/>
    <w:autoRedefine/>
    <w:qFormat/>
    <w:uiPriority w:val="0"/>
    <w:pPr>
      <w:numPr>
        <w:ilvl w:val="1"/>
        <w:numId w:val="1"/>
      </w:numPr>
      <w:tabs>
        <w:tab w:val="left" w:pos="630"/>
      </w:tabs>
      <w:spacing w:before="120" w:after="120" w:line="400" w:lineRule="exact"/>
      <w:jc w:val="left"/>
      <w:outlineLvl w:val="1"/>
    </w:pPr>
    <w:rPr>
      <w:rFonts w:ascii="新宋体" w:hAnsi="新宋体"/>
      <w:b/>
      <w:sz w:val="28"/>
      <w:szCs w:val="20"/>
    </w:rPr>
  </w:style>
  <w:style w:type="paragraph" w:customStyle="1" w:styleId="142">
    <w:name w:val="Normal_62"/>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3">
    <w:name w:val="样式 宋体 左 首行缩进:  2 字符"/>
    <w:basedOn w:val="1"/>
    <w:autoRedefine/>
    <w:qFormat/>
    <w:uiPriority w:val="0"/>
    <w:pPr>
      <w:widowControl/>
      <w:spacing w:line="360" w:lineRule="auto"/>
      <w:ind w:firstLine="200" w:firstLineChars="200"/>
    </w:pPr>
    <w:rPr>
      <w:rFonts w:cs="宋体"/>
      <w:kern w:val="0"/>
      <w:szCs w:val="20"/>
      <w:lang w:eastAsia="en-US" w:bidi="en-US"/>
    </w:rPr>
  </w:style>
  <w:style w:type="paragraph" w:customStyle="1" w:styleId="144">
    <w:name w:val="Normal_54"/>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45">
    <w:name w:val="Blockquote"/>
    <w:basedOn w:val="1"/>
    <w:autoRedefine/>
    <w:qFormat/>
    <w:uiPriority w:val="0"/>
    <w:pPr>
      <w:autoSpaceDE w:val="0"/>
      <w:autoSpaceDN w:val="0"/>
      <w:adjustRightInd w:val="0"/>
      <w:spacing w:before="100" w:after="100"/>
      <w:ind w:left="360" w:right="360"/>
      <w:jc w:val="left"/>
    </w:pPr>
    <w:rPr>
      <w:kern w:val="0"/>
      <w:sz w:val="24"/>
      <w:szCs w:val="20"/>
    </w:rPr>
  </w:style>
  <w:style w:type="paragraph" w:customStyle="1" w:styleId="146">
    <w:name w:val="第二"/>
    <w:basedOn w:val="1"/>
    <w:autoRedefine/>
    <w:qFormat/>
    <w:uiPriority w:val="0"/>
    <w:pPr>
      <w:adjustRightInd w:val="0"/>
      <w:snapToGrid w:val="0"/>
      <w:spacing w:line="360" w:lineRule="auto"/>
      <w:ind w:right="-108" w:rightChars="-45" w:firstLine="482"/>
    </w:pPr>
    <w:rPr>
      <w:b/>
    </w:rPr>
  </w:style>
  <w:style w:type="paragraph" w:customStyle="1" w:styleId="147">
    <w:name w:val="样式 标题 3 + (中文) 黑体 小四 非加粗 段前: 7.8 磅 段后: 0 磅 行距: 固定值 20 磅"/>
    <w:basedOn w:val="4"/>
    <w:autoRedefine/>
    <w:qFormat/>
    <w:uiPriority w:val="0"/>
    <w:pPr>
      <w:spacing w:before="0" w:after="0" w:line="400" w:lineRule="exact"/>
    </w:pPr>
    <w:rPr>
      <w:rFonts w:eastAsia="黑体" w:cs="宋体"/>
      <w:b w:val="0"/>
      <w:bCs w:val="0"/>
      <w:sz w:val="24"/>
      <w:szCs w:val="20"/>
    </w:rPr>
  </w:style>
  <w:style w:type="paragraph" w:customStyle="1" w:styleId="148">
    <w:name w:val="Default"/>
    <w:autoRedefine/>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49">
    <w:name w:val="xl27"/>
    <w:basedOn w:val="1"/>
    <w:autoRedefine/>
    <w:qFormat/>
    <w:uiPriority w:val="0"/>
    <w:pPr>
      <w:widowControl/>
      <w:spacing w:before="100" w:beforeAutospacing="1" w:after="100" w:afterAutospacing="1"/>
      <w:jc w:val="center"/>
      <w:textAlignment w:val="center"/>
    </w:pPr>
    <w:rPr>
      <w:rFonts w:ascii="Arial Unicode MS" w:hAnsi="Arial Unicode MS" w:eastAsia="Arial Unicode MS"/>
      <w:kern w:val="0"/>
      <w:sz w:val="24"/>
    </w:rPr>
  </w:style>
  <w:style w:type="paragraph" w:customStyle="1" w:styleId="150">
    <w:name w:val="内容"/>
    <w:basedOn w:val="1"/>
    <w:autoRedefine/>
    <w:qFormat/>
    <w:uiPriority w:val="0"/>
    <w:pPr>
      <w:spacing w:line="480" w:lineRule="exact"/>
      <w:ind w:firstLine="200" w:firstLineChars="200"/>
    </w:pPr>
  </w:style>
  <w:style w:type="paragraph" w:customStyle="1" w:styleId="151">
    <w:name w:val="正文 New New New New New New New New New New New New New New New New New New New New New New New New New New New New New New New New New New New New"/>
    <w:autoRedefine/>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52">
    <w:name w:val="Normal_49"/>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3">
    <w:name w:val="列出段落11"/>
    <w:basedOn w:val="1"/>
    <w:autoRedefine/>
    <w:qFormat/>
    <w:uiPriority w:val="99"/>
    <w:pPr>
      <w:ind w:firstLine="420" w:firstLineChars="200"/>
    </w:pPr>
  </w:style>
  <w:style w:type="paragraph" w:customStyle="1" w:styleId="154">
    <w:name w:val="Normal_47"/>
    <w:autoRedefine/>
    <w:qFormat/>
    <w:uiPriority w:val="0"/>
    <w:pPr>
      <w:spacing w:before="120" w:after="240"/>
      <w:jc w:val="both"/>
    </w:pPr>
    <w:rPr>
      <w:rFonts w:ascii="Times New Roman" w:hAnsi="Times New Roman" w:eastAsia="Calibri" w:cs="Times New Roman"/>
      <w:sz w:val="22"/>
      <w:szCs w:val="22"/>
      <w:lang w:val="ru-RU" w:eastAsia="en-US" w:bidi="ar-SA"/>
    </w:rPr>
  </w:style>
  <w:style w:type="paragraph" w:customStyle="1" w:styleId="155">
    <w:name w:val="表格文字"/>
    <w:basedOn w:val="1"/>
    <w:autoRedefine/>
    <w:qFormat/>
    <w:uiPriority w:val="0"/>
    <w:pPr>
      <w:adjustRightInd w:val="0"/>
      <w:spacing w:line="420" w:lineRule="atLeast"/>
      <w:jc w:val="left"/>
      <w:textAlignment w:val="baseline"/>
    </w:pPr>
    <w:rPr>
      <w:kern w:val="0"/>
      <w:szCs w:val="20"/>
    </w:rPr>
  </w:style>
  <w:style w:type="paragraph" w:customStyle="1" w:styleId="156">
    <w:name w:val="须知内容"/>
    <w:autoRedefine/>
    <w:qFormat/>
    <w:uiPriority w:val="0"/>
    <w:pPr>
      <w:tabs>
        <w:tab w:val="left" w:pos="5140"/>
        <w:tab w:val="left" w:pos="8520"/>
      </w:tabs>
      <w:adjustRightInd w:val="0"/>
      <w:snapToGrid w:val="0"/>
      <w:spacing w:line="320" w:lineRule="atLeast"/>
    </w:pPr>
    <w:rPr>
      <w:rFonts w:ascii="仿宋_GB2312" w:hAnsi="宋体" w:eastAsia="仿宋_GB2312" w:cs="Times New Roman"/>
      <w:kern w:val="2"/>
      <w:sz w:val="21"/>
      <w:szCs w:val="21"/>
      <w:lang w:val="en-US" w:eastAsia="zh-CN" w:bidi="ar-SA"/>
    </w:rPr>
  </w:style>
  <w:style w:type="paragraph" w:customStyle="1" w:styleId="157">
    <w:name w:val="样式2"/>
    <w:basedOn w:val="4"/>
    <w:autoRedefine/>
    <w:qFormat/>
    <w:uiPriority w:val="0"/>
  </w:style>
  <w:style w:type="character" w:customStyle="1" w:styleId="158">
    <w:name w:val="after"/>
    <w:basedOn w:val="44"/>
    <w:autoRedefine/>
    <w:qFormat/>
    <w:uiPriority w:val="0"/>
    <w:rPr>
      <w:bdr w:val="dashed" w:color="auto" w:sz="48" w:space="0"/>
    </w:rPr>
  </w:style>
  <w:style w:type="character" w:customStyle="1" w:styleId="159">
    <w:name w:val="before"/>
    <w:basedOn w:val="44"/>
    <w:autoRedefine/>
    <w:qFormat/>
    <w:uiPriority w:val="0"/>
    <w:rPr>
      <w:bdr w:val="single" w:color="auto" w:sz="48" w:space="0"/>
    </w:rPr>
  </w:style>
  <w:style w:type="character" w:customStyle="1" w:styleId="160">
    <w:name w:val="hover48"/>
    <w:basedOn w:val="44"/>
    <w:autoRedefine/>
    <w:qFormat/>
    <w:uiPriority w:val="0"/>
    <w:rPr>
      <w:shd w:val="clear" w:color="auto" w:fill="346AC3"/>
    </w:rPr>
  </w:style>
  <w:style w:type="character" w:customStyle="1" w:styleId="161">
    <w:name w:val="hover49"/>
    <w:basedOn w:val="44"/>
    <w:autoRedefine/>
    <w:qFormat/>
    <w:uiPriority w:val="0"/>
  </w:style>
  <w:style w:type="character" w:customStyle="1" w:styleId="162">
    <w:name w:val="hover50"/>
    <w:basedOn w:val="44"/>
    <w:autoRedefine/>
    <w:qFormat/>
    <w:uiPriority w:val="0"/>
    <w:rPr>
      <w:color w:val="4285F4"/>
      <w:u w:val="none"/>
    </w:rPr>
  </w:style>
  <w:style w:type="character" w:customStyle="1" w:styleId="163">
    <w:name w:val="hover51"/>
    <w:basedOn w:val="44"/>
    <w:autoRedefine/>
    <w:qFormat/>
    <w:uiPriority w:val="0"/>
    <w:rPr>
      <w:color w:val="4285F4"/>
    </w:rPr>
  </w:style>
  <w:style w:type="character" w:customStyle="1" w:styleId="164">
    <w:name w:val="hover52"/>
    <w:basedOn w:val="44"/>
    <w:autoRedefine/>
    <w:qFormat/>
    <w:uiPriority w:val="0"/>
    <w:rPr>
      <w:color w:val="1A85D7"/>
    </w:rPr>
  </w:style>
  <w:style w:type="character" w:customStyle="1" w:styleId="165">
    <w:name w:val="credit"/>
    <w:basedOn w:val="44"/>
    <w:autoRedefine/>
    <w:qFormat/>
    <w:uiPriority w:val="0"/>
    <w:rPr>
      <w:sz w:val="18"/>
      <w:szCs w:val="18"/>
    </w:rPr>
  </w:style>
  <w:style w:type="character" w:customStyle="1" w:styleId="166">
    <w:name w:val="first-child"/>
    <w:basedOn w:val="44"/>
    <w:autoRedefine/>
    <w:qFormat/>
    <w:uiPriority w:val="0"/>
  </w:style>
  <w:style w:type="paragraph" w:customStyle="1" w:styleId="167">
    <w:name w:val="表格内正文，无编号"/>
    <w:basedOn w:val="1"/>
    <w:autoRedefine/>
    <w:qFormat/>
    <w:uiPriority w:val="0"/>
    <w:pPr>
      <w:spacing w:line="400" w:lineRule="exact"/>
      <w:ind w:firstLine="643" w:firstLineChars="200"/>
    </w:pPr>
  </w:style>
  <w:style w:type="paragraph" w:styleId="168">
    <w:name w:val="List Paragraph"/>
    <w:basedOn w:val="1"/>
    <w:autoRedefine/>
    <w:qFormat/>
    <w:uiPriority w:val="99"/>
    <w:pPr>
      <w:ind w:firstLine="420" w:firstLineChars="200"/>
    </w:pPr>
  </w:style>
  <w:style w:type="character" w:customStyle="1" w:styleId="169">
    <w:name w:val="正文文本缩进 2 字符"/>
    <w:basedOn w:val="44"/>
    <w:link w:val="24"/>
    <w:autoRedefine/>
    <w:qFormat/>
    <w:uiPriority w:val="0"/>
    <w:rPr>
      <w:kern w:val="2"/>
      <w:sz w:val="21"/>
      <w:szCs w:val="24"/>
    </w:rPr>
  </w:style>
  <w:style w:type="character" w:customStyle="1" w:styleId="170">
    <w:name w:val="正文文本首行缩进 字符"/>
    <w:basedOn w:val="63"/>
    <w:link w:val="41"/>
    <w:autoRedefine/>
    <w:qFormat/>
    <w:uiPriority w:val="0"/>
    <w:rPr>
      <w:rFonts w:ascii="宋体" w:eastAsia="楷体_GB2312"/>
      <w:sz w:val="24"/>
      <w:szCs w:val="24"/>
    </w:rPr>
  </w:style>
</w:styles>
</file>

<file path=word/_rels/document.xml.rels><?xml version="1.0" encoding="UTF-8" standalone="yes"?>
<Relationships xmlns="http://schemas.openxmlformats.org/package/2006/relationships"><Relationship Id="rId9" Type="http://schemas.openxmlformats.org/officeDocument/2006/relationships/footer" Target="footer6.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numbering" Target="numbering.xml"/><Relationship Id="rId13" Type="http://schemas.openxmlformats.org/officeDocument/2006/relationships/customXml" Target="../customXml/item1.xml"/><Relationship Id="rId12" Type="http://schemas.openxmlformats.org/officeDocument/2006/relationships/theme" Target="theme/theme1.xml"/><Relationship Id="rId11" Type="http://schemas.openxmlformats.org/officeDocument/2006/relationships/footer" Target="footer8.xml"/><Relationship Id="rId10" Type="http://schemas.openxmlformats.org/officeDocument/2006/relationships/footer" Target="footer7.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38</Pages>
  <Words>2499</Words>
  <Characters>14248</Characters>
  <Lines>118</Lines>
  <Paragraphs>33</Paragraphs>
  <TotalTime>3</TotalTime>
  <ScaleCrop>false</ScaleCrop>
  <LinksUpToDate>false</LinksUpToDate>
  <CharactersWithSpaces>16714</CharactersWithSpaces>
  <Application>WPS Office_12.1.0.16120_F1E327BC-269C-435d-A152-05C5408002CA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2020-04-29T08:16:00Z</dcterms:created>
  <dc:creator>陈桂兰</dc:creator>
  <cp:lastModifiedBy>Kevin</cp:lastModifiedBy>
  <cp:lastPrinted>2022-04-28T06:42:00Z</cp:lastPrinted>
  <dcterms:modified xsi:type="dcterms:W3CDTF">2024-12-18T07:49:44Z</dcterms:modified>
  <dc:title>项目名称：2019年重庆市取消高速公路省界收费站项目</dc:title>
  <cp:revision>81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2052-12.1.0.16120</vt:lpwstr>
  </property>
  <property fmtid="{D5CDD505-2E9C-101B-9397-08002B2CF9AE}" pid="3" name="ICV">
    <vt:lpwstr>BF51AE9834AC4A979C6AA5B0DB640446</vt:lpwstr>
  </property>
</Properties>
</file>