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eastAsia="宋体" w:cs="宋体"/>
          <w:b/>
          <w:bCs/>
          <w:color w:val="auto"/>
          <w:kern w:val="0"/>
          <w:sz w:val="32"/>
          <w:szCs w:val="32"/>
          <w:highlight w:val="none"/>
          <w:u w:val="none"/>
          <w:lang w:eastAsia="zh-CN"/>
        </w:rPr>
      </w:pPr>
      <w:bookmarkStart w:id="0" w:name="_Toc43278824"/>
      <w:bookmarkStart w:id="1" w:name="_Toc536781693"/>
      <w:bookmarkStart w:id="2" w:name="_Toc536621766"/>
      <w:bookmarkStart w:id="3" w:name="_Toc536628229"/>
      <w:bookmarkStart w:id="4" w:name="_Toc28400"/>
      <w:bookmarkStart w:id="5" w:name="_Toc37531048"/>
      <w:bookmarkStart w:id="6" w:name="_Toc509218549"/>
      <w:bookmarkStart w:id="7" w:name="_Toc536782092"/>
      <w:bookmarkStart w:id="8" w:name="_Toc536800622"/>
      <w:bookmarkStart w:id="9" w:name="_Toc287620665"/>
      <w:r>
        <w:rPr>
          <w:rFonts w:hint="eastAsia" w:ascii="宋体" w:hAnsi="宋体" w:cs="宋体"/>
          <w:b/>
          <w:bCs/>
          <w:color w:val="auto"/>
          <w:kern w:val="0"/>
          <w:sz w:val="32"/>
          <w:szCs w:val="32"/>
          <w:highlight w:val="none"/>
          <w:u w:val="none"/>
          <w:lang w:eastAsia="zh-CN"/>
        </w:rPr>
        <w:t>首讯公司2025年软件运维劳务分包</w:t>
      </w:r>
    </w:p>
    <w:p>
      <w:pPr>
        <w:autoSpaceDE w:val="0"/>
        <w:autoSpaceDN w:val="0"/>
        <w:adjustRightInd w:val="0"/>
        <w:snapToGrid w:val="0"/>
        <w:spacing w:line="360" w:lineRule="auto"/>
        <w:jc w:val="both"/>
        <w:rPr>
          <w:rFonts w:hint="default"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0"/>
          <w:szCs w:val="30"/>
          <w:highlight w:val="none"/>
          <w:u w:val="none"/>
          <w:lang w:val="en-US" w:eastAsia="zh-CN"/>
        </w:rPr>
        <w:t>招标编号：FG2400781249A</w:t>
      </w:r>
      <w:r>
        <w:rPr>
          <w:rFonts w:hint="eastAsia" w:ascii="宋体" w:hAnsi="宋体" w:cs="宋体"/>
          <w:color w:val="auto"/>
          <w:kern w:val="0"/>
          <w:sz w:val="30"/>
          <w:szCs w:val="30"/>
          <w:highlight w:val="none"/>
          <w:u w:val="non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bCs/>
          <w:color w:val="auto"/>
          <w:kern w:val="0"/>
          <w:sz w:val="84"/>
          <w:szCs w:val="84"/>
          <w:highlight w:val="none"/>
        </w:rPr>
      </w:pPr>
      <w:r>
        <w:rPr>
          <w:rFonts w:hint="eastAsia" w:ascii="宋体" w:hAnsi="宋体" w:eastAsia="宋体" w:cs="宋体"/>
          <w:b/>
          <w:bCs/>
          <w:color w:val="auto"/>
          <w:kern w:val="0"/>
          <w:sz w:val="84"/>
          <w:szCs w:val="84"/>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pStyle w:val="6"/>
        <w:rPr>
          <w:rFonts w:hint="eastAsia" w:ascii="宋体" w:hAnsi="宋体" w:eastAsia="宋体" w:cs="宋体"/>
          <w:color w:val="auto"/>
          <w:kern w:val="0"/>
          <w:sz w:val="20"/>
          <w:szCs w:val="20"/>
          <w:highlight w:val="none"/>
        </w:rPr>
      </w:pPr>
    </w:p>
    <w:p>
      <w:pPr>
        <w:rPr>
          <w:rFonts w:hint="eastAsia" w:ascii="宋体" w:hAnsi="宋体" w:eastAsia="宋体" w:cs="宋体"/>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r>
        <w:rPr>
          <w:rFonts w:hint="eastAsia" w:ascii="宋体" w:hAnsi="宋体" w:eastAsia="宋体" w:cs="宋体"/>
          <w:b/>
          <w:color w:val="auto"/>
          <w:w w:val="99"/>
          <w:kern w:val="0"/>
          <w:sz w:val="28"/>
          <w:szCs w:val="28"/>
          <w:highlight w:val="none"/>
        </w:rPr>
        <w:t>（盖单位法人章）</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招标代理机构：</w:t>
      </w:r>
      <w:r>
        <w:rPr>
          <w:rFonts w:hint="eastAsia" w:ascii="宋体" w:hAnsi="宋体" w:eastAsia="宋体" w:cs="宋体"/>
          <w:b/>
          <w:color w:val="auto"/>
          <w:spacing w:val="8"/>
          <w:kern w:val="0"/>
          <w:sz w:val="28"/>
          <w:szCs w:val="28"/>
          <w:highlight w:val="none"/>
          <w:u w:val="single"/>
          <w:lang w:val="en-US" w:eastAsia="zh-CN"/>
        </w:rPr>
        <w:t>重庆市投资咨询有限公司</w:t>
      </w:r>
      <w:r>
        <w:rPr>
          <w:rFonts w:hint="eastAsia" w:ascii="宋体" w:hAnsi="宋体" w:eastAsia="宋体" w:cs="宋体"/>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12</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6"/>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rPr>
          <w:rFonts w:hint="eastAsia" w:ascii="宋体" w:hAnsi="宋体" w:cs="宋体"/>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_Toc28808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_Toc28808 \h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hint="eastAsia" w:ascii="宋体" w:hAnsi="宋体" w:eastAsia="宋体" w:cs="宋体"/>
          <w:color w:val="auto"/>
          <w:szCs w:val="21"/>
          <w:highlight w:val="none"/>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_Toc24523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_Toc24523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_Toc24128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_Toc24128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_Toc7511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_Toc7511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_Toc4897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_Toc4897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_Toc12615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_Toc12615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_Toc20023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_Toc20023 \h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_Toc28530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_Toc28530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_Toc18705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_Toc18705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_Toc21490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_Toc21490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_Toc15617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_Toc15617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_Toc12783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_Toc12783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_Toc6980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_Toc6980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_Toc15772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_Toc15772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_Toc22401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_Toc22401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_Toc29496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_Toc29496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_Toc24394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_Toc24394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_Toc11037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_Toc11037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_Toc28282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_Toc28282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_Toc27412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_Toc27412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_Toc12195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_Toc18319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_Toc18319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_Toc20724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_Toc20724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_Toc31609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_Toc31609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_Toc14650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_Toc14650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_Toc21434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_Toc21434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_Toc9698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_Toc9698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_Toc13218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_Toc13218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_Toc559 \h </w:instrText>
      </w:r>
      <w:r>
        <w:rPr>
          <w:rFonts w:hint="eastAsia" w:ascii="宋体" w:hAnsi="宋体" w:cs="宋体"/>
          <w:highlight w:val="none"/>
        </w:rPr>
        <w:fldChar w:fldCharType="separate"/>
      </w:r>
      <w:r>
        <w:rPr>
          <w:rFonts w:hint="eastAsia" w:ascii="宋体" w:hAnsi="宋体" w:cs="宋体"/>
          <w:highlight w:val="none"/>
        </w:rPr>
        <w:t>22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_Toc25040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_Toc25040 \h </w:instrText>
      </w:r>
      <w:r>
        <w:rPr>
          <w:rFonts w:hint="eastAsia" w:ascii="宋体" w:hAnsi="宋体" w:cs="宋体"/>
          <w:highlight w:val="none"/>
        </w:rPr>
        <w:fldChar w:fldCharType="separate"/>
      </w:r>
      <w:r>
        <w:rPr>
          <w:rFonts w:hint="eastAsia" w:ascii="宋体" w:hAnsi="宋体" w:cs="宋体"/>
          <w:highlight w:val="none"/>
        </w:rPr>
        <w:t>22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_Toc2305 \h </w:instrText>
      </w:r>
      <w:r>
        <w:rPr>
          <w:rFonts w:hint="eastAsia" w:ascii="宋体" w:hAnsi="宋体" w:cs="宋体"/>
          <w:highlight w:val="none"/>
        </w:rPr>
        <w:fldChar w:fldCharType="separate"/>
      </w:r>
      <w:r>
        <w:rPr>
          <w:rFonts w:hint="eastAsia" w:ascii="宋体" w:hAnsi="宋体" w:cs="宋体"/>
          <w:highlight w:val="none"/>
        </w:rPr>
        <w:t>22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_Toc2400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_Toc2400 \h </w:instrText>
      </w:r>
      <w:r>
        <w:rPr>
          <w:rFonts w:hint="eastAsia" w:ascii="宋体" w:hAnsi="宋体" w:cs="宋体"/>
          <w:highlight w:val="none"/>
        </w:rPr>
        <w:fldChar w:fldCharType="separate"/>
      </w:r>
      <w:r>
        <w:rPr>
          <w:rFonts w:hint="eastAsia" w:ascii="宋体" w:hAnsi="宋体" w:cs="宋体"/>
          <w:highlight w:val="none"/>
        </w:rPr>
        <w:t>22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_Toc3545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_Toc3545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_Toc31067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_Toc31067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_Toc28419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_Toc28419 \h </w:instrText>
      </w:r>
      <w:r>
        <w:rPr>
          <w:rFonts w:hint="eastAsia" w:ascii="宋体" w:hAnsi="宋体" w:cs="宋体"/>
          <w:highlight w:val="none"/>
        </w:rPr>
        <w:fldChar w:fldCharType="separate"/>
      </w:r>
      <w:r>
        <w:rPr>
          <w:rFonts w:hint="eastAsia" w:ascii="宋体" w:hAnsi="宋体" w:cs="宋体"/>
          <w:highlight w:val="none"/>
        </w:rPr>
        <w:t>23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_Toc15541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_Toc15541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_Toc524 </w:instrText>
      </w:r>
      <w:r>
        <w:rPr>
          <w:rFonts w:hint="eastAsia" w:ascii="宋体" w:hAnsi="宋体" w:eastAsia="宋体" w:cs="宋体"/>
          <w:bCs/>
          <w:szCs w:val="21"/>
          <w:highlight w:val="none"/>
          <w:lang w:val="zh-CN"/>
        </w:rPr>
        <w:fldChar w:fldCharType="separate"/>
      </w:r>
      <w:r>
        <w:rPr>
          <w:rFonts w:hint="eastAsia" w:ascii="宋体" w:hAnsi="宋体" w:cs="宋体"/>
          <w:bCs w:val="0"/>
          <w:i w:val="0"/>
          <w:iCs w:val="0"/>
          <w:szCs w:val="21"/>
          <w:highlight w:val="none"/>
          <w:lang w:eastAsia="zh-CN"/>
        </w:rPr>
        <w:t>详见投标人须知前附表。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_Toc524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_Toc14195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_Toc5357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_Toc5357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_Toc6559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_Toc6559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_Toc12695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_Toc16180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_Toc16180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_Toc32446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_Toc32446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_Toc3122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_Toc3122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_Toc12305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_Toc12305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_Toc3695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_Toc3695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_Toc18769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_Toc18769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_Toc15081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_Toc15081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_Toc21206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_Toc21206 \h </w:instrText>
      </w:r>
      <w:r>
        <w:rPr>
          <w:rFonts w:hint="eastAsia" w:ascii="宋体" w:hAnsi="宋体" w:cs="宋体"/>
          <w:highlight w:val="none"/>
        </w:rPr>
        <w:fldChar w:fldCharType="separate"/>
      </w:r>
      <w:r>
        <w:rPr>
          <w:rFonts w:hint="eastAsia" w:ascii="宋体" w:hAnsi="宋体" w:cs="宋体"/>
          <w:highlight w:val="none"/>
        </w:rPr>
        <w:t>25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_Toc2720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_Toc21380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_Toc21380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_Toc6974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_Toc6974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_Toc17228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_Toc17228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_Toc23072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_Toc23072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_Toc666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_Toc666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_Toc13432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_Toc13432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_Toc1643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_Toc1643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_Toc23964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_Toc23964 \h </w:instrText>
      </w:r>
      <w:r>
        <w:rPr>
          <w:rFonts w:hint="eastAsia" w:ascii="宋体" w:hAnsi="宋体" w:cs="宋体"/>
          <w:highlight w:val="none"/>
        </w:rPr>
        <w:fldChar w:fldCharType="separate"/>
      </w:r>
      <w:r>
        <w:rPr>
          <w:rFonts w:hint="eastAsia" w:ascii="宋体" w:hAnsi="宋体" w:cs="宋体"/>
          <w:highlight w:val="none"/>
        </w:rPr>
        <w:t>26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_Toc9694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_Toc1221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_Toc7548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_Toc7548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_Toc24006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_Toc24006 \h </w:instrText>
      </w:r>
      <w:r>
        <w:rPr>
          <w:rFonts w:hint="eastAsia" w:ascii="宋体" w:hAnsi="宋体" w:cs="宋体"/>
          <w:highlight w:val="none"/>
        </w:rPr>
        <w:fldChar w:fldCharType="separate"/>
      </w:r>
      <w:r>
        <w:rPr>
          <w:rFonts w:hint="eastAsia" w:ascii="宋体" w:hAnsi="宋体" w:cs="宋体"/>
          <w:highlight w:val="none"/>
        </w:rPr>
        <w:t>27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_Toc15753 \h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_Toc15496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_Toc15496 \h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_Toc9248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_Toc9248 \h </w:instrText>
      </w:r>
      <w:r>
        <w:rPr>
          <w:rFonts w:hint="eastAsia" w:ascii="宋体" w:hAnsi="宋体" w:cs="宋体"/>
          <w:highlight w:val="none"/>
        </w:rPr>
        <w:fldChar w:fldCharType="separate"/>
      </w:r>
      <w:r>
        <w:rPr>
          <w:rFonts w:hint="eastAsia" w:ascii="宋体" w:hAnsi="宋体" w:cs="宋体"/>
          <w:highlight w:val="none"/>
        </w:rPr>
        <w:t>28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_Toc16714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_Toc10470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_Toc10470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_Toc17396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_Toc17396 \h </w:instrText>
      </w:r>
      <w:r>
        <w:rPr>
          <w:rFonts w:hint="eastAsia" w:ascii="宋体" w:hAnsi="宋体" w:cs="宋体"/>
          <w:highlight w:val="none"/>
        </w:rPr>
        <w:fldChar w:fldCharType="separate"/>
      </w:r>
      <w:r>
        <w:rPr>
          <w:rFonts w:hint="eastAsia" w:ascii="宋体" w:hAnsi="宋体" w:cs="宋体"/>
          <w:highlight w:val="none"/>
        </w:rPr>
        <w:t>29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_Toc3989 </w:instrText>
      </w:r>
      <w:r>
        <w:rPr>
          <w:rFonts w:hint="eastAsia" w:ascii="宋体" w:hAnsi="宋体" w:eastAsia="宋体" w:cs="宋体"/>
          <w:bCs/>
          <w:szCs w:val="21"/>
          <w:highlight w:val="none"/>
          <w:lang w:val="zh-CN"/>
        </w:rPr>
        <w:fldChar w:fldCharType="separate"/>
      </w:r>
      <w:r>
        <w:rPr>
          <w:rFonts w:hint="eastAsia" w:ascii="宋体" w:hAnsi="宋体" w:cs="宋体"/>
          <w:highlight w:val="none"/>
        </w:rPr>
        <w:t>第三章  评标办法（综合评估法）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_Toc3989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_Toc24324 </w:instrText>
      </w:r>
      <w:r>
        <w:rPr>
          <w:rFonts w:hint="eastAsia" w:ascii="宋体" w:hAnsi="宋体" w:eastAsia="宋体" w:cs="宋体"/>
          <w:bCs/>
          <w:szCs w:val="21"/>
          <w:highlight w:val="none"/>
          <w:lang w:val="zh-CN"/>
        </w:rPr>
        <w:fldChar w:fldCharType="separate"/>
      </w:r>
      <w:r>
        <w:rPr>
          <w:rFonts w:hint="eastAsia" w:ascii="宋体" w:hAnsi="宋体" w:cs="宋体"/>
          <w:bCs w:val="0"/>
          <w:szCs w:val="28"/>
          <w:highlight w:val="none"/>
        </w:rPr>
        <w:t>评标办法前附表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_Toc24324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_Toc32692 </w:instrText>
      </w:r>
      <w:r>
        <w:rPr>
          <w:rFonts w:hint="eastAsia" w:ascii="宋体" w:hAnsi="宋体" w:eastAsia="宋体" w:cs="宋体"/>
          <w:bCs/>
          <w:szCs w:val="21"/>
          <w:highlight w:val="none"/>
          <w:lang w:val="zh-CN"/>
        </w:rPr>
        <w:fldChar w:fldCharType="separate"/>
      </w:r>
      <w:r>
        <w:rPr>
          <w:rFonts w:hint="eastAsia" w:ascii="宋体" w:hAnsi="宋体" w:cs="宋体"/>
          <w:szCs w:val="28"/>
          <w:highlight w:val="none"/>
        </w:rPr>
        <w:t>1. 评标方法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_Toc32692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_Toc16090 </w:instrText>
      </w:r>
      <w:r>
        <w:rPr>
          <w:rFonts w:hint="eastAsia" w:ascii="宋体" w:hAnsi="宋体" w:eastAsia="宋体" w:cs="宋体"/>
          <w:bCs/>
          <w:szCs w:val="21"/>
          <w:highlight w:val="none"/>
          <w:lang w:val="zh-CN"/>
        </w:rPr>
        <w:fldChar w:fldCharType="separate"/>
      </w:r>
      <w:r>
        <w:rPr>
          <w:rFonts w:hint="eastAsia" w:ascii="宋体" w:hAnsi="宋体" w:cs="宋体"/>
          <w:szCs w:val="28"/>
          <w:highlight w:val="none"/>
        </w:rPr>
        <w:t>2. 评审标准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_Toc16090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_Toc29493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2.1 初步评审标准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_Toc29493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_Toc16496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2.2 分值构成与评分标准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_Toc16496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_Toc6860 </w:instrText>
      </w:r>
      <w:r>
        <w:rPr>
          <w:rFonts w:hint="eastAsia" w:ascii="宋体" w:hAnsi="宋体" w:eastAsia="宋体" w:cs="宋体"/>
          <w:bCs/>
          <w:szCs w:val="21"/>
          <w:highlight w:val="none"/>
          <w:lang w:val="zh-CN"/>
        </w:rPr>
        <w:fldChar w:fldCharType="separate"/>
      </w:r>
      <w:r>
        <w:rPr>
          <w:rFonts w:hint="eastAsia" w:ascii="宋体" w:hAnsi="宋体" w:cs="宋体"/>
          <w:szCs w:val="28"/>
          <w:highlight w:val="none"/>
        </w:rPr>
        <w:t>3. 评标程序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_Toc6860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_Toc703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3.1 初步评审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_Toc703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_Toc28223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3.2 详细评审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_Toc28223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_Toc26722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3.3 投标文件的澄清和补正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_Toc26722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_Toc4100 </w:instrText>
      </w:r>
      <w:r>
        <w:rPr>
          <w:rFonts w:hint="eastAsia" w:ascii="宋体" w:hAnsi="宋体" w:eastAsia="宋体" w:cs="宋体"/>
          <w:bCs/>
          <w:szCs w:val="21"/>
          <w:highlight w:val="none"/>
          <w:lang w:val="zh-CN"/>
        </w:rPr>
        <w:fldChar w:fldCharType="separate"/>
      </w:r>
      <w:r>
        <w:rPr>
          <w:rFonts w:hint="eastAsia" w:ascii="宋体" w:hAnsi="宋体" w:cs="宋体"/>
          <w:szCs w:val="21"/>
          <w:highlight w:val="none"/>
        </w:rPr>
        <w:t>3.4 评标结果</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_Toc4100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_Toc13106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_Toc13106 \h </w:instrText>
      </w:r>
      <w:r>
        <w:rPr>
          <w:rFonts w:hint="eastAsia" w:ascii="宋体" w:hAnsi="宋体" w:cs="宋体"/>
          <w:highlight w:val="none"/>
        </w:rPr>
        <w:fldChar w:fldCharType="separate"/>
      </w:r>
      <w:r>
        <w:rPr>
          <w:rFonts w:hint="eastAsia" w:ascii="宋体" w:hAnsi="宋体" w:cs="宋体"/>
          <w:highlight w:val="none"/>
        </w:rPr>
        <w:t>43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_Toc9946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_Toc9946 \h </w:instrText>
      </w:r>
      <w:r>
        <w:rPr>
          <w:rFonts w:hint="eastAsia" w:ascii="宋体" w:hAnsi="宋体" w:cs="宋体"/>
          <w:highlight w:val="none"/>
        </w:rPr>
        <w:fldChar w:fldCharType="separate"/>
      </w:r>
      <w:r>
        <w:rPr>
          <w:rFonts w:hint="eastAsia" w:ascii="宋体" w:hAnsi="宋体" w:cs="宋体"/>
          <w:highlight w:val="none"/>
        </w:rPr>
        <w:t>61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_Toc29175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_Toc29175 \h </w:instrText>
      </w:r>
      <w:r>
        <w:rPr>
          <w:rFonts w:hint="eastAsia" w:ascii="宋体" w:hAnsi="宋体" w:cs="宋体"/>
          <w:highlight w:val="none"/>
        </w:rPr>
        <w:fldChar w:fldCharType="separate"/>
      </w:r>
      <w:r>
        <w:rPr>
          <w:rFonts w:hint="eastAsia" w:ascii="宋体" w:hAnsi="宋体" w:cs="宋体"/>
          <w:highlight w:val="none"/>
        </w:rPr>
        <w:t>62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_Toc9554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_Toc9554 \h </w:instrText>
      </w:r>
      <w:r>
        <w:rPr>
          <w:rFonts w:hint="eastAsia" w:ascii="宋体" w:hAnsi="宋体" w:cs="宋体"/>
          <w:highlight w:val="none"/>
        </w:rPr>
        <w:fldChar w:fldCharType="separate"/>
      </w:r>
      <w:r>
        <w:rPr>
          <w:rFonts w:hint="eastAsia" w:ascii="宋体" w:hAnsi="宋体" w:cs="宋体"/>
          <w:highlight w:val="none"/>
        </w:rPr>
        <w:t>63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_Toc30813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_Toc30813 \h </w:instrText>
      </w:r>
      <w:r>
        <w:rPr>
          <w:rFonts w:hint="eastAsia" w:ascii="宋体" w:hAnsi="宋体" w:cs="宋体"/>
          <w:highlight w:val="none"/>
        </w:rPr>
        <w:fldChar w:fldCharType="separate"/>
      </w:r>
      <w:r>
        <w:rPr>
          <w:rFonts w:hint="eastAsia" w:ascii="宋体" w:hAnsi="宋体" w:cs="宋体"/>
          <w:highlight w:val="none"/>
        </w:rPr>
        <w:t>64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_Toc30295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第七章  技术标准和要求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_Toc30295 \h </w:instrText>
      </w:r>
      <w:r>
        <w:rPr>
          <w:rFonts w:hint="eastAsia" w:ascii="宋体" w:hAnsi="宋体" w:cs="宋体"/>
          <w:highlight w:val="none"/>
        </w:rPr>
        <w:fldChar w:fldCharType="separate"/>
      </w:r>
      <w:r>
        <w:rPr>
          <w:rFonts w:hint="eastAsia" w:ascii="宋体" w:hAnsi="宋体" w:cs="宋体"/>
          <w:highlight w:val="none"/>
        </w:rPr>
        <w:t>65</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 \h </w:instrText>
      </w:r>
      <w:r>
        <w:rPr>
          <w:rFonts w:hint="eastAsia" w:ascii="宋体" w:hAnsi="宋体" w:cs="宋体"/>
          <w:highlight w:val="none"/>
        </w:rPr>
        <w:fldChar w:fldCharType="separate"/>
      </w:r>
      <w:r>
        <w:rPr>
          <w:rFonts w:hint="eastAsia" w:ascii="宋体" w:hAnsi="宋体" w:cs="宋体"/>
          <w:highlight w:val="none"/>
        </w:rPr>
        <w:t>77</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_Toc10935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_Toc10935 \h </w:instrText>
      </w:r>
      <w:r>
        <w:rPr>
          <w:rFonts w:hint="eastAsia" w:ascii="宋体" w:hAnsi="宋体" w:cs="宋体"/>
          <w:highlight w:val="none"/>
        </w:rPr>
        <w:fldChar w:fldCharType="separate"/>
      </w:r>
      <w:r>
        <w:rPr>
          <w:rFonts w:hint="eastAsia" w:ascii="宋体" w:hAnsi="宋体" w:cs="宋体"/>
          <w:highlight w:val="none"/>
        </w:rPr>
        <w:t>78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_Toc4972 </w:instrText>
      </w:r>
      <w:r>
        <w:rPr>
          <w:rFonts w:hint="eastAsia" w:ascii="宋体" w:hAnsi="宋体" w:eastAsia="宋体" w:cs="宋体"/>
          <w:bCs/>
          <w:szCs w:val="21"/>
          <w:highlight w:val="none"/>
          <w:lang w:val="zh-CN"/>
        </w:rPr>
        <w:fldChar w:fldCharType="separate"/>
      </w:r>
      <w:r>
        <w:rPr>
          <w:rFonts w:hint="eastAsia" w:ascii="宋体" w:hAnsi="宋体" w:eastAsia="宋体" w:cs="宋体"/>
          <w:bCs/>
          <w:szCs w:val="36"/>
          <w:highlight w:val="none"/>
        </w:rPr>
        <w:t>目  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_Toc4972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_Toc3664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一、投标函部分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_Toc3664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_Toc22471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二、经济部分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_Toc22471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_Toc365 </w:instrText>
      </w:r>
      <w:r>
        <w:rPr>
          <w:rFonts w:hint="eastAsia" w:ascii="宋体" w:hAnsi="宋体" w:eastAsia="宋体" w:cs="宋体"/>
          <w:bCs/>
          <w:szCs w:val="21"/>
          <w:highlight w:val="none"/>
          <w:lang w:val="zh-CN"/>
        </w:rPr>
        <w:fldChar w:fldCharType="separate"/>
      </w:r>
      <w:r>
        <w:rPr>
          <w:rFonts w:hint="eastAsia" w:ascii="宋体" w:hAnsi="宋体" w:cs="宋体"/>
          <w:highlight w:val="none"/>
        </w:rPr>
        <w:t>三、商务部分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_Toc365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_Toc5391 </w:instrText>
      </w:r>
      <w:r>
        <w:rPr>
          <w:rFonts w:hint="eastAsia" w:ascii="宋体" w:hAnsi="宋体" w:eastAsia="宋体" w:cs="宋体"/>
          <w:bCs/>
          <w:szCs w:val="21"/>
          <w:highlight w:val="none"/>
          <w:lang w:val="zh-CN"/>
        </w:rPr>
        <w:fldChar w:fldCharType="separate"/>
      </w:r>
      <w:r>
        <w:rPr>
          <w:rFonts w:hint="eastAsia" w:ascii="宋体" w:hAnsi="宋体" w:cs="宋体"/>
          <w:highlight w:val="none"/>
        </w:rPr>
        <w:t>四、技术部分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_Toc5391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_Toc88 </w:instrText>
      </w:r>
      <w:r>
        <w:rPr>
          <w:rFonts w:hint="eastAsia" w:ascii="宋体" w:hAnsi="宋体" w:eastAsia="宋体" w:cs="宋体"/>
          <w:bCs/>
          <w:szCs w:val="21"/>
          <w:highlight w:val="none"/>
          <w:lang w:val="zh-CN"/>
        </w:rPr>
        <w:fldChar w:fldCharType="separate"/>
      </w:r>
      <w:r>
        <w:rPr>
          <w:rFonts w:hint="eastAsia" w:ascii="宋体" w:hAnsi="宋体" w:cs="宋体"/>
          <w:highlight w:val="none"/>
        </w:rPr>
        <w:t>五、资格审查部分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_Toc88 \h </w:instrText>
      </w:r>
      <w:r>
        <w:rPr>
          <w:rFonts w:hint="eastAsia" w:ascii="宋体" w:hAnsi="宋体" w:cs="宋体"/>
          <w:highlight w:val="none"/>
        </w:rPr>
        <w:fldChar w:fldCharType="separate"/>
      </w:r>
      <w:r>
        <w:rPr>
          <w:rFonts w:hint="eastAsia" w:ascii="宋体" w:hAnsi="宋体" w:cs="宋体"/>
          <w:highlight w:val="none"/>
        </w:rPr>
        <w:t>80</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_Toc1052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_Toc1052 \h </w:instrText>
      </w:r>
      <w:r>
        <w:rPr>
          <w:rFonts w:hint="eastAsia" w:ascii="宋体" w:hAnsi="宋体" w:cs="宋体"/>
          <w:highlight w:val="none"/>
        </w:rPr>
        <w:fldChar w:fldCharType="separate"/>
      </w:r>
      <w:r>
        <w:rPr>
          <w:rFonts w:hint="eastAsia" w:ascii="宋体" w:hAnsi="宋体" w:cs="宋体"/>
          <w:highlight w:val="none"/>
        </w:rPr>
        <w:t>81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_Toc16229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_Toc16229 \h </w:instrText>
      </w:r>
      <w:r>
        <w:rPr>
          <w:rFonts w:hint="eastAsia" w:ascii="宋体" w:hAnsi="宋体" w:cs="宋体"/>
          <w:highlight w:val="none"/>
        </w:rPr>
        <w:fldChar w:fldCharType="separate"/>
      </w:r>
      <w:r>
        <w:rPr>
          <w:rFonts w:hint="eastAsia" w:ascii="宋体" w:hAnsi="宋体" w:cs="宋体"/>
          <w:highlight w:val="none"/>
        </w:rPr>
        <w:t>83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二</w:t>
      </w:r>
      <w:r>
        <w:rPr>
          <w:rFonts w:hint="eastAsia" w:ascii="宋体" w:hAnsi="宋体" w:eastAsia="宋体" w:cs="宋体"/>
          <w:bCs w:val="0"/>
          <w:highlight w:val="none"/>
        </w:rPr>
        <w:t>）法定代表人身份证明或附有法定代表人身份证明的授权委托书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_Toc13186 \h </w:instrText>
      </w:r>
      <w:r>
        <w:rPr>
          <w:rFonts w:hint="eastAsia" w:ascii="宋体" w:hAnsi="宋体" w:cs="宋体"/>
          <w:highlight w:val="none"/>
        </w:rPr>
        <w:fldChar w:fldCharType="separate"/>
      </w:r>
      <w:r>
        <w:rPr>
          <w:rFonts w:hint="eastAsia" w:ascii="宋体" w:hAnsi="宋体" w:cs="宋体"/>
          <w:highlight w:val="none"/>
        </w:rPr>
        <w:t>84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_Toc2628 </w:instrText>
      </w:r>
      <w:r>
        <w:rPr>
          <w:rFonts w:hint="eastAsia" w:ascii="宋体" w:hAnsi="宋体" w:eastAsia="宋体" w:cs="宋体"/>
          <w:bCs/>
          <w:szCs w:val="21"/>
          <w:highlight w:val="none"/>
          <w:lang w:val="zh-CN"/>
        </w:rPr>
        <w:fldChar w:fldCharType="separate"/>
      </w:r>
      <w:r>
        <w:rPr>
          <w:rFonts w:hint="default" w:ascii="宋体" w:hAnsi="宋体" w:cs="宋体"/>
          <w:szCs w:val="32"/>
          <w:highlight w:val="none"/>
        </w:rPr>
        <w:t>（四）低价风险担保提交承诺书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_Toc2628 \h </w:instrText>
      </w:r>
      <w:r>
        <w:rPr>
          <w:rFonts w:hint="eastAsia" w:ascii="宋体" w:hAnsi="宋体" w:cs="宋体"/>
          <w:highlight w:val="none"/>
        </w:rPr>
        <w:fldChar w:fldCharType="separate"/>
      </w:r>
      <w:r>
        <w:rPr>
          <w:rFonts w:hint="eastAsia" w:ascii="宋体" w:hAnsi="宋体" w:cs="宋体"/>
          <w:highlight w:val="none"/>
        </w:rPr>
        <w:t>86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_Toc4436 </w:instrText>
      </w:r>
      <w:r>
        <w:rPr>
          <w:rFonts w:hint="eastAsia" w:ascii="宋体" w:hAnsi="宋体" w:eastAsia="宋体" w:cs="宋体"/>
          <w:bCs/>
          <w:szCs w:val="21"/>
          <w:highlight w:val="none"/>
          <w:lang w:val="zh-CN"/>
        </w:rPr>
        <w:fldChar w:fldCharType="separate"/>
      </w:r>
      <w:r>
        <w:rPr>
          <w:rFonts w:hint="eastAsia" w:ascii="宋体" w:hAnsi="宋体" w:cs="宋体"/>
          <w:bCs w:val="0"/>
          <w:szCs w:val="44"/>
          <w:highlight w:val="none"/>
        </w:rPr>
        <w:t>二、经济部分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_Toc4436 \h </w:instrText>
      </w:r>
      <w:r>
        <w:rPr>
          <w:rFonts w:hint="eastAsia" w:ascii="宋体" w:hAnsi="宋体" w:cs="宋体"/>
          <w:highlight w:val="none"/>
        </w:rPr>
        <w:fldChar w:fldCharType="separate"/>
      </w:r>
      <w:r>
        <w:rPr>
          <w:rFonts w:hint="eastAsia" w:ascii="宋体" w:hAnsi="宋体" w:cs="宋体"/>
          <w:highlight w:val="none"/>
        </w:rPr>
        <w:t>86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_Toc30411 </w:instrText>
      </w:r>
      <w:r>
        <w:rPr>
          <w:rFonts w:hint="eastAsia" w:ascii="宋体" w:hAnsi="宋体" w:eastAsia="宋体" w:cs="宋体"/>
          <w:bCs/>
          <w:szCs w:val="21"/>
          <w:highlight w:val="none"/>
          <w:lang w:val="zh-CN"/>
        </w:rPr>
        <w:fldChar w:fldCharType="separate"/>
      </w:r>
      <w:r>
        <w:rPr>
          <w:rFonts w:hint="eastAsia" w:ascii="宋体" w:hAnsi="宋体" w:cs="宋体"/>
          <w:bCs w:val="0"/>
          <w:highlight w:val="none"/>
        </w:rPr>
        <w:t>（一）已标价工程量清单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_Toc30411 \h </w:instrText>
      </w:r>
      <w:r>
        <w:rPr>
          <w:rFonts w:hint="eastAsia" w:ascii="宋体" w:hAnsi="宋体" w:cs="宋体"/>
          <w:highlight w:val="none"/>
        </w:rPr>
        <w:fldChar w:fldCharType="separate"/>
      </w:r>
      <w:r>
        <w:rPr>
          <w:rFonts w:hint="eastAsia" w:ascii="宋体" w:hAnsi="宋体" w:cs="宋体"/>
          <w:highlight w:val="none"/>
        </w:rPr>
        <w:t>88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_Toc26354 </w:instrText>
      </w:r>
      <w:r>
        <w:rPr>
          <w:rFonts w:hint="eastAsia" w:ascii="宋体" w:hAnsi="宋体" w:eastAsia="宋体" w:cs="宋体"/>
          <w:bCs/>
          <w:szCs w:val="21"/>
          <w:highlight w:val="none"/>
          <w:lang w:val="zh-CN"/>
        </w:rPr>
        <w:fldChar w:fldCharType="separate"/>
      </w:r>
      <w:r>
        <w:rPr>
          <w:rFonts w:hint="eastAsia" w:ascii="宋体" w:hAnsi="宋体" w:cs="宋体"/>
          <w:bCs w:val="0"/>
          <w:szCs w:val="44"/>
          <w:highlight w:val="none"/>
        </w:rPr>
        <w:t>三、商务部分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_Toc26354 \h </w:instrText>
      </w:r>
      <w:r>
        <w:rPr>
          <w:rFonts w:hint="eastAsia" w:ascii="宋体" w:hAnsi="宋体" w:cs="宋体"/>
          <w:highlight w:val="none"/>
        </w:rPr>
        <w:fldChar w:fldCharType="separate"/>
      </w:r>
      <w:r>
        <w:rPr>
          <w:rFonts w:hint="eastAsia" w:ascii="宋体" w:hAnsi="宋体" w:cs="宋体"/>
          <w:highlight w:val="none"/>
        </w:rPr>
        <w:t>89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_Toc27790 </w:instrText>
      </w:r>
      <w:r>
        <w:rPr>
          <w:rFonts w:hint="eastAsia" w:ascii="宋体" w:hAnsi="宋体" w:eastAsia="宋体" w:cs="宋体"/>
          <w:bCs/>
          <w:szCs w:val="21"/>
          <w:highlight w:val="none"/>
          <w:lang w:val="zh-CN"/>
        </w:rPr>
        <w:fldChar w:fldCharType="separate"/>
      </w:r>
      <w:r>
        <w:rPr>
          <w:rFonts w:hint="eastAsia" w:ascii="宋体" w:hAnsi="宋体" w:cs="宋体"/>
          <w:szCs w:val="44"/>
          <w:highlight w:val="none"/>
        </w:rPr>
        <w:t>四、</w:t>
      </w:r>
      <w:r>
        <w:rPr>
          <w:rFonts w:hint="eastAsia" w:ascii="宋体" w:hAnsi="宋体" w:cs="宋体"/>
          <w:bCs w:val="0"/>
          <w:szCs w:val="44"/>
          <w:highlight w:val="none"/>
        </w:rPr>
        <w:t>技术部分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_Toc27790 \h </w:instrText>
      </w:r>
      <w:r>
        <w:rPr>
          <w:rFonts w:hint="eastAsia" w:ascii="宋体" w:hAnsi="宋体" w:cs="宋体"/>
          <w:highlight w:val="none"/>
        </w:rPr>
        <w:fldChar w:fldCharType="separate"/>
      </w:r>
      <w:r>
        <w:rPr>
          <w:rFonts w:hint="eastAsia" w:ascii="宋体" w:hAnsi="宋体" w:cs="宋体"/>
          <w:highlight w:val="none"/>
        </w:rPr>
        <w:t>91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_Toc29300 </w:instrText>
      </w:r>
      <w:r>
        <w:rPr>
          <w:rFonts w:hint="eastAsia" w:ascii="宋体" w:hAnsi="宋体" w:eastAsia="宋体" w:cs="宋体"/>
          <w:bCs/>
          <w:szCs w:val="21"/>
          <w:highlight w:val="none"/>
          <w:lang w:val="zh-CN"/>
        </w:rPr>
        <w:fldChar w:fldCharType="separate"/>
      </w:r>
      <w:r>
        <w:rPr>
          <w:rFonts w:hint="eastAsia" w:ascii="宋体" w:hAnsi="宋体" w:cs="宋体"/>
          <w:bCs w:val="0"/>
          <w:szCs w:val="36"/>
          <w:highlight w:val="none"/>
        </w:rPr>
        <w:t>（一）</w:t>
      </w:r>
      <w:r>
        <w:rPr>
          <w:rFonts w:hint="eastAsia" w:ascii="宋体" w:hAnsi="宋体" w:cs="宋体"/>
          <w:bCs w:val="0"/>
          <w:highlight w:val="none"/>
        </w:rPr>
        <w:t>技术方案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_Toc29300 \h </w:instrText>
      </w:r>
      <w:r>
        <w:rPr>
          <w:rFonts w:hint="eastAsia" w:ascii="宋体" w:hAnsi="宋体" w:cs="宋体"/>
          <w:highlight w:val="none"/>
        </w:rPr>
        <w:fldChar w:fldCharType="separate"/>
      </w:r>
      <w:r>
        <w:rPr>
          <w:rFonts w:hint="eastAsia" w:ascii="宋体" w:hAnsi="宋体" w:cs="宋体"/>
          <w:highlight w:val="none"/>
        </w:rPr>
        <w:t>93</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_Toc29537 </w:instrText>
      </w:r>
      <w:r>
        <w:rPr>
          <w:rFonts w:hint="eastAsia" w:ascii="宋体" w:hAnsi="宋体" w:eastAsia="宋体" w:cs="宋体"/>
          <w:bCs/>
          <w:szCs w:val="21"/>
          <w:highlight w:val="none"/>
          <w:lang w:val="zh-CN"/>
        </w:rPr>
        <w:fldChar w:fldCharType="separate"/>
      </w:r>
      <w:r>
        <w:rPr>
          <w:rFonts w:hint="eastAsia" w:ascii="宋体" w:hAnsi="宋体" w:cs="宋体"/>
          <w:bCs w:val="0"/>
          <w:szCs w:val="44"/>
          <w:highlight w:val="none"/>
        </w:rPr>
        <w:t>五、资格审查资料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_Toc29537 \h </w:instrText>
      </w:r>
      <w:r>
        <w:rPr>
          <w:rFonts w:hint="eastAsia" w:ascii="宋体" w:hAnsi="宋体" w:cs="宋体"/>
          <w:highlight w:val="none"/>
        </w:rPr>
        <w:fldChar w:fldCharType="separate"/>
      </w:r>
      <w:r>
        <w:rPr>
          <w:rFonts w:hint="eastAsia" w:ascii="宋体" w:hAnsi="宋体" w:cs="宋体"/>
          <w:highlight w:val="none"/>
        </w:rPr>
        <w:t>94</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_Toc9402 </w:instrText>
      </w:r>
      <w:r>
        <w:rPr>
          <w:rFonts w:hint="eastAsia" w:ascii="宋体" w:hAnsi="宋体" w:eastAsia="宋体" w:cs="宋体"/>
          <w:bCs/>
          <w:szCs w:val="21"/>
          <w:highlight w:val="none"/>
          <w:lang w:val="zh-CN"/>
        </w:rPr>
        <w:fldChar w:fldCharType="separate"/>
      </w:r>
      <w:r>
        <w:rPr>
          <w:rFonts w:hint="eastAsia" w:ascii="宋体" w:hAnsi="宋体" w:cs="宋体"/>
          <w:bCs w:val="0"/>
          <w:highlight w:val="none"/>
        </w:rPr>
        <w:t>（一）法定代表人身份证明或附有法定代表人身份证明的授权委托书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_Toc9402 \h </w:instrText>
      </w:r>
      <w:r>
        <w:rPr>
          <w:rFonts w:hint="eastAsia" w:ascii="宋体" w:hAnsi="宋体" w:cs="宋体"/>
          <w:highlight w:val="none"/>
        </w:rPr>
        <w:fldChar w:fldCharType="separate"/>
      </w:r>
      <w:r>
        <w:rPr>
          <w:rFonts w:hint="eastAsia" w:ascii="宋体" w:hAnsi="宋体" w:cs="宋体"/>
          <w:highlight w:val="none"/>
        </w:rPr>
        <w:t>96</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_Toc8544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rPr>
        <w:t>）投标人基本情况表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_Toc8544 \h </w:instrText>
      </w:r>
      <w:r>
        <w:rPr>
          <w:rFonts w:hint="eastAsia" w:ascii="宋体" w:hAnsi="宋体" w:cs="宋体"/>
          <w:highlight w:val="none"/>
        </w:rPr>
        <w:fldChar w:fldCharType="separate"/>
      </w:r>
      <w:r>
        <w:rPr>
          <w:rFonts w:hint="eastAsia" w:ascii="宋体" w:hAnsi="宋体" w:cs="宋体"/>
          <w:highlight w:val="none"/>
        </w:rPr>
        <w:t>98</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_Toc12042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三</w:t>
      </w:r>
      <w:r>
        <w:rPr>
          <w:rFonts w:hint="eastAsia" w:ascii="宋体" w:hAnsi="宋体" w:eastAsia="宋体" w:cs="宋体"/>
          <w:bCs w:val="0"/>
          <w:highlight w:val="none"/>
        </w:rPr>
        <w:t>）项目管理机构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_Toc12042 \h </w:instrText>
      </w:r>
      <w:r>
        <w:rPr>
          <w:rFonts w:hint="eastAsia" w:ascii="宋体" w:hAnsi="宋体" w:cs="宋体"/>
          <w:highlight w:val="none"/>
        </w:rPr>
        <w:fldChar w:fldCharType="separate"/>
      </w:r>
      <w:r>
        <w:rPr>
          <w:rFonts w:hint="eastAsia" w:ascii="宋体" w:hAnsi="宋体" w:cs="宋体"/>
          <w:highlight w:val="none"/>
        </w:rPr>
        <w:t>99</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_Toc6700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val="en-US" w:eastAsia="zh-CN"/>
        </w:rPr>
        <w:t>四</w:t>
      </w:r>
      <w:r>
        <w:rPr>
          <w:rFonts w:hint="eastAsia" w:ascii="宋体" w:hAnsi="宋体" w:eastAsia="宋体" w:cs="宋体"/>
          <w:highlight w:val="none"/>
        </w:rPr>
        <w:t>）类似项目情况表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_Toc6700 \h </w:instrText>
      </w:r>
      <w:r>
        <w:rPr>
          <w:rFonts w:hint="eastAsia" w:ascii="宋体" w:hAnsi="宋体" w:cs="宋体"/>
          <w:highlight w:val="none"/>
        </w:rPr>
        <w:fldChar w:fldCharType="separate"/>
      </w:r>
      <w:r>
        <w:rPr>
          <w:rFonts w:hint="eastAsia" w:ascii="宋体" w:hAnsi="宋体" w:cs="宋体"/>
          <w:highlight w:val="none"/>
        </w:rPr>
        <w:t>101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_Toc32664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val="en-US" w:eastAsia="zh-CN"/>
        </w:rPr>
        <w:t>五</w:t>
      </w:r>
      <w:r>
        <w:rPr>
          <w:rFonts w:hint="eastAsia" w:ascii="宋体" w:hAnsi="宋体" w:eastAsia="宋体" w:cs="宋体"/>
          <w:highlight w:val="none"/>
        </w:rPr>
        <w:t>）承诺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_Toc32664 \h </w:instrText>
      </w:r>
      <w:r>
        <w:rPr>
          <w:rFonts w:hint="eastAsia" w:ascii="宋体" w:hAnsi="宋体" w:cs="宋体"/>
          <w:highlight w:val="none"/>
        </w:rPr>
        <w:fldChar w:fldCharType="separate"/>
      </w:r>
      <w:r>
        <w:rPr>
          <w:rFonts w:hint="eastAsia" w:ascii="宋体" w:hAnsi="宋体" w:cs="宋体"/>
          <w:highlight w:val="none"/>
        </w:rPr>
        <w:t>101</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rPr>
          <w:rFonts w:hint="eastAsia" w:ascii="宋体" w:hAnsi="宋体" w:cs="宋体"/>
          <w:highlight w:val="none"/>
        </w:rPr>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_Toc29005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val="en-US" w:eastAsia="zh-CN"/>
        </w:rPr>
        <w:t>六</w:t>
      </w:r>
      <w:r>
        <w:rPr>
          <w:rFonts w:hint="eastAsia" w:ascii="宋体" w:hAnsi="宋体" w:eastAsia="宋体" w:cs="宋体"/>
          <w:highlight w:val="none"/>
        </w:rPr>
        <w:t>）其他资料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_Toc29005 \h </w:instrText>
      </w:r>
      <w:r>
        <w:rPr>
          <w:rFonts w:hint="eastAsia" w:ascii="宋体" w:hAnsi="宋体" w:cs="宋体"/>
          <w:highlight w:val="none"/>
        </w:rPr>
        <w:fldChar w:fldCharType="separate"/>
      </w:r>
      <w:r>
        <w:rPr>
          <w:rFonts w:hint="eastAsia" w:ascii="宋体" w:hAnsi="宋体" w:cs="宋体"/>
          <w:highlight w:val="none"/>
        </w:rPr>
        <w:t>102</w:t>
      </w:r>
      <w:r>
        <w:rPr>
          <w:rFonts w:hint="eastAsia" w:ascii="宋体" w:hAnsi="宋体" w:cs="宋体"/>
          <w:highlight w:val="none"/>
        </w:rP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2" w:name="_Toc28808"/>
      <w:bookmarkStart w:id="13" w:name="_Toc23939"/>
      <w:bookmarkStart w:id="14" w:name="_Toc29973"/>
      <w:r>
        <w:rPr>
          <w:rFonts w:hint="eastAsia" w:ascii="宋体" w:hAnsi="宋体" w:eastAsia="宋体" w:cs="宋体"/>
          <w:color w:val="auto"/>
          <w:sz w:val="52"/>
          <w:szCs w:val="52"/>
          <w:highlight w:val="none"/>
        </w:rPr>
        <w:t>第 一 卷</w:t>
      </w:r>
      <w:bookmarkEnd w:id="11"/>
      <w:bookmarkEnd w:id="12"/>
      <w:bookmarkEnd w:id="13"/>
      <w:bookmarkEnd w:id="14"/>
    </w:p>
    <w:p>
      <w:pPr>
        <w:pStyle w:val="3"/>
        <w:spacing w:line="360" w:lineRule="auto"/>
        <w:jc w:val="center"/>
        <w:rPr>
          <w:rFonts w:hint="eastAsia" w:ascii="宋体" w:hAnsi="宋体" w:eastAsia="宋体" w:cs="宋体"/>
          <w:b w:val="0"/>
          <w:bCs w:val="0"/>
          <w:snapToGrid w:val="0"/>
          <w:color w:val="auto"/>
          <w:kern w:val="0"/>
          <w:highlight w:val="none"/>
        </w:rPr>
      </w:pPr>
      <w:bookmarkStart w:id="15" w:name="_Toc224103298"/>
      <w:bookmarkStart w:id="16" w:name="_Toc287607727"/>
      <w:bookmarkStart w:id="17" w:name="_Toc430530415"/>
      <w:bookmarkStart w:id="18" w:name="_Toc509218691"/>
      <w:bookmarkStart w:id="19" w:name="_Toc277082535"/>
      <w:bookmarkStart w:id="20" w:name="_Toc287620666"/>
      <w:r>
        <w:rPr>
          <w:rFonts w:hint="eastAsia" w:ascii="宋体" w:hAnsi="宋体" w:eastAsia="宋体" w:cs="宋体"/>
          <w:snapToGrid w:val="0"/>
          <w:color w:val="auto"/>
          <w:kern w:val="0"/>
          <w:highlight w:val="none"/>
        </w:rPr>
        <w:br w:type="page"/>
      </w:r>
      <w:bookmarkStart w:id="21" w:name="_Toc12405"/>
      <w:bookmarkStart w:id="22" w:name="_Toc18667"/>
      <w:bookmarkStart w:id="23" w:name="_Toc24523"/>
      <w:r>
        <w:rPr>
          <w:rFonts w:hint="eastAsia" w:ascii="宋体" w:hAnsi="宋体" w:eastAsia="宋体" w:cs="宋体"/>
          <w:snapToGrid w:val="0"/>
          <w:color w:val="auto"/>
          <w:kern w:val="0"/>
          <w:highlight w:val="none"/>
        </w:rPr>
        <w:t>第一章  招标公告</w:t>
      </w:r>
      <w:bookmarkEnd w:id="15"/>
      <w:bookmarkEnd w:id="16"/>
      <w:bookmarkEnd w:id="17"/>
      <w:bookmarkEnd w:id="18"/>
      <w:bookmarkEnd w:id="19"/>
      <w:bookmarkEnd w:id="20"/>
      <w:bookmarkEnd w:id="21"/>
      <w:bookmarkEnd w:id="22"/>
      <w:bookmarkEnd w:id="23"/>
    </w:p>
    <w:p>
      <w:pPr>
        <w:autoSpaceDE w:val="0"/>
        <w:autoSpaceDN w:val="0"/>
        <w:adjustRightInd w:val="0"/>
        <w:snapToGrid w:val="0"/>
        <w:spacing w:line="360" w:lineRule="auto"/>
        <w:jc w:val="center"/>
        <w:rPr>
          <w:rFonts w:hint="eastAsia" w:ascii="宋体" w:hAnsi="宋体" w:eastAsia="宋体" w:cs="宋体"/>
          <w:snapToGrid w:val="0"/>
          <w:color w:val="auto"/>
          <w:kern w:val="0"/>
          <w:sz w:val="28"/>
          <w:szCs w:val="28"/>
          <w:highlight w:val="none"/>
          <w:u w:val="none"/>
          <w:lang w:eastAsia="zh-CN"/>
        </w:rPr>
      </w:pPr>
      <w:r>
        <w:rPr>
          <w:rFonts w:hint="eastAsia" w:ascii="宋体" w:hAnsi="宋体" w:cs="宋体"/>
          <w:snapToGrid w:val="0"/>
          <w:color w:val="auto"/>
          <w:kern w:val="0"/>
          <w:sz w:val="28"/>
          <w:szCs w:val="28"/>
          <w:highlight w:val="none"/>
          <w:u w:val="none"/>
          <w:lang w:eastAsia="zh-CN"/>
        </w:rPr>
        <w:t>首讯公司2025年软件运维劳务分包</w:t>
      </w:r>
    </w:p>
    <w:p>
      <w:pPr>
        <w:autoSpaceDE w:val="0"/>
        <w:autoSpaceDN w:val="0"/>
        <w:adjustRightInd w:val="0"/>
        <w:snapToGrid w:val="0"/>
        <w:spacing w:line="360" w:lineRule="auto"/>
        <w:jc w:val="center"/>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w w:val="99"/>
          <w:kern w:val="0"/>
          <w:sz w:val="28"/>
          <w:szCs w:val="28"/>
          <w:highlight w:val="none"/>
          <w:u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4" w:name="_Toc509218692"/>
      <w:bookmarkStart w:id="25" w:name="_Toc200359427"/>
      <w:bookmarkStart w:id="26" w:name="_Toc24128"/>
      <w:bookmarkStart w:id="27" w:name="_Toc6110"/>
      <w:bookmarkStart w:id="28" w:name="_Toc17503"/>
      <w:bookmarkStart w:id="29" w:name="_Toc287620667"/>
      <w:bookmarkStart w:id="30" w:name="_Toc224103299"/>
      <w:bookmarkStart w:id="31" w:name="_Toc430530416"/>
      <w:bookmarkStart w:id="32" w:name="_Toc287607728"/>
      <w:bookmarkStart w:id="33" w:name="_Toc277082536"/>
      <w:bookmarkStart w:id="34" w:name="_Toc200359238"/>
      <w:r>
        <w:rPr>
          <w:rFonts w:hint="eastAsia" w:ascii="宋体" w:hAnsi="宋体" w:eastAsia="宋体" w:cs="宋体"/>
          <w:bCs w:val="0"/>
          <w:snapToGrid w:val="0"/>
          <w:color w:val="auto"/>
          <w:sz w:val="24"/>
          <w:szCs w:val="24"/>
          <w:highlight w:val="none"/>
        </w:rPr>
        <w:t>1. 招标条件</w:t>
      </w:r>
      <w:bookmarkEnd w:id="24"/>
      <w:bookmarkEnd w:id="25"/>
      <w:bookmarkEnd w:id="26"/>
      <w:bookmarkEnd w:id="27"/>
      <w:bookmarkEnd w:id="28"/>
      <w:bookmarkEnd w:id="29"/>
      <w:bookmarkEnd w:id="30"/>
      <w:bookmarkEnd w:id="31"/>
      <w:bookmarkEnd w:id="32"/>
      <w:bookmarkEnd w:id="33"/>
      <w:bookmarkEnd w:id="34"/>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35" w:name="_Toc287607729"/>
      <w:bookmarkStart w:id="36" w:name="_Toc200359239"/>
      <w:bookmarkStart w:id="37" w:name="_Toc509218693"/>
      <w:bookmarkStart w:id="38" w:name="_Toc277082537"/>
      <w:bookmarkStart w:id="39" w:name="_Toc224103300"/>
      <w:bookmarkStart w:id="40" w:name="_Toc200359428"/>
      <w:bookmarkStart w:id="41" w:name="_Toc287620668"/>
      <w:bookmarkStart w:id="42" w:name="_Toc430530417"/>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Cs w:val="21"/>
          <w:highlight w:val="none"/>
          <w:u w:val="single"/>
          <w:lang w:eastAsia="zh-CN"/>
        </w:rPr>
        <w:t>首讯公司202</w:t>
      </w:r>
      <w:r>
        <w:rPr>
          <w:rFonts w:hint="eastAsia" w:ascii="宋体" w:hAnsi="宋体" w:cs="宋体"/>
          <w:snapToGrid w:val="0"/>
          <w:color w:val="auto"/>
          <w:kern w:val="0"/>
          <w:szCs w:val="21"/>
          <w:highlight w:val="none"/>
          <w:u w:val="single"/>
          <w:lang w:val="en-US" w:eastAsia="zh-CN"/>
        </w:rPr>
        <w:t>5</w:t>
      </w:r>
      <w:r>
        <w:rPr>
          <w:rFonts w:hint="eastAsia" w:ascii="宋体" w:hAnsi="宋体" w:cs="宋体"/>
          <w:snapToGrid w:val="0"/>
          <w:color w:val="auto"/>
          <w:kern w:val="0"/>
          <w:szCs w:val="21"/>
          <w:highlight w:val="none"/>
          <w:u w:val="single"/>
          <w:lang w:eastAsia="zh-CN"/>
        </w:rPr>
        <w:t>年软件运维劳务分包</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cs="宋体"/>
          <w:snapToGrid w:val="0"/>
          <w:color w:val="auto"/>
          <w:kern w:val="0"/>
          <w:position w:val="-2"/>
          <w:szCs w:val="21"/>
          <w:highlight w:val="none"/>
          <w:u w:val="single"/>
          <w:lang w:val="en-US" w:eastAsia="zh-CN"/>
        </w:rPr>
        <w:t>首讯公司2025年软件运维劳务分包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3" w:name="_Toc17812"/>
      <w:bookmarkStart w:id="44" w:name="_Toc7511"/>
      <w:bookmarkStart w:id="45" w:name="_Toc17867"/>
      <w:r>
        <w:rPr>
          <w:rFonts w:hint="eastAsia" w:ascii="宋体" w:hAnsi="宋体" w:eastAsia="宋体" w:cs="宋体"/>
          <w:bCs w:val="0"/>
          <w:snapToGrid w:val="0"/>
          <w:color w:val="auto"/>
          <w:sz w:val="24"/>
          <w:szCs w:val="24"/>
          <w:highlight w:val="none"/>
        </w:rPr>
        <w:t>2. 项目概况与招标范围</w:t>
      </w:r>
      <w:bookmarkEnd w:id="35"/>
      <w:bookmarkEnd w:id="36"/>
      <w:bookmarkEnd w:id="37"/>
      <w:bookmarkEnd w:id="38"/>
      <w:bookmarkEnd w:id="39"/>
      <w:bookmarkEnd w:id="40"/>
      <w:bookmarkEnd w:id="41"/>
      <w:bookmarkEnd w:id="42"/>
      <w:bookmarkEnd w:id="43"/>
      <w:bookmarkEnd w:id="44"/>
      <w:bookmarkEnd w:id="45"/>
      <w:bookmarkStart w:id="46" w:name="_Toc509218694"/>
      <w:bookmarkStart w:id="47" w:name="_Toc430530418"/>
      <w:bookmarkStart w:id="48" w:name="_Toc287620669"/>
      <w:bookmarkStart w:id="49" w:name="_Toc287607730"/>
      <w:bookmarkStart w:id="50" w:name="_Toc200359240"/>
      <w:bookmarkStart w:id="51" w:name="_Toc277082538"/>
      <w:bookmarkStart w:id="52" w:name="_Toc200359429"/>
      <w:bookmarkStart w:id="53" w:name="_Toc224103301"/>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default"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u w:val="single"/>
        </w:rPr>
        <w:t>根据</w:t>
      </w:r>
      <w:r>
        <w:rPr>
          <w:rFonts w:hint="eastAsia" w:ascii="宋体" w:hAnsi="宋体" w:cs="宋体"/>
          <w:snapToGrid w:val="0"/>
          <w:color w:val="auto"/>
          <w:kern w:val="0"/>
          <w:szCs w:val="21"/>
          <w:highlight w:val="none"/>
          <w:u w:val="single"/>
          <w:lang w:eastAsia="zh-CN"/>
        </w:rPr>
        <w:t>招标人</w:t>
      </w:r>
      <w:r>
        <w:rPr>
          <w:rFonts w:hint="eastAsia" w:ascii="宋体" w:hAnsi="宋体" w:cs="宋体"/>
          <w:snapToGrid w:val="0"/>
          <w:color w:val="auto"/>
          <w:kern w:val="0"/>
          <w:szCs w:val="21"/>
          <w:highlight w:val="none"/>
          <w:u w:val="single"/>
        </w:rPr>
        <w:t>的运维标准和运维计划，</w:t>
      </w:r>
      <w:r>
        <w:rPr>
          <w:rFonts w:hint="eastAsia" w:ascii="宋体" w:hAnsi="宋体" w:cs="宋体"/>
          <w:snapToGrid w:val="0"/>
          <w:color w:val="auto"/>
          <w:kern w:val="0"/>
          <w:szCs w:val="21"/>
          <w:highlight w:val="none"/>
          <w:u w:val="single"/>
          <w:lang w:val="en-US" w:eastAsia="zh-CN"/>
        </w:rPr>
        <w:t>进行软件系统巡检维护、问题处理、维护资料编制等工作及专项维护；对办公楼IT设备定期巡查，记录和反馈设备的运行状态、故障现象，制定修复方案，开展设备维修，以保障信息化系统及IT设备稳定运行</w:t>
      </w:r>
      <w:r>
        <w:rPr>
          <w:rFonts w:hint="eastAsia" w:ascii="宋体" w:hAnsi="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eastAsia="宋体" w:cs="宋体"/>
          <w:snapToGrid w:val="0"/>
          <w:color w:val="auto"/>
          <w:kern w:val="0"/>
          <w:szCs w:val="21"/>
          <w:highlight w:val="none"/>
          <w:u w:val="single"/>
        </w:rPr>
        <w:t>1448</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46万元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Cs w:val="21"/>
          <w:highlight w:val="none"/>
          <w:lang w:val="en-US" w:eastAsia="zh-CN"/>
        </w:rPr>
        <w:t>主要内容包括办公系统、机电运维</w:t>
      </w:r>
      <w:bookmarkStart w:id="612" w:name="_GoBack"/>
      <w:bookmarkEnd w:id="612"/>
      <w:r>
        <w:rPr>
          <w:rFonts w:hint="eastAsia" w:ascii="宋体" w:hAnsi="宋体" w:eastAsia="宋体" w:cs="宋体"/>
          <w:snapToGrid w:val="0"/>
          <w:color w:val="auto"/>
          <w:kern w:val="0"/>
          <w:szCs w:val="21"/>
          <w:highlight w:val="none"/>
          <w:lang w:val="en-US" w:eastAsia="zh-CN"/>
        </w:rPr>
        <w:t>平台、养护系统、联网收费系统、联网监控系统、建设信息化平台的</w:t>
      </w:r>
      <w:r>
        <w:rPr>
          <w:rFonts w:hint="eastAsia" w:ascii="宋体" w:hAnsi="宋体" w:eastAsia="宋体" w:cs="宋体"/>
          <w:snapToGrid w:val="0"/>
          <w:color w:val="auto"/>
          <w:kern w:val="0"/>
          <w:szCs w:val="21"/>
          <w:highlight w:val="none"/>
          <w:lang w:eastAsia="zh-CN"/>
        </w:rPr>
        <w:t>系统优化代码开发、</w:t>
      </w:r>
      <w:r>
        <w:rPr>
          <w:rFonts w:hint="eastAsia" w:ascii="宋体" w:hAnsi="宋体" w:eastAsia="宋体" w:cs="宋体"/>
          <w:snapToGrid w:val="0"/>
          <w:color w:val="auto"/>
          <w:kern w:val="0"/>
          <w:szCs w:val="21"/>
          <w:highlight w:val="none"/>
        </w:rPr>
        <w:t>系统配置、日常巡检、系统备份、问题记录、</w:t>
      </w:r>
      <w:r>
        <w:rPr>
          <w:rFonts w:hint="eastAsia" w:ascii="宋体" w:hAnsi="宋体" w:eastAsia="宋体" w:cs="宋体"/>
          <w:snapToGrid w:val="0"/>
          <w:color w:val="auto"/>
          <w:kern w:val="0"/>
          <w:szCs w:val="21"/>
          <w:highlight w:val="none"/>
          <w:lang w:val="en-US" w:eastAsia="zh-CN"/>
        </w:rPr>
        <w:t>问题处理及</w:t>
      </w:r>
      <w:r>
        <w:rPr>
          <w:rFonts w:hint="eastAsia" w:ascii="宋体" w:hAnsi="宋体" w:eastAsia="宋体" w:cs="宋体"/>
          <w:snapToGrid w:val="0"/>
          <w:color w:val="auto"/>
          <w:kern w:val="0"/>
          <w:szCs w:val="21"/>
          <w:highlight w:val="none"/>
        </w:rPr>
        <w:t>反馈、</w:t>
      </w:r>
      <w:r>
        <w:rPr>
          <w:rFonts w:hint="eastAsia" w:ascii="宋体" w:hAnsi="宋体" w:eastAsia="宋体" w:cs="宋体"/>
          <w:snapToGrid w:val="0"/>
          <w:color w:val="auto"/>
          <w:kern w:val="0"/>
          <w:szCs w:val="21"/>
          <w:highlight w:val="none"/>
          <w:lang w:val="en-US" w:eastAsia="zh-CN"/>
        </w:rPr>
        <w:t>维护资料编制</w:t>
      </w:r>
      <w:r>
        <w:rPr>
          <w:rFonts w:hint="eastAsia" w:ascii="宋体" w:hAnsi="宋体" w:eastAsia="宋体" w:cs="宋体"/>
          <w:snapToGrid w:val="0"/>
          <w:color w:val="auto"/>
          <w:kern w:val="0"/>
          <w:szCs w:val="21"/>
          <w:highlight w:val="none"/>
        </w:rPr>
        <w:t>等日常</w:t>
      </w:r>
      <w:r>
        <w:rPr>
          <w:rFonts w:hint="eastAsia" w:ascii="宋体" w:hAnsi="宋体" w:eastAsia="宋体" w:cs="宋体"/>
          <w:snapToGrid w:val="0"/>
          <w:color w:val="auto"/>
          <w:kern w:val="0"/>
          <w:szCs w:val="21"/>
          <w:highlight w:val="none"/>
          <w:lang w:val="en-US" w:eastAsia="zh-CN"/>
        </w:rPr>
        <w:t>性</w:t>
      </w:r>
      <w:r>
        <w:rPr>
          <w:rFonts w:hint="eastAsia" w:ascii="宋体" w:hAnsi="宋体" w:eastAsia="宋体" w:cs="宋体"/>
          <w:snapToGrid w:val="0"/>
          <w:color w:val="auto"/>
          <w:kern w:val="0"/>
          <w:szCs w:val="21"/>
          <w:highlight w:val="none"/>
        </w:rPr>
        <w:t>工作</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不包含维护</w:t>
      </w:r>
      <w:r>
        <w:rPr>
          <w:rFonts w:hint="eastAsia" w:ascii="宋体" w:hAnsi="宋体" w:eastAsia="宋体" w:cs="宋体"/>
          <w:snapToGrid w:val="0"/>
          <w:color w:val="auto"/>
          <w:kern w:val="0"/>
          <w:szCs w:val="21"/>
          <w:highlight w:val="none"/>
          <w:lang w:val="en-US" w:eastAsia="zh-CN"/>
        </w:rPr>
        <w:t>工</w:t>
      </w:r>
      <w:r>
        <w:rPr>
          <w:rFonts w:hint="eastAsia" w:ascii="宋体" w:hAnsi="宋体" w:eastAsia="宋体" w:cs="宋体"/>
          <w:snapToGrid w:val="0"/>
          <w:color w:val="auto"/>
          <w:kern w:val="0"/>
          <w:szCs w:val="21"/>
          <w:highlight w:val="none"/>
        </w:rPr>
        <w:t>机具、车辆等</w:t>
      </w:r>
      <w:r>
        <w:rPr>
          <w:rFonts w:hint="eastAsia" w:ascii="宋体" w:hAnsi="宋体" w:eastAsia="宋体" w:cs="宋体"/>
          <w:snapToGrid w:val="0"/>
          <w:color w:val="auto"/>
          <w:kern w:val="0"/>
          <w:sz w:val="21"/>
          <w:szCs w:val="21"/>
          <w:highlight w:val="none"/>
          <w:u w:val="none"/>
        </w:rPr>
        <w:t>。</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2.5 工期要求：</w:t>
      </w:r>
      <w:r>
        <w:rPr>
          <w:rFonts w:hint="eastAsia" w:ascii="宋体" w:hAnsi="宋体" w:cs="宋体"/>
          <w:color w:val="auto"/>
          <w:kern w:val="0"/>
          <w:szCs w:val="21"/>
          <w:highlight w:val="none"/>
          <w:u w:val="none"/>
          <w:lang w:val="en-US" w:eastAsia="zh-CN"/>
        </w:rPr>
        <w:t>12</w:t>
      </w:r>
      <w:r>
        <w:rPr>
          <w:rFonts w:hint="eastAsia" w:ascii="宋体" w:hAnsi="宋体" w:eastAsia="宋体" w:cs="宋体"/>
          <w:color w:val="auto"/>
          <w:kern w:val="0"/>
          <w:szCs w:val="21"/>
          <w:highlight w:val="none"/>
          <w:u w:val="none"/>
          <w:lang w:val="en-US" w:eastAsia="zh-CN"/>
        </w:rPr>
        <w:t>个月</w:t>
      </w:r>
      <w:r>
        <w:rPr>
          <w:rFonts w:hint="eastAsia" w:ascii="宋体" w:hAnsi="宋体" w:cs="宋体"/>
          <w:color w:val="auto"/>
          <w:kern w:val="0"/>
          <w:szCs w:val="21"/>
          <w:highlight w:val="none"/>
          <w:u w:val="none"/>
          <w:lang w:val="en-US" w:eastAsia="zh-CN"/>
        </w:rPr>
        <w:t>；</w:t>
      </w:r>
      <w:r>
        <w:rPr>
          <w:rFonts w:hint="eastAsia" w:ascii="宋体" w:hAnsi="宋体" w:eastAsia="宋体" w:cs="宋体"/>
          <w:color w:val="auto"/>
          <w:kern w:val="0"/>
          <w:szCs w:val="21"/>
          <w:highlight w:val="none"/>
        </w:rPr>
        <w:t>计划开工日期：</w:t>
      </w:r>
      <w:r>
        <w:rPr>
          <w:rFonts w:hint="eastAsia" w:ascii="宋体" w:hAnsi="宋体" w:cs="宋体"/>
          <w:snapToGrid w:val="0"/>
          <w:color w:val="auto"/>
          <w:kern w:val="0"/>
          <w:szCs w:val="21"/>
          <w:highlight w:val="none"/>
          <w:u w:val="single"/>
          <w:lang w:val="en-US" w:eastAsia="zh-CN"/>
        </w:rPr>
        <w:t>2025</w:t>
      </w:r>
      <w:r>
        <w:rPr>
          <w:rFonts w:hint="eastAsia" w:ascii="宋体" w:hAnsi="宋体" w:eastAsia="宋体" w:cs="宋体"/>
          <w:snapToGrid w:val="0"/>
          <w:color w:val="auto"/>
          <w:kern w:val="0"/>
          <w:szCs w:val="21"/>
          <w:highlight w:val="none"/>
          <w:u w:val="single"/>
          <w:lang w:val="en-US" w:eastAsia="zh-CN"/>
        </w:rPr>
        <w:t>年</w:t>
      </w:r>
      <w:r>
        <w:rPr>
          <w:rFonts w:hint="eastAsia" w:ascii="宋体" w:hAnsi="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lang w:val="en-US" w:eastAsia="zh-CN"/>
        </w:rPr>
        <w:t>月</w:t>
      </w:r>
      <w:r>
        <w:rPr>
          <w:rFonts w:hint="eastAsia" w:ascii="宋体" w:hAnsi="宋体" w:cs="宋体"/>
          <w:snapToGrid w:val="0"/>
          <w:color w:val="auto"/>
          <w:kern w:val="0"/>
          <w:szCs w:val="21"/>
          <w:highlight w:val="none"/>
          <w:u w:val="single"/>
          <w:lang w:val="en-US" w:eastAsia="zh-CN"/>
        </w:rPr>
        <w:t>5日</w:t>
      </w:r>
      <w:r>
        <w:rPr>
          <w:rFonts w:hint="eastAsia" w:ascii="宋体" w:hAnsi="宋体" w:cs="宋体"/>
          <w:color w:val="auto"/>
          <w:kern w:val="0"/>
          <w:szCs w:val="21"/>
          <w:highlight w:val="none"/>
          <w:u w:val="single"/>
          <w:lang w:val="en-US" w:eastAsia="zh-CN"/>
        </w:rPr>
        <w:t>，</w:t>
      </w:r>
      <w:r>
        <w:rPr>
          <w:rFonts w:hint="eastAsia" w:ascii="宋体" w:hAnsi="宋体" w:eastAsia="宋体" w:cs="宋体"/>
          <w:color w:val="auto"/>
          <w:kern w:val="0"/>
          <w:szCs w:val="21"/>
          <w:highlight w:val="none"/>
        </w:rPr>
        <w:t>计划</w:t>
      </w:r>
      <w:r>
        <w:rPr>
          <w:rFonts w:hint="eastAsia" w:ascii="宋体" w:hAnsi="宋体" w:eastAsia="宋体" w:cs="宋体"/>
          <w:color w:val="auto"/>
          <w:kern w:val="0"/>
          <w:szCs w:val="21"/>
          <w:highlight w:val="none"/>
          <w:lang w:val="en-US" w:eastAsia="zh-CN"/>
        </w:rPr>
        <w:t>完工</w:t>
      </w: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202</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snapToGrid w:val="0"/>
          <w:color w:val="auto"/>
          <w:kern w:val="0"/>
          <w:szCs w:val="21"/>
          <w:highlight w:val="none"/>
          <w:u w:val="single"/>
          <w:lang w:val="en-US" w:eastAsia="zh-CN"/>
        </w:rPr>
        <w:t>年</w:t>
      </w:r>
      <w:r>
        <w:rPr>
          <w:rFonts w:hint="eastAsia" w:ascii="宋体" w:hAnsi="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lang w:val="en-US" w:eastAsia="zh-CN"/>
        </w:rPr>
        <w:t>月</w:t>
      </w:r>
      <w:r>
        <w:rPr>
          <w:rFonts w:hint="eastAsia" w:ascii="宋体" w:hAnsi="宋体" w:cs="宋体"/>
          <w:snapToGrid w:val="0"/>
          <w:color w:val="auto"/>
          <w:kern w:val="0"/>
          <w:szCs w:val="21"/>
          <w:highlight w:val="none"/>
          <w:u w:val="single"/>
          <w:lang w:val="en-US" w:eastAsia="zh-CN"/>
        </w:rPr>
        <w:t>4日</w:t>
      </w:r>
      <w:r>
        <w:rPr>
          <w:rFonts w:hint="eastAsia" w:ascii="宋体" w:hAnsi="宋体" w:eastAsia="宋体" w:cs="宋体"/>
          <w:snapToGrid w:val="0"/>
          <w:color w:val="auto"/>
          <w:kern w:val="0"/>
          <w:szCs w:val="21"/>
          <w:highlight w:val="none"/>
          <w:u w:val="single"/>
          <w:lang w:val="en-US" w:eastAsia="zh-CN"/>
        </w:rPr>
        <w:t>。</w:t>
      </w:r>
    </w:p>
    <w:p>
      <w:pPr>
        <w:adjustRightInd w:val="0"/>
        <w:snapToGrid w:val="0"/>
        <w:spacing w:beforeLines="0" w:afterLines="0" w:line="360" w:lineRule="auto"/>
        <w:ind w:firstLine="420" w:firstLineChars="200"/>
        <w:rPr>
          <w:rFonts w:hint="default" w:ascii="宋体" w:hAnsi="宋体" w:eastAsia="宋体" w:cs="宋体"/>
          <w:snapToGrid w:val="0"/>
          <w:color w:val="auto"/>
          <w:kern w:val="0"/>
          <w:szCs w:val="21"/>
          <w:highlight w:val="none"/>
          <w:lang w:val="en-US"/>
        </w:rPr>
      </w:pP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无 </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4" w:name="_Toc8123"/>
      <w:bookmarkStart w:id="55" w:name="_Toc16117"/>
      <w:bookmarkStart w:id="56" w:name="_Toc4897"/>
      <w:r>
        <w:rPr>
          <w:rFonts w:hint="eastAsia" w:ascii="宋体" w:hAnsi="宋体" w:eastAsia="宋体" w:cs="宋体"/>
          <w:bCs w:val="0"/>
          <w:snapToGrid w:val="0"/>
          <w:color w:val="auto"/>
          <w:sz w:val="24"/>
          <w:szCs w:val="24"/>
          <w:highlight w:val="none"/>
        </w:rPr>
        <w:t>3. 投标人资格要求</w:t>
      </w:r>
      <w:bookmarkEnd w:id="46"/>
      <w:bookmarkEnd w:id="47"/>
      <w:bookmarkEnd w:id="48"/>
      <w:bookmarkEnd w:id="49"/>
      <w:bookmarkEnd w:id="50"/>
      <w:bookmarkEnd w:id="51"/>
      <w:bookmarkEnd w:id="52"/>
      <w:bookmarkEnd w:id="53"/>
      <w:bookmarkEnd w:id="54"/>
      <w:bookmarkEnd w:id="55"/>
      <w:bookmarkEnd w:id="5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rPr>
        <w:t>具有独立法人资格</w:t>
      </w:r>
      <w:r>
        <w:rPr>
          <w:rFonts w:hint="eastAsia" w:ascii="宋体" w:hAnsi="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cs="宋体"/>
          <w:snapToGrid w:val="0"/>
          <w:color w:val="auto"/>
          <w:kern w:val="0"/>
          <w:szCs w:val="21"/>
          <w:highlight w:val="none"/>
          <w:u w:val="single"/>
          <w:lang w:val="en-US" w:eastAsia="zh-CN"/>
        </w:rPr>
        <w:t xml:space="preserve">无。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7" w:name="_Toc5303"/>
      <w:bookmarkStart w:id="58" w:name="_Toc30274"/>
      <w:bookmarkStart w:id="59" w:name="_Toc12615"/>
      <w:bookmarkStart w:id="60" w:name="_Toc224103302"/>
      <w:bookmarkStart w:id="61" w:name="_Toc430530419"/>
      <w:bookmarkStart w:id="62" w:name="_Toc287607731"/>
      <w:bookmarkStart w:id="63" w:name="_Toc287620670"/>
      <w:bookmarkStart w:id="64" w:name="_Toc200359241"/>
      <w:bookmarkStart w:id="65" w:name="_Toc277082539"/>
      <w:bookmarkStart w:id="66" w:name="_Toc509218695"/>
      <w:bookmarkStart w:id="67" w:name="_Toc200359430"/>
      <w:r>
        <w:rPr>
          <w:rFonts w:hint="eastAsia" w:ascii="宋体" w:hAnsi="宋体" w:eastAsia="宋体" w:cs="宋体"/>
          <w:bCs w:val="0"/>
          <w:snapToGrid w:val="0"/>
          <w:color w:val="auto"/>
          <w:sz w:val="24"/>
          <w:szCs w:val="24"/>
          <w:highlight w:val="none"/>
        </w:rPr>
        <w:t>4.评标办法</w:t>
      </w:r>
      <w:bookmarkEnd w:id="57"/>
      <w:bookmarkEnd w:id="58"/>
      <w:bookmarkEnd w:id="59"/>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bookmarkStart w:id="68" w:name="_Toc12657"/>
      <w:r>
        <w:rPr>
          <w:rFonts w:hint="eastAsia" w:ascii="宋体" w:hAnsi="宋体" w:cs="宋体"/>
          <w:snapToGrid w:val="0"/>
          <w:color w:val="auto"/>
          <w:kern w:val="0"/>
          <w:szCs w:val="21"/>
          <w:highlight w:val="none"/>
          <w:lang w:val="en-US" w:eastAsia="zh-CN"/>
        </w:rPr>
        <w:t>综合评估法</w:t>
      </w:r>
      <w:r>
        <w:rPr>
          <w:rFonts w:hint="eastAsia" w:ascii="宋体" w:hAnsi="宋体" w:eastAsia="宋体" w:cs="宋体"/>
          <w:snapToGrid w:val="0"/>
          <w:color w:val="auto"/>
          <w:kern w:val="0"/>
          <w:szCs w:val="21"/>
          <w:highlight w:val="none"/>
          <w:lang w:val="en-US" w:eastAsia="zh-CN"/>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9" w:name="_Toc20023"/>
      <w:bookmarkStart w:id="70" w:name="_Toc2265"/>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60"/>
      <w:bookmarkEnd w:id="61"/>
      <w:bookmarkEnd w:id="62"/>
      <w:bookmarkEnd w:id="63"/>
      <w:bookmarkEnd w:id="64"/>
      <w:bookmarkEnd w:id="65"/>
      <w:bookmarkEnd w:id="66"/>
      <w:bookmarkEnd w:id="67"/>
      <w:bookmarkEnd w:id="68"/>
      <w:bookmarkEnd w:id="69"/>
      <w:bookmarkEnd w:id="70"/>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71" w:name="_Toc224103303"/>
      <w:bookmarkStart w:id="72" w:name="_Toc277082540"/>
      <w:bookmarkStart w:id="73" w:name="_Toc5682"/>
      <w:bookmarkStart w:id="74" w:name="_Toc200359242"/>
      <w:bookmarkStart w:id="75" w:name="_Toc200359431"/>
      <w:bookmarkStart w:id="76" w:name="_Toc287607732"/>
      <w:bookmarkStart w:id="77" w:name="_Toc509218696"/>
      <w:bookmarkStart w:id="78" w:name="_Toc430530420"/>
      <w:bookmarkStart w:id="79" w:name="_Toc287620671"/>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 xml:space="preserve"> 12 </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27</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投标人可以电子邮件形式对本项目提出疑问，提问方式为向招标代理机构及招标人邮箱发送提问文件扫描件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 xml:space="preserve"> 12 </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 xml:space="preserve">23 </w:t>
      </w:r>
      <w:r>
        <w:rPr>
          <w:rFonts w:hint="eastAsia" w:ascii="宋体" w:hAnsi="宋体" w:eastAsia="宋体" w:cs="宋体"/>
          <w:b/>
          <w:bCs w:val="0"/>
          <w:kern w:val="0"/>
          <w:sz w:val="21"/>
          <w:szCs w:val="21"/>
          <w:highlight w:val="none"/>
          <w:lang w:val="en-US" w:eastAsia="zh-CN" w:bidi="ar"/>
        </w:rPr>
        <w:t>日</w:t>
      </w:r>
      <w:r>
        <w:rPr>
          <w:rFonts w:hint="eastAsia" w:ascii="宋体" w:hAnsi="宋体" w:cs="宋体"/>
          <w:b/>
          <w:bCs w:val="0"/>
          <w:kern w:val="0"/>
          <w:sz w:val="21"/>
          <w:szCs w:val="21"/>
          <w:highlight w:val="none"/>
          <w:u w:val="single"/>
          <w:lang w:val="en-US" w:eastAsia="zh-CN" w:bidi="ar"/>
        </w:rPr>
        <w:t>19</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12</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24</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w:t>
      </w:r>
      <w:r>
        <w:rPr>
          <w:rFonts w:hint="eastAsia" w:ascii="宋体" w:hAnsi="宋体" w:cs="宋体"/>
          <w:b/>
          <w:bCs w:val="0"/>
          <w:kern w:val="0"/>
          <w:sz w:val="21"/>
          <w:szCs w:val="21"/>
          <w:highlight w:val="none"/>
          <w:u w:val="single"/>
          <w:lang w:val="en-US" w:eastAsia="zh-CN" w:bidi="ar"/>
        </w:rPr>
        <w:t>9</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80" w:name="_Toc28530"/>
      <w:bookmarkStart w:id="81" w:name="_Toc1282"/>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71"/>
      <w:bookmarkEnd w:id="72"/>
      <w:bookmarkEnd w:id="73"/>
      <w:bookmarkEnd w:id="74"/>
      <w:bookmarkEnd w:id="75"/>
      <w:bookmarkEnd w:id="76"/>
      <w:bookmarkEnd w:id="77"/>
      <w:bookmarkEnd w:id="78"/>
      <w:bookmarkEnd w:id="79"/>
      <w:bookmarkEnd w:id="80"/>
      <w:bookmarkEnd w:id="81"/>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82" w:name="_Toc200359243"/>
      <w:bookmarkStart w:id="83" w:name="_Toc509218697"/>
      <w:bookmarkStart w:id="84" w:name="_Toc277082541"/>
      <w:bookmarkStart w:id="85" w:name="_Toc200359432"/>
      <w:bookmarkStart w:id="86" w:name="_Toc224103304"/>
      <w:bookmarkStart w:id="87" w:name="_Toc14420"/>
      <w:bookmarkStart w:id="88" w:name="_Toc287620672"/>
      <w:bookmarkStart w:id="89" w:name="_Toc430530421"/>
      <w:bookmarkStart w:id="90" w:name="_Toc287607733"/>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w:t>
      </w:r>
      <w:r>
        <w:rPr>
          <w:rFonts w:hint="eastAsia" w:ascii="宋体" w:hAnsi="宋体" w:cs="宋体"/>
          <w:b/>
          <w:bCs/>
          <w:kern w:val="2"/>
          <w:sz w:val="21"/>
          <w:szCs w:val="21"/>
          <w:highlight w:val="none"/>
          <w:u w:val="single"/>
          <w:lang w:val="en-US" w:eastAsia="zh-CN" w:bidi="ar"/>
        </w:rPr>
        <w:t>4</w:t>
      </w:r>
      <w:r>
        <w:rPr>
          <w:rFonts w:hint="eastAsia" w:ascii="宋体" w:hAnsi="宋体" w:eastAsia="宋体" w:cs="宋体"/>
          <w:b/>
          <w:bCs/>
          <w:kern w:val="2"/>
          <w:sz w:val="21"/>
          <w:szCs w:val="21"/>
          <w:highlight w:val="none"/>
          <w:lang w:val="en-US" w:eastAsia="zh-CN" w:bidi="ar"/>
        </w:rPr>
        <w:t>年</w:t>
      </w:r>
      <w:r>
        <w:rPr>
          <w:rFonts w:hint="eastAsia" w:ascii="宋体" w:hAnsi="宋体" w:cs="宋体"/>
          <w:b/>
          <w:bCs/>
          <w:kern w:val="2"/>
          <w:sz w:val="21"/>
          <w:szCs w:val="21"/>
          <w:highlight w:val="none"/>
          <w:u w:val="single"/>
          <w:lang w:val="en-US" w:eastAsia="zh-CN" w:bidi="ar"/>
        </w:rPr>
        <w:t xml:space="preserve"> 12 </w:t>
      </w:r>
      <w:r>
        <w:rPr>
          <w:rFonts w:hint="eastAsia" w:ascii="宋体" w:hAnsi="宋体" w:eastAsia="宋体" w:cs="宋体"/>
          <w:b/>
          <w:bCs/>
          <w:kern w:val="2"/>
          <w:sz w:val="21"/>
          <w:szCs w:val="21"/>
          <w:highlight w:val="none"/>
          <w:lang w:val="en-US" w:eastAsia="zh-CN" w:bidi="ar"/>
        </w:rPr>
        <w:t>月</w:t>
      </w:r>
      <w:r>
        <w:rPr>
          <w:rFonts w:hint="eastAsia" w:ascii="宋体" w:hAnsi="宋体" w:cs="宋体"/>
          <w:b/>
          <w:bCs/>
          <w:kern w:val="2"/>
          <w:sz w:val="21"/>
          <w:szCs w:val="21"/>
          <w:highlight w:val="none"/>
          <w:u w:val="single"/>
          <w:lang w:val="en-US" w:eastAsia="zh-CN" w:bidi="ar"/>
        </w:rPr>
        <w:t>27</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1</w:t>
      </w:r>
      <w:r>
        <w:rPr>
          <w:rFonts w:hint="eastAsia" w:ascii="宋体" w:hAnsi="宋体" w:cs="宋体"/>
          <w:b/>
          <w:bCs/>
          <w:kern w:val="2"/>
          <w:sz w:val="21"/>
          <w:szCs w:val="21"/>
          <w:highlight w:val="none"/>
          <w:u w:val="single"/>
          <w:lang w:val="en-US" w:eastAsia="zh-CN" w:bidi="ar"/>
        </w:rPr>
        <w:t>1</w:t>
      </w:r>
      <w:r>
        <w:rPr>
          <w:rFonts w:hint="eastAsia" w:ascii="宋体" w:hAnsi="宋体" w:eastAsia="宋体" w:cs="宋体"/>
          <w:b/>
          <w:bCs/>
          <w:kern w:val="2"/>
          <w:sz w:val="21"/>
          <w:szCs w:val="21"/>
          <w:highlight w:val="none"/>
          <w:lang w:val="en-US" w:eastAsia="zh-CN" w:bidi="ar"/>
        </w:rPr>
        <w:t>时</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snapToGrid w:val="0"/>
        <w:spacing w:line="360" w:lineRule="auto"/>
        <w:ind w:firstLine="420" w:firstLineChars="200"/>
        <w:rPr>
          <w:rFonts w:hint="eastAsia" w:ascii="宋体" w:hAnsi="宋体" w:eastAsia="宋体" w:cs="宋体"/>
          <w:bCs/>
          <w:snapToGrid w:val="0"/>
          <w:kern w:val="0"/>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w:t>
      </w:r>
      <w:r>
        <w:rPr>
          <w:rFonts w:hint="eastAsia" w:ascii="宋体" w:hAnsi="宋体" w:eastAsia="宋体" w:cs="宋体"/>
          <w:bCs/>
          <w:snapToGrid w:val="0"/>
          <w:kern w:val="0"/>
          <w:szCs w:val="21"/>
          <w:highlight w:val="none"/>
        </w:rPr>
        <w:t>重庆市江北区五简路2号重庆咨询大厦A座负一楼开标厅(重咨大厦车库入口旁的原工商银行网点位置)，可见开标当日开标厅指示牌。</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91" w:name="_Toc18705"/>
      <w:bookmarkStart w:id="92" w:name="_Toc20841"/>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82"/>
      <w:bookmarkEnd w:id="83"/>
      <w:bookmarkEnd w:id="84"/>
      <w:bookmarkEnd w:id="85"/>
      <w:bookmarkEnd w:id="86"/>
      <w:bookmarkEnd w:id="87"/>
      <w:bookmarkEnd w:id="88"/>
      <w:bookmarkEnd w:id="89"/>
      <w:bookmarkEnd w:id="90"/>
      <w:bookmarkEnd w:id="91"/>
      <w:bookmarkEnd w:id="92"/>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93" w:name="_Toc31214"/>
      <w:bookmarkEnd w:id="93"/>
      <w:bookmarkStart w:id="94" w:name="_Toc23858"/>
      <w:bookmarkEnd w:id="94"/>
      <w:bookmarkStart w:id="95" w:name="_Toc7472"/>
      <w:bookmarkStart w:id="96" w:name="_Toc287620674"/>
      <w:bookmarkStart w:id="97" w:name="_Toc224103306"/>
      <w:bookmarkStart w:id="98" w:name="_Toc430530423"/>
      <w:bookmarkStart w:id="99" w:name="_Toc287607735"/>
      <w:r>
        <w:rPr>
          <w:rFonts w:hint="eastAsia" w:ascii="宋体" w:hAnsi="宋体" w:eastAsia="宋体" w:cs="宋体"/>
          <w:color w:val="000000"/>
          <w:kern w:val="0"/>
          <w:sz w:val="21"/>
          <w:szCs w:val="21"/>
          <w:highlight w:val="none"/>
          <w:lang w:val="en-US" w:eastAsia="zh-CN" w:bidi="ar"/>
        </w:rPr>
        <w:t>本次招标公告同时在</w:t>
      </w:r>
      <w:r>
        <w:rPr>
          <w:rFonts w:hint="eastAsia" w:ascii="宋体" w:hAnsi="宋体" w:eastAsia="宋体" w:cs="宋体"/>
          <w:color w:val="000000"/>
          <w:kern w:val="0"/>
          <w:sz w:val="21"/>
          <w:szCs w:val="21"/>
          <w:highlight w:val="none"/>
          <w:u w:val="single"/>
          <w:lang w:val="en-US" w:eastAsia="zh-CN" w:bidi="ar"/>
        </w:rPr>
        <w:t>中国招标投标公共服务平台（http://www.cebpubservice.com/）、重庆高速集团官网（https://www.cegc.com.cn）</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100" w:name="_Toc21375"/>
      <w:bookmarkStart w:id="101" w:name="_Toc21490"/>
      <w:r>
        <w:rPr>
          <w:rFonts w:hint="eastAsia" w:ascii="宋体" w:hAnsi="宋体" w:eastAsia="宋体" w:cs="宋体"/>
          <w:bCs w:val="0"/>
          <w:snapToGrid w:val="0"/>
          <w:color w:val="auto"/>
          <w:sz w:val="24"/>
          <w:szCs w:val="24"/>
          <w:highlight w:val="none"/>
          <w:lang w:val="en-US" w:eastAsia="zh-CN"/>
        </w:rPr>
        <w:t>8.联系方式</w:t>
      </w:r>
      <w:bookmarkEnd w:id="95"/>
      <w:bookmarkEnd w:id="100"/>
      <w:bookmarkEnd w:id="10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w:t>
      </w:r>
      <w:r>
        <w:rPr>
          <w:rFonts w:hint="eastAsia" w:ascii="宋体" w:hAnsi="宋体" w:cs="宋体"/>
          <w:kern w:val="0"/>
          <w:sz w:val="21"/>
          <w:szCs w:val="21"/>
          <w:highlight w:val="none"/>
          <w:lang w:val="en-US" w:eastAsia="zh-CN" w:bidi="ar"/>
        </w:rPr>
        <w:t>刘老师</w:t>
      </w:r>
      <w:r>
        <w:rPr>
          <w:rFonts w:hint="eastAsia" w:ascii="宋体" w:hAnsi="宋体" w:eastAsia="宋体" w:cs="宋体"/>
          <w:kern w:val="0"/>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sxliudong@cegc.com.cn           </w:t>
      </w:r>
    </w:p>
    <w:p>
      <w:pPr>
        <w:pStyle w:val="2"/>
        <w:widowControl/>
        <w:adjustRightInd w:val="0"/>
        <w:snapToGrid w:val="0"/>
        <w:spacing w:before="0" w:beforeLines="0" w:beforeAutospacing="0" w:after="0" w:afterLines="0" w:afterAutospacing="0" w:line="360" w:lineRule="auto"/>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招标代理机构：重庆市投资咨询有限公司</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    址：重庆市江北区五里店五简路2号重庆咨询大厦</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 系 人：</w:t>
      </w:r>
      <w:r>
        <w:rPr>
          <w:rFonts w:hint="eastAsia" w:hAnsi="宋体" w:cs="宋体"/>
          <w:kern w:val="2"/>
          <w:sz w:val="21"/>
          <w:szCs w:val="21"/>
          <w:highlight w:val="none"/>
          <w:lang w:val="en-US" w:eastAsia="zh-CN"/>
        </w:rPr>
        <w:t>段</w:t>
      </w:r>
      <w:r>
        <w:rPr>
          <w:rFonts w:hint="eastAsia" w:ascii="宋体" w:hAnsi="宋体" w:eastAsia="宋体" w:cs="宋体"/>
          <w:kern w:val="2"/>
          <w:sz w:val="21"/>
          <w:szCs w:val="21"/>
          <w:highlight w:val="none"/>
          <w:lang w:val="en-US" w:eastAsia="zh-CN"/>
        </w:rPr>
        <w:t>女士</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电    话：023-</w:t>
      </w:r>
      <w:r>
        <w:rPr>
          <w:rFonts w:hint="eastAsia" w:hAnsi="宋体" w:cs="宋体"/>
          <w:kern w:val="2"/>
          <w:sz w:val="21"/>
          <w:szCs w:val="21"/>
          <w:highlight w:val="none"/>
          <w:lang w:val="en-US" w:eastAsia="zh-CN"/>
        </w:rPr>
        <w:t>63875872</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电子邮件：</w:t>
      </w:r>
      <w:r>
        <w:rPr>
          <w:rFonts w:hint="eastAsia" w:hAnsi="宋体" w:cs="宋体"/>
          <w:kern w:val="0"/>
          <w:sz w:val="21"/>
          <w:szCs w:val="21"/>
          <w:highlight w:val="none"/>
          <w:lang w:val="en-US" w:eastAsia="zh-CN"/>
        </w:rPr>
        <w:t>925328330</w:t>
      </w:r>
      <w:r>
        <w:rPr>
          <w:rFonts w:hint="eastAsia" w:ascii="宋体" w:hAnsi="宋体" w:eastAsia="宋体" w:cs="宋体"/>
          <w:kern w:val="0"/>
          <w:sz w:val="21"/>
          <w:szCs w:val="21"/>
          <w:highlight w:val="none"/>
        </w:rPr>
        <w:t>@qq.com</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96"/>
    <w:bookmarkEnd w:id="97"/>
    <w:bookmarkEnd w:id="98"/>
    <w:bookmarkEnd w:id="99"/>
    <w:p>
      <w:pPr>
        <w:pStyle w:val="3"/>
        <w:spacing w:line="360" w:lineRule="auto"/>
        <w:ind w:firstLine="883"/>
        <w:jc w:val="center"/>
        <w:rPr>
          <w:rFonts w:hint="eastAsia" w:ascii="宋体" w:hAnsi="宋体" w:eastAsia="宋体" w:cs="宋体"/>
          <w:bCs w:val="0"/>
          <w:snapToGrid w:val="0"/>
          <w:color w:val="auto"/>
          <w:kern w:val="0"/>
          <w:highlight w:val="none"/>
        </w:rPr>
      </w:pPr>
      <w:bookmarkStart w:id="102" w:name="_Toc287607744"/>
      <w:bookmarkStart w:id="103" w:name="_Toc15617"/>
      <w:bookmarkStart w:id="104" w:name="_Toc6019"/>
      <w:bookmarkStart w:id="105" w:name="_Toc224103315"/>
      <w:bookmarkStart w:id="106" w:name="_Toc287620683"/>
      <w:bookmarkStart w:id="107" w:name="_Toc22924"/>
      <w:bookmarkStart w:id="108" w:name="_Toc430530432"/>
      <w:r>
        <w:rPr>
          <w:rFonts w:hint="eastAsia" w:ascii="宋体" w:hAnsi="宋体" w:eastAsia="宋体" w:cs="宋体"/>
          <w:bCs w:val="0"/>
          <w:snapToGrid w:val="0"/>
          <w:color w:val="auto"/>
          <w:highlight w:val="none"/>
        </w:rPr>
        <w:t>第二章  投标人须知</w:t>
      </w:r>
      <w:bookmarkEnd w:id="102"/>
      <w:bookmarkEnd w:id="103"/>
      <w:bookmarkEnd w:id="104"/>
      <w:bookmarkEnd w:id="105"/>
      <w:bookmarkEnd w:id="106"/>
      <w:bookmarkEnd w:id="107"/>
      <w:bookmarkEnd w:id="108"/>
      <w:bookmarkStart w:id="109" w:name="_Toc287607745"/>
      <w:bookmarkStart w:id="110" w:name="_Toc277082551"/>
      <w:bookmarkStart w:id="111" w:name="_Toc430530433"/>
      <w:bookmarkStart w:id="112" w:name="_Toc287620684"/>
      <w:bookmarkStart w:id="113" w:name="_Toc224103316"/>
    </w:p>
    <w:p>
      <w:pPr>
        <w:pStyle w:val="4"/>
        <w:spacing w:before="0" w:after="0" w:line="360" w:lineRule="auto"/>
        <w:rPr>
          <w:rFonts w:hint="eastAsia" w:ascii="宋体" w:hAnsi="宋体" w:eastAsia="宋体" w:cs="宋体"/>
          <w:bCs w:val="0"/>
          <w:color w:val="auto"/>
          <w:sz w:val="28"/>
          <w:szCs w:val="28"/>
          <w:highlight w:val="none"/>
        </w:rPr>
      </w:pPr>
      <w:bookmarkStart w:id="114" w:name="_Toc19909"/>
      <w:bookmarkStart w:id="115" w:name="_Toc509218708"/>
      <w:bookmarkStart w:id="116" w:name="_Toc7142"/>
      <w:bookmarkStart w:id="117" w:name="_Toc12783"/>
      <w:r>
        <w:rPr>
          <w:rFonts w:hint="eastAsia" w:ascii="宋体" w:hAnsi="宋体" w:eastAsia="宋体" w:cs="宋体"/>
          <w:bCs w:val="0"/>
          <w:color w:val="auto"/>
          <w:sz w:val="28"/>
          <w:szCs w:val="28"/>
          <w:highlight w:val="none"/>
        </w:rPr>
        <w:t>投标人须知前附表</w:t>
      </w:r>
      <w:bookmarkEnd w:id="109"/>
      <w:bookmarkEnd w:id="110"/>
      <w:bookmarkEnd w:id="111"/>
      <w:bookmarkEnd w:id="112"/>
      <w:bookmarkEnd w:id="113"/>
      <w:bookmarkEnd w:id="114"/>
      <w:bookmarkEnd w:id="115"/>
      <w:bookmarkEnd w:id="116"/>
      <w:bookmarkEnd w:id="117"/>
    </w:p>
    <w:p>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6"/>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880"/>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bidi="ar"/>
              </w:rPr>
              <w:t>联 系 人：</w:t>
            </w:r>
            <w:r>
              <w:rPr>
                <w:rFonts w:hint="eastAsia" w:ascii="宋体" w:hAnsi="宋体" w:cs="宋体"/>
                <w:kern w:val="0"/>
                <w:sz w:val="21"/>
                <w:szCs w:val="21"/>
                <w:highlight w:val="none"/>
                <w:lang w:val="en-US" w:eastAsia="zh-CN" w:bidi="ar"/>
              </w:rPr>
              <w:t>刘老师</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Lines="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sxliudong@cegc.com.cn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招标代理机构：重庆市投资咨询有限公司</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址：重庆市江北区五里店五简路2号重庆咨询大厦</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联 系 人：</w:t>
            </w:r>
            <w:r>
              <w:rPr>
                <w:rFonts w:hint="eastAsia" w:ascii="宋体" w:hAnsi="宋体" w:cs="宋体"/>
                <w:kern w:val="2"/>
                <w:sz w:val="21"/>
                <w:szCs w:val="21"/>
                <w:highlight w:val="none"/>
                <w:lang w:val="en-US" w:eastAsia="zh-CN" w:bidi="ar"/>
              </w:rPr>
              <w:t>段</w:t>
            </w:r>
            <w:r>
              <w:rPr>
                <w:rFonts w:hint="eastAsia" w:ascii="宋体" w:hAnsi="宋体" w:eastAsia="宋体" w:cs="宋体"/>
                <w:kern w:val="2"/>
                <w:sz w:val="21"/>
                <w:szCs w:val="21"/>
                <w:highlight w:val="none"/>
                <w:lang w:val="en-US" w:eastAsia="zh-CN" w:bidi="ar"/>
              </w:rPr>
              <w:t>女士</w:t>
            </w:r>
          </w:p>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default"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电    话：023-</w:t>
            </w:r>
            <w:r>
              <w:rPr>
                <w:rFonts w:hint="eastAsia" w:ascii="宋体" w:hAnsi="宋体" w:cs="宋体"/>
                <w:kern w:val="2"/>
                <w:sz w:val="21"/>
                <w:szCs w:val="21"/>
                <w:highlight w:val="none"/>
                <w:lang w:val="en-US" w:eastAsia="zh-CN" w:bidi="ar"/>
              </w:rPr>
              <w:t>63875872</w:t>
            </w:r>
          </w:p>
          <w:p>
            <w:pPr>
              <w:keepNext w:val="0"/>
              <w:keepLines w:val="0"/>
              <w:widowControl w:val="0"/>
              <w:suppressLineNumbers w:val="0"/>
              <w:adjustRightInd w:val="0"/>
              <w:snapToGrid w:val="0"/>
              <w:spacing w:before="0" w:beforeLines="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2"/>
                <w:sz w:val="21"/>
                <w:szCs w:val="21"/>
                <w:highlight w:val="none"/>
                <w:lang w:val="en-US" w:eastAsia="zh-CN" w:bidi="ar"/>
              </w:rPr>
              <w:t>电子邮件：</w:t>
            </w:r>
            <w:r>
              <w:rPr>
                <w:rFonts w:hint="eastAsia" w:ascii="宋体" w:hAnsi="宋体" w:cs="宋体"/>
                <w:kern w:val="2"/>
                <w:sz w:val="21"/>
                <w:szCs w:val="21"/>
                <w:highlight w:val="none"/>
                <w:lang w:val="en-US" w:eastAsia="zh-CN" w:bidi="ar"/>
              </w:rPr>
              <w:t>925328330</w:t>
            </w:r>
            <w:r>
              <w:rPr>
                <w:rFonts w:hint="eastAsia" w:ascii="宋体" w:hAnsi="宋体" w:eastAsia="宋体" w:cs="宋体"/>
                <w:kern w:val="2"/>
                <w:sz w:val="21"/>
                <w:szCs w:val="21"/>
                <w:highlight w:val="none"/>
                <w:lang w:val="en-US" w:eastAsia="zh-CN" w:bidi="ar"/>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首讯公司2025年软件运维劳务分包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 w:val="21"/>
                <w:szCs w:val="21"/>
                <w:highlight w:val="none"/>
                <w:u w:val="single"/>
                <w:lang w:val="en-US" w:eastAsia="zh-CN"/>
              </w:rPr>
              <w:t>主要内容包括办公系统、机电运维平台、养护系统、联网收费系统、联网监控系统、建设信息化平台的</w:t>
            </w:r>
            <w:r>
              <w:rPr>
                <w:rFonts w:hint="eastAsia" w:ascii="宋体" w:hAnsi="宋体" w:eastAsia="宋体" w:cs="宋体"/>
                <w:snapToGrid w:val="0"/>
                <w:color w:val="auto"/>
                <w:kern w:val="0"/>
                <w:sz w:val="21"/>
                <w:szCs w:val="21"/>
                <w:highlight w:val="none"/>
                <w:u w:val="single"/>
                <w:lang w:eastAsia="zh-CN"/>
              </w:rPr>
              <w:t>系统优化代码开发、</w:t>
            </w:r>
            <w:r>
              <w:rPr>
                <w:rFonts w:hint="eastAsia" w:ascii="宋体" w:hAnsi="宋体" w:eastAsia="宋体" w:cs="宋体"/>
                <w:snapToGrid w:val="0"/>
                <w:color w:val="auto"/>
                <w:kern w:val="0"/>
                <w:sz w:val="21"/>
                <w:szCs w:val="21"/>
                <w:highlight w:val="none"/>
                <w:u w:val="single"/>
              </w:rPr>
              <w:t>系统配置、日常巡检、系统备份、问题记录、</w:t>
            </w:r>
            <w:r>
              <w:rPr>
                <w:rFonts w:hint="eastAsia" w:ascii="宋体" w:hAnsi="宋体" w:eastAsia="宋体" w:cs="宋体"/>
                <w:snapToGrid w:val="0"/>
                <w:color w:val="auto"/>
                <w:kern w:val="0"/>
                <w:sz w:val="21"/>
                <w:szCs w:val="21"/>
                <w:highlight w:val="none"/>
                <w:u w:val="single"/>
                <w:lang w:val="en-US" w:eastAsia="zh-CN"/>
              </w:rPr>
              <w:t>问题处理及</w:t>
            </w:r>
            <w:r>
              <w:rPr>
                <w:rFonts w:hint="eastAsia" w:ascii="宋体" w:hAnsi="宋体" w:eastAsia="宋体" w:cs="宋体"/>
                <w:snapToGrid w:val="0"/>
                <w:color w:val="auto"/>
                <w:kern w:val="0"/>
                <w:sz w:val="21"/>
                <w:szCs w:val="21"/>
                <w:highlight w:val="none"/>
                <w:u w:val="single"/>
              </w:rPr>
              <w:t>反馈、</w:t>
            </w:r>
            <w:r>
              <w:rPr>
                <w:rFonts w:hint="eastAsia" w:ascii="宋体" w:hAnsi="宋体" w:eastAsia="宋体" w:cs="宋体"/>
                <w:snapToGrid w:val="0"/>
                <w:color w:val="auto"/>
                <w:kern w:val="0"/>
                <w:sz w:val="21"/>
                <w:szCs w:val="21"/>
                <w:highlight w:val="none"/>
                <w:u w:val="single"/>
                <w:lang w:val="en-US" w:eastAsia="zh-CN"/>
              </w:rPr>
              <w:t>维护资料编制</w:t>
            </w:r>
            <w:r>
              <w:rPr>
                <w:rFonts w:hint="eastAsia" w:ascii="宋体" w:hAnsi="宋体" w:eastAsia="宋体" w:cs="宋体"/>
                <w:snapToGrid w:val="0"/>
                <w:color w:val="auto"/>
                <w:kern w:val="0"/>
                <w:sz w:val="21"/>
                <w:szCs w:val="21"/>
                <w:highlight w:val="none"/>
                <w:u w:val="single"/>
              </w:rPr>
              <w:t>等日常</w:t>
            </w:r>
            <w:r>
              <w:rPr>
                <w:rFonts w:hint="eastAsia" w:ascii="宋体" w:hAnsi="宋体" w:eastAsia="宋体" w:cs="宋体"/>
                <w:snapToGrid w:val="0"/>
                <w:color w:val="auto"/>
                <w:kern w:val="0"/>
                <w:sz w:val="21"/>
                <w:szCs w:val="21"/>
                <w:highlight w:val="none"/>
                <w:u w:val="single"/>
                <w:lang w:val="en-US" w:eastAsia="zh-CN"/>
              </w:rPr>
              <w:t>性</w:t>
            </w:r>
            <w:r>
              <w:rPr>
                <w:rFonts w:hint="eastAsia" w:ascii="宋体" w:hAnsi="宋体" w:eastAsia="宋体" w:cs="宋体"/>
                <w:snapToGrid w:val="0"/>
                <w:color w:val="auto"/>
                <w:kern w:val="0"/>
                <w:sz w:val="21"/>
                <w:szCs w:val="21"/>
                <w:highlight w:val="none"/>
                <w:u w:val="single"/>
              </w:rPr>
              <w:t>工作</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不包含维护</w:t>
            </w:r>
            <w:r>
              <w:rPr>
                <w:rFonts w:hint="eastAsia" w:ascii="宋体" w:hAnsi="宋体" w:eastAsia="宋体" w:cs="宋体"/>
                <w:snapToGrid w:val="0"/>
                <w:color w:val="auto"/>
                <w:kern w:val="0"/>
                <w:sz w:val="21"/>
                <w:szCs w:val="21"/>
                <w:highlight w:val="none"/>
                <w:u w:val="single"/>
                <w:lang w:val="en-US" w:eastAsia="zh-CN"/>
              </w:rPr>
              <w:t>工</w:t>
            </w:r>
            <w:r>
              <w:rPr>
                <w:rFonts w:hint="eastAsia" w:ascii="宋体" w:hAnsi="宋体" w:eastAsia="宋体" w:cs="宋体"/>
                <w:snapToGrid w:val="0"/>
                <w:color w:val="auto"/>
                <w:kern w:val="0"/>
                <w:sz w:val="21"/>
                <w:szCs w:val="21"/>
                <w:highlight w:val="none"/>
                <w:u w:val="single"/>
              </w:rPr>
              <w:t>机具、车辆等。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工期：</w:t>
            </w:r>
            <w:r>
              <w:rPr>
                <w:rFonts w:hint="eastAsia" w:ascii="宋体" w:hAnsi="宋体" w:cs="宋体"/>
                <w:color w:val="auto"/>
                <w:kern w:val="0"/>
                <w:szCs w:val="21"/>
                <w:highlight w:val="none"/>
                <w:u w:val="single"/>
                <w:lang w:val="en-US" w:eastAsia="zh-CN"/>
              </w:rPr>
              <w:t>12</w:t>
            </w:r>
            <w:r>
              <w:rPr>
                <w:rFonts w:hint="eastAsia" w:ascii="宋体" w:hAnsi="宋体" w:eastAsia="宋体" w:cs="宋体"/>
                <w:color w:val="auto"/>
                <w:kern w:val="0"/>
                <w:szCs w:val="21"/>
                <w:highlight w:val="none"/>
                <w:u w:val="single"/>
                <w:lang w:val="en-US" w:eastAsia="zh-CN"/>
              </w:rPr>
              <w:t>个月</w:t>
            </w:r>
          </w:p>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计划开工日期：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202</w:t>
            </w:r>
            <w:r>
              <w:rPr>
                <w:rFonts w:hint="eastAsia" w:ascii="宋体" w:hAnsi="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u w:val="single"/>
                <w:lang w:val="en-US" w:eastAsia="zh-CN"/>
              </w:rPr>
              <w:t>年</w:t>
            </w:r>
            <w:r>
              <w:rPr>
                <w:rFonts w:hint="eastAsia" w:ascii="宋体" w:hAnsi="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lang w:val="en-US" w:eastAsia="zh-CN"/>
              </w:rPr>
              <w:t>月</w:t>
            </w:r>
            <w:r>
              <w:rPr>
                <w:rFonts w:hint="eastAsia" w:ascii="宋体" w:hAnsi="宋体" w:cs="宋体"/>
                <w:snapToGrid w:val="0"/>
                <w:color w:val="auto"/>
                <w:kern w:val="0"/>
                <w:szCs w:val="21"/>
                <w:highlight w:val="none"/>
                <w:u w:val="single"/>
                <w:lang w:val="en-US" w:eastAsia="zh-CN"/>
              </w:rPr>
              <w:t>5日</w:t>
            </w:r>
            <w:r>
              <w:rPr>
                <w:rFonts w:hint="eastAsia" w:ascii="宋体" w:hAnsi="宋体" w:cs="宋体"/>
                <w:color w:val="auto"/>
                <w:kern w:val="0"/>
                <w:szCs w:val="21"/>
                <w:highlight w:val="none"/>
                <w:u w:val="single"/>
                <w:lang w:val="en-US" w:eastAsia="zh-CN"/>
              </w:rPr>
              <w:t>，</w:t>
            </w:r>
            <w:r>
              <w:rPr>
                <w:rFonts w:hint="eastAsia" w:ascii="宋体" w:hAnsi="宋体" w:eastAsia="宋体" w:cs="宋体"/>
                <w:color w:val="auto"/>
                <w:kern w:val="0"/>
                <w:szCs w:val="21"/>
                <w:highlight w:val="none"/>
              </w:rPr>
              <w:t>计划</w:t>
            </w:r>
            <w:r>
              <w:rPr>
                <w:rFonts w:hint="eastAsia" w:ascii="宋体" w:hAnsi="宋体" w:eastAsia="宋体" w:cs="宋体"/>
                <w:color w:val="auto"/>
                <w:kern w:val="0"/>
                <w:szCs w:val="21"/>
                <w:highlight w:val="none"/>
                <w:lang w:val="en-US" w:eastAsia="zh-CN"/>
              </w:rPr>
              <w:t>完工</w:t>
            </w: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20</w:t>
            </w:r>
            <w:r>
              <w:rPr>
                <w:rFonts w:hint="eastAsia" w:ascii="宋体" w:hAnsi="宋体" w:cs="宋体"/>
                <w:snapToGrid w:val="0"/>
                <w:color w:val="auto"/>
                <w:kern w:val="0"/>
                <w:szCs w:val="21"/>
                <w:highlight w:val="none"/>
                <w:u w:val="single"/>
                <w:lang w:val="en-US" w:eastAsia="zh-CN"/>
              </w:rPr>
              <w:t>26</w:t>
            </w:r>
            <w:r>
              <w:rPr>
                <w:rFonts w:hint="eastAsia" w:ascii="宋体" w:hAnsi="宋体" w:eastAsia="宋体" w:cs="宋体"/>
                <w:snapToGrid w:val="0"/>
                <w:color w:val="auto"/>
                <w:kern w:val="0"/>
                <w:szCs w:val="21"/>
                <w:highlight w:val="none"/>
                <w:u w:val="single"/>
                <w:lang w:val="en-US" w:eastAsia="zh-CN"/>
              </w:rPr>
              <w:t>年</w:t>
            </w:r>
            <w:r>
              <w:rPr>
                <w:rFonts w:hint="eastAsia" w:ascii="宋体" w:hAnsi="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lang w:val="en-US" w:eastAsia="zh-CN"/>
              </w:rPr>
              <w:t>月</w:t>
            </w:r>
            <w:r>
              <w:rPr>
                <w:rFonts w:hint="eastAsia" w:ascii="宋体" w:hAnsi="宋体" w:cs="宋体"/>
                <w:snapToGrid w:val="0"/>
                <w:color w:val="auto"/>
                <w:kern w:val="0"/>
                <w:szCs w:val="21"/>
                <w:highlight w:val="none"/>
                <w:u w:val="single"/>
                <w:lang w:val="en-US" w:eastAsia="zh-CN"/>
              </w:rPr>
              <w:t>4</w:t>
            </w:r>
            <w:r>
              <w:rPr>
                <w:rFonts w:hint="default" w:ascii="宋体" w:hAnsi="宋体" w:cs="宋体"/>
                <w:snapToGrid w:val="0"/>
                <w:color w:val="auto"/>
                <w:kern w:val="0"/>
                <w:szCs w:val="21"/>
                <w:highlight w:val="none"/>
                <w:u w:val="single"/>
                <w:lang w:eastAsia="zh-CN"/>
              </w:rPr>
              <w:t>日</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color w:val="auto"/>
                <w:kern w:val="0"/>
                <w:szCs w:val="21"/>
                <w:highlight w:val="none"/>
                <w:u w:val="none"/>
              </w:rPr>
              <w:t xml:space="preserve">  此工期为暂定时间，具体时间以采购人书面通知为准</w:t>
            </w:r>
            <w:r>
              <w:rPr>
                <w:rFonts w:hint="eastAsia" w:ascii="宋体" w:hAnsi="宋体" w:cs="宋体"/>
                <w:color w:val="auto"/>
                <w:kern w:val="0"/>
                <w:szCs w:val="21"/>
                <w:highlight w:val="none"/>
                <w:u w:val="none"/>
                <w:lang w:eastAsia="zh-CN"/>
              </w:rPr>
              <w:t>。</w:t>
            </w:r>
            <w:r>
              <w:rPr>
                <w:rFonts w:hint="eastAsia" w:ascii="宋体" w:hAnsi="宋体" w:eastAsia="宋体" w:cs="宋体"/>
                <w:color w:val="auto"/>
                <w:kern w:val="0"/>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缺陷责任期：</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无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cs="宋体"/>
                <w:color w:val="auto"/>
                <w:szCs w:val="21"/>
                <w:highlight w:val="none"/>
                <w:lang w:eastAsia="zh-CN"/>
              </w:rPr>
              <w:t>满足“第七章</w:t>
            </w:r>
            <w:r>
              <w:rPr>
                <w:rFonts w:hint="eastAsia" w:ascii="宋体" w:hAnsi="宋体" w:cs="宋体"/>
                <w:color w:val="auto"/>
                <w:szCs w:val="21"/>
                <w:highlight w:val="none"/>
                <w:lang w:val="en-US" w:eastAsia="zh-CN"/>
              </w:rPr>
              <w:t xml:space="preserve"> 技术标准和要求</w:t>
            </w:r>
            <w:r>
              <w:rPr>
                <w:rFonts w:hint="eastAsia" w:ascii="宋体" w:hAnsi="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1、营业执照</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具有独立法人资格,具备有效的营业执照；</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2</w:t>
            </w:r>
            <w:r>
              <w:rPr>
                <w:rFonts w:hint="eastAsia" w:ascii="宋体" w:hAnsi="宋体" w:eastAsia="宋体" w:cs="宋体"/>
                <w:b/>
                <w:color w:val="auto"/>
                <w:kern w:val="0"/>
                <w:szCs w:val="21"/>
                <w:highlight w:val="none"/>
                <w:lang w:bidi="ar"/>
              </w:rPr>
              <w:t>、投标截止日投标资格情况要求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（1）被人民法院列入失信被执行人名单且在被执行期内；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（5）被国家企业信用信息公示系统（http://www.gsxt.gov.cn/）中列入严重违法失信企业名单（黑名单）信息。</w:t>
            </w:r>
          </w:p>
          <w:p>
            <w:pPr>
              <w:keepNext w:val="0"/>
              <w:keepLines w:val="0"/>
              <w:widowControl/>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rPr>
              <w:t>（6）被“信用中国”网站（http://www.creditchina.gov.cn/）列入失信惩戒执行人名单。</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3</w:t>
            </w:r>
            <w:r>
              <w:rPr>
                <w:rFonts w:hint="eastAsia" w:ascii="宋体" w:hAnsi="宋体" w:eastAsia="宋体" w:cs="宋体"/>
                <w:b/>
                <w:color w:val="auto"/>
                <w:kern w:val="0"/>
                <w:szCs w:val="21"/>
                <w:highlight w:val="none"/>
                <w:lang w:bidi="ar"/>
              </w:rPr>
              <w:t>、</w:t>
            </w:r>
            <w:r>
              <w:rPr>
                <w:rFonts w:hint="eastAsia" w:ascii="宋体" w:hAnsi="宋体" w:cs="宋体"/>
                <w:b/>
                <w:color w:val="auto"/>
                <w:kern w:val="0"/>
                <w:szCs w:val="21"/>
                <w:highlight w:val="none"/>
                <w:lang w:val="en-US" w:eastAsia="zh-CN" w:bidi="ar"/>
              </w:rPr>
              <w:t>人员</w:t>
            </w:r>
            <w:r>
              <w:rPr>
                <w:rFonts w:hint="eastAsia" w:ascii="宋体" w:hAnsi="宋体" w:eastAsia="宋体" w:cs="宋体"/>
                <w:b/>
                <w:color w:val="auto"/>
                <w:kern w:val="0"/>
                <w:szCs w:val="21"/>
                <w:highlight w:val="none"/>
                <w:lang w:bidi="ar"/>
              </w:rPr>
              <w:t>要求</w:t>
            </w:r>
          </w:p>
          <w:p>
            <w:pPr>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拟投入本项目的</w:t>
            </w:r>
            <w:bookmarkStart w:id="118" w:name="OLE_LINK1"/>
            <w:r>
              <w:rPr>
                <w:rFonts w:hint="eastAsia" w:ascii="宋体" w:hAnsi="宋体" w:eastAsia="宋体" w:cs="宋体"/>
                <w:color w:val="auto"/>
                <w:kern w:val="2"/>
                <w:sz w:val="21"/>
                <w:szCs w:val="21"/>
                <w:highlight w:val="none"/>
                <w:lang w:val="en-US" w:eastAsia="zh-CN" w:bidi="ar"/>
              </w:rPr>
              <w:t>软件开发或维护人员</w:t>
            </w:r>
            <w:bookmarkEnd w:id="118"/>
            <w:r>
              <w:rPr>
                <w:rFonts w:hint="eastAsia" w:ascii="宋体" w:hAnsi="宋体" w:eastAsia="宋体" w:cs="宋体"/>
                <w:color w:val="auto"/>
                <w:kern w:val="2"/>
                <w:sz w:val="21"/>
                <w:szCs w:val="21"/>
                <w:highlight w:val="none"/>
                <w:lang w:val="en-US" w:eastAsia="zh-CN" w:bidi="ar"/>
              </w:rPr>
              <w:t>不少于30人</w:t>
            </w:r>
            <w:r>
              <w:rPr>
                <w:rFonts w:hint="eastAsia" w:ascii="宋体" w:hAnsi="宋体" w:cs="宋体"/>
                <w:color w:val="auto"/>
                <w:kern w:val="2"/>
                <w:sz w:val="21"/>
                <w:szCs w:val="21"/>
                <w:highlight w:val="none"/>
                <w:lang w:val="en-US" w:eastAsia="zh-CN" w:bidi="ar"/>
              </w:rPr>
              <w:t>，均为投标人本单位正式员工，且具有不少于三个月的工作经验</w:t>
            </w:r>
            <w:r>
              <w:rPr>
                <w:rFonts w:hint="eastAsia" w:ascii="宋体" w:hAnsi="宋体" w:eastAsia="宋体" w:cs="宋体"/>
                <w:color w:val="auto"/>
                <w:kern w:val="2"/>
                <w:sz w:val="21"/>
                <w:szCs w:val="21"/>
                <w:highlight w:val="none"/>
                <w:lang w:val="en-US" w:eastAsia="zh-CN" w:bidi="ar"/>
              </w:rPr>
              <w:t>。</w:t>
            </w:r>
          </w:p>
          <w:p>
            <w:pPr>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投标人须在投标文件资格审查部分提供</w:t>
            </w:r>
            <w:r>
              <w:rPr>
                <w:rFonts w:hint="eastAsia" w:ascii="宋体" w:hAnsi="宋体" w:cs="宋体"/>
                <w:color w:val="auto"/>
                <w:kern w:val="2"/>
                <w:sz w:val="21"/>
                <w:szCs w:val="21"/>
                <w:highlight w:val="none"/>
                <w:lang w:val="en-US" w:eastAsia="zh-CN" w:bidi="ar"/>
              </w:rPr>
              <w:t>每位员工的</w:t>
            </w:r>
            <w:r>
              <w:rPr>
                <w:rFonts w:hint="eastAsia" w:ascii="宋体" w:hAnsi="宋体" w:eastAsia="宋体" w:cs="宋体"/>
                <w:color w:val="auto"/>
                <w:kern w:val="2"/>
                <w:sz w:val="21"/>
                <w:szCs w:val="21"/>
                <w:highlight w:val="none"/>
                <w:lang w:val="en-US" w:eastAsia="zh-CN" w:bidi="ar"/>
              </w:rPr>
              <w:t>工作简历</w:t>
            </w:r>
            <w:r>
              <w:rPr>
                <w:rFonts w:hint="eastAsia" w:ascii="宋体" w:hAnsi="宋体" w:cs="宋体"/>
                <w:color w:val="auto"/>
                <w:kern w:val="2"/>
                <w:sz w:val="21"/>
                <w:szCs w:val="21"/>
                <w:highlight w:val="none"/>
                <w:lang w:val="en-US" w:eastAsia="zh-CN" w:bidi="ar"/>
              </w:rPr>
              <w:t>、身份证、劳动合同、投标人为其缴纳的养老保险证明材料复印件，工作经验的承诺（格式见第九章投标文件格式）。</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cs="宋体"/>
                <w:b/>
                <w:color w:val="auto"/>
                <w:kern w:val="0"/>
                <w:szCs w:val="21"/>
                <w:highlight w:val="none"/>
                <w:lang w:val="en-US" w:eastAsia="zh-CN" w:bidi="ar"/>
              </w:rPr>
              <w:t>4</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w:t>
            </w:r>
            <w:r>
              <w:rPr>
                <w:rFonts w:hint="eastAsia" w:ascii="宋体" w:hAnsi="宋体" w:cs="宋体"/>
                <w:color w:val="auto"/>
                <w:szCs w:val="21"/>
                <w:highlight w:val="none"/>
                <w:lang w:eastAsia="zh-CN"/>
              </w:rPr>
              <w:t>材料复印件</w:t>
            </w:r>
            <w:r>
              <w:rPr>
                <w:rFonts w:hint="eastAsia" w:ascii="宋体" w:hAnsi="宋体" w:eastAsia="宋体" w:cs="宋体"/>
                <w:color w:val="auto"/>
                <w:szCs w:val="21"/>
                <w:highlight w:val="none"/>
              </w:rPr>
              <w:t>。</w:t>
            </w:r>
          </w:p>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eastAsia="宋体" w:cs="宋体"/>
                <w:bCs/>
                <w:color w:val="auto"/>
                <w:kern w:val="0"/>
                <w:szCs w:val="21"/>
                <w:highlight w:val="none"/>
              </w:rPr>
              <w:t>②</w:t>
            </w:r>
            <w:r>
              <w:rPr>
                <w:rFonts w:hint="eastAsia" w:ascii="宋体" w:hAnsi="宋体" w:cs="宋体"/>
                <w:bCs/>
                <w:snapToGrid w:val="0"/>
                <w:color w:val="auto"/>
                <w:kern w:val="0"/>
                <w:szCs w:val="21"/>
                <w:highlight w:val="none"/>
                <w:lang w:eastAsia="zh-CN"/>
              </w:rPr>
              <w:t>人员</w:t>
            </w:r>
            <w:r>
              <w:rPr>
                <w:rFonts w:hint="eastAsia" w:ascii="宋体" w:hAnsi="宋体" w:eastAsia="宋体" w:cs="宋体"/>
                <w:bCs/>
                <w:snapToGrid w:val="0"/>
                <w:color w:val="auto"/>
                <w:kern w:val="0"/>
                <w:szCs w:val="21"/>
                <w:highlight w:val="none"/>
              </w:rPr>
              <w:t>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8</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10</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r>
              <w:rPr>
                <w:rFonts w:hint="eastAsia" w:ascii="宋体" w:hAnsi="宋体" w:cs="宋体"/>
                <w:bCs/>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不得分包。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restar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Merge w:val="continue"/>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税率</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3.2.</w:t>
            </w:r>
            <w:r>
              <w:rPr>
                <w:rFonts w:hint="eastAsia" w:ascii="宋体" w:hAnsi="宋体" w:cs="宋体"/>
                <w:snapToGrid w:val="0"/>
                <w:color w:val="auto"/>
                <w:kern w:val="0"/>
                <w:szCs w:val="21"/>
                <w:highlight w:val="none"/>
                <w:lang w:val="en-US" w:eastAsia="zh-CN"/>
              </w:rPr>
              <w:t>5</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3.2.</w:t>
            </w:r>
            <w:r>
              <w:rPr>
                <w:rFonts w:hint="eastAsia" w:ascii="宋体" w:hAnsi="宋体" w:cs="宋体"/>
                <w:snapToGrid w:val="0"/>
                <w:color w:val="auto"/>
                <w:kern w:val="0"/>
                <w:szCs w:val="21"/>
                <w:highlight w:val="none"/>
                <w:lang w:val="en-US" w:eastAsia="zh-CN"/>
              </w:rPr>
              <w:t>6</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有，最高投标限价</w:t>
            </w:r>
            <w:r>
              <w:rPr>
                <w:rFonts w:hint="eastAsia" w:ascii="宋体" w:hAnsi="宋体" w:cs="宋体"/>
                <w:color w:val="auto"/>
                <w:kern w:val="0"/>
                <w:szCs w:val="21"/>
                <w:highlight w:val="none"/>
                <w:lang w:val="en-US" w:eastAsia="zh-CN" w:bidi="ar"/>
              </w:rPr>
              <w:t>为壹仟肆佰肆拾捌万肆仟陆佰叁拾叁元柒角叁分，小写：</w:t>
            </w:r>
            <w:r>
              <w:rPr>
                <w:rFonts w:hint="default" w:ascii="宋体" w:hAnsi="宋体" w:cs="宋体"/>
                <w:color w:val="auto"/>
                <w:kern w:val="0"/>
                <w:szCs w:val="21"/>
                <w:highlight w:val="none"/>
                <w:u w:val="single"/>
                <w:lang w:bidi="ar"/>
              </w:rPr>
              <w:t>14484633.73元</w:t>
            </w:r>
            <w:r>
              <w:rPr>
                <w:rFonts w:hint="eastAsia" w:ascii="宋体" w:hAnsi="宋体" w:cs="宋体"/>
                <w:color w:val="auto"/>
                <w:kern w:val="0"/>
                <w:szCs w:val="21"/>
                <w:highlight w:val="none"/>
                <w:u w:val="single"/>
                <w:lang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vAlign w:val="center"/>
          </w:tcPr>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招标人将公布投标总报价最高限价及各清单子目单价最高限价。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Lines="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一、以转账支票或电汇形式交纳投标保证金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default" w:ascii="宋体" w:hAnsi="宋体" w:cs="宋体"/>
                <w:color w:val="auto"/>
                <w:szCs w:val="21"/>
                <w:highlight w:val="none"/>
                <w:u w:val="single"/>
                <w:lang w:val="en-US" w:eastAsia="zh-CN"/>
              </w:rPr>
              <w:t>5.1</w:t>
            </w:r>
            <w:r>
              <w:rPr>
                <w:rFonts w:hint="eastAsia" w:ascii="宋体" w:hAnsi="宋体" w:eastAsia="宋体" w:cs="宋体"/>
                <w:color w:val="auto"/>
                <w:szCs w:val="21"/>
                <w:highlight w:val="none"/>
                <w:lang w:eastAsia="zh-CN"/>
              </w:rPr>
              <w:t>万元（大写：</w:t>
            </w:r>
            <w:r>
              <w:rPr>
                <w:rFonts w:hint="default" w:ascii="宋体" w:hAnsi="宋体" w:cs="宋体"/>
                <w:color w:val="auto"/>
                <w:szCs w:val="21"/>
                <w:highlight w:val="none"/>
                <w:u w:val="single"/>
                <w:lang w:val="en-US" w:eastAsia="zh-CN"/>
              </w:rPr>
              <w:t>伍万壹仟</w:t>
            </w:r>
            <w:r>
              <w:rPr>
                <w:rFonts w:hint="eastAsia" w:ascii="宋体" w:hAnsi="宋体" w:cs="宋体"/>
                <w:color w:val="auto"/>
                <w:szCs w:val="21"/>
                <w:highlight w:val="none"/>
                <w:u w:val="single"/>
                <w:lang w:val="en-US" w:eastAsia="zh-CN"/>
              </w:rPr>
              <w:t>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开 户 行：</w:t>
            </w:r>
            <w:r>
              <w:rPr>
                <w:rFonts w:hint="eastAsia" w:ascii="宋体" w:hAnsi="宋体" w:cs="宋体"/>
                <w:b/>
                <w:bCs/>
                <w:color w:val="auto"/>
                <w:szCs w:val="21"/>
                <w:highlight w:val="none"/>
              </w:rPr>
              <w:t>兴业银行重庆分行</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w:t>
            </w:r>
            <w:r>
              <w:rPr>
                <w:rFonts w:hint="eastAsia" w:ascii="宋体" w:hAnsi="宋体" w:cs="宋体"/>
                <w:snapToGrid/>
                <w:color w:val="auto"/>
                <w:kern w:val="2"/>
                <w:sz w:val="21"/>
                <w:szCs w:val="21"/>
                <w:highlight w:val="none"/>
                <w:u w:val="none"/>
                <w:lang w:eastAsia="zh-CN"/>
              </w:rPr>
              <w:t>首讯公司2025年软件运维劳务分包</w:t>
            </w:r>
            <w:r>
              <w:rPr>
                <w:rFonts w:hint="eastAsia" w:ascii="宋体" w:hAnsi="宋体" w:eastAsia="宋体" w:cs="宋体"/>
                <w:snapToGrid/>
                <w:color w:val="auto"/>
                <w:kern w:val="2"/>
                <w:sz w:val="21"/>
                <w:szCs w:val="21"/>
                <w:highlight w:val="none"/>
                <w:u w:val="none"/>
                <w:lang w:val="en-US" w:eastAsia="zh-CN"/>
              </w:rPr>
              <w:t>投标</w:t>
            </w:r>
            <w:r>
              <w:rPr>
                <w:rFonts w:hint="eastAsia" w:ascii="宋体" w:hAnsi="宋体" w:eastAsia="宋体" w:cs="宋体"/>
                <w:color w:val="auto"/>
                <w:szCs w:val="21"/>
                <w:highlight w:val="none"/>
                <w:lang w:eastAsia="zh-CN"/>
              </w:rPr>
              <w:t>保证金”（可简写）；</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2"/>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u w:val="single"/>
                <w:lang w:val="en-US" w:eastAsia="zh-CN"/>
              </w:rPr>
              <w:t>5.1</w:t>
            </w:r>
            <w:r>
              <w:rPr>
                <w:rFonts w:hint="eastAsia" w:ascii="宋体" w:hAnsi="宋体" w:cs="宋体"/>
                <w:color w:val="auto"/>
                <w:szCs w:val="21"/>
                <w:highlight w:val="none"/>
                <w:lang w:val="en-US" w:eastAsia="zh-CN"/>
              </w:rPr>
              <w:t>万元（大写：</w:t>
            </w:r>
            <w:r>
              <w:rPr>
                <w:rFonts w:hint="eastAsia" w:ascii="宋体" w:hAnsi="宋体" w:cs="宋体"/>
                <w:color w:val="auto"/>
                <w:szCs w:val="21"/>
                <w:highlight w:val="none"/>
                <w:u w:val="single"/>
                <w:lang w:val="en-US" w:eastAsia="zh-CN"/>
              </w:rPr>
              <w:t>伍万壹仟元整</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2"/>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w:t>
            </w:r>
            <w:r>
              <w:rPr>
                <w:rFonts w:hint="eastAsia" w:ascii="宋体" w:hAnsi="宋体" w:cs="宋体"/>
                <w:color w:val="auto"/>
                <w:szCs w:val="21"/>
                <w:highlight w:val="none"/>
                <w:lang w:eastAsia="zh-CN"/>
              </w:rPr>
              <w:t>经济部分、</w:t>
            </w:r>
            <w:r>
              <w:rPr>
                <w:rFonts w:hint="eastAsia" w:ascii="宋体" w:hAnsi="宋体" w:eastAsia="宋体" w:cs="宋体"/>
                <w:color w:val="auto"/>
                <w:szCs w:val="21"/>
                <w:highlight w:val="none"/>
              </w:rPr>
              <w:t>资格审查部分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商务部分、技术部分</w:t>
            </w:r>
            <w:r>
              <w:rPr>
                <w:rFonts w:hint="eastAsia" w:ascii="宋体" w:hAnsi="宋体" w:eastAsia="宋体" w:cs="宋体"/>
                <w:color w:val="auto"/>
                <w:szCs w:val="21"/>
                <w:highlight w:val="none"/>
                <w:lang w:eastAsia="zh-CN"/>
              </w:rPr>
              <w:t>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（2）经济部分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应按照第九章规定格式排版，</w:t>
            </w:r>
            <w:r>
              <w:rPr>
                <w:rFonts w:hint="eastAsia" w:ascii="宋体" w:hAnsi="宋体" w:eastAsia="宋体" w:cs="宋体"/>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宋体" w:hAnsi="宋体" w:eastAsia="宋体" w:cs="宋体"/>
                <w:szCs w:val="21"/>
                <w:highlight w:val="none"/>
              </w:rPr>
              <w:t>，但不得将目录编制作为评审因素</w:t>
            </w:r>
            <w:r>
              <w:rPr>
                <w:rFonts w:hint="eastAsia" w:ascii="宋体" w:hAnsi="宋体" w:cs="宋体"/>
                <w:color w:val="auto"/>
                <w:szCs w:val="21"/>
                <w:highlight w:val="none"/>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）技术部分的装订要求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）资格审查部分的装订要求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vAlign w:val="center"/>
          </w:tcPr>
          <w:p>
            <w:pPr>
              <w:pStyle w:val="45"/>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首讯公司2025年软件运维劳务分包</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vAlign w:val="center"/>
          </w:tcPr>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（8）逐单位随机开启投标文件。公布投标人名称、投标报价、质量要求、工期及其他内容并记录在案。</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7"/>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cs="宋体"/>
                <w:color w:val="auto"/>
                <w:spacing w:val="4"/>
                <w:kern w:val="0"/>
                <w:szCs w:val="21"/>
                <w:highlight w:val="none"/>
                <w:u w:val="single"/>
              </w:rPr>
              <w:t>中国招标投标公共服务平台（http://www.cebpubservice.com/）、重庆高速集团官网（https://www.cegc.com.cn）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推荐经评审</w:t>
            </w:r>
            <w:r>
              <w:rPr>
                <w:rFonts w:hint="eastAsia" w:ascii="宋体" w:hAnsi="宋体" w:cs="宋体"/>
                <w:color w:val="auto"/>
                <w:szCs w:val="21"/>
                <w:highlight w:val="none"/>
                <w:lang w:val="en-US" w:eastAsia="zh-CN"/>
              </w:rPr>
              <w:t>综合得分</w:t>
            </w:r>
            <w:r>
              <w:rPr>
                <w:rFonts w:hint="eastAsia" w:ascii="宋体" w:hAnsi="宋体" w:eastAsia="宋体" w:cs="宋体"/>
                <w:color w:val="auto"/>
                <w:szCs w:val="21"/>
                <w:highlight w:val="none"/>
              </w:rPr>
              <w:t>由</w:t>
            </w:r>
            <w:r>
              <w:rPr>
                <w:rFonts w:hint="eastAsia" w:ascii="宋体" w:hAnsi="宋体" w:cs="宋体"/>
                <w:color w:val="auto"/>
                <w:szCs w:val="21"/>
                <w:highlight w:val="none"/>
                <w:lang w:val="en-US" w:eastAsia="zh-CN"/>
              </w:rPr>
              <w:t>高</w:t>
            </w:r>
            <w:r>
              <w:rPr>
                <w:rFonts w:hint="eastAsia" w:ascii="宋体" w:hAnsi="宋体" w:eastAsia="宋体" w:cs="宋体"/>
                <w:color w:val="auto"/>
                <w:szCs w:val="21"/>
                <w:highlight w:val="none"/>
              </w:rPr>
              <w:t>到</w:t>
            </w:r>
            <w:r>
              <w:rPr>
                <w:rFonts w:hint="eastAsia" w:ascii="宋体" w:hAnsi="宋体" w:cs="宋体"/>
                <w:color w:val="auto"/>
                <w:szCs w:val="21"/>
                <w:highlight w:val="none"/>
                <w:lang w:val="en-US" w:eastAsia="zh-CN"/>
              </w:rPr>
              <w:t>低</w:t>
            </w:r>
            <w:r>
              <w:rPr>
                <w:rFonts w:hint="eastAsia" w:ascii="宋体" w:hAnsi="宋体" w:eastAsia="宋体" w:cs="宋体"/>
                <w:color w:val="auto"/>
                <w:szCs w:val="21"/>
                <w:highlight w:val="none"/>
              </w:rPr>
              <w:t>排名前</w:t>
            </w:r>
            <w:r>
              <w:rPr>
                <w:rFonts w:hint="eastAsia" w:ascii="宋体" w:hAnsi="宋体" w:eastAsia="宋体" w:cs="宋体"/>
                <w:color w:val="auto"/>
                <w:kern w:val="2"/>
                <w:szCs w:val="21"/>
                <w:highlight w:val="none"/>
                <w:u w:val="single"/>
                <w:lang w:val="en-US" w:eastAsia="zh-CN"/>
              </w:rPr>
              <w:t xml:space="preserve"> 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名为中标候选人，若有效投标人少于</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u w:val="single"/>
                <w:lang w:val="en-US" w:eastAsia="zh-CN"/>
              </w:rPr>
              <w:t>2</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szCs w:val="21"/>
                <w:highlight w:val="none"/>
              </w:rPr>
              <w:t>个的则按实际数量推荐。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972"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highlight w:val="none"/>
              </w:rPr>
            </w:pPr>
            <w:r>
              <w:rPr>
                <w:rFonts w:hint="eastAsia" w:ascii="宋体" w:hAnsi="宋体" w:cs="宋体"/>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cs="宋体"/>
                <w:highlight w:val="none"/>
              </w:rPr>
              <w:t>（1）履约担保的形式：现金或银行（或担保公司）保函或现金+银行（或担保公司）保函的组合；采用银行（或担保公司）保函形式的，保函必须为不可撤销且见索即付</w:t>
            </w:r>
            <w:r>
              <w:rPr>
                <w:rFonts w:hint="eastAsia" w:ascii="宋体" w:hAnsi="宋体" w:cs="宋体"/>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cs="宋体"/>
                <w:highlight w:val="none"/>
              </w:rPr>
              <w:t>（2）履约担保的金额：中标合同额的10%</w:t>
            </w:r>
            <w:r>
              <w:rPr>
                <w:rFonts w:hint="eastAsia" w:ascii="宋体" w:hAnsi="宋体" w:cs="宋体"/>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 xml:space="preserve">（3）履约担保的提交时间：中标人收到中标通知书后 </w:t>
            </w:r>
            <w:r>
              <w:rPr>
                <w:rFonts w:hint="eastAsia" w:ascii="宋体" w:hAnsi="宋体" w:cs="宋体"/>
                <w:highlight w:val="none"/>
                <w:lang w:val="en-US" w:eastAsia="zh-CN"/>
              </w:rPr>
              <w:t>30</w:t>
            </w:r>
            <w:r>
              <w:rPr>
                <w:rFonts w:hint="eastAsia" w:ascii="宋体" w:hAnsi="宋体" w:cs="宋体"/>
                <w:highlight w:val="none"/>
              </w:rPr>
              <w:t xml:space="preserve">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（4）履约担保的期限：自提交履约担保之日起至</w:t>
            </w:r>
            <w:r>
              <w:rPr>
                <w:rFonts w:hint="eastAsia" w:ascii="宋体" w:hAnsi="宋体" w:cs="宋体"/>
                <w:highlight w:val="none"/>
                <w:lang w:val="en-US" w:eastAsia="zh-CN"/>
              </w:rPr>
              <w:t>项目完工</w:t>
            </w:r>
            <w:r>
              <w:rPr>
                <w:rFonts w:hint="eastAsia" w:ascii="宋体" w:hAnsi="宋体" w:cs="宋体"/>
                <w:highlight w:val="none"/>
              </w:rPr>
              <w:t>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lang w:eastAsia="zh-CN"/>
              </w:rPr>
            </w:pPr>
            <w:r>
              <w:rPr>
                <w:rFonts w:hint="eastAsia" w:ascii="宋体" w:hAnsi="宋体" w:cs="宋体"/>
                <w:highlight w:val="none"/>
              </w:rPr>
              <w:t>（5）履约担保的退还时间：采用现金担保的，合同工程完工证书颁发后28天内一次性退还；采用银行（或担保公司）保函的，合同工程完工证书颁发后28天内内退还</w:t>
            </w:r>
            <w:r>
              <w:rPr>
                <w:rFonts w:hint="eastAsia" w:ascii="宋体" w:hAnsi="宋体" w:cs="宋体"/>
                <w:highlight w:val="none"/>
                <w:lang w:eastAsia="zh-CN"/>
              </w:rPr>
              <w:t>。</w:t>
            </w:r>
          </w:p>
          <w:p>
            <w:pPr>
              <w:pStyle w:val="2"/>
              <w:adjustRightInd w:val="0"/>
              <w:snapToGrid w:val="0"/>
              <w:spacing w:before="0" w:beforeLines="0" w:beforeAutospacing="0" w:after="0" w:afterLines="0" w:line="400" w:lineRule="exact"/>
              <w:ind w:left="0" w:right="0" w:firstLine="420" w:firstLineChars="200"/>
              <w:rPr>
                <w:rFonts w:hint="eastAsia" w:ascii="宋体" w:hAnsi="宋体" w:cs="宋体"/>
                <w:highlight w:val="none"/>
                <w:lang w:eastAsia="zh-CN"/>
              </w:rPr>
            </w:pPr>
            <w:r>
              <w:rPr>
                <w:rFonts w:hint="eastAsia" w:ascii="宋体" w:hAnsi="宋体" w:cs="宋体"/>
                <w:szCs w:val="24"/>
                <w:highlight w:val="none"/>
                <w:lang w:eastAsia="zh-CN" w:bidi="ar-SA"/>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417"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投诉受理部门：重庆首讯科技股份有限公司合规监管部</w:t>
            </w:r>
          </w:p>
          <w:p>
            <w:pPr>
              <w:keepNext w:val="0"/>
              <w:keepLines w:val="0"/>
              <w:widowControl w:val="0"/>
              <w:suppressLineNumbers w:val="0"/>
              <w:adjustRightInd w:val="0"/>
              <w:snapToGrid w:val="0"/>
              <w:spacing w:before="0" w:beforeLines="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3</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4</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5</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w:t>
            </w:r>
            <w:r>
              <w:rPr>
                <w:rFonts w:hint="eastAsia" w:ascii="宋体" w:hAnsi="宋体" w:cs="宋体"/>
                <w:color w:val="auto"/>
                <w:kern w:val="0"/>
                <w:szCs w:val="21"/>
                <w:highlight w:val="none"/>
                <w:lang w:val="en-US" w:eastAsia="zh-CN"/>
              </w:rPr>
              <w:t>6</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7</w:t>
            </w:r>
          </w:p>
        </w:tc>
        <w:tc>
          <w:tcPr>
            <w:tcW w:w="972" w:type="pct"/>
            <w:vAlign w:val="center"/>
          </w:tcPr>
          <w:p>
            <w:pPr>
              <w:keepNext w:val="0"/>
              <w:keepLines w:val="0"/>
              <w:suppressLineNumbers w:val="0"/>
              <w:adjustRightInd w:val="0"/>
              <w:snapToGrid w:val="0"/>
              <w:spacing w:before="0" w:beforeLines="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招标代理服务费</w:t>
            </w:r>
          </w:p>
        </w:tc>
        <w:tc>
          <w:tcPr>
            <w:tcW w:w="3445"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leftChars="0" w:right="0" w:righ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招标代理服务费由中标人在领取中标通知书时向招标代理机构缴纳招标代理服务费。缴纳金额：</w:t>
            </w:r>
            <w:r>
              <w:rPr>
                <w:rFonts w:hint="eastAsia" w:ascii="宋体" w:hAnsi="宋体" w:eastAsia="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val="en-US" w:eastAsia="zh-CN"/>
              </w:rPr>
              <w:t>万元。</w:t>
            </w:r>
          </w:p>
        </w:tc>
      </w:tr>
    </w:tbl>
    <w:p>
      <w:pPr>
        <w:adjustRightInd w:val="0"/>
        <w:snapToGrid w:val="0"/>
        <w:spacing w:beforeLines="0" w:afterLines="0" w:line="360" w:lineRule="auto"/>
        <w:jc w:val="left"/>
        <w:rPr>
          <w:rFonts w:hint="eastAsia" w:ascii="宋体" w:hAnsi="宋体" w:eastAsia="宋体" w:cs="宋体"/>
          <w:color w:val="auto"/>
          <w:szCs w:val="21"/>
          <w:highlight w:val="none"/>
        </w:rPr>
      </w:pPr>
      <w:bookmarkStart w:id="119" w:name="_Toc430530435"/>
      <w:bookmarkStart w:id="120" w:name="_Toc277082552"/>
      <w:bookmarkStart w:id="121" w:name="_Toc224103317"/>
      <w:bookmarkStart w:id="122" w:name="_Toc287607746"/>
      <w:bookmarkStart w:id="123" w:name="_Toc200513126"/>
      <w:bookmarkStart w:id="124" w:name="_Toc287620685"/>
      <w:r>
        <w:rPr>
          <w:rFonts w:hint="eastAsia" w:ascii="宋体" w:hAnsi="宋体" w:eastAsia="宋体" w:cs="宋体"/>
          <w:b/>
          <w:bCs/>
          <w:color w:val="auto"/>
          <w:sz w:val="28"/>
          <w:szCs w:val="28"/>
          <w:highlight w:val="none"/>
        </w:rPr>
        <w:t xml:space="preserve"> </w:t>
      </w:r>
      <w:bookmarkEnd w:id="119"/>
      <w:bookmarkEnd w:id="120"/>
      <w:bookmarkEnd w:id="121"/>
      <w:bookmarkEnd w:id="122"/>
      <w:bookmarkEnd w:id="123"/>
      <w:bookmarkEnd w:id="124"/>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25" w:name="_Toc6980"/>
      <w:bookmarkStart w:id="126" w:name="_Toc7039"/>
      <w:bookmarkStart w:id="127" w:name="_Toc11012"/>
      <w:r>
        <w:rPr>
          <w:rFonts w:hint="eastAsia" w:ascii="宋体" w:hAnsi="宋体" w:eastAsia="宋体" w:cs="宋体"/>
          <w:color w:val="auto"/>
          <w:sz w:val="28"/>
          <w:szCs w:val="28"/>
          <w:highlight w:val="none"/>
        </w:rPr>
        <w:t>1. 总则</w:t>
      </w:r>
      <w:bookmarkEnd w:id="125"/>
      <w:bookmarkEnd w:id="126"/>
      <w:bookmarkEnd w:id="127"/>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28" w:name="_Toc15772"/>
      <w:bookmarkStart w:id="129" w:name="_Toc16406"/>
      <w:bookmarkStart w:id="130" w:name="_Toc63"/>
      <w:r>
        <w:rPr>
          <w:rFonts w:hint="eastAsia" w:ascii="宋体" w:hAnsi="宋体" w:eastAsia="宋体" w:cs="宋体"/>
          <w:color w:val="auto"/>
          <w:sz w:val="21"/>
          <w:szCs w:val="21"/>
          <w:highlight w:val="none"/>
        </w:rPr>
        <w:t>1.1 项目概况</w:t>
      </w:r>
      <w:bookmarkEnd w:id="128"/>
      <w:bookmarkEnd w:id="129"/>
      <w:bookmarkEnd w:id="130"/>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共和国招标投标法》《中华人民共和国招标投标法实施条例》《公路工程建设项目招标投标管理办法》等有关法律、法规和规章的规定，本招标项目已具备的招标条件见投标人须知前附表，现对本标段进行招标。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1" w:name="_Toc22401"/>
      <w:bookmarkStart w:id="132" w:name="_Toc18919"/>
      <w:bookmarkStart w:id="133" w:name="_Toc10961"/>
      <w:r>
        <w:rPr>
          <w:rFonts w:hint="eastAsia" w:ascii="宋体" w:hAnsi="宋体" w:eastAsia="宋体" w:cs="宋体"/>
          <w:color w:val="auto"/>
          <w:sz w:val="21"/>
          <w:szCs w:val="21"/>
          <w:highlight w:val="none"/>
        </w:rPr>
        <w:t>1.2 招标项目的资金来源和落实情况</w:t>
      </w:r>
      <w:bookmarkEnd w:id="131"/>
      <w:bookmarkEnd w:id="132"/>
      <w:bookmarkEnd w:id="133"/>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4" w:name="_Toc29496"/>
      <w:bookmarkStart w:id="135" w:name="_Toc22846"/>
      <w:bookmarkStart w:id="136" w:name="_Toc8225"/>
      <w:r>
        <w:rPr>
          <w:rFonts w:hint="eastAsia" w:ascii="宋体" w:hAnsi="宋体" w:eastAsia="宋体" w:cs="宋体"/>
          <w:color w:val="auto"/>
          <w:sz w:val="21"/>
          <w:szCs w:val="21"/>
          <w:highlight w:val="none"/>
        </w:rPr>
        <w:t>1.3 招标范围、计划工期、质量要求和安全目标</w:t>
      </w:r>
      <w:bookmarkEnd w:id="134"/>
      <w:bookmarkEnd w:id="135"/>
      <w:bookmarkEnd w:id="136"/>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37" w:name="_Toc11037"/>
      <w:bookmarkStart w:id="138" w:name="_Toc21914"/>
      <w:bookmarkStart w:id="139" w:name="_Toc27625"/>
      <w:r>
        <w:rPr>
          <w:rFonts w:hint="eastAsia" w:ascii="宋体" w:hAnsi="宋体" w:eastAsia="宋体" w:cs="宋体"/>
          <w:color w:val="auto"/>
          <w:sz w:val="21"/>
          <w:szCs w:val="21"/>
          <w:highlight w:val="none"/>
        </w:rPr>
        <w:t>1.4 投标人资格要求</w:t>
      </w:r>
      <w:bookmarkEnd w:id="137"/>
      <w:bookmarkEnd w:id="138"/>
      <w:bookmarkEnd w:id="139"/>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投标人应具备承担本项目的资质条件、能力和信誉。</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0" w:name="_Toc5410"/>
      <w:bookmarkStart w:id="141" w:name="_Toc20729"/>
      <w:bookmarkStart w:id="142" w:name="_Toc28282"/>
      <w:r>
        <w:rPr>
          <w:rFonts w:hint="eastAsia" w:ascii="宋体" w:hAnsi="宋体" w:eastAsia="宋体" w:cs="宋体"/>
          <w:color w:val="auto"/>
          <w:sz w:val="21"/>
          <w:szCs w:val="21"/>
          <w:highlight w:val="none"/>
        </w:rPr>
        <w:t>1.5 费用承担</w:t>
      </w:r>
      <w:bookmarkEnd w:id="140"/>
      <w:bookmarkEnd w:id="141"/>
      <w:bookmarkEnd w:id="142"/>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3" w:name="_Toc27412"/>
      <w:bookmarkStart w:id="144" w:name="_Toc7398"/>
      <w:bookmarkStart w:id="145" w:name="_Toc25612"/>
      <w:r>
        <w:rPr>
          <w:rFonts w:hint="eastAsia" w:ascii="宋体" w:hAnsi="宋体" w:eastAsia="宋体" w:cs="宋体"/>
          <w:color w:val="auto"/>
          <w:sz w:val="21"/>
          <w:szCs w:val="21"/>
          <w:highlight w:val="none"/>
        </w:rPr>
        <w:t>1.6 保密</w:t>
      </w:r>
      <w:bookmarkEnd w:id="143"/>
      <w:bookmarkEnd w:id="144"/>
      <w:bookmarkEnd w:id="145"/>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6" w:name="_Toc12195"/>
      <w:bookmarkStart w:id="147" w:name="_Toc20662"/>
      <w:bookmarkStart w:id="148" w:name="_Toc17852"/>
      <w:r>
        <w:rPr>
          <w:rFonts w:hint="eastAsia" w:ascii="宋体" w:hAnsi="宋体" w:eastAsia="宋体" w:cs="宋体"/>
          <w:color w:val="auto"/>
          <w:sz w:val="21"/>
          <w:szCs w:val="21"/>
          <w:highlight w:val="none"/>
        </w:rPr>
        <w:t>1.7 语言文字</w:t>
      </w:r>
      <w:bookmarkEnd w:id="146"/>
      <w:bookmarkEnd w:id="147"/>
      <w:bookmarkEnd w:id="148"/>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49" w:name="_Toc27344"/>
      <w:bookmarkStart w:id="150" w:name="_Toc14707"/>
      <w:bookmarkStart w:id="151" w:name="_Toc18319"/>
      <w:r>
        <w:rPr>
          <w:rFonts w:hint="eastAsia" w:ascii="宋体" w:hAnsi="宋体" w:eastAsia="宋体" w:cs="宋体"/>
          <w:color w:val="auto"/>
          <w:sz w:val="21"/>
          <w:szCs w:val="21"/>
          <w:highlight w:val="none"/>
        </w:rPr>
        <w:t>1.8 计量单位</w:t>
      </w:r>
      <w:bookmarkEnd w:id="149"/>
      <w:bookmarkEnd w:id="150"/>
      <w:bookmarkEnd w:id="151"/>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2" w:name="_Toc20724"/>
      <w:bookmarkStart w:id="153" w:name="_Toc20961"/>
      <w:bookmarkStart w:id="154" w:name="_Toc15575"/>
      <w:r>
        <w:rPr>
          <w:rFonts w:hint="eastAsia" w:ascii="宋体" w:hAnsi="宋体" w:eastAsia="宋体" w:cs="宋体"/>
          <w:color w:val="auto"/>
          <w:sz w:val="21"/>
          <w:szCs w:val="21"/>
          <w:highlight w:val="none"/>
        </w:rPr>
        <w:t>1.9 踏勘现场</w:t>
      </w:r>
      <w:bookmarkEnd w:id="152"/>
      <w:bookmarkEnd w:id="153"/>
      <w:bookmarkEnd w:id="154"/>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5" w:name="_Toc13078"/>
      <w:bookmarkStart w:id="156" w:name="_Toc25576"/>
      <w:bookmarkStart w:id="157" w:name="_Toc31609"/>
      <w:r>
        <w:rPr>
          <w:rFonts w:hint="eastAsia" w:ascii="宋体" w:hAnsi="宋体" w:eastAsia="宋体" w:cs="宋体"/>
          <w:color w:val="auto"/>
          <w:sz w:val="21"/>
          <w:szCs w:val="21"/>
          <w:highlight w:val="none"/>
        </w:rPr>
        <w:t>1.10 投标预备会</w:t>
      </w:r>
      <w:bookmarkEnd w:id="155"/>
      <w:bookmarkEnd w:id="156"/>
      <w:bookmarkEnd w:id="157"/>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58" w:name="_Toc26796"/>
      <w:bookmarkStart w:id="159" w:name="_Toc13430"/>
      <w:bookmarkStart w:id="160" w:name="_Toc14650"/>
      <w:r>
        <w:rPr>
          <w:rFonts w:hint="eastAsia" w:ascii="宋体" w:hAnsi="宋体" w:eastAsia="宋体" w:cs="宋体"/>
          <w:color w:val="auto"/>
          <w:sz w:val="21"/>
          <w:szCs w:val="21"/>
          <w:highlight w:val="none"/>
        </w:rPr>
        <w:t>1.11 分包</w:t>
      </w:r>
      <w:bookmarkEnd w:id="158"/>
      <w:bookmarkEnd w:id="159"/>
      <w:bookmarkEnd w:id="160"/>
    </w:p>
    <w:p>
      <w:pPr>
        <w:pStyle w:val="73"/>
        <w:adjustRightInd w:val="0"/>
        <w:snapToGrid w:val="0"/>
        <w:spacing w:before="0" w:beforeLines="0" w:after="0" w:afterLines="0"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1.11.1 投标人拟在中标后将中标项目的部分非主体、非关键性工作进行分包的，应符合以下规定：</w:t>
      </w:r>
    </w:p>
    <w:p>
      <w:pPr>
        <w:pStyle w:val="73"/>
        <w:adjustRightInd w:val="0"/>
        <w:snapToGrid w:val="0"/>
        <w:spacing w:before="0" w:beforeLines="0" w:after="0" w:afterLines="0"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（1）分包内容要求：允许分包的工程范围仅限于非关键性工程或适合专业化队伍施工的专项工程。招标人允许分包或不允许分包的专项工程（如有）应在投标人须知前附表中载明。</w:t>
      </w:r>
    </w:p>
    <w:p>
      <w:pPr>
        <w:pStyle w:val="73"/>
        <w:adjustRightInd w:val="0"/>
        <w:snapToGrid w:val="0"/>
        <w:spacing w:before="0" w:beforeLines="0" w:after="0" w:afterLines="0"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（2）接受分包的第三人资格要求：分包人的资格能力应与其分包工程的标准和规模相适应，且具备投标人须知前附表中规定的资格条件。</w:t>
      </w:r>
    </w:p>
    <w:p>
      <w:pPr>
        <w:pStyle w:val="73"/>
        <w:adjustRightInd w:val="0"/>
        <w:snapToGrid w:val="0"/>
        <w:spacing w:before="0" w:beforeLines="0" w:after="0" w:afterLines="0"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（3）其他要求：投标人如有分包计划，应按第九章“投标文件格式”的要求填写“拟分包项目情况表”，明确拟分包的工程及规模，且投标人中标后的分包应满足合同条款第 4.3 款的相关要求。</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1.11.2 中标人不得向他人转让中标项目，接受分包的人不得再次分包。中标人应就分包项目向招标人负责，接受分包的人就分包项目承担连带责任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1" w:name="_Toc21434"/>
      <w:bookmarkStart w:id="162" w:name="_Toc23037"/>
      <w:bookmarkStart w:id="163" w:name="_Toc29244"/>
      <w:r>
        <w:rPr>
          <w:rFonts w:hint="eastAsia" w:ascii="宋体" w:hAnsi="宋体" w:eastAsia="宋体" w:cs="宋体"/>
          <w:color w:val="auto"/>
          <w:sz w:val="21"/>
          <w:szCs w:val="21"/>
          <w:highlight w:val="none"/>
        </w:rPr>
        <w:t>1.12 响应和偏差</w:t>
      </w:r>
      <w:bookmarkEnd w:id="161"/>
      <w:bookmarkEnd w:id="162"/>
      <w:bookmarkEnd w:id="163"/>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投标人应根据招标文件的要求提供方案等内容以对招标文件作出响应。</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64" w:name="_Toc29894"/>
      <w:bookmarkStart w:id="165" w:name="_Toc10883"/>
      <w:bookmarkStart w:id="166" w:name="_Toc9698"/>
      <w:r>
        <w:rPr>
          <w:rFonts w:hint="eastAsia" w:ascii="宋体" w:hAnsi="宋体" w:eastAsia="宋体" w:cs="宋体"/>
          <w:color w:val="auto"/>
          <w:sz w:val="28"/>
          <w:szCs w:val="28"/>
          <w:highlight w:val="none"/>
        </w:rPr>
        <w:t>2. 招标文件</w:t>
      </w:r>
      <w:bookmarkEnd w:id="164"/>
      <w:bookmarkEnd w:id="165"/>
      <w:bookmarkEnd w:id="166"/>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67" w:name="_Toc29926"/>
      <w:bookmarkStart w:id="168" w:name="_Toc8594"/>
      <w:bookmarkStart w:id="169" w:name="_Toc13218"/>
      <w:r>
        <w:rPr>
          <w:rFonts w:hint="eastAsia" w:ascii="宋体" w:hAnsi="宋体" w:eastAsia="宋体" w:cs="宋体"/>
          <w:color w:val="auto"/>
          <w:sz w:val="21"/>
          <w:szCs w:val="21"/>
          <w:highlight w:val="none"/>
        </w:rPr>
        <w:t>2.1 招标文件的组成</w:t>
      </w:r>
      <w:bookmarkEnd w:id="167"/>
      <w:bookmarkEnd w:id="168"/>
      <w:bookmarkEnd w:id="169"/>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70" w:name="_Toc27894"/>
      <w:bookmarkStart w:id="171" w:name="_Toc559"/>
      <w:bookmarkStart w:id="172" w:name="_Toc16050"/>
      <w:r>
        <w:rPr>
          <w:rFonts w:hint="eastAsia" w:ascii="宋体" w:hAnsi="宋体" w:eastAsia="宋体" w:cs="宋体"/>
          <w:color w:val="auto"/>
          <w:sz w:val="21"/>
          <w:szCs w:val="21"/>
          <w:highlight w:val="none"/>
        </w:rPr>
        <w:t>2.2 招标文件的澄清</w:t>
      </w:r>
      <w:bookmarkEnd w:id="170"/>
      <w:bookmarkEnd w:id="171"/>
      <w:bookmarkEnd w:id="172"/>
    </w:p>
    <w:p>
      <w:pPr>
        <w:pStyle w:val="73"/>
        <w:adjustRightInd w:val="0"/>
        <w:snapToGrid w:val="0"/>
        <w:spacing w:before="0" w:beforeLines="0" w:after="0" w:afterLines="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73" w:name="_Toc25040"/>
      <w:bookmarkStart w:id="174" w:name="_Toc11369"/>
      <w:bookmarkStart w:id="175" w:name="_Toc27612"/>
      <w:r>
        <w:rPr>
          <w:rFonts w:hint="eastAsia" w:ascii="宋体" w:hAnsi="宋体" w:eastAsia="宋体" w:cs="宋体"/>
          <w:color w:val="auto"/>
          <w:sz w:val="21"/>
          <w:szCs w:val="21"/>
          <w:highlight w:val="none"/>
        </w:rPr>
        <w:t>2.3 招标文件的修改</w:t>
      </w:r>
      <w:bookmarkEnd w:id="173"/>
      <w:bookmarkEnd w:id="174"/>
      <w:bookmarkEnd w:id="175"/>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176" w:name="_Toc1115"/>
      <w:bookmarkStart w:id="177" w:name="_Toc29803"/>
      <w:bookmarkStart w:id="178" w:name="_Toc2305"/>
      <w:r>
        <w:rPr>
          <w:rFonts w:hint="eastAsia" w:ascii="宋体" w:hAnsi="宋体" w:eastAsia="宋体" w:cs="宋体"/>
          <w:color w:val="auto"/>
          <w:sz w:val="28"/>
          <w:szCs w:val="28"/>
          <w:highlight w:val="none"/>
        </w:rPr>
        <w:t>3. 投标文件</w:t>
      </w:r>
      <w:bookmarkEnd w:id="176"/>
      <w:bookmarkEnd w:id="177"/>
      <w:bookmarkEnd w:id="178"/>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79" w:name="_Toc21010"/>
      <w:bookmarkStart w:id="180" w:name="_Toc2400"/>
      <w:bookmarkStart w:id="181" w:name="_Toc4489"/>
      <w:r>
        <w:rPr>
          <w:rFonts w:hint="eastAsia" w:ascii="宋体" w:hAnsi="宋体" w:eastAsia="宋体" w:cs="宋体"/>
          <w:color w:val="auto"/>
          <w:sz w:val="21"/>
          <w:szCs w:val="21"/>
          <w:highlight w:val="none"/>
        </w:rPr>
        <w:t>3.1投标文件的组成</w:t>
      </w:r>
      <w:bookmarkEnd w:id="179"/>
      <w:bookmarkEnd w:id="180"/>
      <w:bookmarkEnd w:id="181"/>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ru-RU"/>
        </w:rPr>
        <w:t>）法定代表人身份证明或附有法定代表人身份证明的授权委托书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adjustRightInd w:val="0"/>
        <w:snapToGrid w:val="0"/>
        <w:spacing w:beforeLines="0" w:afterLines="0"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（2）联合体协议书（如有）</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（5）近年财务状况表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（6）类似项目情况表</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（7）</w:t>
      </w:r>
      <w:r>
        <w:rPr>
          <w:rFonts w:hint="eastAsia" w:ascii="宋体" w:hAnsi="宋体" w:eastAsia="宋体" w:cs="宋体"/>
          <w:color w:val="auto"/>
          <w:kern w:val="0"/>
          <w:szCs w:val="21"/>
          <w:highlight w:val="none"/>
        </w:rPr>
        <w:t>承诺</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（8）其他资料</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82" w:name="_Toc8450"/>
      <w:bookmarkStart w:id="183" w:name="_Toc3545"/>
      <w:bookmarkStart w:id="184" w:name="_Toc24308"/>
      <w:r>
        <w:rPr>
          <w:rFonts w:hint="eastAsia" w:ascii="宋体" w:hAnsi="宋体" w:eastAsia="宋体" w:cs="宋体"/>
          <w:color w:val="auto"/>
          <w:sz w:val="21"/>
          <w:szCs w:val="21"/>
          <w:highlight w:val="none"/>
        </w:rPr>
        <w:t>3.2 投标报价</w:t>
      </w:r>
      <w:bookmarkEnd w:id="182"/>
      <w:bookmarkEnd w:id="183"/>
      <w:bookmarkEnd w:id="184"/>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除投标人须知前附表另有规定外，招标人不接受调价函。</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 招标人设有最高投标限价的，投标人的投标报价不得超过最高投标限价，最高投标限价在投标人须知前附表中载明。</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 xml:space="preserve"> 投标报价的其他要求见投标人须知前附表。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85" w:name="_Toc23688"/>
      <w:bookmarkStart w:id="186" w:name="_Toc31067"/>
      <w:bookmarkStart w:id="187" w:name="_Toc12845"/>
      <w:r>
        <w:rPr>
          <w:rFonts w:hint="eastAsia" w:ascii="宋体" w:hAnsi="宋体" w:eastAsia="宋体" w:cs="宋体"/>
          <w:color w:val="auto"/>
          <w:sz w:val="21"/>
          <w:szCs w:val="21"/>
          <w:highlight w:val="none"/>
        </w:rPr>
        <w:t>3.3投标有效期</w:t>
      </w:r>
      <w:bookmarkEnd w:id="185"/>
      <w:bookmarkEnd w:id="186"/>
      <w:bookmarkEnd w:id="187"/>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88" w:name="_Toc28419"/>
      <w:bookmarkStart w:id="189" w:name="_Toc30489"/>
      <w:bookmarkStart w:id="190" w:name="_Toc20690"/>
      <w:r>
        <w:rPr>
          <w:rFonts w:hint="eastAsia" w:ascii="宋体" w:hAnsi="宋体" w:eastAsia="宋体" w:cs="宋体"/>
          <w:color w:val="auto"/>
          <w:sz w:val="21"/>
          <w:szCs w:val="21"/>
          <w:highlight w:val="none"/>
        </w:rPr>
        <w:t>3.4 投标保证金</w:t>
      </w:r>
      <w:bookmarkEnd w:id="188"/>
      <w:bookmarkEnd w:id="189"/>
      <w:bookmarkEnd w:id="190"/>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w:t>
      </w:r>
      <w:r>
        <w:rPr>
          <w:rFonts w:hint="default" w:ascii="宋体" w:hAnsi="宋体" w:eastAsia="宋体" w:cs="宋体"/>
          <w:color w:val="auto"/>
          <w:sz w:val="21"/>
          <w:szCs w:val="21"/>
          <w:highlight w:val="none"/>
          <w:lang w:eastAsia="zh-CN"/>
        </w:rPr>
        <w:t>银行（或担保公司）保函</w:t>
      </w:r>
      <w:r>
        <w:rPr>
          <w:rFonts w:hint="eastAsia" w:ascii="宋体" w:hAnsi="宋体" w:eastAsia="宋体" w:cs="宋体"/>
          <w:color w:val="auto"/>
          <w:sz w:val="21"/>
          <w:szCs w:val="21"/>
          <w:highlight w:val="none"/>
          <w:lang w:eastAsia="zh-CN"/>
        </w:rPr>
        <w:t>或招标人在投标人须知前附表规定的其他形式。</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91" w:name="_Toc6811"/>
      <w:bookmarkStart w:id="192" w:name="_Toc15541"/>
      <w:bookmarkStart w:id="193" w:name="_Toc15177"/>
      <w:r>
        <w:rPr>
          <w:rFonts w:hint="eastAsia" w:ascii="宋体" w:hAnsi="宋体" w:eastAsia="宋体" w:cs="宋体"/>
          <w:color w:val="auto"/>
          <w:sz w:val="21"/>
          <w:szCs w:val="21"/>
          <w:highlight w:val="none"/>
        </w:rPr>
        <w:t>3.5资格审查资料</w:t>
      </w:r>
      <w:bookmarkEnd w:id="191"/>
      <w:bookmarkEnd w:id="192"/>
      <w:bookmarkEnd w:id="193"/>
    </w:p>
    <w:p>
      <w:pPr>
        <w:pStyle w:val="5"/>
        <w:adjustRightInd w:val="0"/>
        <w:snapToGrid w:val="0"/>
        <w:spacing w:before="0" w:after="0" w:line="360" w:lineRule="auto"/>
        <w:ind w:firstLine="420" w:firstLineChars="200"/>
        <w:rPr>
          <w:rFonts w:hint="eastAsia" w:ascii="宋体" w:hAnsi="宋体" w:eastAsia="宋体" w:cs="宋体"/>
          <w:b w:val="0"/>
          <w:bCs w:val="0"/>
          <w:i w:val="0"/>
          <w:iCs w:val="0"/>
          <w:color w:val="auto"/>
          <w:sz w:val="21"/>
          <w:szCs w:val="21"/>
          <w:highlight w:val="none"/>
          <w:lang w:eastAsia="zh-CN"/>
        </w:rPr>
      </w:pPr>
      <w:bookmarkStart w:id="194" w:name="_Toc524"/>
      <w:bookmarkStart w:id="195" w:name="_Toc18798"/>
      <w:bookmarkStart w:id="196" w:name="_Toc29143"/>
      <w:r>
        <w:rPr>
          <w:rFonts w:hint="eastAsia" w:ascii="宋体" w:hAnsi="宋体" w:cs="宋体"/>
          <w:b w:val="0"/>
          <w:bCs w:val="0"/>
          <w:i w:val="0"/>
          <w:iCs w:val="0"/>
          <w:color w:val="auto"/>
          <w:sz w:val="21"/>
          <w:szCs w:val="21"/>
          <w:highlight w:val="none"/>
          <w:lang w:eastAsia="zh-CN"/>
        </w:rPr>
        <w:t>详见投标人须知前附表。</w:t>
      </w:r>
      <w:bookmarkEnd w:id="194"/>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97" w:name="_Toc14195"/>
      <w:r>
        <w:rPr>
          <w:rFonts w:hint="eastAsia" w:ascii="宋体" w:hAnsi="宋体" w:eastAsia="宋体" w:cs="宋体"/>
          <w:color w:val="auto"/>
          <w:sz w:val="21"/>
          <w:szCs w:val="21"/>
          <w:highlight w:val="none"/>
        </w:rPr>
        <w:t>3.6 备选投标方案</w:t>
      </w:r>
      <w:bookmarkEnd w:id="195"/>
      <w:bookmarkEnd w:id="196"/>
      <w:bookmarkEnd w:id="197"/>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投标人提供两个或两个以上投标报价，或在投标文件中提供一个报价，但同时提供两个或两个以上方案的，视为提供备选方案。</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198" w:name="_Toc5357"/>
      <w:bookmarkStart w:id="199" w:name="_Toc7452"/>
      <w:bookmarkStart w:id="200" w:name="_Toc2543"/>
      <w:r>
        <w:rPr>
          <w:rFonts w:hint="eastAsia" w:ascii="宋体" w:hAnsi="宋体" w:eastAsia="宋体" w:cs="宋体"/>
          <w:color w:val="auto"/>
          <w:sz w:val="21"/>
          <w:szCs w:val="21"/>
          <w:highlight w:val="none"/>
        </w:rPr>
        <w:t>3.7 投标文件的编制</w:t>
      </w:r>
      <w:bookmarkEnd w:id="198"/>
      <w:bookmarkEnd w:id="199"/>
      <w:bookmarkEnd w:id="200"/>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投标文件应对招标文件有关工期、投标有效期、质量要求、技术标准和要求、招标范围等实质性内容作出响应。</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投标文件份数：按本章投标人须知前附表第3.7.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项执行。</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01" w:name="_Toc6559"/>
      <w:bookmarkStart w:id="202" w:name="_Toc24813"/>
      <w:bookmarkStart w:id="203" w:name="_Toc15598"/>
      <w:r>
        <w:rPr>
          <w:rFonts w:hint="eastAsia" w:ascii="宋体" w:hAnsi="宋体" w:eastAsia="宋体" w:cs="宋体"/>
          <w:color w:val="auto"/>
          <w:sz w:val="28"/>
          <w:szCs w:val="28"/>
          <w:highlight w:val="none"/>
        </w:rPr>
        <w:t>4. 投标</w:t>
      </w:r>
      <w:bookmarkEnd w:id="201"/>
      <w:bookmarkEnd w:id="202"/>
      <w:bookmarkEnd w:id="203"/>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04" w:name="_Toc12695"/>
      <w:bookmarkStart w:id="205" w:name="_Toc27996"/>
      <w:bookmarkStart w:id="206" w:name="_Toc29707"/>
      <w:r>
        <w:rPr>
          <w:rFonts w:hint="eastAsia" w:ascii="宋体" w:hAnsi="宋体" w:eastAsia="宋体" w:cs="宋体"/>
          <w:color w:val="auto"/>
          <w:sz w:val="21"/>
          <w:szCs w:val="21"/>
          <w:highlight w:val="none"/>
        </w:rPr>
        <w:t>4.1 投标文件的密封和标识</w:t>
      </w:r>
      <w:bookmarkEnd w:id="204"/>
      <w:bookmarkEnd w:id="205"/>
      <w:bookmarkEnd w:id="206"/>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07" w:name="_Toc22682"/>
      <w:bookmarkStart w:id="208" w:name="_Toc17181"/>
      <w:bookmarkStart w:id="209" w:name="_Toc16180"/>
      <w:r>
        <w:rPr>
          <w:rFonts w:hint="eastAsia" w:ascii="宋体" w:hAnsi="宋体" w:eastAsia="宋体" w:cs="宋体"/>
          <w:color w:val="auto"/>
          <w:sz w:val="21"/>
          <w:szCs w:val="21"/>
          <w:highlight w:val="none"/>
        </w:rPr>
        <w:t>4.2投标文件的递交</w:t>
      </w:r>
      <w:bookmarkEnd w:id="207"/>
      <w:bookmarkEnd w:id="208"/>
      <w:bookmarkEnd w:id="209"/>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10" w:name="_Toc24234"/>
      <w:bookmarkStart w:id="211" w:name="_Toc32446"/>
      <w:bookmarkStart w:id="212" w:name="_Toc2209"/>
      <w:r>
        <w:rPr>
          <w:rFonts w:hint="eastAsia" w:ascii="宋体" w:hAnsi="宋体" w:eastAsia="宋体" w:cs="宋体"/>
          <w:color w:val="auto"/>
          <w:sz w:val="21"/>
          <w:szCs w:val="21"/>
          <w:highlight w:val="none"/>
        </w:rPr>
        <w:t>4.3 投标文件的修改与撤回</w:t>
      </w:r>
      <w:bookmarkEnd w:id="210"/>
      <w:bookmarkEnd w:id="211"/>
      <w:bookmarkEnd w:id="212"/>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13" w:name="_Toc31980"/>
      <w:bookmarkStart w:id="214" w:name="_Toc31725"/>
      <w:bookmarkStart w:id="215" w:name="_Toc3122"/>
      <w:r>
        <w:rPr>
          <w:rFonts w:hint="eastAsia" w:ascii="宋体" w:hAnsi="宋体" w:eastAsia="宋体" w:cs="宋体"/>
          <w:color w:val="auto"/>
          <w:sz w:val="28"/>
          <w:szCs w:val="28"/>
          <w:highlight w:val="none"/>
        </w:rPr>
        <w:t>5. 开标</w:t>
      </w:r>
      <w:bookmarkEnd w:id="213"/>
      <w:bookmarkEnd w:id="214"/>
      <w:bookmarkEnd w:id="215"/>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16" w:name="_Toc28095"/>
      <w:bookmarkStart w:id="217" w:name="_Toc19954"/>
      <w:bookmarkStart w:id="218" w:name="_Toc12305"/>
      <w:r>
        <w:rPr>
          <w:rFonts w:hint="eastAsia" w:ascii="宋体" w:hAnsi="宋体" w:eastAsia="宋体" w:cs="宋体"/>
          <w:color w:val="auto"/>
          <w:sz w:val="21"/>
          <w:szCs w:val="21"/>
          <w:highlight w:val="none"/>
        </w:rPr>
        <w:t>5.1 开标时间和地点</w:t>
      </w:r>
      <w:bookmarkEnd w:id="216"/>
      <w:bookmarkEnd w:id="217"/>
      <w:bookmarkEnd w:id="218"/>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19" w:name="_Toc25006"/>
      <w:bookmarkStart w:id="220" w:name="_Toc11733"/>
      <w:bookmarkStart w:id="221" w:name="_Toc3695"/>
      <w:r>
        <w:rPr>
          <w:rFonts w:hint="eastAsia" w:ascii="宋体" w:hAnsi="宋体" w:eastAsia="宋体" w:cs="宋体"/>
          <w:color w:val="auto"/>
          <w:sz w:val="21"/>
          <w:szCs w:val="21"/>
          <w:highlight w:val="none"/>
        </w:rPr>
        <w:t>5.2开标程序</w:t>
      </w:r>
      <w:bookmarkEnd w:id="219"/>
      <w:bookmarkEnd w:id="220"/>
      <w:bookmarkEnd w:id="221"/>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22" w:name="_Toc18769"/>
      <w:bookmarkStart w:id="223" w:name="_Toc16204"/>
      <w:bookmarkStart w:id="224" w:name="_Toc30493"/>
      <w:r>
        <w:rPr>
          <w:rFonts w:hint="eastAsia" w:ascii="宋体" w:hAnsi="宋体" w:eastAsia="宋体" w:cs="宋体"/>
          <w:color w:val="auto"/>
          <w:sz w:val="21"/>
          <w:szCs w:val="21"/>
          <w:highlight w:val="none"/>
        </w:rPr>
        <w:t>5.3 开标异议</w:t>
      </w:r>
      <w:bookmarkEnd w:id="222"/>
      <w:bookmarkEnd w:id="223"/>
      <w:bookmarkEnd w:id="224"/>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w:t>
      </w:r>
      <w:r>
        <w:rPr>
          <w:rFonts w:hint="eastAsia" w:ascii="宋体" w:hAnsi="宋体" w:eastAsia="宋体" w:cs="宋体"/>
          <w:color w:val="auto"/>
          <w:sz w:val="21"/>
          <w:szCs w:val="21"/>
          <w:highlight w:val="none"/>
          <w:lang w:val="en-US" w:eastAsia="zh-CN"/>
        </w:rPr>
        <w:t>或在线（不见面开标适用）</w:t>
      </w:r>
      <w:r>
        <w:rPr>
          <w:rFonts w:hint="eastAsia" w:ascii="宋体" w:hAnsi="宋体" w:eastAsia="宋体" w:cs="宋体"/>
          <w:color w:val="auto"/>
          <w:sz w:val="21"/>
          <w:szCs w:val="21"/>
          <w:highlight w:val="none"/>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25" w:name="_Toc15081"/>
      <w:bookmarkStart w:id="226" w:name="_Toc21962"/>
      <w:bookmarkStart w:id="227" w:name="_Toc7861"/>
      <w:r>
        <w:rPr>
          <w:rFonts w:hint="eastAsia" w:ascii="宋体" w:hAnsi="宋体" w:eastAsia="宋体" w:cs="宋体"/>
          <w:color w:val="auto"/>
          <w:sz w:val="28"/>
          <w:szCs w:val="28"/>
          <w:highlight w:val="none"/>
        </w:rPr>
        <w:t>6. 评标</w:t>
      </w:r>
      <w:bookmarkEnd w:id="225"/>
      <w:bookmarkEnd w:id="226"/>
      <w:bookmarkEnd w:id="227"/>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28" w:name="_Toc17606"/>
      <w:bookmarkStart w:id="229" w:name="_Toc3962"/>
      <w:bookmarkStart w:id="230" w:name="_Toc21206"/>
      <w:r>
        <w:rPr>
          <w:rFonts w:hint="eastAsia" w:ascii="宋体" w:hAnsi="宋体" w:eastAsia="宋体" w:cs="宋体"/>
          <w:color w:val="auto"/>
          <w:sz w:val="21"/>
          <w:szCs w:val="21"/>
          <w:highlight w:val="none"/>
        </w:rPr>
        <w:t>6.1 评标委员会</w:t>
      </w:r>
      <w:bookmarkEnd w:id="228"/>
      <w:bookmarkEnd w:id="229"/>
      <w:bookmarkEnd w:id="230"/>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31" w:name="_Toc28889"/>
      <w:bookmarkStart w:id="232" w:name="_Toc24310"/>
      <w:bookmarkStart w:id="233" w:name="_Toc2720"/>
      <w:r>
        <w:rPr>
          <w:rFonts w:hint="eastAsia" w:ascii="宋体" w:hAnsi="宋体" w:eastAsia="宋体" w:cs="宋体"/>
          <w:color w:val="auto"/>
          <w:sz w:val="21"/>
          <w:szCs w:val="21"/>
          <w:highlight w:val="none"/>
        </w:rPr>
        <w:t>6.2 评标原则</w:t>
      </w:r>
      <w:bookmarkEnd w:id="231"/>
      <w:bookmarkEnd w:id="232"/>
      <w:bookmarkEnd w:id="233"/>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34" w:name="_Toc622"/>
      <w:bookmarkStart w:id="235" w:name="_Toc20384"/>
      <w:bookmarkStart w:id="236" w:name="_Toc21380"/>
      <w:r>
        <w:rPr>
          <w:rFonts w:hint="eastAsia" w:ascii="宋体" w:hAnsi="宋体" w:eastAsia="宋体" w:cs="宋体"/>
          <w:color w:val="auto"/>
          <w:sz w:val="21"/>
          <w:szCs w:val="21"/>
          <w:highlight w:val="none"/>
        </w:rPr>
        <w:t>6.3 评标</w:t>
      </w:r>
      <w:bookmarkEnd w:id="234"/>
      <w:bookmarkEnd w:id="235"/>
      <w:bookmarkEnd w:id="236"/>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37" w:name="_Toc4304"/>
      <w:bookmarkStart w:id="238" w:name="_Toc2978"/>
      <w:bookmarkStart w:id="239" w:name="_Toc6974"/>
      <w:r>
        <w:rPr>
          <w:rFonts w:hint="eastAsia" w:ascii="宋体" w:hAnsi="宋体" w:eastAsia="宋体" w:cs="宋体"/>
          <w:color w:val="auto"/>
          <w:sz w:val="28"/>
          <w:szCs w:val="28"/>
          <w:highlight w:val="none"/>
        </w:rPr>
        <w:t>7. 合同授予</w:t>
      </w:r>
      <w:bookmarkEnd w:id="237"/>
      <w:bookmarkEnd w:id="238"/>
      <w:bookmarkEnd w:id="239"/>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40" w:name="_Toc17228"/>
      <w:bookmarkStart w:id="241" w:name="_Toc16931"/>
      <w:bookmarkStart w:id="242" w:name="_Toc30753"/>
      <w:r>
        <w:rPr>
          <w:rFonts w:hint="eastAsia" w:ascii="宋体" w:hAnsi="宋体" w:eastAsia="宋体" w:cs="宋体"/>
          <w:color w:val="auto"/>
          <w:sz w:val="21"/>
          <w:szCs w:val="21"/>
          <w:highlight w:val="none"/>
        </w:rPr>
        <w:t>7.1 中标候选人公示</w:t>
      </w:r>
      <w:bookmarkEnd w:id="240"/>
      <w:bookmarkEnd w:id="241"/>
      <w:bookmarkEnd w:id="242"/>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日，公示内容包括：</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（1）中标候选人排序、名称、投标报价，对工程质量要求、安全目标和工期的响应情况；</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）被否决投标的投标人名称、否决依据和原因；</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）提出异议的渠道和方式；</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）投标人须知前附表规定公示的其他内容。</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43" w:name="_Toc26419"/>
      <w:bookmarkStart w:id="244" w:name="_Toc12672"/>
      <w:bookmarkStart w:id="245" w:name="_Toc23072"/>
      <w:r>
        <w:rPr>
          <w:rFonts w:hint="eastAsia" w:ascii="宋体" w:hAnsi="宋体" w:eastAsia="宋体" w:cs="宋体"/>
          <w:color w:val="auto"/>
          <w:sz w:val="21"/>
          <w:szCs w:val="21"/>
          <w:highlight w:val="none"/>
        </w:rPr>
        <w:t>7.2 评标结果异议</w:t>
      </w:r>
      <w:bookmarkEnd w:id="243"/>
      <w:bookmarkEnd w:id="244"/>
      <w:bookmarkEnd w:id="245"/>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46" w:name="_Toc831"/>
      <w:bookmarkStart w:id="247" w:name="_Toc666"/>
      <w:bookmarkStart w:id="248" w:name="_Toc17880"/>
      <w:r>
        <w:rPr>
          <w:rFonts w:hint="eastAsia" w:ascii="宋体" w:hAnsi="宋体" w:eastAsia="宋体" w:cs="宋体"/>
          <w:color w:val="auto"/>
          <w:sz w:val="21"/>
          <w:szCs w:val="21"/>
          <w:highlight w:val="none"/>
        </w:rPr>
        <w:t>7.3 中标候选人履约能力审查</w:t>
      </w:r>
      <w:bookmarkEnd w:id="246"/>
      <w:bookmarkEnd w:id="247"/>
      <w:bookmarkEnd w:id="248"/>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49" w:name="_Toc5533"/>
      <w:bookmarkStart w:id="250" w:name="_Toc13432"/>
      <w:bookmarkStart w:id="251" w:name="_Toc25884"/>
      <w:r>
        <w:rPr>
          <w:rFonts w:hint="eastAsia" w:ascii="宋体" w:hAnsi="宋体" w:eastAsia="宋体" w:cs="宋体"/>
          <w:color w:val="auto"/>
          <w:sz w:val="21"/>
          <w:szCs w:val="21"/>
          <w:highlight w:val="none"/>
        </w:rPr>
        <w:t>7.4 定标</w:t>
      </w:r>
      <w:bookmarkEnd w:id="249"/>
      <w:bookmarkEnd w:id="250"/>
      <w:bookmarkEnd w:id="251"/>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52" w:name="_Toc9117"/>
      <w:bookmarkStart w:id="253" w:name="_Toc2085"/>
      <w:bookmarkStart w:id="254" w:name="_Toc1643"/>
      <w:r>
        <w:rPr>
          <w:rFonts w:hint="eastAsia" w:ascii="宋体" w:hAnsi="宋体" w:eastAsia="宋体" w:cs="宋体"/>
          <w:color w:val="auto"/>
          <w:sz w:val="21"/>
          <w:szCs w:val="21"/>
          <w:highlight w:val="none"/>
        </w:rPr>
        <w:t>7.5 中标通知</w:t>
      </w:r>
      <w:bookmarkEnd w:id="252"/>
      <w:bookmarkEnd w:id="253"/>
      <w:bookmarkEnd w:id="254"/>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55" w:name="_Toc7004"/>
      <w:bookmarkStart w:id="256" w:name="_Toc94"/>
      <w:bookmarkStart w:id="257" w:name="_Toc23964"/>
      <w:r>
        <w:rPr>
          <w:rFonts w:hint="eastAsia" w:ascii="宋体" w:hAnsi="宋体" w:eastAsia="宋体" w:cs="宋体"/>
          <w:color w:val="auto"/>
          <w:sz w:val="21"/>
          <w:szCs w:val="21"/>
          <w:highlight w:val="none"/>
        </w:rPr>
        <w:t>7.6 中标结果公告</w:t>
      </w:r>
      <w:bookmarkEnd w:id="255"/>
      <w:bookmarkEnd w:id="256"/>
      <w:bookmarkEnd w:id="257"/>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58" w:name="_Toc10803"/>
      <w:bookmarkStart w:id="259" w:name="_Toc6603"/>
      <w:bookmarkStart w:id="260" w:name="_Toc9694"/>
      <w:r>
        <w:rPr>
          <w:rFonts w:hint="eastAsia" w:ascii="宋体" w:hAnsi="宋体" w:eastAsia="宋体" w:cs="宋体"/>
          <w:color w:val="auto"/>
          <w:sz w:val="21"/>
          <w:szCs w:val="21"/>
          <w:highlight w:val="none"/>
        </w:rPr>
        <w:t>7.7 履约保证金</w:t>
      </w:r>
      <w:bookmarkEnd w:id="258"/>
      <w:bookmarkEnd w:id="259"/>
      <w:bookmarkEnd w:id="260"/>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w:t>
      </w:r>
      <w:r>
        <w:rPr>
          <w:rFonts w:hint="eastAsia" w:ascii="宋体" w:hAnsi="宋体" w:eastAsia="宋体" w:cs="宋体"/>
          <w:color w:val="auto"/>
          <w:sz w:val="21"/>
          <w:szCs w:val="21"/>
          <w:highlight w:val="none"/>
          <w:lang w:val="en-US" w:eastAsia="zh-CN"/>
        </w:rPr>
        <w:t>人民币50万元</w:t>
      </w:r>
      <w:r>
        <w:rPr>
          <w:rFonts w:hint="eastAsia" w:ascii="宋体" w:hAnsi="宋体" w:eastAsia="宋体" w:cs="宋体"/>
          <w:color w:val="auto"/>
          <w:sz w:val="21"/>
          <w:szCs w:val="21"/>
          <w:highlight w:val="none"/>
          <w:lang w:eastAsia="zh-CN"/>
        </w:rPr>
        <w:t>。</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w:t>
      </w:r>
      <w:r>
        <w:rPr>
          <w:rFonts w:hint="default" w:ascii="宋体" w:hAnsi="宋体" w:eastAsia="宋体" w:cs="宋体"/>
          <w:color w:val="auto"/>
          <w:sz w:val="21"/>
          <w:szCs w:val="21"/>
          <w:highlight w:val="none"/>
          <w:lang w:eastAsia="zh-CN"/>
        </w:rPr>
        <w:t>银行（或担保公司）保函</w:t>
      </w:r>
      <w:r>
        <w:rPr>
          <w:rFonts w:hint="eastAsia" w:ascii="宋体" w:hAnsi="宋体" w:eastAsia="宋体" w:cs="宋体"/>
          <w:color w:val="auto"/>
          <w:sz w:val="21"/>
          <w:szCs w:val="21"/>
          <w:highlight w:val="none"/>
          <w:lang w:eastAsia="zh-CN"/>
        </w:rPr>
        <w:t>时，应由符合投标人须知前附表规定级别的银行开具，所需的费用由中标人承担，中标人应保证</w:t>
      </w:r>
      <w:r>
        <w:rPr>
          <w:rFonts w:hint="default" w:ascii="宋体" w:hAnsi="宋体" w:eastAsia="宋体" w:cs="宋体"/>
          <w:color w:val="auto"/>
          <w:sz w:val="21"/>
          <w:szCs w:val="21"/>
          <w:highlight w:val="none"/>
          <w:lang w:eastAsia="zh-CN"/>
        </w:rPr>
        <w:t>银行（或担保公司）保函</w:t>
      </w:r>
      <w:r>
        <w:rPr>
          <w:rFonts w:hint="eastAsia" w:ascii="宋体" w:hAnsi="宋体" w:eastAsia="宋体" w:cs="宋体"/>
          <w:color w:val="auto"/>
          <w:sz w:val="21"/>
          <w:szCs w:val="21"/>
          <w:highlight w:val="none"/>
          <w:lang w:eastAsia="zh-CN"/>
        </w:rPr>
        <w:t>有效。</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61" w:name="_Toc1221"/>
      <w:bookmarkStart w:id="262" w:name="_Toc12966"/>
      <w:bookmarkStart w:id="263" w:name="_Toc11236"/>
      <w:r>
        <w:rPr>
          <w:rFonts w:hint="eastAsia" w:ascii="宋体" w:hAnsi="宋体" w:eastAsia="宋体" w:cs="宋体"/>
          <w:color w:val="auto"/>
          <w:sz w:val="21"/>
          <w:szCs w:val="21"/>
          <w:highlight w:val="none"/>
        </w:rPr>
        <w:t>7.8 签订合同</w:t>
      </w:r>
      <w:bookmarkEnd w:id="261"/>
      <w:bookmarkEnd w:id="262"/>
      <w:bookmarkEnd w:id="263"/>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或履约保证金的，招标人取消其中标资格，其投标保证金不予退还；给招标人造成的损失超过投标保证金数额的，中标人还应对超过部分予以赔偿。</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64" w:name="_Toc17696"/>
      <w:bookmarkStart w:id="265" w:name="_Toc7200"/>
      <w:bookmarkStart w:id="266" w:name="_Toc7548"/>
      <w:r>
        <w:rPr>
          <w:rFonts w:hint="eastAsia" w:ascii="宋体" w:hAnsi="宋体" w:eastAsia="宋体" w:cs="宋体"/>
          <w:color w:val="auto"/>
          <w:sz w:val="28"/>
          <w:szCs w:val="28"/>
          <w:highlight w:val="none"/>
        </w:rPr>
        <w:t>8. 纪律和监督</w:t>
      </w:r>
      <w:bookmarkEnd w:id="264"/>
      <w:bookmarkEnd w:id="265"/>
      <w:bookmarkEnd w:id="266"/>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67" w:name="_Toc25519"/>
      <w:bookmarkStart w:id="268" w:name="_Toc24006"/>
      <w:bookmarkStart w:id="269" w:name="_Toc22851"/>
      <w:r>
        <w:rPr>
          <w:rFonts w:hint="eastAsia" w:ascii="宋体" w:hAnsi="宋体" w:eastAsia="宋体" w:cs="宋体"/>
          <w:color w:val="auto"/>
          <w:sz w:val="21"/>
          <w:szCs w:val="21"/>
          <w:highlight w:val="none"/>
        </w:rPr>
        <w:t>8.1 对招标人的纪律要求</w:t>
      </w:r>
      <w:bookmarkEnd w:id="267"/>
      <w:bookmarkEnd w:id="268"/>
      <w:bookmarkEnd w:id="269"/>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70" w:name="_Toc13331"/>
      <w:bookmarkStart w:id="271" w:name="_Toc14766"/>
      <w:bookmarkStart w:id="272" w:name="_Toc15753"/>
      <w:r>
        <w:rPr>
          <w:rFonts w:hint="eastAsia" w:ascii="宋体" w:hAnsi="宋体" w:eastAsia="宋体" w:cs="宋体"/>
          <w:color w:val="auto"/>
          <w:sz w:val="21"/>
          <w:szCs w:val="21"/>
          <w:highlight w:val="none"/>
        </w:rPr>
        <w:t>8.2 对投标人的纪律要求</w:t>
      </w:r>
      <w:bookmarkEnd w:id="270"/>
      <w:bookmarkEnd w:id="271"/>
      <w:bookmarkEnd w:id="272"/>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73" w:name="_Toc12332"/>
      <w:bookmarkStart w:id="274" w:name="_Toc15496"/>
      <w:bookmarkStart w:id="275" w:name="_Toc4444"/>
      <w:r>
        <w:rPr>
          <w:rFonts w:hint="eastAsia" w:ascii="宋体" w:hAnsi="宋体" w:eastAsia="宋体" w:cs="宋体"/>
          <w:color w:val="auto"/>
          <w:sz w:val="21"/>
          <w:szCs w:val="21"/>
          <w:highlight w:val="none"/>
        </w:rPr>
        <w:t>8.3 对评标委员会成员的纪律要求</w:t>
      </w:r>
      <w:bookmarkEnd w:id="273"/>
      <w:bookmarkEnd w:id="274"/>
      <w:bookmarkEnd w:id="275"/>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76" w:name="_Toc28991"/>
      <w:bookmarkStart w:id="277" w:name="_Toc9248"/>
      <w:bookmarkStart w:id="278" w:name="_Toc3248"/>
      <w:r>
        <w:rPr>
          <w:rFonts w:hint="eastAsia" w:ascii="宋体" w:hAnsi="宋体" w:eastAsia="宋体" w:cs="宋体"/>
          <w:color w:val="auto"/>
          <w:sz w:val="21"/>
          <w:szCs w:val="21"/>
          <w:highlight w:val="none"/>
        </w:rPr>
        <w:t>8.4 对与评标活动有关的工作人员的纪律要求</w:t>
      </w:r>
      <w:bookmarkEnd w:id="276"/>
      <w:bookmarkEnd w:id="277"/>
      <w:bookmarkEnd w:id="278"/>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hint="eastAsia" w:ascii="宋体" w:hAnsi="宋体" w:eastAsia="宋体" w:cs="宋体"/>
          <w:color w:val="auto"/>
          <w:sz w:val="21"/>
          <w:szCs w:val="21"/>
          <w:highlight w:val="none"/>
        </w:rPr>
      </w:pPr>
      <w:bookmarkStart w:id="279" w:name="_Toc24935"/>
      <w:bookmarkStart w:id="280" w:name="_Toc259"/>
      <w:bookmarkStart w:id="281" w:name="_Toc16714"/>
      <w:r>
        <w:rPr>
          <w:rFonts w:hint="eastAsia" w:ascii="宋体" w:hAnsi="宋体" w:eastAsia="宋体" w:cs="宋体"/>
          <w:color w:val="auto"/>
          <w:sz w:val="21"/>
          <w:szCs w:val="21"/>
          <w:highlight w:val="none"/>
        </w:rPr>
        <w:t>8.5 投诉</w:t>
      </w:r>
      <w:bookmarkEnd w:id="279"/>
      <w:bookmarkEnd w:id="280"/>
      <w:bookmarkEnd w:id="281"/>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82" w:name="_Toc20078"/>
      <w:bookmarkStart w:id="283" w:name="_Toc10470"/>
      <w:bookmarkStart w:id="284" w:name="_Toc22237"/>
      <w:r>
        <w:rPr>
          <w:rFonts w:hint="eastAsia" w:ascii="宋体" w:hAnsi="宋体" w:eastAsia="宋体" w:cs="宋体"/>
          <w:color w:val="auto"/>
          <w:sz w:val="28"/>
          <w:szCs w:val="28"/>
          <w:highlight w:val="none"/>
        </w:rPr>
        <w:t>9. 是否采用电子招标投标</w:t>
      </w:r>
      <w:bookmarkEnd w:id="282"/>
      <w:bookmarkEnd w:id="283"/>
      <w:bookmarkEnd w:id="284"/>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adjustRightInd w:val="0"/>
        <w:snapToGrid w:val="0"/>
        <w:spacing w:before="0" w:after="0" w:line="360" w:lineRule="auto"/>
        <w:rPr>
          <w:rFonts w:hint="eastAsia" w:ascii="宋体" w:hAnsi="宋体" w:eastAsia="宋体" w:cs="宋体"/>
          <w:color w:val="auto"/>
          <w:sz w:val="28"/>
          <w:szCs w:val="28"/>
          <w:highlight w:val="none"/>
        </w:rPr>
      </w:pPr>
      <w:bookmarkStart w:id="285" w:name="_Toc2055"/>
      <w:bookmarkStart w:id="286" w:name="_Toc19342"/>
      <w:bookmarkStart w:id="287" w:name="_Toc17396"/>
      <w:r>
        <w:rPr>
          <w:rFonts w:hint="eastAsia" w:ascii="宋体" w:hAnsi="宋体" w:eastAsia="宋体" w:cs="宋体"/>
          <w:color w:val="auto"/>
          <w:sz w:val="28"/>
          <w:szCs w:val="28"/>
          <w:highlight w:val="none"/>
        </w:rPr>
        <w:t>10. 需要补充的其他内容</w:t>
      </w:r>
      <w:bookmarkEnd w:id="285"/>
      <w:bookmarkEnd w:id="286"/>
      <w:bookmarkEnd w:id="287"/>
    </w:p>
    <w:p>
      <w:pPr>
        <w:pStyle w:val="73"/>
        <w:adjustRightInd w:val="0"/>
        <w:snapToGrid w:val="0"/>
        <w:spacing w:before="0" w:beforeLines="0" w:after="0" w:afterLines="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beforeLines="0" w:afterLines="0"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（仅供参考）</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首讯公司2025年软件运维劳务分包</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6"/>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2042"/>
        <w:gridCol w:w="1650"/>
        <w:gridCol w:w="2018"/>
        <w:gridCol w:w="1282"/>
        <w:gridCol w:w="1285"/>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投标保证金</w:t>
            </w: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工期</w:t>
            </w: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42"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0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2"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85"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9297" w:type="dxa"/>
            <w:gridSpan w:val="6"/>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异常情况</w:t>
            </w:r>
          </w:p>
        </w:tc>
        <w:tc>
          <w:tcPr>
            <w:tcW w:w="9297" w:type="dxa"/>
            <w:gridSpan w:val="6"/>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212" w:firstLineChars="101"/>
        <w:jc w:val="lef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首讯公司2025年软件运维劳务分包</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首讯公司2025年软件运维劳务分包</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lang w:eastAsia="zh-CN"/>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（仅供参考）</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我单位拟建的</w:t>
      </w:r>
      <w:r>
        <w:rPr>
          <w:rFonts w:hint="eastAsia" w:ascii="宋体" w:hAnsi="宋体" w:cs="宋体"/>
          <w:bCs/>
          <w:color w:val="auto"/>
          <w:kern w:val="0"/>
          <w:szCs w:val="21"/>
          <w:highlight w:val="none"/>
          <w:u w:val="single"/>
          <w:lang w:eastAsia="zh-CN"/>
        </w:rPr>
        <w:t>首讯公司2025年软件运维劳务分包</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288" w:name="_Toc224103370"/>
    </w:p>
    <w:bookmarkEnd w:id="288"/>
    <w:p>
      <w:pPr>
        <w:pStyle w:val="3"/>
        <w:spacing w:line="360" w:lineRule="auto"/>
        <w:jc w:val="center"/>
        <w:rPr>
          <w:rFonts w:hint="eastAsia" w:ascii="宋体" w:hAnsi="宋体" w:cs="宋体"/>
          <w:b w:val="0"/>
          <w:bCs w:val="0"/>
          <w:color w:val="auto"/>
          <w:highlight w:val="none"/>
        </w:rPr>
      </w:pPr>
      <w:bookmarkStart w:id="289" w:name="招标文件03章02评标办法综合评估法"/>
      <w:bookmarkEnd w:id="289"/>
      <w:bookmarkStart w:id="290" w:name="招标文件03章02评标办法综合评估法00"/>
      <w:bookmarkEnd w:id="290"/>
      <w:bookmarkStart w:id="291" w:name="_Toc15072"/>
      <w:bookmarkStart w:id="292" w:name="_Toc3989"/>
      <w:bookmarkStart w:id="293" w:name="_Toc277082618"/>
      <w:bookmarkStart w:id="294" w:name="_Toc509218763"/>
      <w:bookmarkStart w:id="295" w:name="_Toc287607801"/>
      <w:bookmarkStart w:id="296" w:name="_Toc57795916"/>
      <w:bookmarkStart w:id="297" w:name="_Toc200513198"/>
      <w:bookmarkStart w:id="298" w:name="_Toc209605549"/>
      <w:bookmarkStart w:id="299" w:name="_Toc430530500"/>
      <w:bookmarkStart w:id="300" w:name="_Toc287620751"/>
      <w:bookmarkStart w:id="301" w:name="_Toc21151"/>
      <w:bookmarkStart w:id="302" w:name="_Toc224103384"/>
      <w:bookmarkStart w:id="303" w:name="_Toc277082608"/>
      <w:bookmarkStart w:id="304" w:name="_Toc287620740"/>
      <w:bookmarkStart w:id="305" w:name="_Toc224103373"/>
      <w:bookmarkStart w:id="306" w:name="_Toc14767"/>
      <w:bookmarkStart w:id="307" w:name="_Toc509218774"/>
      <w:bookmarkStart w:id="308" w:name="_Toc287607812"/>
      <w:r>
        <w:rPr>
          <w:rFonts w:hint="eastAsia" w:ascii="宋体" w:hAnsi="宋体" w:cs="宋体"/>
          <w:color w:val="auto"/>
          <w:highlight w:val="none"/>
        </w:rPr>
        <w:t>第三章  评标办法（综合评估法）</w:t>
      </w:r>
      <w:bookmarkEnd w:id="291"/>
      <w:bookmarkEnd w:id="292"/>
      <w:bookmarkStart w:id="309" w:name="_Toc430530499"/>
      <w:bookmarkStart w:id="310" w:name="_Toc287607811"/>
      <w:bookmarkStart w:id="311" w:name="_Toc277082617"/>
      <w:bookmarkStart w:id="312" w:name="_Toc287620750"/>
      <w:bookmarkStart w:id="313" w:name="_Toc224103383"/>
    </w:p>
    <w:bookmarkEnd w:id="309"/>
    <w:bookmarkEnd w:id="310"/>
    <w:bookmarkEnd w:id="311"/>
    <w:bookmarkEnd w:id="312"/>
    <w:bookmarkEnd w:id="313"/>
    <w:p>
      <w:pPr>
        <w:pStyle w:val="4"/>
        <w:spacing w:before="0" w:after="0" w:line="360" w:lineRule="auto"/>
        <w:rPr>
          <w:rFonts w:ascii="宋体" w:hAnsi="宋体" w:cs="宋体"/>
          <w:bCs w:val="0"/>
          <w:color w:val="auto"/>
          <w:sz w:val="28"/>
          <w:szCs w:val="28"/>
          <w:highlight w:val="none"/>
        </w:rPr>
      </w:pPr>
      <w:bookmarkStart w:id="314" w:name="_Toc25791"/>
      <w:bookmarkStart w:id="315" w:name="_Toc15841"/>
      <w:bookmarkStart w:id="316" w:name="_Toc24674"/>
      <w:bookmarkStart w:id="317" w:name="_Toc24324"/>
      <w:r>
        <w:rPr>
          <w:rFonts w:hint="eastAsia" w:ascii="宋体" w:hAnsi="宋体" w:cs="宋体"/>
          <w:bCs w:val="0"/>
          <w:color w:val="auto"/>
          <w:sz w:val="28"/>
          <w:szCs w:val="28"/>
          <w:highlight w:val="none"/>
        </w:rPr>
        <w:t>评标办法前附表</w:t>
      </w:r>
      <w:bookmarkEnd w:id="314"/>
      <w:bookmarkEnd w:id="315"/>
      <w:bookmarkEnd w:id="316"/>
      <w:bookmarkEnd w:id="317"/>
    </w:p>
    <w:p>
      <w:pPr>
        <w:spacing w:line="360" w:lineRule="auto"/>
        <w:ind w:firstLine="420" w:firstLineChars="200"/>
        <w:rPr>
          <w:rFonts w:hint="eastAsia" w:ascii="宋体" w:hAnsi="宋体" w:cs="宋体"/>
          <w:color w:val="auto"/>
          <w:spacing w:val="4"/>
          <w:kern w:val="0"/>
          <w:szCs w:val="21"/>
          <w:highlight w:val="none"/>
        </w:rPr>
      </w:pPr>
      <w:r>
        <w:rPr>
          <w:rFonts w:hint="eastAsia" w:ascii="宋体" w:hAnsi="宋体" w:cs="宋体"/>
          <w:color w:val="auto"/>
          <w:szCs w:val="21"/>
          <w:highlight w:val="none"/>
        </w:rPr>
        <w:t>评标办法中的评审内容必须和投标人须知中的对应内容一致，若投标人须知中未作要求的内容，不得列入评标办法作为评定依据。</w:t>
      </w:r>
    </w:p>
    <w:tbl>
      <w:tblPr>
        <w:tblStyle w:val="3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jc w:val="center"/>
              <w:rPr>
                <w:rFonts w:hint="default"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36" w:firstLineChars="200"/>
              <w:rPr>
                <w:rFonts w:hint="default" w:ascii="宋体" w:hAnsi="宋体" w:cs="宋体"/>
                <w:i/>
                <w:color w:val="auto"/>
                <w:spacing w:val="4"/>
                <w:kern w:val="0"/>
                <w:szCs w:val="21"/>
                <w:highlight w:val="none"/>
              </w:rPr>
            </w:pPr>
            <w:r>
              <w:rPr>
                <w:rFonts w:hint="eastAsia" w:ascii="宋体" w:hAnsi="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i/>
                <w:color w:val="auto"/>
                <w:spacing w:val="4"/>
                <w:kern w:val="0"/>
                <w:szCs w:val="21"/>
                <w:highlight w:val="none"/>
              </w:rPr>
            </w:pPr>
            <w:r>
              <w:rPr>
                <w:rFonts w:hint="eastAsia" w:ascii="宋体" w:hAnsi="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i/>
                <w:color w:val="auto"/>
                <w:spacing w:val="4"/>
                <w:kern w:val="0"/>
                <w:szCs w:val="21"/>
                <w:highlight w:val="none"/>
              </w:rPr>
            </w:pPr>
            <w:r>
              <w:rPr>
                <w:rFonts w:hint="eastAsia" w:ascii="宋体" w:hAnsi="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i/>
                <w:color w:val="auto"/>
                <w:spacing w:val="4"/>
                <w:kern w:val="0"/>
                <w:szCs w:val="21"/>
                <w:highlight w:val="none"/>
              </w:rPr>
            </w:pPr>
            <w:r>
              <w:rPr>
                <w:rFonts w:hint="eastAsia" w:ascii="宋体" w:hAnsi="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i/>
                <w:color w:val="auto"/>
                <w:spacing w:val="4"/>
                <w:kern w:val="0"/>
                <w:szCs w:val="21"/>
                <w:highlight w:val="none"/>
              </w:rPr>
            </w:pPr>
            <w:r>
              <w:rPr>
                <w:rFonts w:hint="eastAsia" w:ascii="宋体" w:hAnsi="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人员要求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i/>
                <w:color w:val="auto"/>
                <w:spacing w:val="4"/>
                <w:kern w:val="0"/>
                <w:szCs w:val="21"/>
                <w:highlight w:val="none"/>
              </w:rPr>
            </w:pPr>
            <w:r>
              <w:rPr>
                <w:rFonts w:hint="eastAsia" w:ascii="宋体" w:hAnsi="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i/>
                <w:color w:val="auto"/>
                <w:spacing w:val="4"/>
                <w:kern w:val="0"/>
                <w:szCs w:val="21"/>
                <w:highlight w:val="none"/>
              </w:rPr>
            </w:pPr>
            <w:r>
              <w:rPr>
                <w:rFonts w:hint="eastAsia" w:ascii="宋体" w:hAnsi="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响应性评审标准</w:t>
            </w:r>
          </w:p>
        </w:tc>
        <w:tc>
          <w:tcPr>
            <w:tcW w:w="2355"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rPr>
                <w:rFonts w:hint="default" w:ascii="宋体" w:hAnsi="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符合第二章“投标人须知”第1.4.3项规定。</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1.技术部分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商务部分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rPr>
              <w:t>分；</w:t>
            </w:r>
          </w:p>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3.投标总报价</w:t>
            </w:r>
            <w:r>
              <w:rPr>
                <w:rFonts w:hint="eastAsia" w:ascii="宋体" w:hAnsi="宋体" w:cs="宋体"/>
                <w:color w:val="auto"/>
                <w:kern w:val="0"/>
                <w:szCs w:val="21"/>
                <w:highlight w:val="none"/>
                <w:u w:val="single"/>
              </w:rPr>
              <w:t xml:space="preserve">  70  </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kern w:val="0"/>
                <w:highlight w:val="none"/>
              </w:rPr>
            </w:pPr>
            <w:r>
              <w:rPr>
                <w:rFonts w:hint="eastAsia" w:ascii="宋体" w:hAnsi="宋体" w:cs="宋体"/>
                <w:color w:val="auto"/>
                <w:kern w:val="0"/>
                <w:highlight w:val="none"/>
              </w:rPr>
              <w:t>2.2.2</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技</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术</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方</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案</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评</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eastAsia="宋体" w:cs="宋体"/>
                <w:color w:val="auto"/>
                <w:kern w:val="0"/>
                <w:szCs w:val="21"/>
                <w:highlight w:val="none"/>
              </w:rPr>
              <w:t>现场机构设置（5分）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0" w:beforeAutospacing="0" w:after="0" w:line="400" w:lineRule="exact"/>
              <w:ind w:left="0" w:right="0"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人力资源保障：按照拟投入的人力资源和拟建立的现场组织机构，编制现场组织机构图和机构设置说明，说明岗位名称和数量，阐述项目经理</w:t>
            </w:r>
            <w:r>
              <w:rPr>
                <w:rFonts w:hint="eastAsia" w:hAnsi="宋体" w:eastAsia="宋体" w:cs="宋体"/>
                <w:bCs/>
                <w:sz w:val="21"/>
                <w:szCs w:val="21"/>
                <w:highlight w:val="none"/>
                <w:lang w:eastAsia="zh-CN"/>
              </w:rPr>
              <w:t>、</w:t>
            </w:r>
            <w:r>
              <w:rPr>
                <w:rFonts w:hint="eastAsia" w:hAnsi="宋体" w:eastAsia="宋体" w:cs="宋体"/>
                <w:bCs/>
                <w:sz w:val="21"/>
                <w:szCs w:val="21"/>
                <w:highlight w:val="none"/>
              </w:rPr>
              <w:t>一般维护人员的岗位职责，并说明人员安排</w:t>
            </w:r>
            <w:r>
              <w:rPr>
                <w:rFonts w:hint="eastAsia" w:hAnsi="宋体" w:eastAsia="宋体" w:cs="宋体"/>
                <w:bCs/>
                <w:sz w:val="21"/>
                <w:szCs w:val="21"/>
                <w:highlight w:val="none"/>
                <w:lang w:val="en-US" w:eastAsia="zh-CN"/>
              </w:rPr>
              <w:t>情况</w:t>
            </w:r>
            <w:r>
              <w:rPr>
                <w:rFonts w:hint="eastAsia" w:hAnsi="宋体" w:eastAsia="宋体" w:cs="宋体"/>
                <w:bCs/>
                <w:sz w:val="21"/>
                <w:szCs w:val="21"/>
                <w:highlight w:val="none"/>
              </w:rPr>
              <w:t>。</w:t>
            </w:r>
          </w:p>
          <w:p>
            <w:pPr>
              <w:pStyle w:val="34"/>
              <w:snapToGrid w:val="0"/>
              <w:spacing w:before="0" w:beforeAutospacing="0" w:after="0" w:line="400" w:lineRule="exact"/>
              <w:ind w:left="0" w:right="0"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投标人根据对招标文件的理解和对服务区域的熟悉程度,提出有针对性的实施方案，方案要具有系统性、可行性、可操作性、完整性，评标委员会对比各投标人的实施方案进行综合横向评价。</w:t>
            </w:r>
          </w:p>
          <w:p>
            <w:pPr>
              <w:pStyle w:val="34"/>
              <w:snapToGrid w:val="0"/>
              <w:spacing w:before="0" w:beforeAutospacing="0" w:after="0" w:line="400" w:lineRule="exact"/>
              <w:ind w:left="0" w:right="0" w:firstLine="420" w:firstLineChars="200"/>
              <w:rPr>
                <w:rFonts w:hint="eastAsia" w:ascii="宋体" w:hAnsi="宋体" w:eastAsia="宋体" w:cs="宋体"/>
                <w:color w:val="auto"/>
                <w:sz w:val="21"/>
                <w:szCs w:val="21"/>
                <w:highlight w:val="none"/>
              </w:rPr>
            </w:pPr>
            <w:r>
              <w:rPr>
                <w:rFonts w:hint="eastAsia" w:hAnsi="宋体" w:eastAsia="宋体" w:cs="宋体"/>
                <w:bCs/>
                <w:sz w:val="21"/>
                <w:szCs w:val="21"/>
                <w:highlight w:val="none"/>
              </w:rPr>
              <w:t>较好得</w:t>
            </w:r>
            <w:r>
              <w:rPr>
                <w:rFonts w:hint="eastAsia" w:ascii="宋体" w:hAnsi="宋体" w:eastAsia="宋体" w:cs="宋体"/>
                <w:bCs/>
                <w:kern w:val="2"/>
                <w:sz w:val="21"/>
                <w:szCs w:val="21"/>
                <w:highlight w:val="none"/>
                <w:lang w:val="en-US" w:eastAsia="zh-CN"/>
              </w:rPr>
              <w:t>4</w:t>
            </w:r>
            <w:r>
              <w:rPr>
                <w:rFonts w:hint="eastAsia" w:ascii="宋体" w:hAnsi="宋体" w:eastAsia="宋体" w:cs="宋体"/>
                <w:bCs/>
                <w:kern w:val="2"/>
                <w:sz w:val="21"/>
                <w:szCs w:val="21"/>
                <w:highlight w:val="none"/>
              </w:rPr>
              <w:t>.00~5.00</w:t>
            </w:r>
            <w:r>
              <w:rPr>
                <w:rFonts w:hint="eastAsia" w:hAnsi="宋体" w:eastAsia="宋体" w:cs="宋体"/>
                <w:bCs/>
                <w:sz w:val="21"/>
                <w:szCs w:val="21"/>
                <w:highlight w:val="none"/>
              </w:rPr>
              <w:t>分，一般得</w:t>
            </w:r>
            <w:r>
              <w:rPr>
                <w:rFonts w:hint="eastAsia" w:hAnsi="宋体" w:eastAsia="宋体" w:cs="宋体"/>
                <w:bCs/>
                <w:sz w:val="21"/>
                <w:szCs w:val="21"/>
                <w:highlight w:val="none"/>
                <w:lang w:val="en-US" w:eastAsia="zh-CN"/>
              </w:rPr>
              <w:t>3.00</w:t>
            </w:r>
            <w:r>
              <w:rPr>
                <w:rFonts w:hint="eastAsia" w:ascii="宋体" w:hAnsi="宋体" w:eastAsia="宋体" w:cs="宋体"/>
                <w:bCs/>
                <w:kern w:val="2"/>
                <w:sz w:val="21"/>
                <w:szCs w:val="21"/>
                <w:highlight w:val="none"/>
              </w:rPr>
              <w:t>~</w:t>
            </w:r>
            <w:r>
              <w:rPr>
                <w:rFonts w:hint="eastAsia" w:ascii="宋体" w:hAnsi="宋体" w:eastAsia="宋体" w:cs="宋体"/>
                <w:bCs/>
                <w:kern w:val="2"/>
                <w:sz w:val="21"/>
                <w:szCs w:val="21"/>
                <w:highlight w:val="none"/>
                <w:lang w:val="en-US" w:eastAsia="zh-CN"/>
              </w:rPr>
              <w:t>3</w:t>
            </w:r>
            <w:r>
              <w:rPr>
                <w:rFonts w:hint="eastAsia" w:ascii="宋体" w:hAnsi="宋体" w:eastAsia="宋体" w:cs="宋体"/>
                <w:bCs/>
                <w:kern w:val="2"/>
                <w:sz w:val="21"/>
                <w:szCs w:val="21"/>
                <w:highlight w:val="none"/>
              </w:rPr>
              <w:t>.99</w:t>
            </w:r>
            <w:r>
              <w:rPr>
                <w:rFonts w:hint="eastAsia" w:hAnsi="宋体" w:eastAsia="宋体" w:cs="宋体"/>
                <w:bCs/>
                <w:sz w:val="21"/>
                <w:szCs w:val="21"/>
                <w:highlight w:val="none"/>
              </w:rPr>
              <w:t>分，较差得</w:t>
            </w:r>
            <w:r>
              <w:rPr>
                <w:rFonts w:hint="eastAsia" w:hAnsi="宋体" w:eastAsia="宋体" w:cs="宋体"/>
                <w:bCs/>
                <w:sz w:val="21"/>
                <w:szCs w:val="21"/>
                <w:highlight w:val="none"/>
                <w:lang w:val="en-US" w:eastAsia="zh-CN"/>
              </w:rPr>
              <w:t>0</w:t>
            </w:r>
            <w:r>
              <w:rPr>
                <w:rFonts w:hint="eastAsia" w:ascii="宋体" w:hAnsi="宋体" w:eastAsia="宋体" w:cs="宋体"/>
                <w:bCs/>
                <w:kern w:val="2"/>
                <w:sz w:val="21"/>
                <w:szCs w:val="21"/>
                <w:highlight w:val="none"/>
              </w:rPr>
              <w:t>~</w:t>
            </w:r>
            <w:r>
              <w:rPr>
                <w:rFonts w:hint="eastAsia" w:hAnsi="宋体" w:eastAsia="宋体" w:cs="宋体"/>
                <w:bCs/>
                <w:sz w:val="21"/>
                <w:szCs w:val="21"/>
                <w:highlight w:val="none"/>
              </w:rPr>
              <w:t>2.99分，缺项得0分。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0" w:beforeAutospacing="0" w:after="0" w:line="400" w:lineRule="exact"/>
              <w:ind w:left="0" w:right="0" w:firstLine="0" w:firstLineChars="0"/>
              <w:jc w:val="center"/>
              <w:rPr>
                <w:rFonts w:hint="eastAsia" w:ascii="宋体" w:hAnsi="宋体" w:eastAsia="宋体" w:cs="宋体"/>
                <w:color w:val="auto"/>
                <w:sz w:val="21"/>
                <w:szCs w:val="21"/>
                <w:highlight w:val="none"/>
              </w:rPr>
            </w:pPr>
            <w:r>
              <w:rPr>
                <w:rFonts w:hint="eastAsia" w:hAnsi="宋体" w:eastAsia="宋体" w:cs="宋体"/>
                <w:bCs/>
                <w:sz w:val="21"/>
                <w:szCs w:val="21"/>
                <w:highlight w:val="none"/>
                <w:lang w:val="en-US" w:eastAsia="zh-CN"/>
              </w:rPr>
              <w:t>维护实施方案</w:t>
            </w:r>
            <w:r>
              <w:rPr>
                <w:rFonts w:hint="eastAsia" w:hAnsi="宋体" w:eastAsia="宋体" w:cs="宋体"/>
                <w:bCs/>
                <w:sz w:val="21"/>
                <w:szCs w:val="21"/>
                <w:highlight w:val="none"/>
              </w:rPr>
              <w:t>（</w:t>
            </w:r>
            <w:r>
              <w:rPr>
                <w:rFonts w:hint="eastAsia" w:hAnsi="宋体" w:eastAsia="宋体" w:cs="宋体"/>
                <w:bCs/>
                <w:sz w:val="21"/>
                <w:szCs w:val="21"/>
                <w:highlight w:val="none"/>
                <w:lang w:val="en-US" w:eastAsia="zh-CN"/>
              </w:rPr>
              <w:t>10</w:t>
            </w:r>
            <w:r>
              <w:rPr>
                <w:rFonts w:hint="eastAsia" w:hAnsi="宋体" w:eastAsia="宋体" w:cs="宋体"/>
                <w:bCs/>
                <w:sz w:val="21"/>
                <w:szCs w:val="21"/>
                <w:highlight w:val="none"/>
              </w:rPr>
              <w:t>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0" w:beforeAutospacing="0" w:after="0" w:line="400" w:lineRule="exact"/>
              <w:ind w:left="0" w:right="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按照</w:t>
            </w:r>
            <w:r>
              <w:rPr>
                <w:rFonts w:hint="eastAsia" w:ascii="宋体" w:hAnsi="宋体" w:eastAsia="宋体" w:cs="宋体"/>
                <w:bCs/>
                <w:sz w:val="21"/>
                <w:szCs w:val="21"/>
                <w:highlight w:val="none"/>
              </w:rPr>
              <w:t>招标文件的要求，制定相应的运维质量管理措施，包括但不限于运维工作计划、</w:t>
            </w:r>
            <w:r>
              <w:rPr>
                <w:rFonts w:hint="eastAsia" w:hAnsi="宋体" w:eastAsia="宋体" w:cs="宋体"/>
                <w:bCs/>
                <w:sz w:val="21"/>
                <w:szCs w:val="21"/>
                <w:highlight w:val="none"/>
              </w:rPr>
              <w:t>故障</w:t>
            </w:r>
            <w:r>
              <w:rPr>
                <w:rFonts w:hint="eastAsia" w:hAnsi="宋体" w:eastAsia="宋体" w:cs="宋体"/>
                <w:bCs/>
                <w:sz w:val="21"/>
                <w:szCs w:val="21"/>
                <w:highlight w:val="none"/>
                <w:lang w:val="en-US" w:eastAsia="zh-CN"/>
              </w:rPr>
              <w:t>处理</w:t>
            </w:r>
            <w:r>
              <w:rPr>
                <w:rFonts w:hint="eastAsia" w:hAnsi="宋体" w:eastAsia="宋体" w:cs="宋体"/>
                <w:bCs/>
                <w:sz w:val="21"/>
                <w:szCs w:val="21"/>
                <w:highlight w:val="none"/>
              </w:rPr>
              <w:t>响应时限</w:t>
            </w:r>
            <w:r>
              <w:rPr>
                <w:rFonts w:hint="eastAsia" w:hAnsi="宋体" w:eastAsia="宋体" w:cs="宋体"/>
                <w:bCs/>
                <w:sz w:val="21"/>
                <w:szCs w:val="21"/>
                <w:highlight w:val="none"/>
                <w:lang w:eastAsia="zh-CN"/>
              </w:rPr>
              <w:t>、</w:t>
            </w:r>
            <w:r>
              <w:rPr>
                <w:rFonts w:hint="eastAsia" w:ascii="宋体" w:hAnsi="宋体" w:eastAsia="宋体" w:cs="宋体"/>
                <w:bCs/>
                <w:sz w:val="21"/>
                <w:szCs w:val="21"/>
                <w:highlight w:val="none"/>
              </w:rPr>
              <w:t>员工技能提升措施等。</w:t>
            </w:r>
          </w:p>
          <w:p>
            <w:pPr>
              <w:pStyle w:val="34"/>
              <w:snapToGrid w:val="0"/>
              <w:spacing w:before="0" w:beforeAutospacing="0" w:after="0" w:line="400" w:lineRule="exact"/>
              <w:ind w:left="0" w:right="0"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投标人根据对招标文件的理解和对服务区域的熟悉程度,提出有针对性的实施方案，方案要具有系统性、可行性、可操作性、完整性，评标委员会对比各投标人的实施方案进行综合横向评价。</w:t>
            </w:r>
          </w:p>
          <w:p>
            <w:pPr>
              <w:pStyle w:val="34"/>
              <w:snapToGrid w:val="0"/>
              <w:spacing w:before="0" w:beforeAutospacing="0" w:after="0" w:line="400" w:lineRule="exact"/>
              <w:ind w:left="0" w:right="0" w:firstLine="420" w:firstLineChars="200"/>
              <w:rPr>
                <w:rFonts w:hint="eastAsia" w:ascii="宋体" w:hAnsi="宋体" w:eastAsia="宋体" w:cs="宋体"/>
                <w:color w:val="auto"/>
                <w:kern w:val="0"/>
                <w:sz w:val="21"/>
                <w:szCs w:val="21"/>
                <w:highlight w:val="none"/>
              </w:rPr>
            </w:pPr>
            <w:r>
              <w:rPr>
                <w:rFonts w:hint="eastAsia" w:hAnsi="宋体" w:eastAsia="宋体" w:cs="宋体"/>
                <w:bCs/>
                <w:sz w:val="21"/>
                <w:szCs w:val="21"/>
                <w:highlight w:val="none"/>
              </w:rPr>
              <w:t>较好得</w:t>
            </w:r>
            <w:r>
              <w:rPr>
                <w:rFonts w:hint="eastAsia" w:hAnsi="宋体" w:eastAsia="宋体" w:cs="宋体"/>
                <w:bCs/>
                <w:sz w:val="21"/>
                <w:szCs w:val="21"/>
                <w:highlight w:val="none"/>
                <w:lang w:val="en-US" w:eastAsia="zh-CN"/>
              </w:rPr>
              <w:t>8</w:t>
            </w:r>
            <w:r>
              <w:rPr>
                <w:rFonts w:hint="eastAsia" w:ascii="宋体" w:hAnsi="宋体" w:eastAsia="宋体" w:cs="宋体"/>
                <w:bCs/>
                <w:kern w:val="2"/>
                <w:sz w:val="21"/>
                <w:szCs w:val="21"/>
                <w:highlight w:val="none"/>
              </w:rPr>
              <w:t>.00~</w:t>
            </w:r>
            <w:r>
              <w:rPr>
                <w:rFonts w:hint="eastAsia" w:hAnsi="宋体" w:eastAsia="宋体" w:cs="宋体"/>
                <w:bCs/>
                <w:kern w:val="2"/>
                <w:sz w:val="21"/>
                <w:szCs w:val="21"/>
                <w:highlight w:val="none"/>
                <w:lang w:val="en-US" w:eastAsia="zh-CN"/>
              </w:rPr>
              <w:t>10</w:t>
            </w:r>
            <w:r>
              <w:rPr>
                <w:rFonts w:hint="eastAsia" w:ascii="宋体" w:hAnsi="宋体" w:eastAsia="宋体" w:cs="宋体"/>
                <w:bCs/>
                <w:kern w:val="2"/>
                <w:sz w:val="21"/>
                <w:szCs w:val="21"/>
                <w:highlight w:val="none"/>
              </w:rPr>
              <w:t>.00</w:t>
            </w:r>
            <w:r>
              <w:rPr>
                <w:rFonts w:hint="eastAsia" w:hAnsi="宋体" w:eastAsia="宋体" w:cs="宋体"/>
                <w:bCs/>
                <w:sz w:val="21"/>
                <w:szCs w:val="21"/>
                <w:highlight w:val="none"/>
              </w:rPr>
              <w:t>分，一般得</w:t>
            </w:r>
            <w:r>
              <w:rPr>
                <w:rFonts w:hint="eastAsia" w:hAnsi="宋体" w:eastAsia="宋体" w:cs="宋体"/>
                <w:bCs/>
                <w:sz w:val="21"/>
                <w:szCs w:val="21"/>
                <w:highlight w:val="none"/>
                <w:lang w:val="en-US" w:eastAsia="zh-CN"/>
              </w:rPr>
              <w:t>6.00</w:t>
            </w:r>
            <w:r>
              <w:rPr>
                <w:rFonts w:hint="eastAsia" w:ascii="宋体" w:hAnsi="宋体" w:eastAsia="宋体" w:cs="宋体"/>
                <w:bCs/>
                <w:kern w:val="2"/>
                <w:sz w:val="21"/>
                <w:szCs w:val="21"/>
                <w:highlight w:val="none"/>
              </w:rPr>
              <w:t>~</w:t>
            </w:r>
            <w:r>
              <w:rPr>
                <w:rFonts w:hint="eastAsia" w:hAnsi="宋体" w:eastAsia="宋体" w:cs="宋体"/>
                <w:bCs/>
                <w:kern w:val="2"/>
                <w:sz w:val="21"/>
                <w:szCs w:val="21"/>
                <w:highlight w:val="none"/>
                <w:lang w:val="en-US" w:eastAsia="zh-CN"/>
              </w:rPr>
              <w:t>7</w:t>
            </w:r>
            <w:r>
              <w:rPr>
                <w:rFonts w:hint="eastAsia" w:ascii="宋体" w:hAnsi="宋体" w:eastAsia="宋体" w:cs="宋体"/>
                <w:bCs/>
                <w:kern w:val="2"/>
                <w:sz w:val="21"/>
                <w:szCs w:val="21"/>
                <w:highlight w:val="none"/>
              </w:rPr>
              <w:t>.99</w:t>
            </w:r>
            <w:r>
              <w:rPr>
                <w:rFonts w:hint="eastAsia" w:hAnsi="宋体" w:eastAsia="宋体" w:cs="宋体"/>
                <w:bCs/>
                <w:sz w:val="21"/>
                <w:szCs w:val="21"/>
                <w:highlight w:val="none"/>
              </w:rPr>
              <w:t>分，较差得</w:t>
            </w:r>
            <w:r>
              <w:rPr>
                <w:rFonts w:hint="eastAsia" w:hAnsi="宋体" w:eastAsia="宋体" w:cs="宋体"/>
                <w:bCs/>
                <w:sz w:val="21"/>
                <w:szCs w:val="21"/>
                <w:highlight w:val="none"/>
                <w:lang w:val="en-US" w:eastAsia="zh-CN"/>
              </w:rPr>
              <w:t>0</w:t>
            </w:r>
            <w:r>
              <w:rPr>
                <w:rFonts w:hint="eastAsia" w:ascii="宋体" w:hAnsi="宋体" w:eastAsia="宋体" w:cs="宋体"/>
                <w:bCs/>
                <w:kern w:val="2"/>
                <w:sz w:val="21"/>
                <w:szCs w:val="21"/>
                <w:highlight w:val="none"/>
              </w:rPr>
              <w:t>~</w:t>
            </w:r>
            <w:r>
              <w:rPr>
                <w:rFonts w:hint="eastAsia" w:hAnsi="宋体" w:eastAsia="宋体" w:cs="宋体"/>
                <w:bCs/>
                <w:kern w:val="2"/>
                <w:sz w:val="21"/>
                <w:szCs w:val="21"/>
                <w:highlight w:val="none"/>
                <w:lang w:val="en-US" w:eastAsia="zh-CN"/>
              </w:rPr>
              <w:t>5</w:t>
            </w:r>
            <w:r>
              <w:rPr>
                <w:rFonts w:hint="eastAsia" w:hAnsi="宋体" w:eastAsia="宋体" w:cs="宋体"/>
                <w:bCs/>
                <w:sz w:val="21"/>
                <w:szCs w:val="21"/>
                <w:highlight w:val="none"/>
              </w:rPr>
              <w:t>.99分，缺项得0分。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0" w:beforeAutospacing="0" w:after="0" w:line="400" w:lineRule="exact"/>
              <w:ind w:left="0" w:right="0" w:firstLine="0" w:firstLineChars="0"/>
              <w:jc w:val="center"/>
              <w:rPr>
                <w:rFonts w:hint="eastAsia" w:ascii="宋体" w:hAnsi="宋体" w:eastAsia="宋体" w:cs="宋体"/>
                <w:color w:val="auto"/>
                <w:sz w:val="21"/>
                <w:szCs w:val="21"/>
                <w:highlight w:val="none"/>
              </w:rPr>
            </w:pPr>
            <w:r>
              <w:rPr>
                <w:rFonts w:hint="eastAsia" w:hAnsi="宋体" w:eastAsia="宋体" w:cs="宋体"/>
                <w:bCs/>
                <w:sz w:val="21"/>
                <w:szCs w:val="21"/>
                <w:highlight w:val="none"/>
              </w:rPr>
              <w:t>突发事件应急预案和保障措施（</w:t>
            </w:r>
            <w:r>
              <w:rPr>
                <w:rFonts w:hint="eastAsia" w:hAnsi="宋体" w:eastAsia="宋体" w:cs="宋体"/>
                <w:bCs/>
                <w:sz w:val="21"/>
                <w:szCs w:val="21"/>
                <w:highlight w:val="none"/>
                <w:lang w:val="en-US" w:eastAsia="zh-CN"/>
              </w:rPr>
              <w:t>5</w:t>
            </w:r>
            <w:r>
              <w:rPr>
                <w:rFonts w:hint="eastAsia" w:hAnsi="宋体" w:eastAsia="宋体" w:cs="宋体"/>
                <w:bCs/>
                <w:sz w:val="21"/>
                <w:szCs w:val="21"/>
                <w:highlight w:val="none"/>
              </w:rPr>
              <w:t>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34"/>
              <w:snapToGrid w:val="0"/>
              <w:spacing w:before="0" w:beforeAutospacing="0" w:after="0" w:line="400" w:lineRule="exact"/>
              <w:ind w:left="0" w:right="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根据招标的范围和内容，编制与本项目相匹配的突发事件应急处置措施。</w:t>
            </w:r>
          </w:p>
          <w:p>
            <w:pPr>
              <w:pStyle w:val="34"/>
              <w:snapToGrid w:val="0"/>
              <w:spacing w:before="0" w:beforeAutospacing="0" w:after="0" w:line="400" w:lineRule="exact"/>
              <w:ind w:left="0" w:right="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投标人根据对招标文件的理解和对服务区域的熟悉程度,提出有针对性的实施方案，方案要具有系统性、可行性 、可操作性、完整性，评标委员会对比各投标人的实施方案进行综合横向评价。</w:t>
            </w:r>
          </w:p>
          <w:p>
            <w:pPr>
              <w:pStyle w:val="34"/>
              <w:snapToGrid w:val="0"/>
              <w:spacing w:before="0" w:beforeAutospacing="0" w:after="0" w:line="400" w:lineRule="exact"/>
              <w:ind w:left="0" w:right="0" w:firstLine="420" w:firstLineChars="200"/>
              <w:rPr>
                <w:rFonts w:hint="eastAsia" w:ascii="宋体" w:hAnsi="宋体" w:eastAsia="宋体" w:cs="宋体"/>
                <w:color w:val="auto"/>
                <w:kern w:val="0"/>
                <w:sz w:val="21"/>
                <w:szCs w:val="21"/>
                <w:highlight w:val="none"/>
              </w:rPr>
            </w:pPr>
            <w:r>
              <w:rPr>
                <w:rFonts w:hint="eastAsia" w:hAnsi="宋体" w:eastAsia="宋体" w:cs="宋体"/>
                <w:bCs/>
                <w:sz w:val="21"/>
                <w:szCs w:val="21"/>
                <w:highlight w:val="none"/>
              </w:rPr>
              <w:t>较好得</w:t>
            </w:r>
            <w:r>
              <w:rPr>
                <w:rFonts w:hint="eastAsia" w:ascii="宋体" w:hAnsi="宋体" w:eastAsia="宋体" w:cs="宋体"/>
                <w:bCs/>
                <w:kern w:val="2"/>
                <w:sz w:val="21"/>
                <w:szCs w:val="21"/>
                <w:highlight w:val="none"/>
                <w:lang w:val="en-US" w:eastAsia="zh-CN"/>
              </w:rPr>
              <w:t>4</w:t>
            </w:r>
            <w:r>
              <w:rPr>
                <w:rFonts w:hint="eastAsia" w:ascii="宋体" w:hAnsi="宋体" w:eastAsia="宋体" w:cs="宋体"/>
                <w:bCs/>
                <w:kern w:val="2"/>
                <w:sz w:val="21"/>
                <w:szCs w:val="21"/>
                <w:highlight w:val="none"/>
              </w:rPr>
              <w:t>.00~5.00</w:t>
            </w:r>
            <w:r>
              <w:rPr>
                <w:rFonts w:hint="eastAsia" w:hAnsi="宋体" w:eastAsia="宋体" w:cs="宋体"/>
                <w:bCs/>
                <w:sz w:val="21"/>
                <w:szCs w:val="21"/>
                <w:highlight w:val="none"/>
              </w:rPr>
              <w:t>分，一般得</w:t>
            </w:r>
            <w:r>
              <w:rPr>
                <w:rFonts w:hint="eastAsia" w:hAnsi="宋体" w:eastAsia="宋体" w:cs="宋体"/>
                <w:bCs/>
                <w:sz w:val="21"/>
                <w:szCs w:val="21"/>
                <w:highlight w:val="none"/>
                <w:lang w:val="en-US" w:eastAsia="zh-CN"/>
              </w:rPr>
              <w:t>3.00</w:t>
            </w:r>
            <w:r>
              <w:rPr>
                <w:rFonts w:hint="eastAsia" w:ascii="宋体" w:hAnsi="宋体" w:eastAsia="宋体" w:cs="宋体"/>
                <w:bCs/>
                <w:kern w:val="2"/>
                <w:sz w:val="21"/>
                <w:szCs w:val="21"/>
                <w:highlight w:val="none"/>
              </w:rPr>
              <w:t>~</w:t>
            </w:r>
            <w:r>
              <w:rPr>
                <w:rFonts w:hint="eastAsia" w:ascii="宋体" w:hAnsi="宋体" w:eastAsia="宋体" w:cs="宋体"/>
                <w:bCs/>
                <w:kern w:val="2"/>
                <w:sz w:val="21"/>
                <w:szCs w:val="21"/>
                <w:highlight w:val="none"/>
                <w:lang w:val="en-US" w:eastAsia="zh-CN"/>
              </w:rPr>
              <w:t>3</w:t>
            </w:r>
            <w:r>
              <w:rPr>
                <w:rFonts w:hint="eastAsia" w:ascii="宋体" w:hAnsi="宋体" w:eastAsia="宋体" w:cs="宋体"/>
                <w:bCs/>
                <w:kern w:val="2"/>
                <w:sz w:val="21"/>
                <w:szCs w:val="21"/>
                <w:highlight w:val="none"/>
              </w:rPr>
              <w:t>.99</w:t>
            </w:r>
            <w:r>
              <w:rPr>
                <w:rFonts w:hint="eastAsia" w:hAnsi="宋体" w:eastAsia="宋体" w:cs="宋体"/>
                <w:bCs/>
                <w:sz w:val="21"/>
                <w:szCs w:val="21"/>
                <w:highlight w:val="none"/>
              </w:rPr>
              <w:t>分，较差得</w:t>
            </w:r>
            <w:r>
              <w:rPr>
                <w:rFonts w:hint="eastAsia" w:hAnsi="宋体" w:eastAsia="宋体" w:cs="宋体"/>
                <w:bCs/>
                <w:sz w:val="21"/>
                <w:szCs w:val="21"/>
                <w:highlight w:val="none"/>
                <w:lang w:val="en-US" w:eastAsia="zh-CN"/>
              </w:rPr>
              <w:t>0</w:t>
            </w:r>
            <w:r>
              <w:rPr>
                <w:rFonts w:hint="eastAsia" w:ascii="宋体" w:hAnsi="宋体" w:eastAsia="宋体" w:cs="宋体"/>
                <w:bCs/>
                <w:kern w:val="2"/>
                <w:sz w:val="21"/>
                <w:szCs w:val="21"/>
                <w:highlight w:val="none"/>
              </w:rPr>
              <w:t>~</w:t>
            </w:r>
            <w:r>
              <w:rPr>
                <w:rFonts w:hint="eastAsia" w:hAnsi="宋体" w:eastAsia="宋体" w:cs="宋体"/>
                <w:bCs/>
                <w:sz w:val="21"/>
                <w:szCs w:val="21"/>
                <w:highlight w:val="none"/>
              </w:rPr>
              <w:t>2.99分，缺项得0分。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line="400" w:lineRule="exact"/>
              <w:ind w:left="0" w:right="0"/>
              <w:jc w:val="center"/>
              <w:rPr>
                <w:rFonts w:ascii="宋体" w:hAnsi="宋体" w:cs="宋体"/>
                <w:color w:val="auto"/>
                <w:kern w:val="0"/>
                <w:highlight w:val="none"/>
              </w:rPr>
            </w:pPr>
            <w:r>
              <w:rPr>
                <w:rFonts w:hint="eastAsia" w:ascii="宋体" w:hAnsi="宋体" w:cs="宋体"/>
                <w:color w:val="auto"/>
                <w:kern w:val="0"/>
                <w:highlight w:val="none"/>
              </w:rPr>
              <w:t>2.2.2</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sz w:val="21"/>
                <w:szCs w:val="21"/>
                <w:highlight w:val="none"/>
                <w:lang w:val="en-US" w:eastAsia="zh-CN"/>
              </w:rPr>
              <w:t>企业能力</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eastAsia="zh-CN"/>
              </w:rPr>
              <w:t>满足资格审查要求得2分</w:t>
            </w:r>
            <w:r>
              <w:rPr>
                <w:rFonts w:hint="eastAsia" w:ascii="宋体" w:hAnsi="宋体" w:cs="宋体"/>
                <w:color w:val="auto"/>
                <w:szCs w:val="21"/>
                <w:highlight w:val="none"/>
                <w:lang w:val="en-US" w:eastAsia="zh-CN"/>
              </w:rPr>
              <w:t>。</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2、具有</w:t>
            </w:r>
            <w:r>
              <w:rPr>
                <w:rFonts w:hint="default" w:ascii="宋体" w:hAnsi="宋体" w:cs="宋体"/>
                <w:color w:val="auto"/>
                <w:szCs w:val="21"/>
                <w:highlight w:val="none"/>
                <w:lang w:eastAsia="zh-CN"/>
              </w:rPr>
              <w:t>有效的软件企业证书得0.5分，没有或未提供不得分。</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提供有效证书复印件并加盖投标单位法人章。</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default" w:ascii="宋体" w:hAnsi="宋体" w:cs="宋体"/>
                <w:color w:val="auto"/>
                <w:szCs w:val="21"/>
                <w:highlight w:val="none"/>
                <w:lang w:eastAsia="zh-CN"/>
              </w:rPr>
              <w:t>根据</w:t>
            </w:r>
            <w:r>
              <w:rPr>
                <w:rFonts w:hint="eastAsia" w:ascii="宋体" w:hAnsi="宋体" w:cs="宋体"/>
                <w:color w:val="auto"/>
                <w:szCs w:val="21"/>
                <w:highlight w:val="none"/>
                <w:lang w:eastAsia="zh-CN"/>
              </w:rPr>
              <w:t>投标人</w:t>
            </w:r>
            <w:r>
              <w:rPr>
                <w:rFonts w:hint="default" w:ascii="宋体" w:hAnsi="宋体" w:cs="宋体"/>
                <w:color w:val="auto"/>
                <w:szCs w:val="21"/>
                <w:highlight w:val="none"/>
                <w:lang w:eastAsia="zh-CN"/>
              </w:rPr>
              <w:t>202</w:t>
            </w:r>
            <w:r>
              <w:rPr>
                <w:rFonts w:hint="eastAsia" w:ascii="宋体" w:hAnsi="宋体" w:cs="宋体"/>
                <w:color w:val="auto"/>
                <w:szCs w:val="21"/>
                <w:highlight w:val="none"/>
                <w:lang w:val="en-US" w:eastAsia="zh-CN"/>
              </w:rPr>
              <w:t>3</w:t>
            </w:r>
            <w:r>
              <w:rPr>
                <w:rFonts w:hint="default" w:ascii="宋体" w:hAnsi="宋体" w:cs="宋体"/>
                <w:color w:val="auto"/>
                <w:szCs w:val="21"/>
                <w:highlight w:val="none"/>
                <w:lang w:eastAsia="zh-CN"/>
              </w:rPr>
              <w:t>年纳税信用等级评分，A级得1.5分，B级得1分，C级得0.5分，D级得 0 分。（以国家税务机关出具的证明材料和国家税务总局官方网站查询结果截图作为证明材料）</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提供截图并加盖投标单位法人章。</w:t>
            </w:r>
          </w:p>
          <w:p>
            <w:pPr>
              <w:keepNext w:val="0"/>
              <w:keepLines w:val="0"/>
              <w:numPr>
                <w:ilvl w:val="-1"/>
                <w:numId w:val="0"/>
              </w:numPr>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lang w:eastAsia="zh-CN"/>
              </w:rPr>
            </w:pPr>
            <w:r>
              <w:rPr>
                <w:rFonts w:hint="eastAsia" w:ascii="宋体" w:hAnsi="宋体" w:cs="宋体"/>
                <w:color w:val="auto"/>
                <w:szCs w:val="21"/>
                <w:highlight w:val="none"/>
                <w:lang w:val="en-US" w:eastAsia="zh-CN"/>
              </w:rPr>
              <w:t>4、</w:t>
            </w:r>
            <w:bookmarkStart w:id="318" w:name="OLE_LINK2"/>
            <w:r>
              <w:rPr>
                <w:rFonts w:hint="default" w:ascii="宋体" w:hAnsi="宋体" w:cs="宋体"/>
                <w:color w:val="auto"/>
                <w:szCs w:val="21"/>
                <w:highlight w:val="none"/>
                <w:lang w:eastAsia="zh-CN"/>
              </w:rPr>
              <w:t>具有ISO9</w:t>
            </w:r>
            <w:bookmarkEnd w:id="318"/>
            <w:r>
              <w:rPr>
                <w:rFonts w:hint="default" w:ascii="宋体" w:hAnsi="宋体" w:cs="宋体"/>
                <w:color w:val="auto"/>
                <w:szCs w:val="21"/>
                <w:highlight w:val="none"/>
                <w:lang w:eastAsia="zh-CN"/>
              </w:rPr>
              <w:t>001质量管理体系认证得0.5分，</w:t>
            </w:r>
            <w:r>
              <w:rPr>
                <w:rFonts w:hint="eastAsia" w:ascii="宋体" w:hAnsi="宋体" w:cs="宋体"/>
                <w:color w:val="auto"/>
                <w:szCs w:val="21"/>
                <w:highlight w:val="none"/>
              </w:rPr>
              <w:t>ISO2700</w:t>
            </w:r>
            <w:r>
              <w:rPr>
                <w:rFonts w:hint="default" w:ascii="宋体" w:hAnsi="宋体" w:cs="宋体"/>
                <w:color w:val="auto"/>
                <w:szCs w:val="21"/>
                <w:highlight w:val="none"/>
              </w:rPr>
              <w:t>1</w:t>
            </w:r>
            <w:r>
              <w:rPr>
                <w:rFonts w:hint="eastAsia" w:ascii="宋体" w:hAnsi="宋体" w:cs="宋体"/>
                <w:color w:val="auto"/>
                <w:szCs w:val="21"/>
                <w:highlight w:val="none"/>
              </w:rPr>
              <w:t>信息安全管理体系认证得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得分。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b w:val="0"/>
                <w:bCs w:val="0"/>
                <w:color w:val="auto"/>
                <w:kern w:val="2"/>
                <w:szCs w:val="21"/>
                <w:highlight w:val="none"/>
              </w:rPr>
            </w:pPr>
            <w:r>
              <w:rPr>
                <w:rFonts w:hint="eastAsia" w:ascii="宋体" w:hAnsi="宋体" w:eastAsia="宋体" w:cs="宋体"/>
                <w:b w:val="0"/>
                <w:bCs w:val="0"/>
                <w:color w:val="auto"/>
                <w:kern w:val="2"/>
                <w:szCs w:val="21"/>
                <w:highlight w:val="none"/>
              </w:rPr>
              <w:t>提供有效证书复印件并加盖投标单位法人章。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eastAsia="zh-CN"/>
              </w:rPr>
              <w:t>本项最多得</w:t>
            </w:r>
            <w:r>
              <w:rPr>
                <w:rFonts w:hint="eastAsia" w:ascii="宋体" w:hAnsi="宋体" w:cs="宋体"/>
                <w:b w:val="0"/>
                <w:bCs w:val="0"/>
                <w:color w:val="auto"/>
                <w:kern w:val="0"/>
                <w:szCs w:val="21"/>
                <w:highlight w:val="none"/>
                <w:lang w:val="en-US" w:eastAsia="zh-CN"/>
              </w:rPr>
              <w:t>5分。</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注：</w:t>
            </w:r>
            <w:r>
              <w:rPr>
                <w:rFonts w:hint="eastAsia" w:ascii="宋体" w:hAnsi="宋体" w:cs="宋体"/>
                <w:b/>
                <w:bCs/>
                <w:color w:val="auto"/>
                <w:kern w:val="0"/>
                <w:szCs w:val="21"/>
                <w:highlight w:val="none"/>
                <w:lang w:eastAsia="zh-CN"/>
              </w:rPr>
              <w:t>此部分资料装入商务部分中。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leftChars="0" w:right="0" w:rightChars="0"/>
              <w:jc w:val="center"/>
              <w:rPr>
                <w:rFonts w:hint="default" w:ascii="宋体" w:hAnsi="宋体" w:cs="宋体"/>
                <w:color w:val="auto"/>
                <w:szCs w:val="21"/>
                <w:highlight w:val="none"/>
              </w:rPr>
            </w:pPr>
            <w:r>
              <w:rPr>
                <w:rFonts w:hint="eastAsia" w:ascii="宋体" w:hAnsi="宋体" w:cs="宋体"/>
                <w:color w:val="auto"/>
                <w:kern w:val="0"/>
                <w:szCs w:val="21"/>
                <w:highlight w:val="none"/>
                <w:lang w:val="en-US" w:eastAsia="zh-CN"/>
              </w:rPr>
              <w:t>项目团队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eastAsia="zh-CN"/>
              </w:rPr>
              <w:t>满足</w:t>
            </w:r>
            <w:r>
              <w:rPr>
                <w:rFonts w:hint="eastAsia" w:ascii="宋体" w:hAnsi="宋体" w:cs="宋体"/>
                <w:color w:val="auto"/>
                <w:szCs w:val="21"/>
                <w:highlight w:val="none"/>
                <w:lang w:eastAsia="zh-CN"/>
              </w:rPr>
              <w:t>资格审查</w:t>
            </w:r>
            <w:r>
              <w:rPr>
                <w:rFonts w:hint="eastAsia" w:ascii="宋体" w:hAnsi="宋体" w:cs="宋体"/>
                <w:color w:val="auto"/>
                <w:szCs w:val="21"/>
                <w:highlight w:val="none"/>
                <w:lang w:val="en-US" w:eastAsia="zh-CN"/>
              </w:rPr>
              <w:t>人员</w:t>
            </w:r>
            <w:r>
              <w:rPr>
                <w:rFonts w:hint="default" w:ascii="宋体" w:hAnsi="宋体" w:cs="宋体"/>
                <w:color w:val="auto"/>
                <w:szCs w:val="21"/>
                <w:highlight w:val="none"/>
                <w:lang w:eastAsia="zh-CN"/>
              </w:rPr>
              <w:t>要求得</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eastAsia="zh-CN"/>
              </w:rPr>
              <w:t>分</w:t>
            </w:r>
            <w:r>
              <w:rPr>
                <w:rFonts w:hint="eastAsia" w:ascii="宋体" w:hAnsi="宋体" w:cs="宋体"/>
                <w:color w:val="auto"/>
                <w:szCs w:val="21"/>
                <w:highlight w:val="none"/>
                <w:lang w:eastAsia="zh-CN"/>
              </w:rPr>
              <w:t>。</w:t>
            </w:r>
          </w:p>
          <w:p>
            <w:pPr>
              <w:keepNext w:val="0"/>
              <w:keepLines w:val="0"/>
              <w:numPr>
                <w:ilvl w:val="-1"/>
                <w:numId w:val="0"/>
              </w:numPr>
              <w:suppressLineNumbers w:val="0"/>
              <w:autoSpaceDE w:val="0"/>
              <w:autoSpaceDN w:val="0"/>
              <w:adjustRightInd w:val="0"/>
              <w:snapToGrid w:val="0"/>
              <w:spacing w:before="0" w:beforeAutospacing="0" w:after="0" w:afterAutospacing="0" w:line="400" w:lineRule="exact"/>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2、在满足资格审查人员要求的基础上，每增加一</w:t>
            </w:r>
            <w:r>
              <w:rPr>
                <w:rFonts w:hint="eastAsia" w:ascii="宋体" w:hAnsi="宋体" w:eastAsia="宋体" w:cs="宋体"/>
                <w:color w:val="auto"/>
                <w:szCs w:val="21"/>
                <w:highlight w:val="none"/>
                <w:lang w:val="en-US" w:eastAsia="zh-CN"/>
              </w:rPr>
              <w:t>个持有</w:t>
            </w:r>
            <w:r>
              <w:rPr>
                <w:rFonts w:hint="eastAsia" w:ascii="宋体" w:hAnsi="宋体" w:eastAsia="宋体" w:cs="宋体"/>
                <w:color w:val="auto"/>
                <w:sz w:val="21"/>
                <w:szCs w:val="21"/>
                <w:highlight w:val="none"/>
                <w:lang w:val="en-US" w:eastAsia="zh-CN"/>
              </w:rPr>
              <w:t>中级及以上系统集成项目管理师或中级及以上</w:t>
            </w:r>
            <w:r>
              <w:rPr>
                <w:rFonts w:hint="default" w:ascii="宋体" w:hAnsi="宋体" w:cs="宋体"/>
                <w:color w:val="auto"/>
                <w:sz w:val="21"/>
                <w:szCs w:val="21"/>
                <w:highlight w:val="none"/>
                <w:lang w:eastAsia="zh-CN"/>
              </w:rPr>
              <w:t>数据库系统工程</w:t>
            </w:r>
            <w:r>
              <w:rPr>
                <w:rFonts w:hint="eastAsia" w:ascii="宋体" w:hAnsi="宋体" w:eastAsia="宋体" w:cs="宋体"/>
                <w:color w:val="auto"/>
                <w:sz w:val="21"/>
                <w:szCs w:val="21"/>
                <w:highlight w:val="none"/>
              </w:rPr>
              <w:t>师</w:t>
            </w:r>
            <w:r>
              <w:rPr>
                <w:rFonts w:hint="eastAsia" w:ascii="宋体" w:hAnsi="宋体" w:eastAsia="宋体" w:cs="宋体"/>
                <w:color w:val="auto"/>
                <w:sz w:val="21"/>
                <w:szCs w:val="21"/>
                <w:highlight w:val="none"/>
                <w:lang w:val="en-US" w:eastAsia="zh-CN"/>
              </w:rPr>
              <w:t>或中级及以上</w:t>
            </w:r>
            <w:r>
              <w:rPr>
                <w:rFonts w:hint="eastAsia" w:ascii="宋体" w:hAnsi="宋体" w:eastAsia="宋体" w:cs="宋体"/>
                <w:color w:val="auto"/>
                <w:sz w:val="21"/>
                <w:szCs w:val="21"/>
                <w:highlight w:val="none"/>
                <w:lang w:eastAsia="zh-CN"/>
              </w:rPr>
              <w:t>软件</w:t>
            </w:r>
            <w:r>
              <w:rPr>
                <w:rFonts w:hint="default" w:ascii="宋体" w:hAnsi="宋体" w:cs="宋体"/>
                <w:color w:val="auto"/>
                <w:sz w:val="21"/>
                <w:szCs w:val="21"/>
                <w:highlight w:val="none"/>
                <w:lang w:eastAsia="zh-CN"/>
              </w:rPr>
              <w:t>设计师</w:t>
            </w:r>
            <w:r>
              <w:rPr>
                <w:rFonts w:hint="eastAsia" w:ascii="宋体" w:hAnsi="宋体" w:eastAsia="宋体" w:cs="宋体"/>
                <w:color w:val="auto"/>
                <w:sz w:val="21"/>
                <w:szCs w:val="21"/>
                <w:highlight w:val="none"/>
                <w:lang w:val="en-US" w:eastAsia="zh-CN"/>
              </w:rPr>
              <w:t>或中级及以上网络工程师</w:t>
            </w:r>
            <w:r>
              <w:rPr>
                <w:rFonts w:hint="eastAsia" w:ascii="宋体" w:hAnsi="宋体" w:cs="宋体"/>
                <w:color w:val="auto"/>
                <w:sz w:val="21"/>
                <w:szCs w:val="21"/>
                <w:highlight w:val="none"/>
                <w:lang w:val="en-US" w:eastAsia="zh-CN"/>
              </w:rPr>
              <w:t>或项目管理专业人士资格认证证书（PMP）</w:t>
            </w:r>
            <w:r>
              <w:rPr>
                <w:rFonts w:hint="eastAsia" w:ascii="宋体" w:hAnsi="宋体" w:eastAsia="宋体" w:cs="宋体"/>
                <w:color w:val="auto"/>
                <w:sz w:val="21"/>
                <w:szCs w:val="21"/>
                <w:highlight w:val="none"/>
                <w:lang w:val="en-US" w:eastAsia="zh-CN"/>
              </w:rPr>
              <w:t>证书人员</w:t>
            </w:r>
            <w:r>
              <w:rPr>
                <w:rFonts w:hint="eastAsia" w:ascii="宋体" w:hAnsi="宋体" w:cs="宋体"/>
                <w:color w:val="auto"/>
                <w:szCs w:val="21"/>
                <w:highlight w:val="none"/>
                <w:lang w:val="en-US" w:eastAsia="zh-CN"/>
              </w:rPr>
              <w:t>，得1分，满分3分。</w:t>
            </w:r>
          </w:p>
          <w:p>
            <w:pPr>
              <w:keepNext w:val="0"/>
              <w:keepLines w:val="0"/>
              <w:numPr>
                <w:ilvl w:val="-1"/>
                <w:numId w:val="0"/>
              </w:numPr>
              <w:suppressLineNumbers w:val="0"/>
              <w:autoSpaceDE w:val="0"/>
              <w:autoSpaceDN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本项最多得5分。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提供人员有效</w:t>
            </w:r>
            <w:r>
              <w:rPr>
                <w:rFonts w:hint="eastAsia" w:ascii="宋体" w:hAnsi="宋体" w:cs="宋体"/>
                <w:b/>
                <w:bCs/>
                <w:color w:val="auto"/>
                <w:szCs w:val="21"/>
                <w:highlight w:val="none"/>
                <w:lang w:eastAsia="zh-CN"/>
              </w:rPr>
              <w:t>资格</w:t>
            </w:r>
            <w:r>
              <w:rPr>
                <w:rFonts w:hint="eastAsia" w:ascii="宋体" w:hAnsi="宋体" w:eastAsia="宋体" w:cs="宋体"/>
                <w:b/>
                <w:bCs/>
                <w:color w:val="auto"/>
                <w:szCs w:val="21"/>
                <w:highlight w:val="none"/>
              </w:rPr>
              <w:t>证书</w:t>
            </w:r>
            <w:r>
              <w:rPr>
                <w:rFonts w:hint="eastAsia" w:ascii="宋体" w:hAnsi="宋体" w:cs="宋体"/>
                <w:b/>
                <w:bCs/>
                <w:color w:val="auto"/>
                <w:szCs w:val="21"/>
                <w:highlight w:val="none"/>
                <w:lang w:eastAsia="zh-CN"/>
              </w:rPr>
              <w:t>和</w:t>
            </w:r>
            <w:r>
              <w:rPr>
                <w:rFonts w:hint="eastAsia" w:ascii="宋体" w:hAnsi="宋体" w:cs="宋体"/>
                <w:b/>
                <w:bCs/>
                <w:color w:val="auto"/>
                <w:szCs w:val="21"/>
                <w:highlight w:val="none"/>
              </w:rPr>
              <w:t>投标人</w:t>
            </w:r>
            <w:r>
              <w:rPr>
                <w:rFonts w:hint="eastAsia" w:ascii="宋体" w:hAnsi="宋体" w:eastAsia="宋体" w:cs="宋体"/>
                <w:b/>
                <w:bCs/>
                <w:color w:val="auto"/>
                <w:kern w:val="0"/>
                <w:sz w:val="21"/>
                <w:szCs w:val="21"/>
                <w:highlight w:val="none"/>
                <w:lang w:val="en-US" w:eastAsia="zh-CN"/>
              </w:rPr>
              <w:t>202</w:t>
            </w:r>
            <w:r>
              <w:rPr>
                <w:rFonts w:hint="eastAsia" w:ascii="宋体" w:hAnsi="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val="en-US" w:eastAsia="zh-CN"/>
              </w:rPr>
              <w:t>年</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月至202</w:t>
            </w:r>
            <w:r>
              <w:rPr>
                <w:rFonts w:hint="eastAsia" w:ascii="宋体" w:hAnsi="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val="en-US" w:eastAsia="zh-CN"/>
              </w:rPr>
              <w:t>年10月</w:t>
            </w:r>
            <w:r>
              <w:rPr>
                <w:rFonts w:hint="eastAsia" w:ascii="宋体" w:hAnsi="宋体" w:cs="宋体"/>
                <w:b/>
                <w:bCs/>
                <w:color w:val="auto"/>
                <w:szCs w:val="21"/>
                <w:highlight w:val="none"/>
              </w:rPr>
              <w:t>为以上人员</w:t>
            </w:r>
            <w:r>
              <w:rPr>
                <w:rFonts w:hint="eastAsia" w:ascii="宋体" w:hAnsi="宋体" w:cs="宋体"/>
                <w:b/>
                <w:bCs/>
                <w:color w:val="auto"/>
                <w:szCs w:val="21"/>
                <w:highlight w:val="none"/>
                <w:lang w:val="en-US" w:eastAsia="zh-CN"/>
              </w:rPr>
              <w:t>缴纳</w:t>
            </w:r>
            <w:r>
              <w:rPr>
                <w:rFonts w:hint="eastAsia" w:ascii="宋体" w:hAnsi="宋体" w:eastAsia="宋体" w:cs="宋体"/>
                <w:b/>
                <w:bCs/>
                <w:color w:val="auto"/>
                <w:kern w:val="0"/>
                <w:sz w:val="21"/>
                <w:szCs w:val="21"/>
                <w:highlight w:val="none"/>
                <w:lang w:val="en-US" w:eastAsia="zh-CN"/>
              </w:rPr>
              <w:t>的</w:t>
            </w:r>
            <w:r>
              <w:rPr>
                <w:rFonts w:hint="eastAsia" w:ascii="宋体" w:hAnsi="宋体" w:eastAsia="宋体" w:cs="宋体"/>
                <w:b/>
                <w:bCs/>
                <w:color w:val="auto"/>
                <w:kern w:val="0"/>
                <w:sz w:val="21"/>
                <w:szCs w:val="21"/>
                <w:highlight w:val="none"/>
                <w:lang w:eastAsia="zh-CN"/>
              </w:rPr>
              <w:t>养老保险</w:t>
            </w:r>
            <w:r>
              <w:rPr>
                <w:rFonts w:hint="eastAsia" w:ascii="宋体" w:hAnsi="宋体" w:eastAsia="宋体" w:cs="宋体"/>
                <w:b/>
                <w:bCs/>
                <w:color w:val="auto"/>
                <w:szCs w:val="21"/>
                <w:highlight w:val="none"/>
              </w:rPr>
              <w:t>证明</w:t>
            </w:r>
            <w:r>
              <w:rPr>
                <w:rFonts w:hint="eastAsia" w:ascii="宋体" w:hAnsi="宋体" w:cs="宋体"/>
                <w:b/>
                <w:bCs/>
                <w:color w:val="auto"/>
                <w:szCs w:val="21"/>
                <w:highlight w:val="none"/>
              </w:rPr>
              <w:t>（带有社保部门公章或社保部门的有效电子印章）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w:t>
            </w:r>
            <w:r>
              <w:rPr>
                <w:rFonts w:hint="eastAsia" w:ascii="宋体" w:hAnsi="宋体" w:cs="宋体"/>
                <w:b/>
                <w:bCs/>
                <w:color w:val="auto"/>
                <w:szCs w:val="21"/>
                <w:highlight w:val="none"/>
                <w:lang w:val="en-US" w:eastAsia="zh-CN"/>
              </w:rPr>
              <w:t>单位</w:t>
            </w:r>
            <w:r>
              <w:rPr>
                <w:rFonts w:hint="eastAsia" w:ascii="宋体" w:hAnsi="宋体" w:cs="宋体"/>
                <w:b/>
                <w:bCs/>
                <w:color w:val="auto"/>
                <w:szCs w:val="21"/>
                <w:highlight w:val="none"/>
                <w:lang w:eastAsia="zh-CN"/>
              </w:rPr>
              <w:t>法人</w:t>
            </w:r>
            <w:r>
              <w:rPr>
                <w:rFonts w:hint="eastAsia" w:ascii="宋体" w:hAnsi="宋体" w:eastAsia="宋体" w:cs="宋体"/>
                <w:b/>
                <w:bCs/>
                <w:color w:val="auto"/>
                <w:szCs w:val="21"/>
                <w:highlight w:val="none"/>
              </w:rPr>
              <w:t>章，</w:t>
            </w:r>
            <w:r>
              <w:rPr>
                <w:rFonts w:hint="eastAsia" w:ascii="宋体" w:hAnsi="宋体" w:cs="宋体"/>
                <w:b/>
                <w:bCs/>
                <w:color w:val="auto"/>
                <w:szCs w:val="21"/>
                <w:highlight w:val="none"/>
                <w:lang w:val="en-US" w:eastAsia="zh-CN"/>
              </w:rPr>
              <w:t>以上人</w:t>
            </w:r>
            <w:r>
              <w:rPr>
                <w:rFonts w:hint="eastAsia" w:ascii="宋体" w:hAnsi="宋体" w:eastAsia="宋体" w:cs="宋体"/>
                <w:b/>
                <w:bCs/>
                <w:color w:val="auto"/>
                <w:szCs w:val="21"/>
                <w:highlight w:val="none"/>
              </w:rPr>
              <w:t>员需纳入运维人员名单。</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cs="宋体"/>
                <w:b/>
                <w:bCs/>
                <w:color w:val="auto"/>
                <w:szCs w:val="21"/>
                <w:highlight w:val="none"/>
                <w:lang w:eastAsia="zh-CN"/>
              </w:rPr>
              <w:t>同一人员具有多个证书的，只能加一次分。</w:t>
            </w:r>
          </w:p>
          <w:p>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leftChars="0" w:right="0" w:rightChars="0" w:firstLine="422" w:firstLineChars="200"/>
              <w:jc w:val="left"/>
              <w:rPr>
                <w:rFonts w:hint="default" w:ascii="宋体" w:hAnsi="宋体" w:cs="宋体"/>
                <w:color w:val="auto"/>
                <w:kern w:val="0"/>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此部分资料装入商务部分中。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2.2.2</w:t>
            </w:r>
          </w:p>
          <w:p>
            <w:pPr>
              <w:pStyle w:val="2"/>
              <w:adjustRightInd w:val="0"/>
              <w:snapToGrid w:val="0"/>
              <w:spacing w:before="0" w:beforeAutospacing="0" w:after="0" w:line="400" w:lineRule="exact"/>
              <w:ind w:left="0" w:right="0"/>
              <w:jc w:val="center"/>
              <w:rPr>
                <w:rFonts w:ascii="宋体" w:hAnsi="宋体" w:cs="宋体"/>
                <w:color w:val="auto"/>
                <w:highlight w:val="none"/>
              </w:rPr>
            </w:pPr>
            <w:r>
              <w:rPr>
                <w:rFonts w:hint="eastAsia" w:ascii="宋体" w:hAnsi="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工期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rPr>
              <w:t>质量要求</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u w:val="single"/>
              </w:rPr>
            </w:pPr>
            <w:r>
              <w:rPr>
                <w:rFonts w:hint="eastAsia" w:ascii="宋体" w:hAnsi="宋体" w:cs="宋体"/>
                <w:color w:val="auto"/>
                <w:szCs w:val="21"/>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投标人承诺满足以下内容：</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2.招标文件中规定工程量清单不允许修改的内容不得修改。</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3.投标总报价不高于招标人公布的投标总报价最高限价。</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5.若出现差错，按招标文件第二章投标人须知前附表第3.2.9项规定的原则进行处理（或结算）。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u w:val="single"/>
              </w:rPr>
            </w:pPr>
            <w:r>
              <w:rPr>
                <w:rFonts w:hint="eastAsia" w:ascii="宋体" w:hAnsi="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所有通过初步评审和本章第2.2.2（3）目评审合格的投标总价不高于最高限价和不低于最高限价85%的</w:t>
            </w:r>
            <w:r>
              <w:rPr>
                <w:rFonts w:hint="eastAsia" w:ascii="宋体" w:hAnsi="宋体" w:cs="宋体"/>
                <w:color w:val="auto"/>
                <w:szCs w:val="21"/>
                <w:highlight w:val="none"/>
              </w:rPr>
              <w:t>投标总报</w:t>
            </w:r>
            <w:r>
              <w:rPr>
                <w:rFonts w:hint="eastAsia" w:ascii="宋体" w:hAnsi="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szCs w:val="21"/>
                <w:highlight w:val="none"/>
                <w:lang w:bidi="ar"/>
              </w:rPr>
            </w:pPr>
            <w:r>
              <w:rPr>
                <w:rFonts w:hint="eastAsia" w:ascii="宋体" w:hAnsi="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投标总报价的偏差率计算公式</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Autospacing="0" w:after="0" w:afterAutospacing="0" w:line="400" w:lineRule="exact"/>
              <w:ind w:left="0" w:right="0" w:firstLine="200"/>
              <w:rPr>
                <w:rFonts w:hint="default" w:ascii="宋体" w:hAnsi="宋体" w:cs="宋体"/>
                <w:color w:val="auto"/>
                <w:kern w:val="0"/>
                <w:szCs w:val="21"/>
                <w:highlight w:val="none"/>
              </w:rPr>
            </w:pPr>
            <w:r>
              <w:rPr>
                <w:rFonts w:hint="eastAsia" w:ascii="宋体" w:hAnsi="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599"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kern w:val="0"/>
                <w:szCs w:val="21"/>
                <w:highlight w:val="none"/>
              </w:rPr>
              <w:t>得分</w:t>
            </w:r>
            <w:r>
              <w:rPr>
                <w:rFonts w:hint="eastAsia" w:ascii="宋体" w:hAnsi="宋体" w:cs="宋体"/>
                <w:color w:val="auto"/>
                <w:spacing w:val="-4"/>
                <w:szCs w:val="21"/>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eastAsia="宋体" w:cs="宋体"/>
                <w:color w:val="auto"/>
                <w:kern w:val="0"/>
                <w:szCs w:val="21"/>
                <w:highlight w:val="none"/>
              </w:rPr>
              <w:t>现场机构设置（5分）</w:t>
            </w:r>
          </w:p>
        </w:tc>
        <w:tc>
          <w:tcPr>
            <w:tcW w:w="5048" w:type="dxa"/>
            <w:vMerge w:val="restart"/>
            <w:vAlign w:val="center"/>
          </w:tcPr>
          <w:p>
            <w:pPr>
              <w:keepNext w:val="0"/>
              <w:keepLines w:val="0"/>
              <w:suppressLineNumbers w:val="0"/>
              <w:autoSpaceDE/>
              <w:autoSpaceDN/>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评标委员会按第2.2.2（1）目各评审因素设定的分值评分。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第三位四舍五入</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p>
        </w:tc>
        <w:tc>
          <w:tcPr>
            <w:tcW w:w="2355" w:type="dxa"/>
            <w:gridSpan w:val="2"/>
            <w:vAlign w:val="center"/>
          </w:tcPr>
          <w:p>
            <w:pPr>
              <w:pStyle w:val="34"/>
              <w:snapToGrid w:val="0"/>
              <w:spacing w:before="0" w:beforeAutospacing="0" w:after="0" w:line="400" w:lineRule="exact"/>
              <w:ind w:left="0" w:right="0" w:firstLine="0" w:firstLineChars="0"/>
              <w:jc w:val="center"/>
              <w:rPr>
                <w:rFonts w:hint="eastAsia" w:ascii="宋体" w:hAnsi="宋体" w:eastAsia="宋体" w:cs="宋体"/>
                <w:color w:val="auto"/>
                <w:sz w:val="21"/>
                <w:szCs w:val="21"/>
                <w:highlight w:val="none"/>
              </w:rPr>
            </w:pPr>
            <w:r>
              <w:rPr>
                <w:rFonts w:hint="eastAsia" w:hAnsi="宋体" w:eastAsia="宋体" w:cs="宋体"/>
                <w:bCs/>
                <w:sz w:val="21"/>
                <w:szCs w:val="21"/>
                <w:highlight w:val="none"/>
                <w:lang w:val="en-US" w:eastAsia="zh-CN"/>
              </w:rPr>
              <w:t>维护实施方案</w:t>
            </w:r>
            <w:r>
              <w:rPr>
                <w:rFonts w:hint="eastAsia" w:hAnsi="宋体" w:eastAsia="宋体" w:cs="宋体"/>
                <w:bCs/>
                <w:sz w:val="21"/>
                <w:szCs w:val="21"/>
                <w:highlight w:val="none"/>
              </w:rPr>
              <w:t>（</w:t>
            </w:r>
            <w:r>
              <w:rPr>
                <w:rFonts w:hint="eastAsia" w:hAnsi="宋体" w:eastAsia="宋体" w:cs="宋体"/>
                <w:bCs/>
                <w:sz w:val="21"/>
                <w:szCs w:val="21"/>
                <w:highlight w:val="none"/>
                <w:lang w:val="en-US" w:eastAsia="zh-CN"/>
              </w:rPr>
              <w:t>10</w:t>
            </w:r>
            <w:r>
              <w:rPr>
                <w:rFonts w:hint="eastAsia" w:hAnsi="宋体" w:eastAsia="宋体" w:cs="宋体"/>
                <w:bCs/>
                <w:sz w:val="21"/>
                <w:szCs w:val="21"/>
                <w:highlight w:val="none"/>
              </w:rPr>
              <w:t>分）</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p>
        </w:tc>
        <w:tc>
          <w:tcPr>
            <w:tcW w:w="2355" w:type="dxa"/>
            <w:gridSpan w:val="2"/>
            <w:vAlign w:val="center"/>
          </w:tcPr>
          <w:p>
            <w:pPr>
              <w:pStyle w:val="34"/>
              <w:snapToGrid w:val="0"/>
              <w:spacing w:before="0" w:beforeAutospacing="0" w:after="0" w:line="400" w:lineRule="exact"/>
              <w:ind w:left="0" w:right="0" w:firstLine="0" w:firstLineChars="0"/>
              <w:jc w:val="center"/>
              <w:rPr>
                <w:rFonts w:hint="eastAsia" w:ascii="宋体" w:hAnsi="宋体" w:eastAsia="宋体" w:cs="宋体"/>
                <w:color w:val="auto"/>
                <w:sz w:val="21"/>
                <w:szCs w:val="21"/>
                <w:highlight w:val="none"/>
              </w:rPr>
            </w:pPr>
            <w:r>
              <w:rPr>
                <w:rFonts w:hint="eastAsia" w:hAnsi="宋体" w:eastAsia="宋体" w:cs="宋体"/>
                <w:bCs/>
                <w:sz w:val="21"/>
                <w:szCs w:val="21"/>
                <w:highlight w:val="none"/>
              </w:rPr>
              <w:t>突发事件应急预案和保障措施（</w:t>
            </w:r>
            <w:r>
              <w:rPr>
                <w:rFonts w:hint="eastAsia" w:hAnsi="宋体" w:eastAsia="宋体" w:cs="宋体"/>
                <w:bCs/>
                <w:sz w:val="21"/>
                <w:szCs w:val="21"/>
                <w:highlight w:val="none"/>
                <w:lang w:val="en-US" w:eastAsia="zh-CN"/>
              </w:rPr>
              <w:t>5</w:t>
            </w:r>
            <w:r>
              <w:rPr>
                <w:rFonts w:hint="eastAsia" w:hAnsi="宋体" w:eastAsia="宋体" w:cs="宋体"/>
                <w:bCs/>
                <w:sz w:val="21"/>
                <w:szCs w:val="21"/>
                <w:highlight w:val="none"/>
              </w:rPr>
              <w:t>分）</w:t>
            </w:r>
          </w:p>
        </w:tc>
        <w:tc>
          <w:tcPr>
            <w:tcW w:w="5048" w:type="dxa"/>
            <w:vMerge w:val="continue"/>
            <w:vAlign w:val="center"/>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评标标准详见</w:t>
            </w:r>
          </w:p>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kern w:val="0"/>
                <w:szCs w:val="21"/>
                <w:highlight w:val="none"/>
              </w:rPr>
              <w:t>得分</w:t>
            </w:r>
            <w:r>
              <w:rPr>
                <w:rFonts w:hint="eastAsia" w:ascii="宋体" w:hAnsi="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所有通过初步评审和本章第2.2.2（3）目评审合格的投标人</w:t>
            </w:r>
            <w:r>
              <w:rPr>
                <w:rFonts w:hint="eastAsia" w:ascii="宋体" w:hAnsi="宋体" w:cs="宋体"/>
                <w:color w:val="auto"/>
                <w:szCs w:val="21"/>
                <w:highlight w:val="none"/>
              </w:rPr>
              <w:t>的投标总报</w:t>
            </w:r>
            <w:r>
              <w:rPr>
                <w:rFonts w:hint="eastAsia" w:ascii="宋体" w:hAnsi="宋体" w:cs="宋体"/>
                <w:color w:val="auto"/>
                <w:kern w:val="0"/>
                <w:szCs w:val="21"/>
                <w:highlight w:val="none"/>
              </w:rPr>
              <w:t>价</w:t>
            </w:r>
            <w:r>
              <w:rPr>
                <w:rFonts w:hint="eastAsia" w:ascii="宋体" w:hAnsi="宋体" w:cs="宋体"/>
                <w:color w:val="auto"/>
                <w:szCs w:val="21"/>
                <w:highlight w:val="none"/>
              </w:rPr>
              <w:t>得</w:t>
            </w:r>
            <w:r>
              <w:rPr>
                <w:rFonts w:hint="eastAsia" w:ascii="宋体" w:hAnsi="宋体" w:cs="宋体"/>
                <w:bCs/>
                <w:color w:val="auto"/>
                <w:szCs w:val="21"/>
                <w:highlight w:val="none"/>
              </w:rPr>
              <w:t>本附表第2.2.1项规定分值的满分</w:t>
            </w:r>
            <w:r>
              <w:rPr>
                <w:rFonts w:hint="eastAsia" w:ascii="宋体" w:hAnsi="宋体" w:cs="宋体"/>
                <w:bCs/>
                <w:color w:val="auto"/>
                <w:szCs w:val="21"/>
                <w:highlight w:val="none"/>
                <w:u w:val="single"/>
              </w:rPr>
              <w:t xml:space="preserve">  70   </w:t>
            </w:r>
            <w:r>
              <w:rPr>
                <w:rFonts w:hint="eastAsia" w:ascii="宋体" w:hAnsi="宋体" w:cs="宋体"/>
                <w:color w:val="auto"/>
                <w:szCs w:val="21"/>
                <w:highlight w:val="none"/>
              </w:rPr>
              <w:t>分。在此基础上，投标总报价与评标基准价相比，每增加1%扣</w:t>
            </w:r>
            <w:r>
              <w:rPr>
                <w:rFonts w:hint="eastAsia" w:ascii="宋体" w:hAnsi="宋体" w:cs="宋体"/>
                <w:color w:val="auto"/>
                <w:szCs w:val="21"/>
                <w:highlight w:val="none"/>
                <w:u w:val="single"/>
              </w:rPr>
              <w:t>0.5</w:t>
            </w:r>
            <w:r>
              <w:rPr>
                <w:rFonts w:hint="eastAsia" w:ascii="宋体" w:hAnsi="宋体" w:cs="宋体"/>
                <w:color w:val="auto"/>
                <w:szCs w:val="21"/>
                <w:highlight w:val="none"/>
              </w:rPr>
              <w:t>分，每减少1%扣</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2分</w:t>
            </w:r>
            <w:r>
              <w:rPr>
                <w:rFonts w:hint="eastAsia" w:ascii="宋体" w:hAnsi="宋体" w:cs="宋体"/>
                <w:color w:val="auto"/>
                <w:szCs w:val="21"/>
                <w:highlight w:val="none"/>
              </w:rPr>
              <w:t>，</w:t>
            </w:r>
            <w:r>
              <w:rPr>
                <w:rFonts w:hint="eastAsia" w:ascii="宋体" w:hAnsi="宋体" w:cs="宋体"/>
                <w:szCs w:val="21"/>
                <w:highlight w:val="none"/>
                <w:lang w:eastAsia="zh-CN"/>
              </w:rPr>
              <w:t>最多扣10分</w:t>
            </w:r>
            <w:r>
              <w:rPr>
                <w:rFonts w:hint="eastAsia" w:ascii="宋体" w:hAnsi="宋体" w:cs="宋体"/>
                <w:color w:val="auto"/>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按插入法计算得分。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cs="宋体"/>
                <w:color w:val="auto"/>
                <w:szCs w:val="21"/>
                <w:highlight w:val="none"/>
              </w:rPr>
            </w:pPr>
            <w:r>
              <w:rPr>
                <w:rFonts w:hint="eastAsia" w:ascii="宋体" w:hAnsi="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18" w:firstLineChars="9"/>
              <w:jc w:val="center"/>
              <w:rPr>
                <w:rFonts w:hint="default" w:ascii="宋体" w:hAnsi="宋体" w:cs="宋体"/>
                <w:color w:val="auto"/>
                <w:kern w:val="0"/>
                <w:szCs w:val="21"/>
                <w:highlight w:val="none"/>
              </w:rPr>
            </w:pPr>
            <w:r>
              <w:rPr>
                <w:rFonts w:hint="eastAsia" w:ascii="宋体" w:hAnsi="宋体" w:cs="宋体"/>
                <w:color w:val="auto"/>
                <w:szCs w:val="21"/>
                <w:highlight w:val="none"/>
              </w:rPr>
              <w:t>投标人得分=A+B+C</w:t>
            </w:r>
          </w:p>
        </w:tc>
      </w:tr>
    </w:tbl>
    <w:p>
      <w:pPr>
        <w:pStyle w:val="4"/>
        <w:spacing w:before="0" w:after="0" w:line="360" w:lineRule="auto"/>
        <w:rPr>
          <w:rFonts w:hint="eastAsia" w:ascii="宋体" w:hAnsi="宋体" w:cs="宋体"/>
          <w:b w:val="0"/>
          <w:snapToGrid w:val="0"/>
          <w:color w:val="auto"/>
          <w:highlight w:val="none"/>
        </w:rPr>
      </w:pPr>
      <w:bookmarkStart w:id="319" w:name="_Toc33106452"/>
      <w:r>
        <w:rPr>
          <w:rFonts w:hint="eastAsia" w:ascii="宋体" w:hAnsi="宋体" w:cs="宋体"/>
          <w:b w:val="0"/>
          <w:snapToGrid w:val="0"/>
          <w:color w:val="auto"/>
          <w:highlight w:val="none"/>
        </w:rPr>
        <w:br w:type="page"/>
      </w:r>
      <w:bookmarkStart w:id="320" w:name="_Toc32692"/>
      <w:bookmarkStart w:id="321" w:name="_Toc24382"/>
      <w:bookmarkStart w:id="322" w:name="_Toc13156"/>
      <w:bookmarkStart w:id="323" w:name="_Toc27639"/>
      <w:r>
        <w:rPr>
          <w:rFonts w:hint="eastAsia" w:ascii="宋体" w:hAnsi="宋体" w:cs="宋体"/>
          <w:color w:val="auto"/>
          <w:sz w:val="28"/>
          <w:szCs w:val="28"/>
          <w:highlight w:val="none"/>
        </w:rPr>
        <w:t>1. 评标方法</w:t>
      </w:r>
      <w:bookmarkEnd w:id="319"/>
      <w:bookmarkEnd w:id="320"/>
      <w:bookmarkEnd w:id="321"/>
      <w:bookmarkEnd w:id="322"/>
      <w:bookmarkEnd w:id="323"/>
    </w:p>
    <w:p>
      <w:pPr>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本次评标采用综合</w:t>
      </w:r>
      <w:r>
        <w:rPr>
          <w:rFonts w:hint="eastAsia" w:ascii="宋体" w:hAnsi="宋体" w:cs="宋体"/>
          <w:color w:val="auto"/>
          <w:kern w:val="0"/>
          <w:szCs w:val="21"/>
          <w:highlight w:val="none"/>
          <w:lang w:val="en-US" w:eastAsia="zh-CN"/>
        </w:rPr>
        <w:t>评估</w:t>
      </w:r>
      <w:r>
        <w:rPr>
          <w:rFonts w:hint="eastAsia" w:ascii="宋体" w:hAnsi="宋体" w:cs="宋体"/>
          <w:color w:val="auto"/>
          <w:kern w:val="0"/>
          <w:szCs w:val="21"/>
          <w:highlight w:val="none"/>
        </w:rPr>
        <w:t>法</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 xml:space="preserve">评标委员会按照本章第 </w:t>
      </w:r>
      <w:r>
        <w:rPr>
          <w:rFonts w:hint="eastAsia" w:ascii="宋体" w:hAnsi="宋体" w:cs="宋体"/>
          <w:color w:val="auto"/>
          <w:spacing w:val="1"/>
          <w:kern w:val="0"/>
          <w:szCs w:val="21"/>
          <w:highlight w:val="none"/>
        </w:rPr>
        <w:t>2</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2</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款</w:t>
      </w:r>
      <w:r>
        <w:rPr>
          <w:rFonts w:hint="eastAsia" w:ascii="宋体" w:hAnsi="宋体" w:cs="宋体"/>
          <w:color w:val="auto"/>
          <w:spacing w:val="-1"/>
          <w:kern w:val="0"/>
          <w:szCs w:val="21"/>
          <w:highlight w:val="none"/>
        </w:rPr>
        <w:t>规</w:t>
      </w:r>
      <w:r>
        <w:rPr>
          <w:rFonts w:hint="eastAsia" w:ascii="宋体" w:hAnsi="宋体" w:cs="宋体"/>
          <w:color w:val="auto"/>
          <w:kern w:val="0"/>
          <w:szCs w:val="21"/>
          <w:highlight w:val="none"/>
        </w:rPr>
        <w:t>定的评分标准进行评分，按得分由高到低顺序推荐中标候选人</w:t>
      </w:r>
      <w:r>
        <w:rPr>
          <w:rFonts w:hint="eastAsia" w:ascii="宋体" w:hAnsi="宋体" w:cs="宋体"/>
          <w:color w:val="auto"/>
          <w:spacing w:val="-20"/>
          <w:kern w:val="0"/>
          <w:szCs w:val="21"/>
          <w:highlight w:val="none"/>
        </w:rPr>
        <w:t>，</w:t>
      </w:r>
      <w:r>
        <w:rPr>
          <w:rFonts w:hint="eastAsia" w:ascii="宋体" w:hAnsi="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cs="宋体"/>
          <w:color w:val="auto"/>
          <w:spacing w:val="-31"/>
          <w:kern w:val="0"/>
          <w:szCs w:val="21"/>
          <w:highlight w:val="none"/>
        </w:rPr>
        <w:t>。</w:t>
      </w:r>
    </w:p>
    <w:p>
      <w:pPr>
        <w:pStyle w:val="4"/>
        <w:spacing w:before="0" w:after="0" w:line="360" w:lineRule="auto"/>
        <w:rPr>
          <w:rFonts w:ascii="宋体" w:hAnsi="宋体" w:cs="宋体"/>
          <w:color w:val="auto"/>
          <w:sz w:val="28"/>
          <w:szCs w:val="28"/>
          <w:highlight w:val="none"/>
        </w:rPr>
      </w:pPr>
      <w:bookmarkStart w:id="324" w:name="_Toc430530501"/>
      <w:bookmarkStart w:id="325" w:name="_Toc287607813"/>
      <w:bookmarkStart w:id="326" w:name="_Toc277082619"/>
      <w:bookmarkStart w:id="327" w:name="_Toc33106453"/>
      <w:bookmarkStart w:id="328" w:name="_Toc509218777"/>
      <w:bookmarkStart w:id="329" w:name="_Toc16090"/>
      <w:bookmarkStart w:id="330" w:name="_Toc287620752"/>
      <w:bookmarkStart w:id="331" w:name="_Toc13997"/>
      <w:bookmarkStart w:id="332" w:name="_Toc32356"/>
      <w:bookmarkStart w:id="333" w:name="_Toc30557"/>
      <w:bookmarkStart w:id="334" w:name="_Toc200513199"/>
      <w:bookmarkStart w:id="335" w:name="_Toc224103385"/>
      <w:r>
        <w:rPr>
          <w:rFonts w:hint="eastAsia" w:ascii="宋体" w:hAnsi="宋体" w:cs="宋体"/>
          <w:color w:val="auto"/>
          <w:sz w:val="28"/>
          <w:szCs w:val="28"/>
          <w:highlight w:val="none"/>
        </w:rPr>
        <w:t>2. 评审标准</w:t>
      </w:r>
      <w:bookmarkEnd w:id="324"/>
      <w:bookmarkEnd w:id="325"/>
      <w:bookmarkEnd w:id="326"/>
      <w:bookmarkEnd w:id="327"/>
      <w:bookmarkEnd w:id="328"/>
      <w:bookmarkEnd w:id="329"/>
      <w:bookmarkEnd w:id="330"/>
      <w:bookmarkEnd w:id="331"/>
      <w:bookmarkEnd w:id="332"/>
      <w:bookmarkEnd w:id="333"/>
      <w:bookmarkEnd w:id="334"/>
      <w:bookmarkEnd w:id="335"/>
    </w:p>
    <w:p>
      <w:pPr>
        <w:pStyle w:val="5"/>
        <w:spacing w:before="0" w:after="0" w:line="360" w:lineRule="auto"/>
        <w:rPr>
          <w:rFonts w:ascii="宋体" w:hAnsi="宋体" w:cs="宋体"/>
          <w:color w:val="auto"/>
          <w:sz w:val="21"/>
          <w:szCs w:val="21"/>
          <w:highlight w:val="none"/>
        </w:rPr>
      </w:pPr>
      <w:bookmarkStart w:id="336" w:name="_Toc29493"/>
      <w:bookmarkStart w:id="337" w:name="_Toc200513200"/>
      <w:bookmarkStart w:id="338" w:name="_Toc287620753"/>
      <w:bookmarkStart w:id="339" w:name="_Toc509218778"/>
      <w:bookmarkStart w:id="340" w:name="_Toc224103386"/>
      <w:bookmarkStart w:id="341" w:name="_Toc33106454"/>
      <w:bookmarkStart w:id="342" w:name="_Toc277082620"/>
      <w:bookmarkStart w:id="343" w:name="_Toc430530502"/>
      <w:bookmarkStart w:id="344" w:name="_Toc19203"/>
      <w:bookmarkStart w:id="345" w:name="_Toc287607814"/>
      <w:bookmarkStart w:id="346" w:name="_Toc2134"/>
      <w:bookmarkStart w:id="347" w:name="_Toc9299"/>
      <w:r>
        <w:rPr>
          <w:rFonts w:hint="eastAsia" w:ascii="宋体" w:hAnsi="宋体" w:cs="宋体"/>
          <w:color w:val="auto"/>
          <w:sz w:val="21"/>
          <w:szCs w:val="21"/>
          <w:highlight w:val="none"/>
        </w:rPr>
        <w:t>2.1 初步评审标准</w:t>
      </w:r>
      <w:bookmarkEnd w:id="336"/>
      <w:bookmarkEnd w:id="337"/>
      <w:bookmarkEnd w:id="338"/>
      <w:bookmarkEnd w:id="339"/>
      <w:bookmarkEnd w:id="340"/>
      <w:bookmarkEnd w:id="341"/>
      <w:bookmarkEnd w:id="342"/>
      <w:bookmarkEnd w:id="343"/>
      <w:bookmarkEnd w:id="344"/>
      <w:bookmarkEnd w:id="345"/>
      <w:bookmarkEnd w:id="346"/>
      <w:bookmarkEnd w:id="347"/>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2.1.3 响应性评审标准：见评标办法前附表。</w:t>
      </w:r>
    </w:p>
    <w:p>
      <w:pPr>
        <w:pStyle w:val="5"/>
        <w:spacing w:before="0" w:after="0" w:line="360" w:lineRule="auto"/>
        <w:rPr>
          <w:rFonts w:ascii="宋体" w:hAnsi="宋体" w:cs="宋体"/>
          <w:color w:val="auto"/>
          <w:sz w:val="21"/>
          <w:szCs w:val="21"/>
          <w:highlight w:val="none"/>
        </w:rPr>
      </w:pPr>
      <w:bookmarkStart w:id="348" w:name="_Toc16496"/>
      <w:bookmarkStart w:id="349" w:name="_Toc287620754"/>
      <w:bookmarkStart w:id="350" w:name="_Toc287607815"/>
      <w:bookmarkStart w:id="351" w:name="_Toc200513201"/>
      <w:bookmarkStart w:id="352" w:name="_Toc14556"/>
      <w:bookmarkStart w:id="353" w:name="_Toc509218779"/>
      <w:bookmarkStart w:id="354" w:name="_Toc32706"/>
      <w:bookmarkStart w:id="355" w:name="_Toc28563"/>
      <w:bookmarkStart w:id="356" w:name="_Toc33106455"/>
      <w:bookmarkStart w:id="357" w:name="_Toc430530503"/>
      <w:bookmarkStart w:id="358" w:name="_Toc277082621"/>
      <w:bookmarkStart w:id="359" w:name="_Toc224103387"/>
      <w:r>
        <w:rPr>
          <w:rFonts w:hint="eastAsia" w:ascii="宋体" w:hAnsi="宋体" w:cs="宋体"/>
          <w:color w:val="auto"/>
          <w:sz w:val="21"/>
          <w:szCs w:val="21"/>
          <w:highlight w:val="none"/>
        </w:rPr>
        <w:t>2.2 分值构成与评分标准</w:t>
      </w:r>
      <w:bookmarkEnd w:id="348"/>
      <w:bookmarkEnd w:id="349"/>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1</w:t>
      </w:r>
      <w:r>
        <w:rPr>
          <w:rFonts w:hint="eastAsia" w:ascii="宋体" w:hAnsi="宋体" w:cs="宋体"/>
          <w:color w:val="auto"/>
          <w:kern w:val="0"/>
          <w:szCs w:val="21"/>
          <w:highlight w:val="none"/>
        </w:rPr>
        <w:t>）技术部分：见评标办法前附表；</w:t>
      </w:r>
    </w:p>
    <w:p>
      <w:pPr>
        <w:pStyle w:val="2"/>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）投标总</w:t>
      </w:r>
      <w:r>
        <w:rPr>
          <w:rFonts w:hint="eastAsia" w:ascii="宋体" w:hAnsi="宋体" w:cs="宋体"/>
          <w:color w:val="auto"/>
          <w:spacing w:val="-1"/>
          <w:kern w:val="0"/>
          <w:szCs w:val="21"/>
          <w:highlight w:val="none"/>
        </w:rPr>
        <w:t>报</w:t>
      </w:r>
      <w:r>
        <w:rPr>
          <w:rFonts w:hint="eastAsia" w:ascii="宋体" w:hAnsi="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cs="宋体"/>
          <w:color w:val="auto"/>
          <w:kern w:val="0"/>
          <w:szCs w:val="21"/>
          <w:highlight w:val="none"/>
        </w:rPr>
      </w:pPr>
      <w:r>
        <w:rPr>
          <w:rFonts w:hint="eastAsia" w:ascii="宋体" w:hAnsi="宋体" w:cs="宋体"/>
          <w:color w:val="auto"/>
          <w:kern w:val="0"/>
          <w:szCs w:val="21"/>
          <w:highlight w:val="none"/>
        </w:rPr>
        <w:t>投标报价的偏差率计算公式：见评标办法前附表。</w:t>
      </w:r>
    </w:p>
    <w:p>
      <w:pPr>
        <w:pStyle w:val="4"/>
        <w:spacing w:before="0" w:after="0" w:line="360" w:lineRule="auto"/>
        <w:rPr>
          <w:rFonts w:ascii="宋体" w:hAnsi="宋体" w:cs="宋体"/>
          <w:color w:val="auto"/>
          <w:sz w:val="28"/>
          <w:szCs w:val="28"/>
          <w:highlight w:val="none"/>
        </w:rPr>
      </w:pPr>
      <w:bookmarkStart w:id="360" w:name="_Toc224103388"/>
      <w:bookmarkStart w:id="361" w:name="_Toc277082622"/>
      <w:bookmarkStart w:id="362" w:name="_Toc287607816"/>
      <w:bookmarkStart w:id="363" w:name="_Toc28328"/>
      <w:bookmarkStart w:id="364" w:name="_Toc6860"/>
      <w:bookmarkStart w:id="365" w:name="_Toc8491"/>
      <w:bookmarkStart w:id="366" w:name="_Toc287620755"/>
      <w:bookmarkStart w:id="367" w:name="_Toc33106456"/>
      <w:bookmarkStart w:id="368" w:name="_Toc509218780"/>
      <w:bookmarkStart w:id="369" w:name="_Toc200513202"/>
      <w:bookmarkStart w:id="370" w:name="_Toc17691"/>
      <w:bookmarkStart w:id="371" w:name="_Toc430530504"/>
      <w:r>
        <w:rPr>
          <w:rFonts w:hint="eastAsia" w:ascii="宋体" w:hAnsi="宋体" w:cs="宋体"/>
          <w:color w:val="auto"/>
          <w:sz w:val="28"/>
          <w:szCs w:val="28"/>
          <w:highlight w:val="none"/>
        </w:rPr>
        <w:t>3. 评标程序</w:t>
      </w:r>
      <w:bookmarkEnd w:id="360"/>
      <w:bookmarkEnd w:id="361"/>
      <w:bookmarkEnd w:id="362"/>
      <w:bookmarkEnd w:id="363"/>
      <w:bookmarkEnd w:id="364"/>
      <w:bookmarkEnd w:id="365"/>
      <w:bookmarkEnd w:id="366"/>
      <w:bookmarkEnd w:id="367"/>
      <w:bookmarkEnd w:id="368"/>
      <w:bookmarkEnd w:id="369"/>
      <w:bookmarkEnd w:id="370"/>
      <w:bookmarkEnd w:id="371"/>
    </w:p>
    <w:p>
      <w:pPr>
        <w:pStyle w:val="5"/>
        <w:spacing w:before="0" w:after="0" w:line="360" w:lineRule="auto"/>
        <w:rPr>
          <w:rFonts w:ascii="宋体" w:hAnsi="宋体" w:cs="宋体"/>
          <w:color w:val="auto"/>
          <w:sz w:val="21"/>
          <w:szCs w:val="21"/>
          <w:highlight w:val="none"/>
        </w:rPr>
      </w:pPr>
      <w:bookmarkStart w:id="372" w:name="_Toc287607817"/>
      <w:bookmarkStart w:id="373" w:name="_Toc25114"/>
      <w:bookmarkStart w:id="374" w:name="_Toc1238"/>
      <w:bookmarkStart w:id="375" w:name="_Toc509218781"/>
      <w:bookmarkStart w:id="376" w:name="_Toc200513203"/>
      <w:bookmarkStart w:id="377" w:name="_Toc430530505"/>
      <w:bookmarkStart w:id="378" w:name="_Toc277082623"/>
      <w:bookmarkStart w:id="379" w:name="_Toc33106457"/>
      <w:bookmarkStart w:id="380" w:name="_Toc8848"/>
      <w:bookmarkStart w:id="381" w:name="_Toc224103389"/>
      <w:bookmarkStart w:id="382" w:name="_Toc703"/>
      <w:bookmarkStart w:id="383" w:name="_Toc287620756"/>
      <w:r>
        <w:rPr>
          <w:rFonts w:hint="eastAsia" w:ascii="宋体" w:hAnsi="宋体" w:cs="宋体"/>
          <w:color w:val="auto"/>
          <w:sz w:val="21"/>
          <w:szCs w:val="21"/>
          <w:highlight w:val="none"/>
        </w:rPr>
        <w:t>3.1 初步评审</w:t>
      </w:r>
      <w:bookmarkEnd w:id="372"/>
      <w:bookmarkEnd w:id="373"/>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1</w:t>
      </w:r>
      <w:r>
        <w:rPr>
          <w:rFonts w:hint="eastAsia" w:ascii="宋体" w:hAnsi="宋体" w:cs="宋体"/>
          <w:color w:val="auto"/>
          <w:kern w:val="0"/>
          <w:szCs w:val="21"/>
          <w:highlight w:val="none"/>
        </w:rPr>
        <w:t>）第二</w:t>
      </w:r>
      <w:r>
        <w:rPr>
          <w:rFonts w:hint="eastAsia" w:ascii="宋体" w:hAnsi="宋体" w:cs="宋体"/>
          <w:color w:val="auto"/>
          <w:spacing w:val="-1"/>
          <w:kern w:val="0"/>
          <w:szCs w:val="21"/>
          <w:highlight w:val="none"/>
        </w:rPr>
        <w:t>章</w:t>
      </w:r>
      <w:r>
        <w:rPr>
          <w:rFonts w:hint="eastAsia" w:ascii="宋体" w:hAnsi="宋体" w:cs="宋体"/>
          <w:color w:val="auto"/>
          <w:kern w:val="0"/>
          <w:szCs w:val="21"/>
          <w:highlight w:val="none"/>
        </w:rPr>
        <w:t>“投标人须知”第</w:t>
      </w:r>
      <w:r>
        <w:rPr>
          <w:rFonts w:hint="eastAsia" w:ascii="宋体" w:hAnsi="宋体" w:cs="宋体"/>
          <w:color w:val="auto"/>
          <w:spacing w:val="1"/>
          <w:kern w:val="0"/>
          <w:szCs w:val="21"/>
          <w:highlight w:val="none"/>
        </w:rPr>
        <w:t>1</w:t>
      </w:r>
      <w:r>
        <w:rPr>
          <w:rFonts w:hint="eastAsia" w:ascii="宋体" w:hAnsi="宋体" w:cs="宋体"/>
          <w:color w:val="auto"/>
          <w:spacing w:val="-1"/>
          <w:kern w:val="0"/>
          <w:szCs w:val="21"/>
          <w:highlight w:val="none"/>
        </w:rPr>
        <w:t>.</w:t>
      </w:r>
      <w:r>
        <w:rPr>
          <w:rFonts w:hint="eastAsia" w:ascii="宋体" w:hAnsi="宋体" w:cs="宋体"/>
          <w:color w:val="auto"/>
          <w:spacing w:val="1"/>
          <w:kern w:val="0"/>
          <w:szCs w:val="21"/>
          <w:highlight w:val="none"/>
        </w:rPr>
        <w:t>4</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2</w:t>
      </w:r>
      <w:r>
        <w:rPr>
          <w:rFonts w:hint="eastAsia" w:ascii="宋体" w:hAnsi="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）拒绝按</w:t>
      </w:r>
      <w:r>
        <w:rPr>
          <w:rFonts w:hint="eastAsia" w:ascii="宋体" w:hAnsi="宋体" w:cs="宋体"/>
          <w:color w:val="auto"/>
          <w:spacing w:val="-1"/>
          <w:kern w:val="0"/>
          <w:szCs w:val="21"/>
          <w:highlight w:val="none"/>
        </w:rPr>
        <w:t>评</w:t>
      </w:r>
      <w:r>
        <w:rPr>
          <w:rFonts w:hint="eastAsia" w:ascii="宋体" w:hAnsi="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84" w:name="_Toc30594"/>
      <w:bookmarkStart w:id="385" w:name="_Toc287607818"/>
      <w:bookmarkStart w:id="386" w:name="_Toc18548"/>
      <w:bookmarkStart w:id="387" w:name="_Toc287620757"/>
      <w:bookmarkStart w:id="388" w:name="_Toc277082624"/>
      <w:bookmarkStart w:id="389" w:name="_Toc11082"/>
      <w:bookmarkStart w:id="390" w:name="_Toc200513204"/>
      <w:bookmarkStart w:id="391" w:name="_Toc28223"/>
      <w:bookmarkStart w:id="392" w:name="_Toc224103390"/>
      <w:bookmarkStart w:id="393" w:name="_Toc430530506"/>
      <w:bookmarkStart w:id="394" w:name="_Toc33106458"/>
      <w:bookmarkStart w:id="395" w:name="_Toc509218782"/>
      <w:r>
        <w:rPr>
          <w:rFonts w:hint="eastAsia" w:ascii="宋体" w:hAnsi="宋体" w:cs="宋体"/>
          <w:color w:val="auto"/>
          <w:sz w:val="21"/>
          <w:szCs w:val="21"/>
          <w:highlight w:val="none"/>
        </w:rPr>
        <w:t>3.2 详细评审</w:t>
      </w:r>
      <w:bookmarkEnd w:id="384"/>
      <w:bookmarkEnd w:id="385"/>
      <w:bookmarkEnd w:id="386"/>
      <w:bookmarkEnd w:id="387"/>
      <w:bookmarkEnd w:id="388"/>
      <w:bookmarkEnd w:id="389"/>
      <w:bookmarkEnd w:id="390"/>
      <w:bookmarkEnd w:id="391"/>
      <w:bookmarkEnd w:id="392"/>
      <w:bookmarkEnd w:id="393"/>
      <w:bookmarkEnd w:id="394"/>
      <w:bookmarkEnd w:id="395"/>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（1）按本章第3.2.1（1）目规定的评审因素和分值对技术部分计算出得分A（</w:t>
      </w:r>
      <w:r>
        <w:rPr>
          <w:rFonts w:hint="eastAsia" w:ascii="宋体" w:hAnsi="宋体" w:cs="宋体"/>
          <w:color w:val="auto"/>
          <w:kern w:val="0"/>
          <w:szCs w:val="21"/>
          <w:highlight w:val="none"/>
          <w:lang w:eastAsia="zh-CN"/>
        </w:rPr>
        <w:t>评标委员会成员为5人及以上时，所有评委评分中去掉一个最高和一个最低分，余下评委评分取算术平均值为该投标人技术部分得分</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  投标人得分=A+B+C。</w:t>
      </w:r>
    </w:p>
    <w:p>
      <w:pPr>
        <w:pStyle w:val="5"/>
        <w:spacing w:before="0" w:after="0" w:line="360" w:lineRule="auto"/>
        <w:rPr>
          <w:rFonts w:ascii="宋体" w:hAnsi="宋体" w:cs="宋体"/>
          <w:color w:val="auto"/>
          <w:sz w:val="21"/>
          <w:szCs w:val="21"/>
          <w:highlight w:val="none"/>
        </w:rPr>
      </w:pPr>
      <w:bookmarkStart w:id="396" w:name="_Toc224103391"/>
      <w:bookmarkStart w:id="397" w:name="_Toc277082625"/>
      <w:bookmarkStart w:id="398" w:name="_Toc509218783"/>
      <w:bookmarkStart w:id="399" w:name="_Toc33106459"/>
      <w:bookmarkStart w:id="400" w:name="_Toc15378"/>
      <w:bookmarkStart w:id="401" w:name="_Toc5580"/>
      <w:bookmarkStart w:id="402" w:name="_Toc287620758"/>
      <w:bookmarkStart w:id="403" w:name="_Toc200513205"/>
      <w:bookmarkStart w:id="404" w:name="_Toc26722"/>
      <w:bookmarkStart w:id="405" w:name="_Toc9816"/>
      <w:bookmarkStart w:id="406" w:name="_Toc430530507"/>
      <w:bookmarkStart w:id="407" w:name="_Toc287607819"/>
      <w:r>
        <w:rPr>
          <w:rFonts w:hint="eastAsia" w:ascii="宋体" w:hAnsi="宋体" w:cs="宋体"/>
          <w:color w:val="auto"/>
          <w:sz w:val="21"/>
          <w:szCs w:val="21"/>
          <w:highlight w:val="none"/>
        </w:rPr>
        <w:t>3.3 投标文件的澄清和补正</w:t>
      </w:r>
      <w:bookmarkEnd w:id="396"/>
      <w:bookmarkEnd w:id="397"/>
      <w:bookmarkEnd w:id="398"/>
      <w:bookmarkEnd w:id="399"/>
      <w:bookmarkEnd w:id="400"/>
      <w:bookmarkEnd w:id="401"/>
      <w:bookmarkEnd w:id="402"/>
      <w:bookmarkEnd w:id="403"/>
      <w:bookmarkEnd w:id="404"/>
      <w:bookmarkEnd w:id="405"/>
      <w:bookmarkEnd w:id="406"/>
      <w:bookmarkEnd w:id="407"/>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408" w:name="_Toc224103392"/>
      <w:bookmarkStart w:id="409" w:name="_Toc28661"/>
      <w:bookmarkStart w:id="410" w:name="_Toc33106460"/>
      <w:bookmarkStart w:id="411" w:name="_Toc277082626"/>
      <w:bookmarkStart w:id="412" w:name="_Toc509218784"/>
      <w:bookmarkStart w:id="413" w:name="_Toc287620759"/>
      <w:bookmarkStart w:id="414" w:name="_Toc4100"/>
      <w:bookmarkStart w:id="415" w:name="_Toc21447"/>
      <w:bookmarkStart w:id="416" w:name="_Toc287607820"/>
      <w:bookmarkStart w:id="417" w:name="_Toc430530508"/>
      <w:bookmarkStart w:id="418" w:name="_Toc200513206"/>
      <w:bookmarkStart w:id="419" w:name="_Toc9537"/>
      <w:r>
        <w:rPr>
          <w:rFonts w:hint="eastAsia" w:ascii="宋体" w:hAnsi="宋体" w:cs="宋体"/>
          <w:color w:val="auto"/>
          <w:sz w:val="21"/>
          <w:szCs w:val="21"/>
          <w:highlight w:val="none"/>
        </w:rPr>
        <w:t>3.4 评标结果</w:t>
      </w:r>
      <w:bookmarkEnd w:id="408"/>
      <w:bookmarkEnd w:id="409"/>
      <w:bookmarkEnd w:id="410"/>
      <w:bookmarkEnd w:id="411"/>
      <w:bookmarkEnd w:id="412"/>
      <w:bookmarkEnd w:id="413"/>
      <w:bookmarkEnd w:id="414"/>
      <w:bookmarkEnd w:id="415"/>
      <w:bookmarkEnd w:id="416"/>
      <w:bookmarkEnd w:id="417"/>
      <w:bookmarkEnd w:id="418"/>
      <w:bookmarkEnd w:id="419"/>
    </w:p>
    <w:p>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pacing w:val="-1"/>
          <w:kern w:val="0"/>
          <w:szCs w:val="21"/>
          <w:highlight w:val="none"/>
        </w:rPr>
        <w:t>4</w:t>
      </w:r>
      <w:r>
        <w:rPr>
          <w:rFonts w:hint="eastAsia" w:ascii="宋体" w:hAnsi="宋体" w:cs="宋体"/>
          <w:color w:val="auto"/>
          <w:kern w:val="0"/>
          <w:szCs w:val="21"/>
          <w:highlight w:val="none"/>
        </w:rPr>
        <w:t>.1 除第二章“投标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须知”前</w:t>
      </w:r>
      <w:r>
        <w:rPr>
          <w:rFonts w:hint="eastAsia" w:ascii="宋体" w:hAnsi="宋体" w:cs="宋体"/>
          <w:color w:val="auto"/>
          <w:spacing w:val="1"/>
          <w:kern w:val="0"/>
          <w:szCs w:val="21"/>
          <w:highlight w:val="none"/>
        </w:rPr>
        <w:t>附</w:t>
      </w:r>
      <w:r>
        <w:rPr>
          <w:rFonts w:hint="eastAsia" w:ascii="宋体" w:hAnsi="宋体" w:cs="宋体"/>
          <w:color w:val="auto"/>
          <w:kern w:val="0"/>
          <w:szCs w:val="21"/>
          <w:highlight w:val="none"/>
        </w:rPr>
        <w:t>表授权直</w:t>
      </w:r>
      <w:r>
        <w:rPr>
          <w:rFonts w:hint="eastAsia" w:ascii="宋体" w:hAnsi="宋体" w:cs="宋体"/>
          <w:color w:val="auto"/>
          <w:spacing w:val="1"/>
          <w:kern w:val="0"/>
          <w:szCs w:val="21"/>
          <w:highlight w:val="none"/>
        </w:rPr>
        <w:t>接</w:t>
      </w:r>
      <w:r>
        <w:rPr>
          <w:rFonts w:hint="eastAsia" w:ascii="宋体" w:hAnsi="宋体" w:cs="宋体"/>
          <w:color w:val="auto"/>
          <w:kern w:val="0"/>
          <w:szCs w:val="21"/>
          <w:highlight w:val="none"/>
        </w:rPr>
        <w:t>确定中标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外，评标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员会按照</w:t>
      </w:r>
      <w:r>
        <w:rPr>
          <w:rFonts w:hint="eastAsia" w:ascii="宋体" w:hAnsi="宋体" w:cs="宋体"/>
          <w:color w:val="auto"/>
          <w:spacing w:val="1"/>
          <w:kern w:val="0"/>
          <w:szCs w:val="21"/>
          <w:highlight w:val="none"/>
        </w:rPr>
        <w:t>得分</w:t>
      </w:r>
      <w:r>
        <w:rPr>
          <w:rFonts w:hint="eastAsia" w:ascii="宋体" w:hAnsi="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cs="宋体"/>
          <w:color w:val="auto"/>
          <w:kern w:val="0"/>
          <w:sz w:val="20"/>
          <w:szCs w:val="20"/>
          <w:highlight w:val="none"/>
        </w:rPr>
      </w:pP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.4.2 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员会完成评标后，应当向招标人提交书面评标报告。</w:t>
      </w:r>
    </w:p>
    <w:p>
      <w:pPr>
        <w:pStyle w:val="26"/>
        <w:spacing w:line="360" w:lineRule="auto"/>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u w:val="none"/>
          <w:lang w:eastAsia="zh-CN"/>
        </w:rPr>
        <w:br w:type="page"/>
      </w:r>
    </w:p>
    <w:p>
      <w:pPr>
        <w:pStyle w:val="26"/>
        <w:spacing w:line="360" w:lineRule="auto"/>
        <w:rPr>
          <w:rFonts w:hint="eastAsia" w:ascii="宋体" w:hAnsi="宋体" w:cs="宋体"/>
          <w:b/>
          <w:color w:val="auto"/>
          <w:sz w:val="28"/>
          <w:szCs w:val="28"/>
          <w:highlight w:val="none"/>
          <w:u w:val="none"/>
          <w:lang w:eastAsia="zh-CN"/>
        </w:rPr>
      </w:pPr>
      <w:r>
        <w:rPr>
          <w:rFonts w:hint="eastAsia" w:ascii="宋体" w:hAnsi="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cs="宋体"/>
          <w:color w:val="auto"/>
          <w:sz w:val="21"/>
          <w:szCs w:val="21"/>
          <w:highlight w:val="none"/>
          <w:u w:val="none"/>
          <w:lang w:eastAsia="zh-CN"/>
        </w:rPr>
      </w:pPr>
      <w:r>
        <w:rPr>
          <w:rFonts w:hint="eastAsia" w:ascii="宋体" w:hAnsi="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投标人的</w:t>
            </w:r>
            <w:r>
              <w:rPr>
                <w:rFonts w:hint="eastAsia" w:ascii="宋体" w:hAnsi="宋体" w:cs="宋体"/>
                <w:color w:val="auto"/>
                <w:kern w:val="0"/>
                <w:highlight w:val="none"/>
              </w:rPr>
              <w:t>人员要求</w:t>
            </w:r>
            <w:r>
              <w:rPr>
                <w:rFonts w:hint="eastAsia" w:ascii="宋体" w:hAnsi="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8</w:t>
            </w:r>
            <w:r>
              <w:rPr>
                <w:rFonts w:hint="eastAsia" w:ascii="宋体" w:hAnsi="宋体" w:cs="宋体"/>
                <w:color w:val="auto"/>
                <w:highlight w:val="none"/>
              </w:rPr>
              <w:t>投标文件格式要求</w:t>
            </w:r>
            <w:r>
              <w:rPr>
                <w:rFonts w:hint="eastAsia" w:ascii="宋体" w:hAnsi="宋体" w:cs="宋体"/>
                <w:color w:val="auto"/>
                <w:kern w:val="0"/>
                <w:highlight w:val="none"/>
              </w:rPr>
              <w:t>法定代表人或其委托代理人签名（或盖章）的须齐全，</w:t>
            </w:r>
            <w:r>
              <w:rPr>
                <w:rFonts w:hint="eastAsia" w:ascii="宋体" w:hAnsi="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符合第七章“技术标准和要求”规定。否则由评标委员会作否决投标处理。（由投标人承诺，承诺书格式详见第九章投标文件格式。）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投标函部分的格式要求</w:t>
            </w:r>
            <w:r>
              <w:rPr>
                <w:rFonts w:hint="eastAsia" w:ascii="宋体" w:hAnsi="宋体" w:cs="宋体"/>
                <w:color w:val="auto"/>
                <w:kern w:val="0"/>
                <w:highlight w:val="none"/>
              </w:rPr>
              <w:t>法定代表人或其委托代理人签名（或盖章）的须齐全，</w:t>
            </w:r>
            <w:r>
              <w:rPr>
                <w:rFonts w:hint="eastAsia" w:ascii="宋体" w:hAnsi="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17质量要求</w:t>
            </w:r>
            <w:r>
              <w:rPr>
                <w:rFonts w:hint="eastAsia" w:ascii="宋体" w:hAnsi="宋体" w:cs="宋体"/>
                <w:color w:val="auto"/>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i/>
                <w:color w:val="auto"/>
                <w:szCs w:val="21"/>
                <w:highlight w:val="none"/>
              </w:rPr>
            </w:pPr>
            <w:r>
              <w:rPr>
                <w:rFonts w:hint="eastAsia" w:ascii="宋体" w:hAnsi="宋体" w:cs="宋体"/>
                <w:i/>
                <w:color w:val="auto"/>
                <w:szCs w:val="21"/>
                <w:highlight w:val="none"/>
              </w:rPr>
              <w:t>无</w:t>
            </w:r>
          </w:p>
        </w:tc>
      </w:t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bookmarkStart w:id="420" w:name="_Toc277082627"/>
      <w:bookmarkStart w:id="421" w:name="_Toc230410480"/>
    </w:p>
    <w:bookmarkEnd w:id="420"/>
    <w:bookmarkEnd w:id="421"/>
    <w:p>
      <w:pPr>
        <w:pStyle w:val="26"/>
        <w:spacing w:line="360" w:lineRule="auto"/>
        <w:rPr>
          <w:rFonts w:hint="eastAsia" w:ascii="宋体" w:hAnsi="宋体" w:eastAsia="宋体" w:cs="宋体"/>
          <w:bCs w:val="0"/>
          <w:snapToGrid w:val="0"/>
          <w:color w:val="auto"/>
          <w:highlight w:val="none"/>
        </w:rPr>
      </w:pPr>
      <w:bookmarkStart w:id="422" w:name="_Toc509218785"/>
      <w:bookmarkStart w:id="423" w:name="_Toc430530509"/>
      <w:bookmarkStart w:id="424" w:name="_Toc4273"/>
      <w:bookmarkStart w:id="425" w:name="_Toc27983309"/>
      <w:bookmarkStart w:id="426" w:name="_Toc3501"/>
      <w:r>
        <w:rPr>
          <w:rFonts w:hint="eastAsia" w:ascii="宋体" w:hAnsi="宋体" w:eastAsia="宋体" w:cs="宋体"/>
          <w:bCs w:val="0"/>
          <w:snapToGrid w:val="0"/>
          <w:color w:val="auto"/>
          <w:highlight w:val="none"/>
        </w:rPr>
        <w:br w:type="page"/>
      </w:r>
    </w:p>
    <w:p>
      <w:pPr>
        <w:pStyle w:val="3"/>
        <w:spacing w:line="360" w:lineRule="auto"/>
        <w:ind w:firstLine="883"/>
        <w:jc w:val="center"/>
        <w:rPr>
          <w:rFonts w:hint="eastAsia" w:ascii="宋体" w:hAnsi="宋体" w:eastAsia="宋体" w:cs="宋体"/>
          <w:bCs w:val="0"/>
          <w:snapToGrid w:val="0"/>
          <w:color w:val="auto"/>
          <w:highlight w:val="none"/>
        </w:rPr>
      </w:pP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427" w:name="_Toc13106"/>
      <w:r>
        <w:rPr>
          <w:rFonts w:hint="eastAsia" w:ascii="宋体" w:hAnsi="宋体" w:eastAsia="宋体" w:cs="宋体"/>
          <w:bCs w:val="0"/>
          <w:snapToGrid w:val="0"/>
          <w:color w:val="auto"/>
          <w:highlight w:val="none"/>
        </w:rPr>
        <w:t>第四章  合同条款及格式</w:t>
      </w:r>
      <w:bookmarkEnd w:id="422"/>
      <w:bookmarkEnd w:id="423"/>
      <w:bookmarkEnd w:id="424"/>
      <w:bookmarkEnd w:id="425"/>
      <w:bookmarkEnd w:id="426"/>
      <w:bookmarkEnd w:id="427"/>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spacing w:line="360" w:lineRule="auto"/>
        <w:jc w:val="both"/>
        <w:rPr>
          <w:rFonts w:hint="eastAsia" w:ascii="宋体" w:hAnsi="宋体" w:eastAsia="宋体" w:cs="宋体"/>
          <w:b/>
          <w:sz w:val="44"/>
          <w:szCs w:val="44"/>
          <w:highlight w:val="none"/>
          <w:lang w:eastAsia="zh-CN"/>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u w:val="single"/>
          <w:lang w:val="en-US" w:eastAsia="zh-CN"/>
        </w:rPr>
        <w:t xml:space="preserve">            </w:t>
      </w:r>
    </w:p>
    <w:p>
      <w:pPr>
        <w:spacing w:line="360" w:lineRule="auto"/>
        <w:rPr>
          <w:rFonts w:hint="eastAsia" w:ascii="宋体" w:hAnsi="宋体" w:eastAsia="宋体" w:cs="宋体"/>
          <w:b/>
          <w:sz w:val="36"/>
          <w:szCs w:val="36"/>
          <w:highlight w:val="none"/>
        </w:rPr>
      </w:pPr>
    </w:p>
    <w:p>
      <w:pPr>
        <w:spacing w:line="360" w:lineRule="auto"/>
        <w:jc w:val="right"/>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合同文件</w:t>
      </w:r>
    </w:p>
    <w:p>
      <w:pPr>
        <w:spacing w:line="360" w:lineRule="auto"/>
        <w:ind w:firstLine="561"/>
        <w:jc w:val="center"/>
        <w:rPr>
          <w:rFonts w:hint="eastAsia" w:ascii="宋体" w:hAnsi="宋体" w:eastAsia="宋体" w:cs="宋体"/>
          <w:b/>
          <w:sz w:val="28"/>
          <w:highlight w:val="none"/>
        </w:rPr>
      </w:pPr>
    </w:p>
    <w:p>
      <w:pPr>
        <w:spacing w:line="360" w:lineRule="auto"/>
        <w:ind w:firstLine="561"/>
        <w:jc w:val="center"/>
        <w:rPr>
          <w:rFonts w:hint="eastAsia" w:ascii="宋体" w:hAnsi="宋体" w:eastAsia="宋体" w:cs="宋体"/>
          <w:b/>
          <w:sz w:val="28"/>
          <w:highlight w:val="none"/>
        </w:rPr>
      </w:pPr>
    </w:p>
    <w:p>
      <w:pPr>
        <w:spacing w:line="360" w:lineRule="auto"/>
        <w:ind w:firstLine="561"/>
        <w:jc w:val="center"/>
        <w:rPr>
          <w:rFonts w:hint="eastAsia" w:ascii="宋体" w:hAnsi="宋体" w:eastAsia="宋体" w:cs="宋体"/>
          <w:b/>
          <w:sz w:val="28"/>
          <w:highlight w:val="none"/>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FF0000"/>
          <w:sz w:val="28"/>
          <w:highlight w:val="none"/>
          <w:lang w:val="en-US" w:eastAsia="zh-CN"/>
        </w:rPr>
        <w:t xml:space="preserve">xxxx （x） s/x  x  xx  xxxx </w:t>
      </w:r>
    </w:p>
    <w:p>
      <w:pPr>
        <w:pStyle w:val="24"/>
        <w:tabs>
          <w:tab w:val="left" w:pos="1200"/>
          <w:tab w:val="right" w:leader="dot" w:pos="9730"/>
        </w:tabs>
        <w:spacing w:line="360" w:lineRule="auto"/>
        <w:rPr>
          <w:rFonts w:hint="eastAsia" w:ascii="宋体" w:hAnsi="宋体" w:eastAsia="宋体" w:cs="宋体"/>
          <w:highlight w:val="none"/>
        </w:rPr>
      </w:pPr>
    </w:p>
    <w:p>
      <w:pPr>
        <w:pStyle w:val="24"/>
        <w:tabs>
          <w:tab w:val="left" w:pos="1200"/>
          <w:tab w:val="right" w:leader="dot" w:pos="9730"/>
        </w:tabs>
        <w:spacing w:line="360" w:lineRule="auto"/>
        <w:rPr>
          <w:rFonts w:hint="eastAsia" w:ascii="宋体" w:hAnsi="宋体" w:eastAsia="宋体" w:cs="宋体"/>
          <w:b w:val="0"/>
          <w:sz w:val="44"/>
          <w:szCs w:val="44"/>
          <w:highlight w:val="none"/>
        </w:rPr>
      </w:pPr>
    </w:p>
    <w:p>
      <w:pPr>
        <w:spacing w:line="360" w:lineRule="auto"/>
        <w:rPr>
          <w:rFonts w:hint="eastAsia" w:ascii="宋体" w:hAnsi="宋体" w:eastAsia="宋体" w:cs="宋体"/>
          <w:highlight w:val="none"/>
        </w:rPr>
      </w:pPr>
    </w:p>
    <w:p>
      <w:pPr>
        <w:spacing w:line="360" w:lineRule="auto"/>
        <w:jc w:val="center"/>
        <w:rPr>
          <w:rFonts w:hint="eastAsia" w:ascii="宋体" w:hAnsi="宋体" w:eastAsia="宋体" w:cs="宋体"/>
          <w:b/>
          <w:sz w:val="84"/>
          <w:szCs w:val="84"/>
          <w:highlight w:val="none"/>
        </w:rPr>
      </w:pPr>
    </w:p>
    <w:p>
      <w:pPr>
        <w:spacing w:line="360" w:lineRule="auto"/>
        <w:jc w:val="center"/>
        <w:rPr>
          <w:rFonts w:hint="eastAsia" w:ascii="宋体" w:hAnsi="宋体" w:eastAsia="宋体" w:cs="宋体"/>
          <w:b/>
          <w:sz w:val="84"/>
          <w:szCs w:val="84"/>
          <w:highlight w:val="none"/>
        </w:rPr>
      </w:pPr>
    </w:p>
    <w:p>
      <w:pPr>
        <w:spacing w:line="360" w:lineRule="auto"/>
        <w:jc w:val="both"/>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甲方：</w:t>
      </w:r>
      <w:r>
        <w:rPr>
          <w:rFonts w:hint="eastAsia" w:ascii="宋体" w:hAnsi="宋体" w:eastAsia="宋体" w:cs="宋体"/>
          <w:b/>
          <w:sz w:val="32"/>
          <w:szCs w:val="32"/>
          <w:highlight w:val="none"/>
          <w:u w:val="single"/>
        </w:rPr>
        <w:t>重庆首讯科技股份有限公司</w:t>
      </w:r>
    </w:p>
    <w:p>
      <w:pPr>
        <w:spacing w:after="0" w:line="360" w:lineRule="auto"/>
        <w:ind w:firstLine="2249" w:firstLineChars="700"/>
        <w:jc w:val="both"/>
        <w:rPr>
          <w:rFonts w:hint="eastAsia" w:ascii="宋体" w:hAnsi="宋体" w:eastAsia="宋体" w:cs="宋体"/>
          <w:b/>
          <w:sz w:val="30"/>
          <w:highlight w:val="none"/>
          <w:lang w:val="en-US" w:eastAsia="zh-CN"/>
        </w:rPr>
      </w:pPr>
      <w:r>
        <w:rPr>
          <w:rFonts w:hint="eastAsia" w:ascii="宋体" w:hAnsi="宋体" w:eastAsia="宋体" w:cs="宋体"/>
          <w:b/>
          <w:sz w:val="32"/>
          <w:szCs w:val="32"/>
          <w:highlight w:val="none"/>
        </w:rPr>
        <w:t>乙方：</w:t>
      </w:r>
      <w:r>
        <w:rPr>
          <w:rFonts w:hint="eastAsia" w:ascii="宋体" w:hAnsi="宋体" w:eastAsia="宋体" w:cs="宋体"/>
          <w:b/>
          <w:sz w:val="32"/>
          <w:szCs w:val="32"/>
          <w:highlight w:val="none"/>
          <w:u w:val="single"/>
          <w:lang w:val="en-US" w:eastAsia="zh-CN"/>
        </w:rPr>
        <w:t xml:space="preserve">                        </w:t>
      </w:r>
    </w:p>
    <w:p>
      <w:pPr>
        <w:rPr>
          <w:rFonts w:hint="eastAsia" w:ascii="宋体" w:hAnsi="宋体" w:eastAsia="宋体" w:cs="宋体"/>
          <w:b w:val="0"/>
          <w:smallCaps w:val="0"/>
          <w:kern w:val="0"/>
          <w:sz w:val="24"/>
          <w:highlight w:val="none"/>
        </w:rPr>
      </w:pPr>
      <w:r>
        <w:rPr>
          <w:rFonts w:hint="eastAsia" w:ascii="宋体" w:hAnsi="宋体" w:eastAsia="宋体" w:cs="宋体"/>
          <w:b w:val="0"/>
          <w:smallCaps w:val="0"/>
          <w:kern w:val="0"/>
          <w:sz w:val="24"/>
          <w:highlight w:val="none"/>
        </w:rPr>
        <w:br w:type="page"/>
      </w:r>
    </w:p>
    <w:p>
      <w:pPr>
        <w:pStyle w:val="28"/>
        <w:tabs>
          <w:tab w:val="right" w:leader="dot" w:pos="8296"/>
        </w:tabs>
        <w:jc w:val="center"/>
        <w:rPr>
          <w:rFonts w:hint="eastAsia" w:ascii="宋体" w:hAnsi="宋体" w:eastAsia="宋体" w:cs="宋体"/>
          <w:b w:val="0"/>
          <w:smallCaps w:val="0"/>
          <w:kern w:val="0"/>
          <w:sz w:val="24"/>
          <w:highlight w:val="none"/>
        </w:rPr>
      </w:pPr>
      <w:r>
        <w:rPr>
          <w:rFonts w:hint="eastAsia" w:ascii="宋体" w:hAnsi="宋体" w:eastAsia="宋体" w:cs="宋体"/>
          <w:b w:val="0"/>
          <w:smallCaps w:val="0"/>
          <w:kern w:val="0"/>
          <w:sz w:val="24"/>
          <w:highlight w:val="none"/>
        </w:rPr>
        <w:t>目     录</w:t>
      </w:r>
    </w:p>
    <w:p>
      <w:pPr>
        <w:pStyle w:val="28"/>
        <w:tabs>
          <w:tab w:val="right" w:leader="dot" w:pos="8296"/>
        </w:tabs>
        <w:rPr>
          <w:rFonts w:hint="eastAsia" w:ascii="宋体" w:hAnsi="宋体" w:eastAsia="宋体" w:cs="宋体"/>
          <w:b w:val="0"/>
          <w:smallCaps w:val="0"/>
          <w:kern w:val="0"/>
          <w:sz w:val="24"/>
          <w:highlight w:val="none"/>
        </w:rPr>
      </w:pP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Fonts w:hint="eastAsia" w:ascii="宋体" w:hAnsi="宋体" w:eastAsia="宋体" w:cs="宋体"/>
          <w:b w:val="0"/>
          <w:smallCaps w:val="0"/>
          <w:kern w:val="0"/>
          <w:sz w:val="24"/>
          <w:highlight w:val="none"/>
        </w:rPr>
        <w:instrText xml:space="preserve"> TOC \o "1-3" \h \z </w:instrText>
      </w:r>
      <w:r>
        <w:rPr>
          <w:rFonts w:hint="eastAsia" w:ascii="宋体" w:hAnsi="宋体" w:eastAsia="宋体" w:cs="宋体"/>
          <w:b w:val="0"/>
          <w:smallCaps w:val="0"/>
          <w:kern w:val="0"/>
          <w:sz w:val="24"/>
          <w:highlight w:val="none"/>
        </w:rPr>
        <w:fldChar w:fldCharType="separate"/>
      </w: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"_Toc513647839"</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第一章 </w:t>
      </w:r>
      <w:r>
        <w:rPr>
          <w:rStyle w:val="40"/>
          <w:rFonts w:hint="eastAsia" w:ascii="宋体" w:hAnsi="宋体" w:eastAsia="宋体" w:cs="宋体"/>
          <w:b w:val="0"/>
          <w:smallCaps w:val="0"/>
          <w:color w:val="auto"/>
          <w:kern w:val="0"/>
          <w:sz w:val="24"/>
          <w:highlight w:val="none"/>
          <w:lang w:val="en-US" w:eastAsia="zh-CN"/>
        </w:rPr>
        <w:t>维护概况</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val="en-US" w:eastAsia="zh-CN"/>
        </w:rPr>
        <w:t>3</w:t>
      </w:r>
      <w:r>
        <w:rPr>
          <w:rFonts w:hint="eastAsia" w:ascii="宋体" w:hAnsi="宋体" w:eastAsia="宋体" w:cs="宋体"/>
          <w:b w:val="0"/>
          <w:smallCaps w:val="0"/>
          <w:kern w:val="0"/>
          <w:sz w:val="24"/>
          <w:highlight w:val="none"/>
        </w:rPr>
        <w:fldChar w:fldCharType="end"/>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"_Toc513647842"</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第二章 </w:t>
      </w:r>
      <w:r>
        <w:rPr>
          <w:rStyle w:val="40"/>
          <w:rFonts w:hint="eastAsia" w:ascii="宋体" w:hAnsi="宋体" w:eastAsia="宋体" w:cs="宋体"/>
          <w:b w:val="0"/>
          <w:smallCaps w:val="0"/>
          <w:color w:val="auto"/>
          <w:kern w:val="0"/>
          <w:sz w:val="24"/>
          <w:highlight w:val="none"/>
          <w:lang w:val="en-US" w:eastAsia="zh-CN"/>
        </w:rPr>
        <w:t>维护工作的具体内容、频次及要求</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val="en-US" w:eastAsia="zh-CN"/>
        </w:rPr>
        <w:t>3</w:t>
      </w:r>
      <w:r>
        <w:rPr>
          <w:rFonts w:hint="eastAsia" w:ascii="宋体" w:hAnsi="宋体" w:eastAsia="宋体" w:cs="宋体"/>
          <w:b w:val="0"/>
          <w:smallCaps w:val="0"/>
          <w:kern w:val="0"/>
          <w:sz w:val="24"/>
          <w:highlight w:val="none"/>
        </w:rPr>
        <w:fldChar w:fldCharType="end"/>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"_Toc513647845"</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第三章 </w:t>
      </w:r>
      <w:r>
        <w:rPr>
          <w:rStyle w:val="40"/>
          <w:rFonts w:hint="eastAsia" w:ascii="宋体" w:hAnsi="宋体" w:eastAsia="宋体" w:cs="宋体"/>
          <w:b w:val="0"/>
          <w:smallCaps w:val="0"/>
          <w:color w:val="auto"/>
          <w:kern w:val="0"/>
          <w:sz w:val="24"/>
          <w:highlight w:val="none"/>
          <w:lang w:val="en-US" w:eastAsia="zh-CN"/>
        </w:rPr>
        <w:t>质量标准及工作要求</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4</w:t>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"_Toc513647848"</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第四章 </w:t>
      </w:r>
      <w:r>
        <w:rPr>
          <w:rStyle w:val="40"/>
          <w:rFonts w:hint="eastAsia" w:ascii="宋体" w:hAnsi="宋体" w:eastAsia="宋体" w:cs="宋体"/>
          <w:b w:val="0"/>
          <w:smallCaps w:val="0"/>
          <w:color w:val="auto"/>
          <w:kern w:val="0"/>
          <w:sz w:val="24"/>
          <w:highlight w:val="none"/>
          <w:lang w:val="en-US" w:eastAsia="zh-CN"/>
        </w:rPr>
        <w:t>合同价、支付方式</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6</w:t>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"_Toc513647852"</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第五章 </w:t>
      </w:r>
      <w:r>
        <w:rPr>
          <w:rStyle w:val="40"/>
          <w:rFonts w:hint="eastAsia" w:ascii="宋体" w:hAnsi="宋体" w:eastAsia="宋体" w:cs="宋体"/>
          <w:b w:val="0"/>
          <w:smallCaps w:val="0"/>
          <w:color w:val="auto"/>
          <w:kern w:val="0"/>
          <w:sz w:val="24"/>
          <w:highlight w:val="none"/>
          <w:lang w:val="en-US" w:eastAsia="zh-CN"/>
        </w:rPr>
        <w:t>双方的责任和义务</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7</w:t>
      </w:r>
    </w:p>
    <w:p>
      <w:pPr>
        <w:pStyle w:val="28"/>
        <w:tabs>
          <w:tab w:val="right" w:leader="dot" w:pos="8296"/>
        </w:tabs>
        <w:rPr>
          <w:rFonts w:hint="eastAsia" w:ascii="宋体" w:hAnsi="宋体" w:eastAsia="宋体" w:cs="宋体"/>
          <w:b w:val="0"/>
          <w:smallCaps w:val="0"/>
          <w:kern w:val="0"/>
          <w:sz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"_Toc513647857"</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 xml:space="preserve">第六章 </w:t>
      </w:r>
      <w:r>
        <w:rPr>
          <w:rStyle w:val="40"/>
          <w:rFonts w:hint="eastAsia" w:ascii="宋体" w:hAnsi="宋体" w:eastAsia="宋体" w:cs="宋体"/>
          <w:b w:val="0"/>
          <w:smallCaps w:val="0"/>
          <w:color w:val="auto"/>
          <w:kern w:val="0"/>
          <w:sz w:val="24"/>
          <w:highlight w:val="none"/>
          <w:lang w:val="en-US" w:eastAsia="zh-CN"/>
        </w:rPr>
        <w:t>合同期限</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8</w:t>
      </w:r>
    </w:p>
    <w:p>
      <w:pPr>
        <w:pStyle w:val="28"/>
        <w:tabs>
          <w:tab w:val="right" w:leader="dot" w:pos="8296"/>
        </w:tabs>
        <w:rPr>
          <w:rFonts w:hint="eastAsia" w:ascii="宋体" w:hAnsi="宋体" w:eastAsia="宋体" w:cs="宋体"/>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"_Toc513647857"</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w:t>
      </w:r>
      <w:r>
        <w:rPr>
          <w:rStyle w:val="40"/>
          <w:rFonts w:hint="eastAsia" w:ascii="宋体" w:hAnsi="宋体" w:eastAsia="宋体" w:cs="宋体"/>
          <w:b w:val="0"/>
          <w:smallCaps w:val="0"/>
          <w:color w:val="auto"/>
          <w:kern w:val="0"/>
          <w:sz w:val="24"/>
          <w:highlight w:val="none"/>
          <w:lang w:val="en-US" w:eastAsia="zh-CN"/>
        </w:rPr>
        <w:t>七</w:t>
      </w:r>
      <w:r>
        <w:rPr>
          <w:rStyle w:val="40"/>
          <w:rFonts w:hint="eastAsia" w:ascii="宋体" w:hAnsi="宋体" w:eastAsia="宋体" w:cs="宋体"/>
          <w:b w:val="0"/>
          <w:smallCaps w:val="0"/>
          <w:color w:val="auto"/>
          <w:kern w:val="0"/>
          <w:sz w:val="24"/>
          <w:highlight w:val="none"/>
        </w:rPr>
        <w:t xml:space="preserve">章 </w:t>
      </w:r>
      <w:r>
        <w:rPr>
          <w:rStyle w:val="40"/>
          <w:rFonts w:hint="eastAsia" w:ascii="宋体" w:hAnsi="宋体" w:eastAsia="宋体" w:cs="宋体"/>
          <w:b w:val="0"/>
          <w:smallCaps w:val="0"/>
          <w:color w:val="auto"/>
          <w:kern w:val="0"/>
          <w:sz w:val="24"/>
          <w:highlight w:val="none"/>
          <w:lang w:val="en-US" w:eastAsia="zh-CN"/>
        </w:rPr>
        <w:t>违约责任</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8</w:t>
      </w:r>
    </w:p>
    <w:p>
      <w:pPr>
        <w:pStyle w:val="28"/>
        <w:tabs>
          <w:tab w:val="right" w:leader="dot" w:pos="8296"/>
        </w:tabs>
        <w:rPr>
          <w:rFonts w:hint="eastAsia" w:ascii="宋体" w:hAnsi="宋体" w:eastAsia="宋体" w:cs="宋体"/>
          <w:b w:val="0"/>
          <w:smallCaps w:val="0"/>
          <w:kern w:val="0"/>
          <w:sz w:val="24"/>
          <w:szCs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"_Toc513647858"</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w:t>
      </w:r>
      <w:r>
        <w:rPr>
          <w:rStyle w:val="40"/>
          <w:rFonts w:hint="eastAsia" w:ascii="宋体" w:hAnsi="宋体" w:eastAsia="宋体" w:cs="宋体"/>
          <w:b w:val="0"/>
          <w:smallCaps w:val="0"/>
          <w:color w:val="auto"/>
          <w:kern w:val="0"/>
          <w:sz w:val="24"/>
          <w:highlight w:val="none"/>
          <w:lang w:val="en-US" w:eastAsia="zh-CN"/>
        </w:rPr>
        <w:t>八</w:t>
      </w:r>
      <w:r>
        <w:rPr>
          <w:rStyle w:val="40"/>
          <w:rFonts w:hint="eastAsia" w:ascii="宋体" w:hAnsi="宋体" w:eastAsia="宋体" w:cs="宋体"/>
          <w:b w:val="0"/>
          <w:smallCaps w:val="0"/>
          <w:color w:val="auto"/>
          <w:kern w:val="0"/>
          <w:sz w:val="24"/>
          <w:highlight w:val="none"/>
        </w:rPr>
        <w:t xml:space="preserve">章 </w:t>
      </w:r>
      <w:r>
        <w:rPr>
          <w:rStyle w:val="40"/>
          <w:rFonts w:hint="eastAsia" w:ascii="宋体" w:hAnsi="宋体" w:eastAsia="宋体" w:cs="宋体"/>
          <w:b w:val="0"/>
          <w:smallCaps w:val="0"/>
          <w:color w:val="auto"/>
          <w:kern w:val="0"/>
          <w:sz w:val="24"/>
          <w:highlight w:val="none"/>
          <w:lang w:val="en-US" w:eastAsia="zh-CN"/>
        </w:rPr>
        <w:t>合同变更与终止</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9</w:t>
      </w:r>
    </w:p>
    <w:p>
      <w:pPr>
        <w:pStyle w:val="28"/>
        <w:tabs>
          <w:tab w:val="right" w:leader="dot" w:pos="8296"/>
        </w:tabs>
        <w:rPr>
          <w:rFonts w:hint="eastAsia" w:ascii="宋体" w:hAnsi="宋体" w:eastAsia="宋体" w:cs="宋体"/>
          <w:b w:val="0"/>
          <w:smallCaps w:val="0"/>
          <w:kern w:val="0"/>
          <w:sz w:val="24"/>
          <w:szCs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"_Toc513647859"</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w:t>
      </w:r>
      <w:r>
        <w:rPr>
          <w:rStyle w:val="40"/>
          <w:rFonts w:hint="eastAsia" w:ascii="宋体" w:hAnsi="宋体" w:eastAsia="宋体" w:cs="宋体"/>
          <w:b w:val="0"/>
          <w:smallCaps w:val="0"/>
          <w:color w:val="auto"/>
          <w:kern w:val="0"/>
          <w:sz w:val="24"/>
          <w:highlight w:val="none"/>
          <w:lang w:val="en-US" w:eastAsia="zh-CN"/>
        </w:rPr>
        <w:t>九</w:t>
      </w:r>
      <w:r>
        <w:rPr>
          <w:rStyle w:val="40"/>
          <w:rFonts w:hint="eastAsia" w:ascii="宋体" w:hAnsi="宋体" w:eastAsia="宋体" w:cs="宋体"/>
          <w:b w:val="0"/>
          <w:smallCaps w:val="0"/>
          <w:color w:val="auto"/>
          <w:kern w:val="0"/>
          <w:sz w:val="24"/>
          <w:highlight w:val="none"/>
        </w:rPr>
        <w:t xml:space="preserve">章 </w:t>
      </w:r>
      <w:r>
        <w:rPr>
          <w:rStyle w:val="40"/>
          <w:rFonts w:hint="eastAsia" w:ascii="宋体" w:hAnsi="宋体" w:eastAsia="宋体" w:cs="宋体"/>
          <w:b w:val="0"/>
          <w:smallCaps w:val="0"/>
          <w:color w:val="auto"/>
          <w:kern w:val="0"/>
          <w:sz w:val="24"/>
          <w:highlight w:val="none"/>
          <w:lang w:val="en-US" w:eastAsia="zh-CN"/>
        </w:rPr>
        <w:t>违约及争议解决方式</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10</w:t>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"_Toc513647860"</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w:t>
      </w:r>
      <w:r>
        <w:rPr>
          <w:rStyle w:val="40"/>
          <w:rFonts w:hint="eastAsia" w:ascii="宋体" w:hAnsi="宋体" w:eastAsia="宋体" w:cs="宋体"/>
          <w:b w:val="0"/>
          <w:smallCaps w:val="0"/>
          <w:color w:val="auto"/>
          <w:kern w:val="0"/>
          <w:sz w:val="24"/>
          <w:highlight w:val="none"/>
          <w:lang w:val="en-US" w:eastAsia="zh-CN"/>
        </w:rPr>
        <w:t>十</w:t>
      </w:r>
      <w:r>
        <w:rPr>
          <w:rStyle w:val="40"/>
          <w:rFonts w:hint="eastAsia" w:ascii="宋体" w:hAnsi="宋体" w:eastAsia="宋体" w:cs="宋体"/>
          <w:b w:val="0"/>
          <w:smallCaps w:val="0"/>
          <w:color w:val="auto"/>
          <w:kern w:val="0"/>
          <w:sz w:val="24"/>
          <w:highlight w:val="none"/>
        </w:rPr>
        <w:t xml:space="preserve">章 </w:t>
      </w:r>
      <w:r>
        <w:rPr>
          <w:rStyle w:val="40"/>
          <w:rFonts w:hint="eastAsia" w:ascii="宋体" w:hAnsi="宋体" w:eastAsia="宋体" w:cs="宋体"/>
          <w:b w:val="0"/>
          <w:smallCaps w:val="0"/>
          <w:color w:val="auto"/>
          <w:kern w:val="0"/>
          <w:sz w:val="24"/>
          <w:highlight w:val="none"/>
          <w:lang w:val="en-US" w:eastAsia="zh-CN"/>
        </w:rPr>
        <w:t>通知与送达</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eastAsia="zh-CN"/>
        </w:rPr>
        <w:t>1</w:t>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0</w:t>
      </w:r>
    </w:p>
    <w:p>
      <w:pPr>
        <w:pStyle w:val="28"/>
        <w:tabs>
          <w:tab w:val="right" w:leader="dot" w:pos="8296"/>
        </w:tabs>
        <w:rPr>
          <w:rFonts w:hint="eastAsia" w:ascii="宋体" w:hAnsi="宋体" w:eastAsia="宋体" w:cs="宋体"/>
          <w:b w:val="0"/>
          <w:smallCaps w:val="0"/>
          <w:kern w:val="0"/>
          <w:sz w:val="24"/>
          <w:szCs w:val="24"/>
          <w:highlight w:val="none"/>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"_Toc513647863"</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第十</w:t>
      </w:r>
      <w:r>
        <w:rPr>
          <w:rStyle w:val="40"/>
          <w:rFonts w:hint="eastAsia" w:ascii="宋体" w:hAnsi="宋体" w:eastAsia="宋体" w:cs="宋体"/>
          <w:b w:val="0"/>
          <w:smallCaps w:val="0"/>
          <w:color w:val="auto"/>
          <w:kern w:val="0"/>
          <w:sz w:val="24"/>
          <w:highlight w:val="none"/>
          <w:lang w:val="en-US" w:eastAsia="zh-CN"/>
        </w:rPr>
        <w:t>一</w:t>
      </w:r>
      <w:r>
        <w:rPr>
          <w:rStyle w:val="40"/>
          <w:rFonts w:hint="eastAsia" w:ascii="宋体" w:hAnsi="宋体" w:eastAsia="宋体" w:cs="宋体"/>
          <w:b w:val="0"/>
          <w:smallCaps w:val="0"/>
          <w:color w:val="auto"/>
          <w:kern w:val="0"/>
          <w:sz w:val="24"/>
          <w:highlight w:val="none"/>
        </w:rPr>
        <w:t xml:space="preserve">章 </w:t>
      </w:r>
      <w:r>
        <w:rPr>
          <w:rStyle w:val="40"/>
          <w:rFonts w:hint="eastAsia" w:ascii="宋体" w:hAnsi="宋体" w:eastAsia="宋体" w:cs="宋体"/>
          <w:b w:val="0"/>
          <w:smallCaps w:val="0"/>
          <w:color w:val="auto"/>
          <w:kern w:val="0"/>
          <w:sz w:val="24"/>
          <w:highlight w:val="none"/>
          <w:lang w:val="en-US" w:eastAsia="zh-CN"/>
        </w:rPr>
        <w:t>其他约定和补充条款</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eastAsia="zh-CN"/>
        </w:rPr>
        <w:t>1</w:t>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0</w:t>
      </w:r>
    </w:p>
    <w:p>
      <w:pPr>
        <w:pStyle w:val="28"/>
        <w:tabs>
          <w:tab w:val="right" w:leader="dot" w:pos="8296"/>
        </w:tabs>
        <w:rPr>
          <w:rFonts w:hint="eastAsia" w:ascii="宋体" w:hAnsi="宋体" w:eastAsia="宋体" w:cs="宋体"/>
          <w:b w:val="0"/>
          <w:smallCaps w:val="0"/>
          <w:kern w:val="0"/>
          <w:sz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"_Toc513647864"</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第十</w:t>
      </w:r>
      <w:r>
        <w:rPr>
          <w:rStyle w:val="40"/>
          <w:rFonts w:hint="eastAsia" w:ascii="宋体" w:hAnsi="宋体" w:eastAsia="宋体" w:cs="宋体"/>
          <w:b w:val="0"/>
          <w:smallCaps w:val="0"/>
          <w:color w:val="auto"/>
          <w:kern w:val="0"/>
          <w:sz w:val="24"/>
          <w:highlight w:val="none"/>
          <w:lang w:val="en-US" w:eastAsia="zh-CN"/>
        </w:rPr>
        <w:t>二</w:t>
      </w:r>
      <w:r>
        <w:rPr>
          <w:rStyle w:val="40"/>
          <w:rFonts w:hint="eastAsia" w:ascii="宋体" w:hAnsi="宋体" w:eastAsia="宋体" w:cs="宋体"/>
          <w:b w:val="0"/>
          <w:smallCaps w:val="0"/>
          <w:color w:val="auto"/>
          <w:kern w:val="0"/>
          <w:sz w:val="24"/>
          <w:highlight w:val="none"/>
        </w:rPr>
        <w:t xml:space="preserve">章 </w:t>
      </w:r>
      <w:r>
        <w:rPr>
          <w:rFonts w:hint="eastAsia" w:ascii="宋体" w:hAnsi="宋体" w:eastAsia="宋体" w:cs="宋体"/>
          <w:b w:val="0"/>
          <w:smallCaps w:val="0"/>
          <w:kern w:val="0"/>
          <w:sz w:val="24"/>
          <w:highlight w:val="none"/>
          <w:lang w:val="en-US" w:eastAsia="zh-CN"/>
        </w:rPr>
        <w:t>合同订立地点、份数及时效</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eastAsia="zh-CN"/>
        </w:rPr>
        <w:t>1</w:t>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0</w:t>
      </w:r>
    </w:p>
    <w:p>
      <w:pPr>
        <w:pStyle w:val="28"/>
        <w:tabs>
          <w:tab w:val="right" w:leader="dot" w:pos="8296"/>
        </w:tabs>
        <w:rPr>
          <w:rFonts w:hint="eastAsia" w:ascii="宋体" w:hAnsi="宋体" w:eastAsia="宋体" w:cs="宋体"/>
          <w:b w:val="0"/>
          <w:smallCaps w:val="0"/>
          <w:szCs w:val="24"/>
          <w:highlight w:val="none"/>
          <w:lang w:val="en-US"/>
        </w:rPr>
      </w:pPr>
      <w:r>
        <w:rPr>
          <w:rFonts w:hint="eastAsia" w:ascii="宋体" w:hAnsi="宋体" w:eastAsia="宋体" w:cs="宋体"/>
          <w:b w:val="0"/>
          <w:smallCaps w:val="0"/>
          <w:kern w:val="0"/>
          <w:sz w:val="24"/>
          <w:highlight w:val="none"/>
        </w:rPr>
        <w:fldChar w:fldCharType="begin"/>
      </w:r>
      <w:r>
        <w:rPr>
          <w:rFonts w:hint="eastAsia" w:ascii="宋体" w:hAnsi="宋体" w:eastAsia="宋体" w:cs="宋体"/>
          <w:b w:val="0"/>
          <w:smallCaps w:val="0"/>
          <w:kern w:val="0"/>
          <w:sz w:val="24"/>
          <w:highlight w:val="none"/>
        </w:rPr>
        <w:instrText xml:space="preserve"> HYPERLINK \l "_Toc513647864" </w:instrText>
      </w:r>
      <w:r>
        <w:rPr>
          <w:rFonts w:hint="eastAsia" w:ascii="宋体" w:hAnsi="宋体" w:eastAsia="宋体" w:cs="宋体"/>
          <w:b w:val="0"/>
          <w:smallCaps w:val="0"/>
          <w:kern w:val="0"/>
          <w:sz w:val="24"/>
          <w:highlight w:val="none"/>
        </w:rPr>
        <w:fldChar w:fldCharType="separate"/>
      </w:r>
      <w:r>
        <w:rPr>
          <w:rFonts w:hint="eastAsia" w:ascii="宋体" w:hAnsi="宋体" w:eastAsia="宋体" w:cs="宋体"/>
          <w:b w:val="0"/>
          <w:smallCaps w:val="0"/>
          <w:kern w:val="0"/>
          <w:sz w:val="24"/>
          <w:highlight w:val="none"/>
          <w:lang w:val="en-US" w:eastAsia="zh-CN"/>
        </w:rPr>
        <w:t>附件一：</w:t>
      </w:r>
      <w:r>
        <w:rPr>
          <w:rStyle w:val="40"/>
          <w:rFonts w:hint="eastAsia" w:ascii="宋体" w:hAnsi="宋体" w:eastAsia="宋体" w:cs="宋体"/>
          <w:b w:val="0"/>
          <w:smallCaps w:val="0"/>
          <w:color w:val="auto"/>
          <w:kern w:val="0"/>
          <w:sz w:val="24"/>
          <w:highlight w:val="none"/>
          <w:lang w:val="en-US" w:eastAsia="zh-CN"/>
        </w:rPr>
        <w:t>维护工程量及合同清单表</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lang w:val="en-US" w:eastAsia="zh-CN"/>
        </w:rPr>
        <w:t>1</w:t>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2</w:t>
      </w:r>
    </w:p>
    <w:p>
      <w:pPr>
        <w:pStyle w:val="28"/>
        <w:tabs>
          <w:tab w:val="right" w:leader="dot" w:pos="8296"/>
        </w:tabs>
        <w:rPr>
          <w:rFonts w:hint="eastAsia" w:ascii="宋体" w:hAnsi="宋体" w:eastAsia="宋体" w:cs="宋体"/>
          <w:b w:val="0"/>
          <w:smallCaps w:val="0"/>
          <w:kern w:val="0"/>
          <w:sz w:val="24"/>
          <w:szCs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"_Toc513647865"</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附件</w:t>
      </w:r>
      <w:r>
        <w:rPr>
          <w:rStyle w:val="40"/>
          <w:rFonts w:hint="eastAsia" w:ascii="宋体" w:hAnsi="宋体" w:eastAsia="宋体" w:cs="宋体"/>
          <w:b w:val="0"/>
          <w:smallCaps w:val="0"/>
          <w:color w:val="auto"/>
          <w:kern w:val="0"/>
          <w:sz w:val="24"/>
          <w:highlight w:val="none"/>
          <w:lang w:val="en-US" w:eastAsia="zh-CN"/>
        </w:rPr>
        <w:t>二</w:t>
      </w:r>
      <w:r>
        <w:rPr>
          <w:rStyle w:val="40"/>
          <w:rFonts w:hint="eastAsia" w:ascii="宋体" w:hAnsi="宋体" w:eastAsia="宋体" w:cs="宋体"/>
          <w:b w:val="0"/>
          <w:smallCaps w:val="0"/>
          <w:color w:val="auto"/>
          <w:kern w:val="0"/>
          <w:sz w:val="24"/>
          <w:highlight w:val="none"/>
        </w:rPr>
        <w:t xml:space="preserve">: </w:t>
      </w:r>
      <w:r>
        <w:rPr>
          <w:rStyle w:val="40"/>
          <w:rFonts w:hint="eastAsia" w:ascii="宋体" w:hAnsi="宋体" w:eastAsia="宋体" w:cs="宋体"/>
          <w:b w:val="0"/>
          <w:smallCaps w:val="0"/>
          <w:color w:val="auto"/>
          <w:kern w:val="0"/>
          <w:sz w:val="24"/>
          <w:highlight w:val="none"/>
          <w:lang w:val="en-US" w:eastAsia="zh-CN"/>
        </w:rPr>
        <w:t>维护技术标准及要求</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13</w:t>
      </w:r>
    </w:p>
    <w:p>
      <w:pPr>
        <w:pStyle w:val="28"/>
        <w:tabs>
          <w:tab w:val="right" w:leader="dot" w:pos="8296"/>
        </w:tabs>
        <w:rPr>
          <w:rFonts w:hint="eastAsia" w:ascii="宋体" w:hAnsi="宋体" w:eastAsia="宋体" w:cs="宋体"/>
          <w:b w:val="0"/>
          <w:smallCaps w:val="0"/>
          <w:kern w:val="0"/>
          <w:sz w:val="24"/>
          <w:highlight w:val="none"/>
          <w:lang w:val="en-US" w:eastAsia="zh-CN"/>
        </w:rPr>
      </w:pPr>
      <w:r>
        <w:rPr>
          <w:rFonts w:hint="eastAsia" w:ascii="宋体" w:hAnsi="宋体" w:eastAsia="宋体" w:cs="宋体"/>
          <w:b w:val="0"/>
          <w:smallCaps w:val="0"/>
          <w:kern w:val="0"/>
          <w:sz w:val="24"/>
          <w:highlight w:val="none"/>
        </w:rPr>
        <w:fldChar w:fldCharType="begin"/>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instrText xml:space="preserve">HYPERLINK \l "_Toc513647866"</w:instrText>
      </w:r>
      <w:r>
        <w:rPr>
          <w:rStyle w:val="40"/>
          <w:rFonts w:hint="eastAsia" w:ascii="宋体" w:hAnsi="宋体" w:eastAsia="宋体" w:cs="宋体"/>
          <w:b w:val="0"/>
          <w:smallCaps w:val="0"/>
          <w:color w:val="auto"/>
          <w:kern w:val="0"/>
          <w:sz w:val="24"/>
          <w:highlight w:val="none"/>
        </w:rPr>
        <w:instrText xml:space="preserve"> </w:instrText>
      </w:r>
      <w:r>
        <w:rPr>
          <w:rFonts w:hint="eastAsia" w:ascii="宋体" w:hAnsi="宋体" w:eastAsia="宋体" w:cs="宋体"/>
          <w:b w:val="0"/>
          <w:smallCaps w:val="0"/>
          <w:kern w:val="0"/>
          <w:sz w:val="24"/>
          <w:highlight w:val="none"/>
        </w:rPr>
        <w:fldChar w:fldCharType="separate"/>
      </w:r>
      <w:r>
        <w:rPr>
          <w:rStyle w:val="40"/>
          <w:rFonts w:hint="eastAsia" w:ascii="宋体" w:hAnsi="宋体" w:eastAsia="宋体" w:cs="宋体"/>
          <w:b w:val="0"/>
          <w:smallCaps w:val="0"/>
          <w:color w:val="auto"/>
          <w:kern w:val="0"/>
          <w:sz w:val="24"/>
          <w:highlight w:val="none"/>
        </w:rPr>
        <w:t>附件</w:t>
      </w:r>
      <w:r>
        <w:rPr>
          <w:rStyle w:val="40"/>
          <w:rFonts w:hint="eastAsia" w:ascii="宋体" w:hAnsi="宋体" w:eastAsia="宋体" w:cs="宋体"/>
          <w:b w:val="0"/>
          <w:smallCaps w:val="0"/>
          <w:color w:val="auto"/>
          <w:kern w:val="0"/>
          <w:sz w:val="24"/>
          <w:highlight w:val="none"/>
          <w:lang w:val="en-US" w:eastAsia="zh-CN"/>
        </w:rPr>
        <w:t>三</w:t>
      </w:r>
      <w:r>
        <w:rPr>
          <w:rStyle w:val="40"/>
          <w:rFonts w:hint="eastAsia" w:ascii="宋体" w:hAnsi="宋体" w:eastAsia="宋体" w:cs="宋体"/>
          <w:b w:val="0"/>
          <w:smallCaps w:val="0"/>
          <w:color w:val="auto"/>
          <w:kern w:val="0"/>
          <w:sz w:val="24"/>
          <w:highlight w:val="none"/>
        </w:rPr>
        <w:t xml:space="preserve">: </w:t>
      </w:r>
      <w:r>
        <w:rPr>
          <w:rStyle w:val="40"/>
          <w:rFonts w:hint="eastAsia" w:ascii="宋体" w:hAnsi="宋体" w:eastAsia="宋体" w:cs="宋体"/>
          <w:b w:val="0"/>
          <w:smallCaps w:val="0"/>
          <w:color w:val="auto"/>
          <w:kern w:val="0"/>
          <w:sz w:val="24"/>
          <w:highlight w:val="none"/>
          <w:lang w:val="en-US" w:eastAsia="zh-CN"/>
        </w:rPr>
        <w:t>安全生产协议</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18</w:t>
      </w:r>
    </w:p>
    <w:p>
      <w:pPr>
        <w:pStyle w:val="28"/>
        <w:tabs>
          <w:tab w:val="right" w:leader="dot" w:pos="8296"/>
        </w:tabs>
        <w:rPr>
          <w:rFonts w:hint="eastAsia" w:ascii="宋体" w:hAnsi="宋体" w:eastAsia="宋体" w:cs="宋体"/>
          <w:b w:val="0"/>
          <w:smallCaps w:val="0"/>
          <w:kern w:val="0"/>
          <w:sz w:val="24"/>
          <w:highlight w:val="none"/>
          <w:lang w:val="en-US" w:eastAsia="zh-CN"/>
        </w:rPr>
      </w:pPr>
      <w:r>
        <w:rPr>
          <w:rFonts w:hint="eastAsia" w:ascii="宋体" w:hAnsi="宋体" w:eastAsia="宋体" w:cs="宋体"/>
          <w:b w:val="0"/>
          <w:smallCaps w:val="0"/>
          <w:kern w:val="0"/>
          <w:sz w:val="24"/>
          <w:highlight w:val="none"/>
        </w:rPr>
        <w:fldChar w:fldCharType="begin"/>
      </w:r>
      <w:r>
        <w:rPr>
          <w:rFonts w:hint="eastAsia" w:ascii="宋体" w:hAnsi="宋体" w:eastAsia="宋体" w:cs="宋体"/>
          <w:b w:val="0"/>
          <w:smallCaps w:val="0"/>
          <w:kern w:val="0"/>
          <w:sz w:val="24"/>
          <w:highlight w:val="none"/>
        </w:rPr>
        <w:instrText xml:space="preserve"> HYPERLINK \l "_Toc513647866" </w:instrText>
      </w:r>
      <w:r>
        <w:rPr>
          <w:rFonts w:hint="eastAsia" w:ascii="宋体" w:hAnsi="宋体" w:eastAsia="宋体" w:cs="宋体"/>
          <w:b w:val="0"/>
          <w:smallCaps w:val="0"/>
          <w:kern w:val="0"/>
          <w:sz w:val="24"/>
          <w:highlight w:val="none"/>
        </w:rPr>
        <w:fldChar w:fldCharType="separate"/>
      </w:r>
      <w:r>
        <w:rPr>
          <w:rFonts w:hint="eastAsia" w:ascii="宋体" w:hAnsi="宋体" w:eastAsia="宋体" w:cs="宋体"/>
          <w:b w:val="0"/>
          <w:smallCaps w:val="0"/>
          <w:kern w:val="0"/>
          <w:sz w:val="24"/>
          <w:highlight w:val="none"/>
        </w:rPr>
        <w:t>附件</w:t>
      </w:r>
      <w:r>
        <w:rPr>
          <w:rFonts w:hint="eastAsia" w:ascii="宋体" w:hAnsi="宋体" w:eastAsia="宋体" w:cs="宋体"/>
          <w:b w:val="0"/>
          <w:smallCaps w:val="0"/>
          <w:kern w:val="0"/>
          <w:sz w:val="24"/>
          <w:highlight w:val="none"/>
          <w:lang w:val="en-US" w:eastAsia="zh-CN"/>
        </w:rPr>
        <w:t>四</w:t>
      </w:r>
      <w:r>
        <w:rPr>
          <w:rFonts w:hint="eastAsia" w:ascii="宋体" w:hAnsi="宋体" w:eastAsia="宋体" w:cs="宋体"/>
          <w:b w:val="0"/>
          <w:smallCaps w:val="0"/>
          <w:kern w:val="0"/>
          <w:sz w:val="24"/>
          <w:highlight w:val="none"/>
        </w:rPr>
        <w:t xml:space="preserve">: </w:t>
      </w:r>
      <w:r>
        <w:rPr>
          <w:rFonts w:hint="eastAsia" w:ascii="宋体" w:hAnsi="宋体" w:eastAsia="宋体" w:cs="宋体"/>
          <w:b w:val="0"/>
          <w:smallCaps w:val="0"/>
          <w:kern w:val="0"/>
          <w:sz w:val="24"/>
          <w:highlight w:val="none"/>
          <w:lang w:val="en-US" w:eastAsia="zh-CN"/>
        </w:rPr>
        <w:t>廉政合同</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27</w:t>
      </w:r>
    </w:p>
    <w:p>
      <w:pPr>
        <w:pStyle w:val="28"/>
        <w:tabs>
          <w:tab w:val="right" w:leader="dot" w:pos="8296"/>
        </w:tabs>
        <w:rPr>
          <w:rFonts w:hint="eastAsia" w:ascii="宋体" w:hAnsi="宋体" w:eastAsia="宋体" w:cs="宋体"/>
          <w:b w:val="0"/>
          <w:smallCaps w:val="0"/>
          <w:kern w:val="0"/>
          <w:sz w:val="24"/>
          <w:szCs w:val="24"/>
          <w:highlight w:val="none"/>
          <w:lang w:val="en-US" w:eastAsia="zh-CN"/>
        </w:rPr>
      </w:pPr>
      <w:r>
        <w:rPr>
          <w:rFonts w:hint="eastAsia" w:ascii="宋体" w:hAnsi="宋体" w:eastAsia="宋体" w:cs="宋体"/>
          <w:b w:val="0"/>
          <w:smallCaps w:val="0"/>
          <w:kern w:val="0"/>
          <w:sz w:val="24"/>
          <w:highlight w:val="none"/>
        </w:rPr>
        <w:fldChar w:fldCharType="begin"/>
      </w:r>
      <w:r>
        <w:rPr>
          <w:rFonts w:hint="eastAsia" w:ascii="宋体" w:hAnsi="宋体" w:eastAsia="宋体" w:cs="宋体"/>
          <w:b w:val="0"/>
          <w:smallCaps w:val="0"/>
          <w:kern w:val="0"/>
          <w:sz w:val="24"/>
          <w:highlight w:val="none"/>
        </w:rPr>
        <w:instrText xml:space="preserve"> HYPERLINK \l "_Toc513647866" </w:instrText>
      </w:r>
      <w:r>
        <w:rPr>
          <w:rFonts w:hint="eastAsia" w:ascii="宋体" w:hAnsi="宋体" w:eastAsia="宋体" w:cs="宋体"/>
          <w:b w:val="0"/>
          <w:smallCaps w:val="0"/>
          <w:kern w:val="0"/>
          <w:sz w:val="24"/>
          <w:highlight w:val="none"/>
        </w:rPr>
        <w:fldChar w:fldCharType="separate"/>
      </w:r>
      <w:r>
        <w:rPr>
          <w:rFonts w:hint="eastAsia" w:ascii="宋体" w:hAnsi="宋体" w:eastAsia="宋体" w:cs="宋体"/>
          <w:b w:val="0"/>
          <w:smallCaps w:val="0"/>
          <w:kern w:val="0"/>
          <w:sz w:val="24"/>
          <w:highlight w:val="none"/>
        </w:rPr>
        <w:t>附件</w:t>
      </w:r>
      <w:r>
        <w:rPr>
          <w:rFonts w:hint="eastAsia" w:ascii="宋体" w:hAnsi="宋体" w:eastAsia="宋体" w:cs="宋体"/>
          <w:b w:val="0"/>
          <w:smallCaps w:val="0"/>
          <w:kern w:val="0"/>
          <w:sz w:val="24"/>
          <w:highlight w:val="none"/>
          <w:lang w:val="en-US" w:eastAsia="zh-CN"/>
        </w:rPr>
        <w:t>五</w:t>
      </w:r>
      <w:r>
        <w:rPr>
          <w:rFonts w:hint="eastAsia" w:ascii="宋体" w:hAnsi="宋体" w:eastAsia="宋体" w:cs="宋体"/>
          <w:b w:val="0"/>
          <w:smallCaps w:val="0"/>
          <w:kern w:val="0"/>
          <w:sz w:val="24"/>
          <w:highlight w:val="none"/>
        </w:rPr>
        <w:t xml:space="preserve">: </w:t>
      </w:r>
      <w:r>
        <w:rPr>
          <w:rFonts w:hint="eastAsia" w:ascii="宋体" w:hAnsi="宋体" w:eastAsia="宋体" w:cs="宋体"/>
          <w:b w:val="0"/>
          <w:smallCaps w:val="0"/>
          <w:kern w:val="0"/>
          <w:sz w:val="24"/>
          <w:highlight w:val="none"/>
          <w:lang w:val="en-US" w:eastAsia="zh-CN"/>
        </w:rPr>
        <w:t>环境保护协议</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30</w:t>
      </w:r>
    </w:p>
    <w:p>
      <w:pPr>
        <w:pStyle w:val="28"/>
        <w:tabs>
          <w:tab w:val="right" w:leader="dot" w:pos="8296"/>
        </w:tabs>
        <w:rPr>
          <w:rFonts w:hint="eastAsia" w:ascii="宋体" w:hAnsi="宋体" w:eastAsia="宋体" w:cs="宋体"/>
          <w:b w:val="0"/>
          <w:smallCaps w:val="0"/>
          <w:kern w:val="0"/>
          <w:sz w:val="24"/>
          <w:szCs w:val="24"/>
          <w:highlight w:val="none"/>
          <w:lang w:val="en-US" w:eastAsia="zh-CN"/>
        </w:rPr>
      </w:pPr>
      <w:r>
        <w:rPr>
          <w:rFonts w:hint="eastAsia" w:ascii="宋体" w:hAnsi="宋体" w:eastAsia="宋体" w:cs="宋体"/>
          <w:b w:val="0"/>
          <w:smallCaps w:val="0"/>
          <w:kern w:val="0"/>
          <w:sz w:val="24"/>
          <w:highlight w:val="none"/>
        </w:rPr>
        <w:fldChar w:fldCharType="begin"/>
      </w:r>
      <w:r>
        <w:rPr>
          <w:rFonts w:hint="eastAsia" w:ascii="宋体" w:hAnsi="宋体" w:eastAsia="宋体" w:cs="宋体"/>
          <w:b w:val="0"/>
          <w:smallCaps w:val="0"/>
          <w:kern w:val="0"/>
          <w:sz w:val="24"/>
          <w:highlight w:val="none"/>
        </w:rPr>
        <w:instrText xml:space="preserve"> HYPERLINK \l "_Toc513647866" </w:instrText>
      </w:r>
      <w:r>
        <w:rPr>
          <w:rFonts w:hint="eastAsia" w:ascii="宋体" w:hAnsi="宋体" w:eastAsia="宋体" w:cs="宋体"/>
          <w:b w:val="0"/>
          <w:smallCaps w:val="0"/>
          <w:kern w:val="0"/>
          <w:sz w:val="24"/>
          <w:highlight w:val="none"/>
        </w:rPr>
        <w:fldChar w:fldCharType="separate"/>
      </w:r>
      <w:r>
        <w:rPr>
          <w:rFonts w:hint="eastAsia" w:ascii="宋体" w:hAnsi="宋体" w:eastAsia="宋体" w:cs="宋体"/>
          <w:b w:val="0"/>
          <w:smallCaps w:val="0"/>
          <w:kern w:val="0"/>
          <w:sz w:val="24"/>
          <w:highlight w:val="none"/>
        </w:rPr>
        <w:t>附件</w:t>
      </w:r>
      <w:r>
        <w:rPr>
          <w:rFonts w:hint="eastAsia" w:ascii="宋体" w:hAnsi="宋体" w:eastAsia="宋体" w:cs="宋体"/>
          <w:b w:val="0"/>
          <w:smallCaps w:val="0"/>
          <w:kern w:val="0"/>
          <w:sz w:val="24"/>
          <w:highlight w:val="none"/>
          <w:lang w:val="en-US" w:eastAsia="zh-CN"/>
        </w:rPr>
        <w:t>六</w:t>
      </w:r>
      <w:r>
        <w:rPr>
          <w:rFonts w:hint="eastAsia" w:ascii="宋体" w:hAnsi="宋体" w:eastAsia="宋体" w:cs="宋体"/>
          <w:b w:val="0"/>
          <w:smallCaps w:val="0"/>
          <w:kern w:val="0"/>
          <w:sz w:val="24"/>
          <w:highlight w:val="none"/>
        </w:rPr>
        <w:t xml:space="preserve">: </w:t>
      </w:r>
      <w:r>
        <w:rPr>
          <w:rFonts w:hint="eastAsia" w:ascii="宋体" w:hAnsi="宋体" w:eastAsia="宋体" w:cs="宋体"/>
          <w:b w:val="0"/>
          <w:smallCaps w:val="0"/>
          <w:kern w:val="0"/>
          <w:sz w:val="24"/>
          <w:highlight w:val="none"/>
          <w:lang w:val="en-US" w:eastAsia="zh-CN"/>
        </w:rPr>
        <w:t>授权委托书</w:t>
      </w:r>
      <w:r>
        <w:rPr>
          <w:rFonts w:hint="eastAsia" w:ascii="宋体" w:hAnsi="宋体" w:eastAsia="宋体" w:cs="宋体"/>
          <w:b w:val="0"/>
          <w:smallCaps w:val="0"/>
          <w:kern w:val="0"/>
          <w:sz w:val="24"/>
          <w:highlight w:val="none"/>
        </w:rPr>
        <w:tab/>
      </w:r>
      <w:r>
        <w:rPr>
          <w:rFonts w:hint="eastAsia" w:ascii="宋体" w:hAnsi="宋体" w:eastAsia="宋体" w:cs="宋体"/>
          <w:b w:val="0"/>
          <w:smallCaps w:val="0"/>
          <w:kern w:val="0"/>
          <w:sz w:val="24"/>
          <w:highlight w:val="none"/>
        </w:rPr>
        <w:fldChar w:fldCharType="end"/>
      </w:r>
      <w:r>
        <w:rPr>
          <w:rFonts w:hint="eastAsia" w:ascii="宋体" w:hAnsi="宋体" w:eastAsia="宋体" w:cs="宋体"/>
          <w:b w:val="0"/>
          <w:smallCaps w:val="0"/>
          <w:kern w:val="0"/>
          <w:sz w:val="24"/>
          <w:highlight w:val="none"/>
          <w:lang w:val="en-US" w:eastAsia="zh-CN"/>
        </w:rPr>
        <w:t>33</w:t>
      </w:r>
    </w:p>
    <w:p>
      <w:pPr>
        <w:spacing w:line="360" w:lineRule="auto"/>
        <w:rPr>
          <w:rFonts w:hint="eastAsia" w:ascii="宋体" w:hAnsi="宋体" w:cs="宋体"/>
          <w:b w:val="0"/>
          <w:smallCaps w:val="0"/>
          <w:szCs w:val="24"/>
          <w:highlight w:val="none"/>
        </w:rPr>
      </w:pPr>
    </w:p>
    <w:p>
      <w:pPr>
        <w:pStyle w:val="31"/>
        <w:spacing w:line="360" w:lineRule="auto"/>
        <w:jc w:val="center"/>
        <w:rPr>
          <w:rFonts w:hint="eastAsia" w:ascii="宋体" w:hAnsi="宋体" w:eastAsia="宋体" w:cs="宋体"/>
          <w:b w:val="0"/>
          <w:highlight w:val="none"/>
        </w:rPr>
      </w:pPr>
      <w:r>
        <w:rPr>
          <w:rFonts w:hint="eastAsia" w:ascii="宋体" w:hAnsi="宋体" w:eastAsia="宋体" w:cs="宋体"/>
          <w:b w:val="0"/>
          <w:highlight w:val="none"/>
        </w:rPr>
        <w:fldChar w:fldCharType="end"/>
      </w:r>
    </w:p>
    <w:p>
      <w:pPr>
        <w:pStyle w:val="31"/>
        <w:spacing w:line="360" w:lineRule="auto"/>
        <w:jc w:val="center"/>
        <w:rPr>
          <w:rFonts w:hint="eastAsia" w:ascii="宋体" w:hAnsi="宋体" w:eastAsia="宋体" w:cs="宋体"/>
          <w:b w:val="0"/>
          <w:highlight w:val="none"/>
        </w:rPr>
      </w:pPr>
    </w:p>
    <w:p>
      <w:pPr>
        <w:pStyle w:val="31"/>
        <w:spacing w:line="360" w:lineRule="auto"/>
        <w:jc w:val="center"/>
        <w:rPr>
          <w:rFonts w:hint="eastAsia" w:ascii="宋体" w:hAnsi="宋体" w:eastAsia="宋体" w:cs="宋体"/>
          <w:b w:val="0"/>
          <w:highlight w:val="none"/>
        </w:rPr>
      </w:pPr>
    </w:p>
    <w:p>
      <w:pPr>
        <w:pStyle w:val="31"/>
        <w:spacing w:line="360" w:lineRule="auto"/>
        <w:jc w:val="center"/>
        <w:rPr>
          <w:rFonts w:hint="eastAsia" w:ascii="宋体" w:hAnsi="宋体" w:eastAsia="宋体" w:cs="宋体"/>
          <w:b w:val="0"/>
          <w:highlight w:val="none"/>
        </w:rPr>
      </w:pPr>
    </w:p>
    <w:p>
      <w:pPr>
        <w:pStyle w:val="31"/>
        <w:spacing w:line="360" w:lineRule="auto"/>
        <w:jc w:val="center"/>
        <w:rPr>
          <w:rFonts w:hint="eastAsia" w:ascii="宋体" w:hAnsi="宋体" w:eastAsia="宋体" w:cs="宋体"/>
          <w:b w:val="0"/>
          <w:highlight w:val="none"/>
        </w:rPr>
      </w:pPr>
    </w:p>
    <w:p>
      <w:pPr>
        <w:pStyle w:val="31"/>
        <w:spacing w:line="360" w:lineRule="auto"/>
        <w:jc w:val="both"/>
        <w:rPr>
          <w:rFonts w:hint="eastAsia" w:ascii="宋体" w:hAnsi="宋体" w:eastAsia="宋体" w:cs="宋体"/>
          <w:b w:val="0"/>
          <w:highlight w:val="none"/>
        </w:rPr>
      </w:pPr>
    </w:p>
    <w:p>
      <w:pPr>
        <w:spacing w:line="360" w:lineRule="auto"/>
        <w:jc w:val="center"/>
        <w:rPr>
          <w:rFonts w:hint="eastAsia" w:ascii="宋体" w:hAnsi="宋体" w:eastAsia="宋体" w:cs="宋体"/>
          <w:b/>
          <w:i w:val="0"/>
          <w:iCs w:val="0"/>
          <w:color w:val="auto"/>
          <w:kern w:val="2"/>
          <w:sz w:val="32"/>
          <w:szCs w:val="32"/>
          <w:highlight w:val="none"/>
          <w:u w:val="single"/>
          <w:lang w:val="en-US" w:eastAsia="zh-CN"/>
        </w:rPr>
      </w:pPr>
      <w:r>
        <w:rPr>
          <w:rFonts w:hint="eastAsia" w:ascii="宋体" w:hAnsi="宋体" w:eastAsia="宋体" w:cs="宋体"/>
          <w:b/>
          <w:i w:val="0"/>
          <w:iCs w:val="0"/>
          <w:color w:val="auto"/>
          <w:kern w:val="2"/>
          <w:sz w:val="32"/>
          <w:szCs w:val="32"/>
          <w:highlight w:val="none"/>
          <w:u w:val="single"/>
          <w:lang w:val="en-US" w:eastAsia="zh-CN"/>
        </w:rPr>
        <w:br w:type="page"/>
      </w:r>
    </w:p>
    <w:p>
      <w:pPr>
        <w:pStyle w:val="31"/>
        <w:spacing w:line="360" w:lineRule="auto"/>
        <w:jc w:val="center"/>
        <w:rPr>
          <w:rFonts w:hint="eastAsia" w:ascii="宋体" w:hAnsi="宋体" w:eastAsia="宋体" w:cs="宋体"/>
          <w:sz w:val="28"/>
          <w:szCs w:val="28"/>
          <w:highlight w:val="none"/>
          <w:u w:val="single"/>
        </w:rPr>
      </w:pPr>
      <w:r>
        <w:rPr>
          <w:rFonts w:hint="eastAsia" w:ascii="宋体" w:hAnsi="宋体" w:eastAsia="宋体" w:cs="宋体"/>
          <w:b/>
          <w:i w:val="0"/>
          <w:iCs w:val="0"/>
          <w:color w:val="auto"/>
          <w:kern w:val="2"/>
          <w:sz w:val="32"/>
          <w:szCs w:val="32"/>
          <w:highlight w:val="none"/>
          <w:u w:val="single"/>
          <w:lang w:val="en-US" w:eastAsia="zh-CN"/>
        </w:rPr>
        <w:t xml:space="preserve">          </w:t>
      </w:r>
      <w:r>
        <w:rPr>
          <w:rFonts w:hint="eastAsia" w:ascii="宋体" w:hAnsi="宋体" w:eastAsia="宋体" w:cs="宋体"/>
          <w:b/>
          <w:kern w:val="2"/>
          <w:sz w:val="32"/>
          <w:szCs w:val="32"/>
          <w:highlight w:val="none"/>
        </w:rPr>
        <w:t>合同</w:t>
      </w:r>
    </w:p>
    <w:p>
      <w:pPr>
        <w:pStyle w:val="31"/>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甲方： </w:t>
      </w:r>
      <w:r>
        <w:rPr>
          <w:rFonts w:hint="eastAsia" w:ascii="宋体" w:hAnsi="宋体" w:eastAsia="宋体" w:cs="宋体"/>
          <w:highlight w:val="none"/>
          <w:u w:val="single"/>
        </w:rPr>
        <w:t xml:space="preserve">重庆首讯科技股份有限公司 </w:t>
      </w:r>
      <w:r>
        <w:rPr>
          <w:rFonts w:hint="eastAsia" w:ascii="宋体" w:hAnsi="宋体" w:eastAsia="宋体" w:cs="宋体"/>
          <w:highlight w:val="none"/>
        </w:rPr>
        <w:t xml:space="preserve">                                                </w:t>
      </w:r>
    </w:p>
    <w:p>
      <w:pPr>
        <w:pStyle w:val="31"/>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color w:val="auto"/>
          <w:highlight w:val="none"/>
          <w:u w:val="single"/>
          <w:lang w:val="en-US" w:eastAsia="zh-CN"/>
        </w:rPr>
      </w:pPr>
      <w:r>
        <w:rPr>
          <w:rFonts w:hint="eastAsia" w:ascii="宋体" w:hAnsi="宋体" w:eastAsia="宋体" w:cs="宋体"/>
          <w:highlight w:val="none"/>
        </w:rPr>
        <w:t xml:space="preserve">乙方： </w:t>
      </w:r>
      <w:r>
        <w:rPr>
          <w:rFonts w:hint="eastAsia" w:ascii="宋体" w:hAnsi="宋体" w:eastAsia="宋体" w:cs="宋体"/>
          <w:color w:val="auto"/>
          <w:highlight w:val="none"/>
          <w:u w:val="single"/>
          <w:lang w:val="en-US" w:eastAsia="zh-CN"/>
        </w:rPr>
        <w:t xml:space="preserve">                         </w:t>
      </w:r>
    </w:p>
    <w:p>
      <w:pPr>
        <w:pStyle w:val="31"/>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为顺利完成甲方所承接的机电</w:t>
      </w:r>
      <w:r>
        <w:rPr>
          <w:rFonts w:hint="eastAsia" w:ascii="宋体" w:hAnsi="宋体" w:eastAsia="宋体" w:cs="宋体"/>
          <w:highlight w:val="none"/>
          <w:lang w:val="en-US" w:eastAsia="zh-CN"/>
        </w:rPr>
        <w:t>软件</w:t>
      </w:r>
      <w:r>
        <w:rPr>
          <w:rFonts w:hint="eastAsia" w:ascii="宋体" w:hAnsi="宋体" w:eastAsia="宋体" w:cs="宋体"/>
          <w:highlight w:val="none"/>
        </w:rPr>
        <w:t>运维业务</w:t>
      </w:r>
      <w:r>
        <w:rPr>
          <w:rFonts w:hint="eastAsia" w:ascii="宋体" w:hAnsi="宋体" w:eastAsia="宋体" w:cs="宋体"/>
          <w:highlight w:val="none"/>
          <w:lang w:val="en-US" w:eastAsia="zh-CN"/>
        </w:rPr>
        <w:t>,经甲乙双方</w:t>
      </w:r>
      <w:r>
        <w:rPr>
          <w:rFonts w:hint="eastAsia" w:ascii="宋体" w:hAnsi="宋体" w:eastAsia="宋体" w:cs="宋体"/>
          <w:highlight w:val="none"/>
        </w:rPr>
        <w:t>依照《中华人民共和国民法典》</w:t>
      </w:r>
      <w:r>
        <w:rPr>
          <w:rFonts w:hint="eastAsia" w:ascii="宋体" w:hAnsi="宋体" w:eastAsia="宋体" w:cs="宋体"/>
          <w:highlight w:val="none"/>
          <w:lang w:eastAsia="zh-CN"/>
        </w:rPr>
        <w:t>、</w:t>
      </w:r>
      <w:r>
        <w:rPr>
          <w:rFonts w:hint="eastAsia" w:ascii="宋体" w:hAnsi="宋体" w:eastAsia="宋体" w:cs="宋体"/>
          <w:highlight w:val="none"/>
        </w:rPr>
        <w:t>重庆高速集团《高速公路机电系统维护管理办法》等规范，以及重庆高速公路集团有限公司和甲方的相关规定和会议精神为准，就乙方实施本合同约定的维护工作的有关事宜达成如下协议：</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第一章 </w:t>
      </w:r>
      <w:r>
        <w:rPr>
          <w:rFonts w:hint="eastAsia" w:ascii="宋体" w:hAnsi="宋体" w:eastAsia="宋体" w:cs="宋体"/>
          <w:b/>
          <w:bCs/>
          <w:kern w:val="0"/>
          <w:sz w:val="24"/>
          <w:highlight w:val="none"/>
          <w:lang w:eastAsia="zh-CN"/>
        </w:rPr>
        <w:t>维护</w:t>
      </w:r>
      <w:r>
        <w:rPr>
          <w:rFonts w:hint="eastAsia" w:ascii="宋体" w:hAnsi="宋体" w:eastAsia="宋体" w:cs="宋体"/>
          <w:b/>
          <w:bCs/>
          <w:kern w:val="0"/>
          <w:sz w:val="24"/>
          <w:highlight w:val="none"/>
        </w:rPr>
        <w:t>概况</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1.1 维护名称</w:t>
      </w:r>
      <w:r>
        <w:rPr>
          <w:rFonts w:hint="eastAsia" w:ascii="宋体" w:hAnsi="宋体" w:eastAsia="宋体" w:cs="宋体"/>
          <w:b/>
          <w:bCs/>
          <w:kern w:val="0"/>
          <w:sz w:val="24"/>
          <w:highlight w:val="none"/>
          <w:lang w:val="en-US" w:eastAsia="zh-CN"/>
        </w:rPr>
        <w:t>:</w:t>
      </w:r>
      <w:r>
        <w:rPr>
          <w:rFonts w:hint="eastAsia" w:ascii="宋体" w:hAnsi="宋体" w:eastAsia="宋体" w:cs="宋体"/>
          <w:b w:val="0"/>
          <w:kern w:val="0"/>
          <w:sz w:val="24"/>
          <w:highlight w:val="none"/>
        </w:rPr>
        <w:t xml:space="preserve"> </w:t>
      </w:r>
      <w:r>
        <w:rPr>
          <w:rFonts w:hint="eastAsia" w:ascii="宋体" w:hAnsi="宋体" w:eastAsia="宋体" w:cs="宋体"/>
          <w:b w:val="0"/>
          <w:color w:val="FF0000"/>
          <w:kern w:val="0"/>
          <w:sz w:val="24"/>
          <w:highlight w:val="none"/>
          <w:lang w:val="en-US" w:eastAsia="zh-CN"/>
        </w:rPr>
        <w:t>XX</w:t>
      </w:r>
      <w:r>
        <w:rPr>
          <w:rFonts w:hint="eastAsia" w:ascii="宋体" w:hAnsi="宋体" w:eastAsia="宋体" w:cs="宋体"/>
          <w:b w:val="0"/>
          <w:kern w:val="0"/>
          <w:sz w:val="24"/>
          <w:highlight w:val="none"/>
        </w:rPr>
        <w:t xml:space="preserve">  </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color w:val="FF0000"/>
          <w:kern w:val="0"/>
          <w:sz w:val="24"/>
          <w:highlight w:val="none"/>
        </w:rPr>
      </w:pPr>
      <w:r>
        <w:rPr>
          <w:rFonts w:hint="eastAsia" w:ascii="宋体" w:hAnsi="宋体" w:eastAsia="宋体" w:cs="宋体"/>
          <w:b w:val="0"/>
          <w:kern w:val="0"/>
          <w:sz w:val="24"/>
          <w:highlight w:val="none"/>
        </w:rPr>
        <w:t>1.</w:t>
      </w:r>
      <w:r>
        <w:rPr>
          <w:rFonts w:hint="eastAsia" w:ascii="宋体" w:hAnsi="宋体" w:eastAsia="宋体" w:cs="宋体"/>
          <w:b w:val="0"/>
          <w:kern w:val="0"/>
          <w:sz w:val="24"/>
          <w:highlight w:val="none"/>
          <w:lang w:val="en-US" w:eastAsia="zh-CN"/>
        </w:rPr>
        <w:t xml:space="preserve">2 </w:t>
      </w:r>
      <w:r>
        <w:rPr>
          <w:rFonts w:hint="eastAsia" w:ascii="宋体" w:hAnsi="宋体" w:eastAsia="宋体" w:cs="宋体"/>
          <w:b w:val="0"/>
          <w:kern w:val="0"/>
          <w:sz w:val="24"/>
          <w:highlight w:val="none"/>
        </w:rPr>
        <w:t>维护地点</w:t>
      </w:r>
      <w:r>
        <w:rPr>
          <w:rFonts w:hint="eastAsia" w:ascii="宋体" w:hAnsi="宋体" w:eastAsia="宋体" w:cs="宋体"/>
          <w:b/>
          <w:bCs/>
          <w:kern w:val="0"/>
          <w:sz w:val="24"/>
          <w:highlight w:val="none"/>
          <w:lang w:val="en-US" w:eastAsia="zh-CN"/>
        </w:rPr>
        <w:t>:</w:t>
      </w:r>
      <w:r>
        <w:rPr>
          <w:rFonts w:hint="eastAsia" w:ascii="宋体" w:hAnsi="宋体" w:eastAsia="宋体" w:cs="宋体"/>
          <w:b w:val="0"/>
          <w:color w:val="FF0000"/>
          <w:kern w:val="0"/>
          <w:sz w:val="24"/>
          <w:highlight w:val="none"/>
        </w:rPr>
        <w:t xml:space="preserve"> </w:t>
      </w:r>
      <w:r>
        <w:rPr>
          <w:rFonts w:hint="eastAsia" w:ascii="宋体" w:hAnsi="宋体" w:eastAsia="宋体" w:cs="宋体"/>
          <w:b w:val="0"/>
          <w:color w:val="FF0000"/>
          <w:kern w:val="0"/>
          <w:sz w:val="24"/>
          <w:highlight w:val="none"/>
          <w:lang w:val="en-US" w:eastAsia="zh-CN"/>
        </w:rPr>
        <w:t>XX</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1.</w:t>
      </w:r>
      <w:r>
        <w:rPr>
          <w:rFonts w:hint="eastAsia" w:ascii="宋体" w:hAnsi="宋体" w:eastAsia="宋体" w:cs="宋体"/>
          <w:b w:val="0"/>
          <w:kern w:val="0"/>
          <w:sz w:val="24"/>
          <w:highlight w:val="none"/>
          <w:lang w:val="en-US" w:eastAsia="zh-CN"/>
        </w:rPr>
        <w:t>3</w:t>
      </w:r>
      <w:r>
        <w:rPr>
          <w:rFonts w:hint="eastAsia" w:ascii="宋体" w:hAnsi="宋体" w:eastAsia="宋体" w:cs="宋体"/>
          <w:b w:val="0"/>
          <w:kern w:val="0"/>
          <w:sz w:val="24"/>
          <w:highlight w:val="none"/>
        </w:rPr>
        <w:t>维护内容</w:t>
      </w:r>
      <w:r>
        <w:rPr>
          <w:rFonts w:hint="eastAsia" w:ascii="宋体" w:hAnsi="宋体" w:eastAsia="宋体" w:cs="宋体"/>
          <w:b w:val="0"/>
          <w:bCs w:val="0"/>
          <w:kern w:val="0"/>
          <w:sz w:val="24"/>
          <w:highlight w:val="none"/>
        </w:rPr>
        <w:t>：</w:t>
      </w:r>
      <w:r>
        <w:rPr>
          <w:rFonts w:hint="eastAsia" w:ascii="宋体" w:hAnsi="宋体" w:eastAsia="宋体" w:cs="宋体"/>
          <w:b w:val="0"/>
          <w:bCs w:val="0"/>
          <w:color w:val="FF0000"/>
          <w:kern w:val="0"/>
          <w:sz w:val="24"/>
          <w:highlight w:val="none"/>
          <w:lang w:val="en-US" w:eastAsia="zh-CN"/>
        </w:rPr>
        <w:t>XXXXX</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color w:val="FF0000"/>
          <w:kern w:val="0"/>
          <w:sz w:val="24"/>
          <w:highlight w:val="none"/>
          <w:lang w:val="en-US" w:eastAsia="zh-CN"/>
        </w:rPr>
      </w:pPr>
      <w:r>
        <w:rPr>
          <w:rFonts w:hint="eastAsia" w:ascii="宋体" w:hAnsi="宋体" w:eastAsia="宋体" w:cs="宋体"/>
          <w:b w:val="0"/>
          <w:kern w:val="0"/>
          <w:sz w:val="24"/>
          <w:highlight w:val="none"/>
        </w:rPr>
        <w:t>1.</w:t>
      </w:r>
      <w:r>
        <w:rPr>
          <w:rFonts w:hint="eastAsia" w:ascii="宋体" w:hAnsi="宋体" w:eastAsia="宋体" w:cs="宋体"/>
          <w:b w:val="0"/>
          <w:kern w:val="0"/>
          <w:sz w:val="24"/>
          <w:highlight w:val="none"/>
          <w:lang w:val="en-US" w:eastAsia="zh-CN"/>
        </w:rPr>
        <w:t>4</w:t>
      </w:r>
      <w:r>
        <w:rPr>
          <w:rFonts w:hint="eastAsia" w:ascii="宋体" w:hAnsi="宋体" w:eastAsia="宋体" w:cs="宋体"/>
          <w:b w:val="0"/>
          <w:kern w:val="0"/>
          <w:sz w:val="24"/>
          <w:highlight w:val="none"/>
        </w:rPr>
        <w:t xml:space="preserve"> </w:t>
      </w:r>
      <w:r>
        <w:rPr>
          <w:rFonts w:hint="eastAsia" w:ascii="宋体" w:hAnsi="宋体" w:eastAsia="宋体" w:cs="宋体"/>
          <w:b w:val="0"/>
          <w:kern w:val="0"/>
          <w:sz w:val="24"/>
          <w:highlight w:val="none"/>
          <w:lang w:val="en-US" w:eastAsia="zh-CN"/>
        </w:rPr>
        <w:t>暂定</w:t>
      </w:r>
      <w:r>
        <w:rPr>
          <w:rFonts w:hint="eastAsia" w:ascii="宋体" w:hAnsi="宋体" w:eastAsia="宋体" w:cs="宋体"/>
          <w:b w:val="0"/>
          <w:kern w:val="0"/>
          <w:sz w:val="24"/>
          <w:highlight w:val="none"/>
        </w:rPr>
        <w:t>维护工期：</w:t>
      </w:r>
      <w:r>
        <w:rPr>
          <w:rFonts w:hint="eastAsia" w:ascii="宋体" w:hAnsi="宋体" w:eastAsia="宋体" w:cs="宋体"/>
          <w:b w:val="0"/>
          <w:color w:val="FF0000"/>
          <w:kern w:val="0"/>
          <w:sz w:val="24"/>
          <w:highlight w:val="none"/>
          <w:lang w:val="en-US" w:eastAsia="zh-CN"/>
        </w:rPr>
        <w:t>XXXXX</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第二章 </w:t>
      </w:r>
      <w:r>
        <w:rPr>
          <w:rFonts w:hint="eastAsia" w:ascii="宋体" w:hAnsi="宋体" w:eastAsia="宋体" w:cs="宋体"/>
          <w:b/>
          <w:bCs/>
          <w:kern w:val="0"/>
          <w:sz w:val="24"/>
          <w:highlight w:val="none"/>
          <w:lang w:eastAsia="zh-CN"/>
        </w:rPr>
        <w:t>维护</w:t>
      </w:r>
      <w:r>
        <w:rPr>
          <w:rFonts w:hint="eastAsia" w:ascii="宋体" w:hAnsi="宋体" w:eastAsia="宋体" w:cs="宋体"/>
          <w:b/>
          <w:bCs/>
          <w:kern w:val="0"/>
          <w:sz w:val="24"/>
          <w:highlight w:val="none"/>
        </w:rPr>
        <w:t>工作的具体内容及要求</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kern w:val="0"/>
          <w:sz w:val="24"/>
          <w:highlight w:val="none"/>
        </w:rPr>
        <w:t>包括办公系统、机电运维平台、养护系统、联网收费系统、联网监控系统、建设信息化平台的系统优化代码开发、系统配置、日常巡检、系统备份、问题记录、问题处理及反馈、维护资料编制等日常性工作，不包含维护工机具、车辆等。</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本合同具体维护内容详见附件一《维护工程量及合同清单表》。</w:t>
      </w:r>
    </w:p>
    <w:p>
      <w:pPr>
        <w:numPr>
          <w:ilvl w:val="0"/>
          <w:numId w:val="1"/>
        </w:num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质量标准及工作要求 </w:t>
      </w:r>
    </w:p>
    <w:p>
      <w:pPr>
        <w:pStyle w:val="31"/>
        <w:tabs>
          <w:tab w:val="left" w:pos="8168"/>
        </w:tabs>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highlight w:val="none"/>
          <w:lang w:val="en-US" w:eastAsia="zh-CN"/>
        </w:rPr>
      </w:pPr>
      <w:r>
        <w:rPr>
          <w:rFonts w:hint="eastAsia" w:ascii="宋体" w:hAnsi="宋体" w:eastAsia="宋体" w:cs="宋体"/>
          <w:b w:val="0"/>
          <w:bCs w:val="0"/>
          <w:color w:val="auto"/>
          <w:kern w:val="0"/>
          <w:sz w:val="24"/>
          <w:highlight w:val="none"/>
          <w:lang w:val="en-US" w:eastAsia="zh-CN"/>
        </w:rPr>
        <w:t>3.1按照</w:t>
      </w:r>
      <w:r>
        <w:rPr>
          <w:rFonts w:hint="eastAsia" w:ascii="宋体" w:hAnsi="宋体" w:eastAsia="宋体" w:cs="宋体"/>
          <w:b w:val="0"/>
          <w:bCs w:val="0"/>
          <w:color w:val="auto"/>
          <w:kern w:val="0"/>
          <w:sz w:val="24"/>
          <w:highlight w:val="none"/>
        </w:rPr>
        <w:t>重庆高速集团《重庆市高速公路机电系统维护管理办法》的</w:t>
      </w:r>
      <w:r>
        <w:rPr>
          <w:rFonts w:hint="eastAsia" w:ascii="宋体" w:hAnsi="宋体" w:eastAsia="宋体" w:cs="宋体"/>
          <w:b w:val="0"/>
          <w:bCs w:val="0"/>
          <w:color w:val="auto"/>
          <w:kern w:val="0"/>
          <w:sz w:val="24"/>
          <w:highlight w:val="none"/>
          <w:lang w:val="en-US" w:eastAsia="zh-CN"/>
        </w:rPr>
        <w:t>要求定期</w:t>
      </w:r>
      <w:r>
        <w:rPr>
          <w:rFonts w:hint="eastAsia" w:ascii="宋体" w:hAnsi="宋体" w:eastAsia="宋体" w:cs="宋体"/>
          <w:b w:val="0"/>
          <w:bCs w:val="0"/>
          <w:color w:val="auto"/>
          <w:kern w:val="0"/>
          <w:sz w:val="24"/>
          <w:highlight w:val="none"/>
        </w:rPr>
        <w:t>进行检查、维护</w:t>
      </w:r>
      <w:r>
        <w:rPr>
          <w:rFonts w:hint="eastAsia" w:ascii="宋体" w:hAnsi="宋体" w:eastAsia="宋体" w:cs="宋体"/>
          <w:kern w:val="0"/>
          <w:sz w:val="24"/>
          <w:highlight w:val="none"/>
          <w:lang w:val="en-US" w:eastAsia="zh-CN"/>
        </w:rPr>
        <w:t>：</w:t>
      </w:r>
    </w:p>
    <w:p>
      <w:pPr>
        <w:pStyle w:val="31"/>
        <w:tabs>
          <w:tab w:val="left" w:pos="8168"/>
        </w:tabs>
        <w:adjustRightInd w:val="0"/>
        <w:snapToGrid w:val="0"/>
        <w:spacing w:before="0" w:beforeLines="0" w:beforeAutospacing="0" w:after="0" w:afterLines="0" w:afterAutospacing="0" w:line="360" w:lineRule="auto"/>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3.12其余维护技术标准和要求详见附件二《</w:t>
      </w:r>
      <w:r>
        <w:rPr>
          <w:rFonts w:hint="eastAsia" w:ascii="宋体" w:hAnsi="宋体" w:eastAsia="宋体" w:cs="宋体"/>
          <w:b w:val="0"/>
          <w:bCs w:val="0"/>
          <w:sz w:val="24"/>
          <w:highlight w:val="none"/>
          <w:lang w:val="en-US" w:eastAsia="zh-CN"/>
        </w:rPr>
        <w:t>维护技术标准及要求》</w:t>
      </w:r>
      <w:r>
        <w:rPr>
          <w:rFonts w:hint="eastAsia" w:ascii="宋体" w:hAnsi="宋体" w:eastAsia="宋体" w:cs="宋体"/>
          <w:highlight w:val="none"/>
          <w:lang w:val="en-US" w:eastAsia="zh-CN"/>
        </w:rPr>
        <w:t>。</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第四章 合同价、支付方式</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4.1本合同暂定含税总金额为</w:t>
      </w:r>
      <w:r>
        <w:rPr>
          <w:rFonts w:hint="eastAsia" w:ascii="宋体" w:hAnsi="宋体" w:eastAsia="宋体" w:cs="宋体"/>
          <w:b w:val="0"/>
          <w:color w:val="FF0000"/>
          <w:kern w:val="0"/>
          <w:sz w:val="24"/>
          <w:highlight w:val="none"/>
        </w:rPr>
        <w:t>￥XXX元（大写：人民币XXX）</w:t>
      </w:r>
      <w:r>
        <w:rPr>
          <w:rFonts w:hint="eastAsia" w:ascii="宋体" w:hAnsi="宋体" w:eastAsia="宋体" w:cs="宋体"/>
          <w:b w:val="0"/>
          <w:kern w:val="0"/>
          <w:sz w:val="24"/>
          <w:highlight w:val="none"/>
        </w:rPr>
        <w:t>，其中不含税金额为</w:t>
      </w:r>
      <w:r>
        <w:rPr>
          <w:rFonts w:hint="eastAsia" w:ascii="宋体" w:hAnsi="宋体" w:eastAsia="宋体" w:cs="宋体"/>
          <w:b w:val="0"/>
          <w:color w:val="FF0000"/>
          <w:kern w:val="0"/>
          <w:sz w:val="24"/>
          <w:highlight w:val="none"/>
        </w:rPr>
        <w:t>￥XXX元（大写：人民币XXX）</w:t>
      </w:r>
      <w:r>
        <w:rPr>
          <w:rFonts w:hint="eastAsia" w:ascii="宋体" w:hAnsi="宋体" w:eastAsia="宋体" w:cs="宋体"/>
          <w:b w:val="0"/>
          <w:kern w:val="0"/>
          <w:sz w:val="24"/>
          <w:highlight w:val="none"/>
        </w:rPr>
        <w:t>，</w:t>
      </w:r>
      <w:r>
        <w:rPr>
          <w:rFonts w:hint="eastAsia" w:ascii="宋体" w:hAnsi="宋体" w:eastAsia="宋体" w:cs="宋体"/>
          <w:b w:val="0"/>
          <w:color w:val="FF0000"/>
          <w:kern w:val="0"/>
          <w:sz w:val="24"/>
          <w:highlight w:val="none"/>
        </w:rPr>
        <w:t>税金为￥XXX元（大写：人民币XXX）</w:t>
      </w:r>
      <w:r>
        <w:rPr>
          <w:rFonts w:hint="eastAsia" w:ascii="宋体" w:hAnsi="宋体" w:eastAsia="宋体" w:cs="宋体"/>
          <w:b w:val="0"/>
          <w:kern w:val="0"/>
          <w:sz w:val="24"/>
          <w:highlight w:val="none"/>
        </w:rPr>
        <w:t>，</w:t>
      </w:r>
      <w:r>
        <w:rPr>
          <w:rFonts w:hint="eastAsia" w:ascii="宋体" w:hAnsi="宋体" w:eastAsia="宋体" w:cs="宋体"/>
          <w:b w:val="0"/>
          <w:color w:val="FF0000"/>
          <w:kern w:val="0"/>
          <w:sz w:val="24"/>
          <w:highlight w:val="none"/>
        </w:rPr>
        <w:t>税率为XX%</w:t>
      </w:r>
      <w:r>
        <w:rPr>
          <w:rFonts w:hint="eastAsia" w:ascii="宋体" w:hAnsi="宋体" w:eastAsia="宋体" w:cs="宋体"/>
          <w:b w:val="0"/>
          <w:color w:val="FF0000"/>
          <w:kern w:val="0"/>
          <w:sz w:val="24"/>
          <w:highlight w:val="none"/>
          <w:lang w:eastAsia="zh-CN"/>
        </w:rPr>
        <w:t>，</w:t>
      </w:r>
      <w:r>
        <w:rPr>
          <w:rFonts w:hint="eastAsia" w:ascii="宋体" w:hAnsi="宋体" w:eastAsia="宋体" w:cs="宋体"/>
          <w:b w:val="0"/>
          <w:color w:val="FF0000"/>
          <w:kern w:val="0"/>
          <w:sz w:val="24"/>
          <w:highlight w:val="none"/>
          <w:lang w:val="en-US" w:eastAsia="zh-CN"/>
        </w:rPr>
        <w:t>本合同安全生产费XX元</w:t>
      </w:r>
      <w:r>
        <w:rPr>
          <w:rFonts w:hint="eastAsia" w:ascii="宋体" w:hAnsi="宋体" w:eastAsia="宋体" w:cs="宋体"/>
          <w:b w:val="0"/>
          <w:kern w:val="0"/>
          <w:sz w:val="24"/>
          <w:highlight w:val="none"/>
        </w:rPr>
        <w:t>。在合同执行过程中，如因国家税务政策调整，当增值税税率提高，本合同含税总价不变；当增值税税率降低，本合同不含税总价不变，并相应减少增值税金额。</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Cs w:val="0"/>
          <w:kern w:val="0"/>
          <w:sz w:val="24"/>
          <w:szCs w:val="24"/>
          <w:highlight w:val="none"/>
          <w:lang w:val="en-US" w:eastAsia="zh-CN"/>
        </w:rPr>
        <w:t>4</w:t>
      </w:r>
      <w:r>
        <w:rPr>
          <w:rFonts w:hint="eastAsia" w:ascii="宋体" w:hAnsi="宋体" w:eastAsia="宋体" w:cs="宋体"/>
          <w:bCs w:val="0"/>
          <w:color w:val="auto"/>
          <w:kern w:val="0"/>
          <w:sz w:val="24"/>
          <w:szCs w:val="24"/>
          <w:highlight w:val="none"/>
          <w:lang w:val="en-US" w:eastAsia="zh-CN"/>
        </w:rPr>
        <w:t>.2本合同费用包含</w:t>
      </w:r>
      <w:r>
        <w:rPr>
          <w:rFonts w:hint="eastAsia" w:ascii="宋体" w:hAnsi="宋体" w:eastAsia="宋体" w:cs="宋体"/>
          <w:bCs w:val="0"/>
          <w:kern w:val="0"/>
          <w:sz w:val="24"/>
          <w:szCs w:val="24"/>
          <w:highlight w:val="none"/>
          <w:lang w:val="en-US" w:eastAsia="zh-CN"/>
        </w:rPr>
        <w:t>且不限于维护</w:t>
      </w:r>
      <w:r>
        <w:rPr>
          <w:rFonts w:hint="eastAsia" w:ascii="宋体" w:hAnsi="宋体" w:eastAsia="宋体" w:cs="宋体"/>
          <w:bCs w:val="0"/>
          <w:color w:val="auto"/>
          <w:kern w:val="0"/>
          <w:sz w:val="24"/>
          <w:szCs w:val="24"/>
          <w:highlight w:val="none"/>
        </w:rPr>
        <w:t>费</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kern w:val="0"/>
          <w:sz w:val="24"/>
          <w:szCs w:val="24"/>
          <w:highlight w:val="none"/>
          <w:lang w:val="en-US" w:eastAsia="zh-CN"/>
        </w:rPr>
        <w:t>应急处理费、人工费、</w:t>
      </w:r>
      <w:r>
        <w:rPr>
          <w:rFonts w:hint="eastAsia" w:ascii="宋体" w:hAnsi="宋体" w:eastAsia="宋体" w:cs="宋体"/>
          <w:kern w:val="0"/>
          <w:sz w:val="24"/>
          <w:highlight w:val="none"/>
          <w:lang w:val="en-US" w:eastAsia="zh-CN"/>
        </w:rPr>
        <w:t>系统调试费、技术支持、安全生产费、</w:t>
      </w:r>
      <w:r>
        <w:rPr>
          <w:rFonts w:hint="eastAsia" w:ascii="宋体" w:hAnsi="宋体" w:eastAsia="宋体" w:cs="宋体"/>
          <w:kern w:val="0"/>
          <w:sz w:val="24"/>
          <w:highlight w:val="none"/>
        </w:rPr>
        <w:t>税费、利润</w:t>
      </w:r>
      <w:r>
        <w:rPr>
          <w:rFonts w:hint="eastAsia" w:ascii="宋体" w:hAnsi="宋体" w:eastAsia="宋体" w:cs="宋体"/>
          <w:bCs w:val="0"/>
          <w:color w:val="auto"/>
          <w:kern w:val="0"/>
          <w:sz w:val="24"/>
          <w:szCs w:val="24"/>
          <w:highlight w:val="none"/>
        </w:rPr>
        <w:t>、保险费、技术培训等一切费用</w:t>
      </w:r>
      <w:r>
        <w:rPr>
          <w:rFonts w:hint="eastAsia" w:ascii="宋体" w:hAnsi="宋体" w:eastAsia="宋体" w:cs="宋体"/>
          <w:kern w:val="0"/>
          <w:sz w:val="24"/>
          <w:highlight w:val="none"/>
        </w:rPr>
        <w:t>。相关</w:t>
      </w:r>
      <w:r>
        <w:rPr>
          <w:rFonts w:hint="eastAsia" w:ascii="宋体" w:hAnsi="宋体" w:eastAsia="宋体" w:cs="宋体"/>
          <w:kern w:val="0"/>
          <w:sz w:val="24"/>
          <w:highlight w:val="none"/>
          <w:lang w:val="en-US" w:eastAsia="zh-CN"/>
        </w:rPr>
        <w:t>维护</w:t>
      </w:r>
      <w:r>
        <w:rPr>
          <w:rFonts w:hint="eastAsia" w:ascii="宋体" w:hAnsi="宋体" w:eastAsia="宋体" w:cs="宋体"/>
          <w:kern w:val="0"/>
          <w:sz w:val="24"/>
          <w:highlight w:val="none"/>
        </w:rPr>
        <w:t>人员的差旅费由甲方据实计量，另行支付。</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4.</w:t>
      </w:r>
      <w:r>
        <w:rPr>
          <w:rFonts w:hint="eastAsia" w:ascii="宋体" w:hAnsi="宋体" w:eastAsia="宋体" w:cs="宋体"/>
          <w:b w:val="0"/>
          <w:kern w:val="0"/>
          <w:sz w:val="24"/>
          <w:highlight w:val="none"/>
          <w:lang w:val="en-US" w:eastAsia="zh-CN"/>
        </w:rPr>
        <w:t>4</w:t>
      </w:r>
      <w:r>
        <w:rPr>
          <w:rFonts w:hint="eastAsia" w:ascii="宋体" w:hAnsi="宋体" w:eastAsia="宋体" w:cs="宋体"/>
          <w:b w:val="0"/>
          <w:kern w:val="0"/>
          <w:sz w:val="24"/>
          <w:highlight w:val="none"/>
        </w:rPr>
        <w:t xml:space="preserve">维护费用计量、支付方式 </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4.</w:t>
      </w:r>
      <w:r>
        <w:rPr>
          <w:rFonts w:hint="eastAsia" w:ascii="宋体" w:hAnsi="宋体" w:eastAsia="宋体" w:cs="宋体"/>
          <w:b w:val="0"/>
          <w:kern w:val="0"/>
          <w:sz w:val="24"/>
          <w:highlight w:val="none"/>
          <w:lang w:val="en-US" w:eastAsia="zh-CN"/>
        </w:rPr>
        <w:t>4</w:t>
      </w:r>
      <w:r>
        <w:rPr>
          <w:rFonts w:hint="eastAsia" w:ascii="宋体" w:hAnsi="宋体" w:eastAsia="宋体" w:cs="宋体"/>
          <w:b w:val="0"/>
          <w:kern w:val="0"/>
          <w:sz w:val="24"/>
          <w:highlight w:val="none"/>
        </w:rPr>
        <w:t>.</w:t>
      </w:r>
      <w:r>
        <w:rPr>
          <w:rFonts w:hint="eastAsia" w:ascii="宋体" w:hAnsi="宋体" w:eastAsia="宋体" w:cs="宋体"/>
          <w:b w:val="0"/>
          <w:kern w:val="0"/>
          <w:sz w:val="24"/>
          <w:highlight w:val="none"/>
          <w:lang w:val="en-US" w:eastAsia="zh-CN"/>
        </w:rPr>
        <w:t>1</w:t>
      </w:r>
      <w:r>
        <w:rPr>
          <w:rFonts w:hint="eastAsia" w:ascii="宋体" w:hAnsi="宋体" w:eastAsia="宋体" w:cs="宋体"/>
          <w:color w:val="000000"/>
          <w:kern w:val="0"/>
          <w:sz w:val="24"/>
          <w:szCs w:val="24"/>
          <w:highlight w:val="none"/>
          <w:lang w:val="en-US" w:eastAsia="zh-CN"/>
        </w:rPr>
        <w:t>按照合同工程量清单，未实施部分按清单单价扣减的计量支付原则，由乙方每月底提供当月的维护资料，经甲方验收通过进行计量结算后，将对应的劳务费用支付给乙方。</w:t>
      </w:r>
      <w:r>
        <w:rPr>
          <w:rFonts w:hint="eastAsia" w:ascii="宋体" w:hAnsi="宋体" w:eastAsia="宋体" w:cs="宋体"/>
          <w:b w:val="0"/>
          <w:kern w:val="0"/>
          <w:sz w:val="24"/>
          <w:highlight w:val="none"/>
        </w:rPr>
        <w:t xml:space="preserve"> </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4.</w:t>
      </w:r>
      <w:r>
        <w:rPr>
          <w:rFonts w:hint="eastAsia" w:ascii="宋体" w:hAnsi="宋体" w:eastAsia="宋体" w:cs="宋体"/>
          <w:b w:val="0"/>
          <w:kern w:val="0"/>
          <w:sz w:val="24"/>
          <w:highlight w:val="none"/>
          <w:lang w:val="en-US" w:eastAsia="zh-CN"/>
        </w:rPr>
        <w:t>4</w:t>
      </w:r>
      <w:r>
        <w:rPr>
          <w:rFonts w:hint="eastAsia" w:ascii="宋体" w:hAnsi="宋体" w:eastAsia="宋体" w:cs="宋体"/>
          <w:b w:val="0"/>
          <w:kern w:val="0"/>
          <w:sz w:val="24"/>
          <w:highlight w:val="none"/>
        </w:rPr>
        <w:t>.</w:t>
      </w:r>
      <w:r>
        <w:rPr>
          <w:rFonts w:hint="eastAsia" w:ascii="宋体" w:hAnsi="宋体" w:eastAsia="宋体" w:cs="宋体"/>
          <w:b w:val="0"/>
          <w:kern w:val="0"/>
          <w:sz w:val="24"/>
          <w:highlight w:val="none"/>
          <w:lang w:val="en-US" w:eastAsia="zh-CN"/>
        </w:rPr>
        <w:t>2</w:t>
      </w:r>
      <w:r>
        <w:rPr>
          <w:rFonts w:hint="eastAsia" w:ascii="宋体" w:hAnsi="宋体" w:eastAsia="宋体" w:cs="宋体"/>
          <w:b w:val="0"/>
          <w:kern w:val="0"/>
          <w:sz w:val="24"/>
          <w:highlight w:val="none"/>
        </w:rPr>
        <w:t>乙方应向甲方开具符合要求的增值税服务发票。</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4.</w:t>
      </w:r>
      <w:r>
        <w:rPr>
          <w:rFonts w:hint="eastAsia" w:ascii="宋体" w:hAnsi="宋体" w:eastAsia="宋体" w:cs="宋体"/>
          <w:b w:val="0"/>
          <w:color w:val="auto"/>
          <w:kern w:val="0"/>
          <w:sz w:val="24"/>
          <w:highlight w:val="none"/>
          <w:lang w:val="en-US" w:eastAsia="zh-CN"/>
        </w:rPr>
        <w:t>4</w:t>
      </w:r>
      <w:r>
        <w:rPr>
          <w:rFonts w:hint="eastAsia" w:ascii="宋体" w:hAnsi="宋体" w:eastAsia="宋体" w:cs="宋体"/>
          <w:b w:val="0"/>
          <w:color w:val="auto"/>
          <w:kern w:val="0"/>
          <w:sz w:val="24"/>
          <w:highlight w:val="none"/>
        </w:rPr>
        <w:t>.</w:t>
      </w:r>
      <w:r>
        <w:rPr>
          <w:rFonts w:hint="eastAsia" w:ascii="宋体" w:hAnsi="宋体" w:eastAsia="宋体" w:cs="宋体"/>
          <w:b w:val="0"/>
          <w:color w:val="auto"/>
          <w:kern w:val="0"/>
          <w:sz w:val="24"/>
          <w:highlight w:val="none"/>
          <w:lang w:val="en-US" w:eastAsia="zh-CN"/>
        </w:rPr>
        <w:t>3</w:t>
      </w:r>
      <w:r>
        <w:rPr>
          <w:rFonts w:hint="eastAsia" w:ascii="宋体" w:hAnsi="宋体" w:eastAsia="宋体" w:cs="宋体"/>
          <w:b w:val="0"/>
          <w:color w:val="auto"/>
          <w:kern w:val="0"/>
          <w:sz w:val="24"/>
          <w:highlight w:val="none"/>
        </w:rPr>
        <w:t xml:space="preserve"> 乙方维护工作没达到甲方要求或未按时完成，甲方不予当期计量</w:t>
      </w:r>
      <w:r>
        <w:rPr>
          <w:rFonts w:hint="eastAsia" w:ascii="宋体" w:hAnsi="宋体" w:eastAsia="宋体" w:cs="宋体"/>
          <w:b w:val="0"/>
          <w:color w:val="auto"/>
          <w:kern w:val="0"/>
          <w:sz w:val="24"/>
          <w:highlight w:val="none"/>
          <w:lang w:val="en-US" w:eastAsia="zh-CN"/>
        </w:rPr>
        <w:t>并</w:t>
      </w:r>
      <w:r>
        <w:rPr>
          <w:rFonts w:hint="eastAsia" w:ascii="宋体" w:hAnsi="宋体" w:eastAsia="宋体" w:cs="宋体"/>
          <w:b w:val="0"/>
          <w:color w:val="auto"/>
          <w:kern w:val="0"/>
          <w:sz w:val="24"/>
          <w:highlight w:val="none"/>
        </w:rPr>
        <w:t>暂扣</w:t>
      </w:r>
      <w:r>
        <w:rPr>
          <w:rFonts w:hint="eastAsia" w:ascii="宋体" w:hAnsi="宋体" w:eastAsia="宋体" w:cs="宋体"/>
          <w:b w:val="0"/>
          <w:color w:val="auto"/>
          <w:kern w:val="0"/>
          <w:sz w:val="24"/>
          <w:highlight w:val="none"/>
          <w:lang w:val="en-US" w:eastAsia="zh-CN"/>
        </w:rPr>
        <w:t>当期</w:t>
      </w:r>
      <w:r>
        <w:rPr>
          <w:rFonts w:hint="eastAsia" w:ascii="宋体" w:hAnsi="宋体" w:eastAsia="宋体" w:cs="宋体"/>
          <w:b w:val="0"/>
          <w:color w:val="auto"/>
          <w:kern w:val="0"/>
          <w:sz w:val="24"/>
          <w:highlight w:val="none"/>
        </w:rPr>
        <w:t>维护费用</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可</w:t>
      </w:r>
      <w:r>
        <w:rPr>
          <w:rFonts w:hint="eastAsia" w:ascii="宋体" w:hAnsi="宋体" w:eastAsia="宋体" w:cs="宋体"/>
          <w:b w:val="0"/>
          <w:color w:val="auto"/>
          <w:kern w:val="0"/>
          <w:sz w:val="24"/>
          <w:highlight w:val="none"/>
        </w:rPr>
        <w:t>给予</w:t>
      </w:r>
      <w:r>
        <w:rPr>
          <w:rFonts w:hint="eastAsia" w:ascii="宋体" w:hAnsi="宋体" w:eastAsia="宋体" w:cs="宋体"/>
          <w:b w:val="0"/>
          <w:color w:val="auto"/>
          <w:kern w:val="0"/>
          <w:sz w:val="24"/>
          <w:highlight w:val="none"/>
          <w:lang w:val="en-US" w:eastAsia="zh-CN"/>
        </w:rPr>
        <w:t>乙方</w:t>
      </w:r>
      <w:r>
        <w:rPr>
          <w:rFonts w:hint="eastAsia" w:ascii="宋体" w:hAnsi="宋体" w:eastAsia="宋体" w:cs="宋体"/>
          <w:b w:val="0"/>
          <w:color w:val="auto"/>
          <w:kern w:val="0"/>
          <w:sz w:val="24"/>
          <w:highlight w:val="none"/>
        </w:rPr>
        <w:t>一次限期整改机会。乙方应在</w:t>
      </w:r>
      <w:r>
        <w:rPr>
          <w:rFonts w:hint="eastAsia" w:ascii="宋体" w:hAnsi="宋体" w:eastAsia="宋体" w:cs="宋体"/>
          <w:b w:val="0"/>
          <w:color w:val="FF0000"/>
          <w:kern w:val="0"/>
          <w:sz w:val="24"/>
          <w:highlight w:val="none"/>
        </w:rPr>
        <w:t>XX</w:t>
      </w:r>
      <w:r>
        <w:rPr>
          <w:rFonts w:hint="eastAsia" w:ascii="宋体" w:hAnsi="宋体" w:eastAsia="宋体" w:cs="宋体"/>
          <w:b w:val="0"/>
          <w:color w:val="auto"/>
          <w:kern w:val="0"/>
          <w:sz w:val="24"/>
          <w:highlight w:val="none"/>
        </w:rPr>
        <w:t>日内</w:t>
      </w:r>
      <w:r>
        <w:rPr>
          <w:rFonts w:hint="eastAsia" w:ascii="宋体" w:hAnsi="宋体" w:eastAsia="宋体" w:cs="宋体"/>
          <w:b w:val="0"/>
          <w:color w:val="auto"/>
          <w:kern w:val="0"/>
          <w:sz w:val="24"/>
          <w:highlight w:val="none"/>
          <w:lang w:val="en-US" w:eastAsia="zh-CN"/>
        </w:rPr>
        <w:t>完成</w:t>
      </w:r>
      <w:r>
        <w:rPr>
          <w:rFonts w:hint="eastAsia" w:ascii="宋体" w:hAnsi="宋体" w:eastAsia="宋体" w:cs="宋体"/>
          <w:b w:val="0"/>
          <w:color w:val="auto"/>
          <w:kern w:val="0"/>
          <w:sz w:val="24"/>
          <w:highlight w:val="none"/>
        </w:rPr>
        <w:t>整改，</w:t>
      </w:r>
      <w:r>
        <w:rPr>
          <w:rFonts w:hint="eastAsia" w:ascii="宋体" w:hAnsi="宋体" w:eastAsia="宋体" w:cs="宋体"/>
          <w:b w:val="0"/>
          <w:color w:val="auto"/>
          <w:kern w:val="0"/>
          <w:sz w:val="24"/>
          <w:highlight w:val="none"/>
          <w:lang w:val="en-US" w:eastAsia="zh-CN"/>
        </w:rPr>
        <w:t>若在</w:t>
      </w:r>
      <w:r>
        <w:rPr>
          <w:rFonts w:hint="eastAsia" w:ascii="宋体" w:hAnsi="宋体" w:eastAsia="宋体" w:cs="宋体"/>
          <w:b w:val="0"/>
          <w:color w:val="auto"/>
          <w:kern w:val="0"/>
          <w:sz w:val="24"/>
          <w:highlight w:val="none"/>
        </w:rPr>
        <w:t>限期内完成，</w:t>
      </w:r>
      <w:r>
        <w:rPr>
          <w:rFonts w:hint="eastAsia" w:ascii="宋体" w:hAnsi="宋体" w:eastAsia="宋体" w:cs="宋体"/>
          <w:b w:val="0"/>
          <w:color w:val="auto"/>
          <w:kern w:val="0"/>
          <w:sz w:val="24"/>
          <w:highlight w:val="none"/>
          <w:lang w:val="en-US" w:eastAsia="zh-CN"/>
        </w:rPr>
        <w:t>则</w:t>
      </w:r>
      <w:r>
        <w:rPr>
          <w:rFonts w:hint="eastAsia" w:ascii="宋体" w:hAnsi="宋体" w:eastAsia="宋体" w:cs="宋体"/>
          <w:b w:val="0"/>
          <w:color w:val="auto"/>
          <w:kern w:val="0"/>
          <w:sz w:val="24"/>
          <w:highlight w:val="none"/>
        </w:rPr>
        <w:t>甲方支付</w:t>
      </w:r>
      <w:r>
        <w:rPr>
          <w:rFonts w:hint="eastAsia" w:ascii="宋体" w:hAnsi="宋体" w:eastAsia="宋体" w:cs="宋体"/>
          <w:b w:val="0"/>
          <w:color w:val="auto"/>
          <w:kern w:val="0"/>
          <w:sz w:val="24"/>
          <w:highlight w:val="none"/>
          <w:lang w:val="en-US" w:eastAsia="zh-CN"/>
        </w:rPr>
        <w:t>乙方</w:t>
      </w:r>
      <w:r>
        <w:rPr>
          <w:rFonts w:hint="eastAsia" w:ascii="宋体" w:hAnsi="宋体" w:eastAsia="宋体" w:cs="宋体"/>
          <w:b w:val="0"/>
          <w:color w:val="auto"/>
          <w:kern w:val="0"/>
          <w:sz w:val="24"/>
          <w:highlight w:val="none"/>
        </w:rPr>
        <w:t>暂扣费用。若乙方拒绝整改</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整改后仍不达标、</w:t>
      </w:r>
      <w:r>
        <w:rPr>
          <w:rFonts w:hint="eastAsia" w:ascii="宋体" w:hAnsi="宋体" w:eastAsia="宋体" w:cs="宋体"/>
          <w:b w:val="0"/>
          <w:color w:val="auto"/>
          <w:kern w:val="0"/>
          <w:sz w:val="24"/>
          <w:highlight w:val="none"/>
        </w:rPr>
        <w:t>整改超时，则</w:t>
      </w:r>
      <w:r>
        <w:rPr>
          <w:rFonts w:hint="eastAsia" w:ascii="宋体" w:hAnsi="宋体" w:eastAsia="宋体" w:cs="宋体"/>
          <w:b w:val="0"/>
          <w:color w:val="auto"/>
          <w:kern w:val="0"/>
          <w:sz w:val="24"/>
          <w:highlight w:val="none"/>
          <w:lang w:val="en-US" w:eastAsia="zh-CN"/>
        </w:rPr>
        <w:t>甲方不予支付当期</w:t>
      </w:r>
      <w:r>
        <w:rPr>
          <w:rFonts w:hint="eastAsia" w:ascii="宋体" w:hAnsi="宋体" w:eastAsia="宋体" w:cs="宋体"/>
          <w:b w:val="0"/>
          <w:color w:val="auto"/>
          <w:kern w:val="0"/>
          <w:sz w:val="24"/>
          <w:highlight w:val="none"/>
        </w:rPr>
        <w:t>维护费用，且乙方应按合同7.2条规定承担相应违约责任。</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color w:val="auto"/>
          <w:kern w:val="0"/>
          <w:sz w:val="24"/>
          <w:highlight w:val="none"/>
          <w:lang w:val="en-US" w:eastAsia="zh-CN"/>
        </w:rPr>
      </w:pPr>
      <w:r>
        <w:rPr>
          <w:rFonts w:hint="eastAsia" w:ascii="宋体" w:hAnsi="宋体" w:eastAsia="宋体" w:cs="宋体"/>
          <w:b w:val="0"/>
          <w:color w:val="auto"/>
          <w:kern w:val="0"/>
          <w:sz w:val="24"/>
          <w:highlight w:val="none"/>
        </w:rPr>
        <w:t>4.</w:t>
      </w:r>
      <w:r>
        <w:rPr>
          <w:rFonts w:hint="eastAsia" w:ascii="宋体" w:hAnsi="宋体" w:eastAsia="宋体" w:cs="宋体"/>
          <w:b w:val="0"/>
          <w:color w:val="auto"/>
          <w:kern w:val="0"/>
          <w:sz w:val="24"/>
          <w:highlight w:val="none"/>
          <w:lang w:val="en-US" w:eastAsia="zh-CN"/>
        </w:rPr>
        <w:t>5</w:t>
      </w:r>
      <w:r>
        <w:rPr>
          <w:rFonts w:hint="eastAsia" w:ascii="宋体" w:hAnsi="宋体" w:eastAsia="宋体" w:cs="宋体"/>
          <w:b w:val="0"/>
          <w:color w:val="auto"/>
          <w:kern w:val="0"/>
          <w:sz w:val="24"/>
          <w:highlight w:val="none"/>
        </w:rPr>
        <w:t xml:space="preserve"> 维护工作质量考评：为调动维护工作积极性，提高</w:t>
      </w:r>
      <w:r>
        <w:rPr>
          <w:rFonts w:hint="eastAsia" w:ascii="宋体" w:hAnsi="宋体" w:eastAsia="宋体" w:cs="宋体"/>
          <w:b w:val="0"/>
          <w:color w:val="auto"/>
          <w:kern w:val="0"/>
          <w:sz w:val="24"/>
          <w:highlight w:val="none"/>
          <w:lang w:eastAsia="zh-CN"/>
        </w:rPr>
        <w:t>维护</w:t>
      </w:r>
      <w:r>
        <w:rPr>
          <w:rFonts w:hint="eastAsia" w:ascii="宋体" w:hAnsi="宋体" w:eastAsia="宋体" w:cs="宋体"/>
          <w:b w:val="0"/>
          <w:color w:val="auto"/>
          <w:kern w:val="0"/>
          <w:sz w:val="24"/>
          <w:highlight w:val="none"/>
        </w:rPr>
        <w:t>质量，针对不同的管理范围，每</w:t>
      </w:r>
      <w:r>
        <w:rPr>
          <w:rFonts w:hint="eastAsia" w:ascii="宋体" w:hAnsi="宋体" w:eastAsia="宋体" w:cs="宋体"/>
          <w:b w:val="0"/>
          <w:color w:val="auto"/>
          <w:kern w:val="0"/>
          <w:sz w:val="24"/>
          <w:highlight w:val="none"/>
          <w:lang w:val="en-US" w:eastAsia="zh-CN"/>
        </w:rPr>
        <w:t>年</w:t>
      </w:r>
      <w:r>
        <w:rPr>
          <w:rFonts w:hint="eastAsia" w:ascii="宋体" w:hAnsi="宋体" w:eastAsia="宋体" w:cs="宋体"/>
          <w:b w:val="0"/>
          <w:color w:val="auto"/>
          <w:kern w:val="0"/>
          <w:sz w:val="24"/>
          <w:highlight w:val="none"/>
        </w:rPr>
        <w:t>甲方对乙方</w:t>
      </w:r>
      <w:r>
        <w:rPr>
          <w:rFonts w:hint="eastAsia" w:ascii="宋体" w:hAnsi="宋体" w:eastAsia="宋体" w:cs="宋体"/>
          <w:b w:val="0"/>
          <w:color w:val="auto"/>
          <w:kern w:val="0"/>
          <w:sz w:val="24"/>
          <w:highlight w:val="none"/>
          <w:lang w:val="en-US" w:eastAsia="zh-CN"/>
        </w:rPr>
        <w:t>维护工作</w:t>
      </w:r>
      <w:r>
        <w:rPr>
          <w:rFonts w:hint="eastAsia" w:ascii="宋体" w:hAnsi="宋体" w:eastAsia="宋体" w:cs="宋体"/>
          <w:b w:val="0"/>
          <w:color w:val="auto"/>
          <w:kern w:val="0"/>
          <w:sz w:val="24"/>
          <w:highlight w:val="none"/>
        </w:rPr>
        <w:t>进行考评</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lang w:val="en-US" w:eastAsia="zh-CN"/>
        </w:rPr>
        <w:t>甲方及上级单位检查发现软件系统没有按规范维护，按照 500 元/次的标准对乙方进行违约处罚。</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val="0"/>
          <w:color w:val="auto"/>
          <w:kern w:val="0"/>
          <w:sz w:val="24"/>
          <w:highlight w:val="none"/>
          <w:lang w:val="en-US" w:eastAsia="zh-CN"/>
        </w:rPr>
        <w:t>4.6乙方须为本项目开立专用账户，接受发包人的监管。</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第五章  双方的责任和义务</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5.1甲方的责任和义务：</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5.1.1 负责审批乙方维护计划、签认计量支付等相关资料；</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rPr>
        <w:t>5.1.2负责指导乙方开展维护工作；</w:t>
      </w:r>
    </w:p>
    <w:p>
      <w:pPr>
        <w:pStyle w:val="2"/>
        <w:adjustRightInd w:val="0"/>
        <w:snapToGrid w:val="0"/>
        <w:spacing w:beforeLines="0" w:after="0" w:afterLines="0" w:line="360" w:lineRule="auto"/>
        <w:ind w:firstLine="480"/>
        <w:rPr>
          <w:rFonts w:hint="eastAsia" w:ascii="宋体" w:hAnsi="宋体" w:eastAsia="宋体" w:cs="宋体"/>
          <w:spacing w:val="0"/>
          <w:sz w:val="24"/>
          <w:szCs w:val="24"/>
          <w:highlight w:val="none"/>
        </w:rPr>
      </w:pPr>
      <w:r>
        <w:rPr>
          <w:rFonts w:hint="eastAsia" w:ascii="宋体" w:hAnsi="宋体" w:eastAsia="宋体" w:cs="宋体"/>
          <w:b w:val="0"/>
          <w:kern w:val="0"/>
          <w:sz w:val="24"/>
          <w:szCs w:val="24"/>
          <w:highlight w:val="none"/>
        </w:rPr>
        <w:t xml:space="preserve">5.1.3 </w:t>
      </w:r>
      <w:r>
        <w:rPr>
          <w:rFonts w:hint="eastAsia" w:ascii="宋体" w:hAnsi="宋体" w:eastAsia="宋体" w:cs="宋体"/>
          <w:spacing w:val="0"/>
          <w:sz w:val="24"/>
          <w:szCs w:val="24"/>
          <w:highlight w:val="none"/>
        </w:rPr>
        <w:t>负责检查及签认乙方的维护质量及维护任务完成情况；</w:t>
      </w:r>
    </w:p>
    <w:p>
      <w:pPr>
        <w:adjustRightInd w:val="0"/>
        <w:snapToGrid w:val="0"/>
        <w:spacing w:beforeLines="0" w:afterLines="0" w:line="360" w:lineRule="auto"/>
        <w:ind w:firstLine="48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rPr>
        <w:t>5.1.</w:t>
      </w:r>
      <w:r>
        <w:rPr>
          <w:rFonts w:hint="eastAsia" w:ascii="宋体" w:hAnsi="宋体" w:eastAsia="宋体" w:cs="宋体"/>
          <w:b w:val="0"/>
          <w:kern w:val="0"/>
          <w:sz w:val="24"/>
          <w:szCs w:val="24"/>
          <w:highlight w:val="none"/>
          <w:lang w:val="en-US" w:eastAsia="zh-CN"/>
        </w:rPr>
        <w:t>4按第 4.4.1 条审核后清单按时向乙方支付费用；</w:t>
      </w:r>
    </w:p>
    <w:p>
      <w:pPr>
        <w:adjustRightInd w:val="0"/>
        <w:snapToGrid w:val="0"/>
        <w:spacing w:beforeLines="0" w:afterLines="0" w:line="360" w:lineRule="auto"/>
        <w:ind w:firstLine="48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rPr>
        <w:t>5.1.</w:t>
      </w:r>
      <w:r>
        <w:rPr>
          <w:rFonts w:hint="eastAsia" w:ascii="宋体" w:hAnsi="宋体" w:eastAsia="宋体" w:cs="宋体"/>
          <w:b w:val="0"/>
          <w:kern w:val="0"/>
          <w:sz w:val="24"/>
          <w:szCs w:val="24"/>
          <w:highlight w:val="none"/>
          <w:lang w:val="en-US" w:eastAsia="zh-CN"/>
        </w:rPr>
        <w:t>5甲方根据相关要求对乙方进行年度考核，并按有关规定进行处理。</w:t>
      </w:r>
    </w:p>
    <w:p>
      <w:pPr>
        <w:adjustRightInd w:val="0"/>
        <w:snapToGrid w:val="0"/>
        <w:spacing w:beforeLines="0" w:afterLines="0" w:line="360" w:lineRule="auto"/>
        <w:ind w:firstLine="48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rPr>
        <w:t>5.</w:t>
      </w:r>
      <w:r>
        <w:rPr>
          <w:rFonts w:hint="eastAsia" w:ascii="宋体" w:hAnsi="宋体" w:eastAsia="宋体" w:cs="宋体"/>
          <w:b w:val="0"/>
          <w:kern w:val="0"/>
          <w:sz w:val="24"/>
          <w:szCs w:val="24"/>
          <w:highlight w:val="none"/>
          <w:lang w:val="en-US" w:eastAsia="zh-CN"/>
        </w:rPr>
        <w:t>2 乙方的责任和义务：</w:t>
      </w:r>
    </w:p>
    <w:p>
      <w:pPr>
        <w:pStyle w:val="2"/>
        <w:adjustRightInd w:val="0"/>
        <w:snapToGrid w:val="0"/>
        <w:spacing w:beforeLines="0" w:after="0" w:afterLines="0" w:line="360" w:lineRule="auto"/>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    5.2.1按合同的约定要求完成维护工作，并确保系统的维护质量、进度；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5.2.2在合同范围内，服从甲方工作调配；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5.2.3系统故障处理必须在合同约定的时间内完成；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5.2.4按合同约定向甲方提交相关的维护资料；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5.2.5在应急抢险的情况下，乙方无条件服从甲方的指挥调度；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5.2.6配合甲方完成甲方相关人员技术培训工作。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5.2.7若因乙方维护质量不符合规定和未及时修复故障，造成甲方经济损失或管理责任等情况，乙方应承担其经济损失或管理责任赔偿，并向甲方支付合同金额 5%的违约金。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5.2.8根据甲方实际需求，乙方应配合甲方在合理范围内的需求调整。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 xml:space="preserve">5.2.9乙方在维护作业中发现的各类安全隐患必须及时上报予以整改；如因安全隐患处置不及时，安全责任、措施不到位，造成事故或其他损失的，由乙方承担。 </w:t>
      </w:r>
    </w:p>
    <w:p>
      <w:pPr>
        <w:pStyle w:val="2"/>
        <w:adjustRightInd w:val="0"/>
        <w:snapToGrid w:val="0"/>
        <w:spacing w:beforeLines="0" w:after="0" w:afterLines="0" w:line="360" w:lineRule="auto"/>
        <w:ind w:firstLine="480" w:firstLineChars="200"/>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5.2.10自觉接受并积极配合甲方安排的维护相关检查、监督考评工作，积极配合上级有关部门的各种检查、评比活动。</w:t>
      </w:r>
    </w:p>
    <w:p>
      <w:pPr>
        <w:pStyle w:val="2"/>
        <w:adjustRightInd w:val="0"/>
        <w:snapToGrid w:val="0"/>
        <w:spacing w:beforeLines="0" w:after="0" w:afterLines="0"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5.2.13履约保证金。</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乙方在合同签订前必须按</w:t>
      </w:r>
      <w:r>
        <w:rPr>
          <w:rFonts w:hint="eastAsia" w:ascii="宋体" w:hAnsi="宋体" w:eastAsia="宋体" w:cs="宋体"/>
          <w:b w:val="0"/>
          <w:color w:val="auto"/>
          <w:kern w:val="0"/>
          <w:sz w:val="24"/>
          <w:szCs w:val="24"/>
          <w:highlight w:val="none"/>
          <w:lang w:val="en-US" w:eastAsia="zh-CN"/>
        </w:rPr>
        <w:t>5</w:t>
      </w:r>
      <w:r>
        <w:rPr>
          <w:rFonts w:hint="eastAsia" w:ascii="宋体" w:hAnsi="宋体" w:eastAsia="宋体" w:cs="宋体"/>
          <w:b w:val="0"/>
          <w:color w:val="auto"/>
          <w:kern w:val="0"/>
          <w:sz w:val="24"/>
          <w:szCs w:val="24"/>
          <w:highlight w:val="none"/>
        </w:rPr>
        <w:t>0万元向甲方缴纳履约保证金。</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szCs w:val="24"/>
          <w:highlight w:val="none"/>
          <w:lang w:eastAsia="zh-CN"/>
        </w:rPr>
      </w:pPr>
      <w:r>
        <w:rPr>
          <w:rFonts w:hint="eastAsia" w:ascii="宋体" w:hAnsi="宋体" w:eastAsia="宋体" w:cs="宋体"/>
          <w:b w:val="0"/>
          <w:kern w:val="0"/>
          <w:sz w:val="24"/>
          <w:szCs w:val="24"/>
          <w:highlight w:val="none"/>
        </w:rPr>
        <w:t>如果乙方不严格履行合同，甲方可动用履约保证金解决对甲方利益可能带来风险的有关问题</w:t>
      </w:r>
      <w:r>
        <w:rPr>
          <w:rFonts w:hint="eastAsia" w:ascii="宋体" w:hAnsi="宋体" w:eastAsia="宋体" w:cs="宋体"/>
          <w:b w:val="0"/>
          <w:kern w:val="0"/>
          <w:sz w:val="24"/>
          <w:szCs w:val="24"/>
          <w:highlight w:val="none"/>
          <w:lang w:eastAsia="zh-CN"/>
        </w:rPr>
        <w:t>。</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szCs w:val="24"/>
          <w:highlight w:val="none"/>
        </w:rPr>
      </w:pPr>
      <w:r>
        <w:rPr>
          <w:rFonts w:hint="eastAsia" w:ascii="宋体" w:hAnsi="宋体" w:eastAsia="宋体" w:cs="宋体"/>
          <w:b w:val="0"/>
          <w:kern w:val="0"/>
          <w:sz w:val="24"/>
          <w:szCs w:val="24"/>
          <w:highlight w:val="none"/>
          <w:lang w:val="en-US" w:eastAsia="zh-CN"/>
        </w:rPr>
        <w:t>未经甲方同意乙方单方终止合同的，履约保证金不予退还。</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当</w:t>
      </w:r>
      <w:r>
        <w:rPr>
          <w:rFonts w:hint="eastAsia" w:ascii="宋体" w:hAnsi="宋体" w:eastAsia="宋体" w:cs="宋体"/>
          <w:b w:val="0"/>
          <w:kern w:val="0"/>
          <w:sz w:val="24"/>
          <w:szCs w:val="24"/>
          <w:highlight w:val="none"/>
        </w:rPr>
        <w:t>乙方</w:t>
      </w:r>
      <w:r>
        <w:rPr>
          <w:rFonts w:hint="eastAsia" w:ascii="宋体" w:hAnsi="宋体" w:eastAsia="宋体" w:cs="宋体"/>
          <w:kern w:val="0"/>
          <w:sz w:val="24"/>
          <w:highlight w:val="none"/>
          <w:lang w:val="en-US" w:eastAsia="zh-CN"/>
        </w:rPr>
        <w:t>在维护实施过程中，因安全、质量、进度、环保等问题发生，甲方可动用乙方履约保证金督促承包人采取措施完成合同。</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在发包人颁发验收合格证明前一直有效，发包人在颁发验收合格证明后 28 天内一次性无息退还。</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cs="宋体"/>
          <w:highlight w:val="none"/>
          <w:lang w:val="en-US" w:eastAsia="zh-CN"/>
        </w:rPr>
      </w:pPr>
      <w:r>
        <w:rPr>
          <w:rFonts w:hint="eastAsia" w:ascii="宋体" w:hAnsi="宋体" w:eastAsia="宋体" w:cs="宋体"/>
          <w:b w:val="0"/>
          <w:bCs w:val="0"/>
          <w:i w:val="0"/>
          <w:iCs w:val="0"/>
          <w:caps w:val="0"/>
          <w:color w:val="000000"/>
          <w:spacing w:val="0"/>
          <w:kern w:val="0"/>
          <w:sz w:val="24"/>
          <w:szCs w:val="24"/>
          <w:highlight w:val="none"/>
        </w:rPr>
        <w:t>若履约保证金累计使用到总金额的50%及以上，则乙方应在10个工作日内补交到100%，履约保证金不足以赔偿给甲方造成的损失的，乙方还应就不足部分继续承担清偿责任。</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highlight w:val="none"/>
        </w:rPr>
      </w:pPr>
      <w:r>
        <w:rPr>
          <w:rFonts w:hint="eastAsia" w:ascii="宋体" w:hAnsi="宋体" w:eastAsia="宋体" w:cs="宋体"/>
          <w:b/>
          <w:sz w:val="24"/>
          <w:szCs w:val="24"/>
          <w:highlight w:val="none"/>
        </w:rPr>
        <w:t>第六章 合同期限</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lang w:val="en-US" w:eastAsia="zh-CN"/>
        </w:rPr>
        <w:t>本</w:t>
      </w:r>
      <w:r>
        <w:rPr>
          <w:rFonts w:hint="eastAsia" w:ascii="宋体" w:hAnsi="宋体" w:eastAsia="宋体" w:cs="宋体"/>
          <w:b w:val="0"/>
          <w:kern w:val="0"/>
          <w:sz w:val="24"/>
          <w:highlight w:val="none"/>
        </w:rPr>
        <w:t>合同期限</w:t>
      </w:r>
      <w:r>
        <w:rPr>
          <w:rFonts w:hint="eastAsia" w:ascii="宋体" w:hAnsi="宋体" w:eastAsia="宋体" w:cs="宋体"/>
          <w:b w:val="0"/>
          <w:color w:val="FF0000"/>
          <w:kern w:val="0"/>
          <w:sz w:val="24"/>
          <w:highlight w:val="none"/>
        </w:rPr>
        <w:t>为</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个月，即</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年</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月</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日至</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年</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月</w:t>
      </w:r>
      <w:r>
        <w:rPr>
          <w:rFonts w:hint="eastAsia" w:ascii="宋体" w:hAnsi="宋体" w:eastAsia="宋体" w:cs="宋体"/>
          <w:b w:val="0"/>
          <w:color w:val="FF0000"/>
          <w:kern w:val="0"/>
          <w:sz w:val="24"/>
          <w:highlight w:val="none"/>
          <w:lang w:val="en-US" w:eastAsia="zh-CN"/>
        </w:rPr>
        <w:t>X</w:t>
      </w:r>
      <w:r>
        <w:rPr>
          <w:rFonts w:hint="eastAsia" w:ascii="宋体" w:hAnsi="宋体" w:eastAsia="宋体" w:cs="宋体"/>
          <w:b w:val="0"/>
          <w:color w:val="FF0000"/>
          <w:kern w:val="0"/>
          <w:sz w:val="24"/>
          <w:highlight w:val="none"/>
        </w:rPr>
        <w:t>日。</w:t>
      </w:r>
      <w:r>
        <w:rPr>
          <w:rFonts w:hint="eastAsia" w:ascii="宋体" w:hAnsi="宋体" w:eastAsia="宋体" w:cs="宋体"/>
          <w:b w:val="0"/>
          <w:kern w:val="0"/>
          <w:sz w:val="24"/>
          <w:highlight w:val="none"/>
        </w:rPr>
        <w:t xml:space="preserve"> </w:t>
      </w:r>
    </w:p>
    <w:p>
      <w:pPr>
        <w:numPr>
          <w:ilvl w:val="0"/>
          <w:numId w:val="2"/>
        </w:numPr>
        <w:tabs>
          <w:tab w:val="left" w:pos="2880"/>
          <w:tab w:val="left" w:pos="7020"/>
        </w:tabs>
        <w:adjustRightInd w:val="0"/>
        <w:snapToGrid w:val="0"/>
        <w:spacing w:beforeLines="0" w:afterLines="0" w:line="360" w:lineRule="auto"/>
        <w:ind w:left="480" w:right="178" w:rightChars="85" w:firstLine="0" w:firstLineChars="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违约责任</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7.1在维护过程中由乙方分包的维护项目质量经检验达不到验收规范和评定标准，不能保证维护质量，或因乙方分包的维护项目进度不能满足发包人和甲方制定的进度目标要求，则甲方有权终止合同并将乙方从甲方合格供方库剔除或列入甲方黑名单库，由此造成的损失由乙方承担。</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7.2乙方无正当理由未按本合同约定按时完成维护、保养、维修义务的，每延迟一天，</w:t>
      </w:r>
      <w:r>
        <w:rPr>
          <w:rFonts w:hint="eastAsia" w:ascii="宋体" w:hAnsi="宋体" w:eastAsia="宋体" w:cs="宋体"/>
          <w:b w:val="0"/>
          <w:bCs w:val="0"/>
          <w:color w:val="auto"/>
          <w:kern w:val="0"/>
          <w:sz w:val="24"/>
          <w:highlight w:val="none"/>
          <w:lang w:val="en-US" w:eastAsia="zh-CN"/>
        </w:rPr>
        <w:t>应按照当期结算维护费用的1%支付违约金，累计不超过合同暂定总金额的30%。</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7.3因维护保养原因导致人员伤亡、设备损坏、丢失，由乙方承担全部责任。</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cs="宋体"/>
          <w:highlight w:val="none"/>
          <w:lang w:val="en-US" w:eastAsia="zh-CN"/>
        </w:rPr>
      </w:pPr>
      <w:r>
        <w:rPr>
          <w:rFonts w:hint="eastAsia" w:ascii="宋体" w:hAnsi="宋体" w:eastAsia="宋体" w:cs="宋体"/>
          <w:b w:val="0"/>
          <w:bCs w:val="0"/>
          <w:kern w:val="0"/>
          <w:sz w:val="24"/>
          <w:highlight w:val="none"/>
          <w:lang w:val="en-US" w:eastAsia="zh-CN"/>
        </w:rPr>
        <w:t>7.4乙方应在每期维护完成后30天内提交当期维护及支付（结算）资料，若超期未提交，每超期一天扣减当期应支付金额1%，最高扣减20%；若超期90天未提交维护及支付资料，则履约保证金不予退还，乙方还应再承担一万元的违约金。</w:t>
      </w:r>
    </w:p>
    <w:p>
      <w:pPr>
        <w:tabs>
          <w:tab w:val="left" w:pos="2880"/>
          <w:tab w:val="left" w:pos="7020"/>
        </w:tabs>
        <w:adjustRightInd w:val="0"/>
        <w:snapToGrid w:val="0"/>
        <w:spacing w:beforeLines="0" w:afterLines="0" w:line="360" w:lineRule="auto"/>
        <w:ind w:right="0" w:rightChars="0" w:firstLine="482" w:firstLineChars="0"/>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7.5乙方在本项目工作开展期间，不得随意更换人员，若乙方需更换人员，需提前14天提交资料给甲方，经甲方同意后方能进行更换。未经甲方同意更换项目经理，甲方按5万元/人进行违约处理；未经甲方同意更换安全负责人，甲方按2万元/人进行违约处理；未经甲方同意更换维护人员，甲方按1万元/人进行违约处理。对于乙方擅自更换的人员，若甲方不予追认，则</w:t>
      </w:r>
      <w:r>
        <w:rPr>
          <w:rFonts w:hint="eastAsia" w:ascii="宋体" w:hAnsi="宋体" w:eastAsia="宋体" w:cs="宋体"/>
          <w:b w:val="0"/>
          <w:bCs w:val="0"/>
          <w:color w:val="auto"/>
          <w:kern w:val="0"/>
          <w:sz w:val="24"/>
          <w:highlight w:val="none"/>
          <w:lang w:val="en-US" w:eastAsia="zh-CN"/>
        </w:rPr>
        <w:t>乙方应在限期内更换直至取得甲方同意。</w:t>
      </w:r>
    </w:p>
    <w:p>
      <w:pPr>
        <w:adjustRightInd w:val="0"/>
        <w:snapToGrid w:val="0"/>
        <w:spacing w:beforeLines="0" w:afterLines="0" w:line="360" w:lineRule="auto"/>
        <w:ind w:firstLine="482" w:firstLineChars="0"/>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7.6乙方必须遵守执行重庆首讯科技股份有限公司《工程安全生产的违约处理细则》、《工程管理违约处理实施细则》。如有违约按照细则条款处罚执行。</w:t>
      </w:r>
    </w:p>
    <w:p>
      <w:pPr>
        <w:pStyle w:val="6"/>
        <w:adjustRightInd w:val="0"/>
        <w:snapToGrid w:val="0"/>
        <w:spacing w:beforeAutospacing="0" w:after="0" w:afterAutospacing="0" w:line="360" w:lineRule="auto"/>
        <w:ind w:firstLine="480" w:firstLineChars="20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7.7乙方违约，甲方为追究乙方责任而支付的所有费用（包括但不限于诉讼费、保全费、保全担保费、律师费、鉴定费、公证费、差旅费），均由乙方承担。</w:t>
      </w:r>
    </w:p>
    <w:p>
      <w:pPr>
        <w:pStyle w:val="6"/>
        <w:adjustRightInd w:val="0"/>
        <w:snapToGrid w:val="0"/>
        <w:spacing w:beforeAutospacing="0" w:after="0" w:afterAutospacing="0" w:line="360" w:lineRule="auto"/>
        <w:ind w:firstLine="480" w:firstLineChars="20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7.8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pStyle w:val="6"/>
        <w:adjustRightInd w:val="0"/>
        <w:snapToGrid w:val="0"/>
        <w:spacing w:beforeAutospacing="0" w:after="0" w:afterAutospacing="0" w:line="360" w:lineRule="auto"/>
        <w:ind w:firstLine="480" w:firstLineChars="200"/>
        <w:jc w:val="both"/>
        <w:rPr>
          <w:rFonts w:hint="default"/>
          <w:highlight w:val="none"/>
          <w:lang w:val="en-US" w:eastAsia="zh-CN"/>
        </w:rPr>
      </w:pPr>
      <w:r>
        <w:rPr>
          <w:rFonts w:hint="eastAsia" w:ascii="宋体" w:hAnsi="宋体" w:eastAsia="宋体" w:cs="宋体"/>
          <w:b w:val="0"/>
          <w:bCs w:val="0"/>
          <w:kern w:val="0"/>
          <w:sz w:val="24"/>
          <w:highlight w:val="none"/>
          <w:lang w:val="en-US" w:eastAsia="zh-CN"/>
        </w:rPr>
        <w:t>7.9 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 xml:space="preserve">章 合同变更与终止 </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lang w:val="en-US" w:eastAsia="zh-CN"/>
        </w:rPr>
        <w:t>8</w:t>
      </w:r>
      <w:r>
        <w:rPr>
          <w:rFonts w:hint="eastAsia" w:ascii="宋体" w:hAnsi="宋体" w:eastAsia="宋体" w:cs="宋体"/>
          <w:b w:val="0"/>
          <w:kern w:val="0"/>
          <w:sz w:val="24"/>
          <w:highlight w:val="none"/>
        </w:rPr>
        <w:t>.1 乙方在履行合同过程中，符合下列情形之一的，甲方有权解除合同</w:t>
      </w:r>
      <w:r>
        <w:rPr>
          <w:rFonts w:hint="eastAsia" w:ascii="宋体" w:hAnsi="宋体" w:eastAsia="宋体" w:cs="宋体"/>
          <w:b w:val="0"/>
          <w:kern w:val="0"/>
          <w:sz w:val="24"/>
          <w:highlight w:val="none"/>
          <w:lang w:val="en-US" w:eastAsia="zh-CN"/>
        </w:rPr>
        <w:t>并要求乙方赔偿造成的损失</w:t>
      </w:r>
      <w:r>
        <w:rPr>
          <w:rFonts w:hint="eastAsia" w:ascii="宋体" w:hAnsi="宋体" w:eastAsia="宋体" w:cs="宋体"/>
          <w:b w:val="0"/>
          <w:kern w:val="0"/>
          <w:sz w:val="24"/>
          <w:highlight w:val="none"/>
        </w:rPr>
        <w:t>：</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1）</w:t>
      </w:r>
      <w:r>
        <w:rPr>
          <w:rFonts w:hint="eastAsia" w:ascii="宋体" w:hAnsi="宋体" w:eastAsia="宋体" w:cs="宋体"/>
          <w:b w:val="0"/>
          <w:kern w:val="0"/>
          <w:sz w:val="24"/>
          <w:highlight w:val="none"/>
        </w:rPr>
        <w:t>乙方未按要求缴纳履约保证金</w:t>
      </w:r>
      <w:r>
        <w:rPr>
          <w:rFonts w:hint="eastAsia" w:ascii="宋体" w:hAnsi="宋体" w:eastAsia="宋体" w:cs="宋体"/>
          <w:b w:val="0"/>
          <w:kern w:val="0"/>
          <w:sz w:val="24"/>
          <w:highlight w:val="none"/>
          <w:lang w:val="en-US" w:eastAsia="zh-CN"/>
        </w:rPr>
        <w:t>或未按时补齐</w:t>
      </w:r>
      <w:r>
        <w:rPr>
          <w:rFonts w:hint="eastAsia" w:ascii="宋体" w:hAnsi="宋体" w:eastAsia="宋体" w:cs="宋体"/>
          <w:b w:val="0"/>
          <w:kern w:val="0"/>
          <w:sz w:val="24"/>
          <w:highlight w:val="none"/>
        </w:rPr>
        <w:t>履约保证金</w:t>
      </w:r>
      <w:r>
        <w:rPr>
          <w:rFonts w:hint="eastAsia" w:ascii="宋体" w:hAnsi="宋体" w:eastAsia="宋体" w:cs="宋体"/>
          <w:b w:val="0"/>
          <w:kern w:val="0"/>
          <w:sz w:val="24"/>
          <w:highlight w:val="none"/>
          <w:lang w:val="en-US" w:eastAsia="zh-CN"/>
        </w:rPr>
        <w:t>的</w:t>
      </w:r>
      <w:r>
        <w:rPr>
          <w:rFonts w:hint="eastAsia" w:ascii="宋体" w:hAnsi="宋体" w:eastAsia="宋体" w:cs="宋体"/>
          <w:b w:val="0"/>
          <w:kern w:val="0"/>
          <w:sz w:val="24"/>
          <w:highlight w:val="none"/>
        </w:rPr>
        <w:t>；</w:t>
      </w:r>
    </w:p>
    <w:p>
      <w:pPr>
        <w:adjustRightInd w:val="0"/>
        <w:snapToGrid w:val="0"/>
        <w:spacing w:beforeLines="0" w:afterLines="0" w:line="360" w:lineRule="auto"/>
        <w:ind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（2）乙方的主要人员、流动资金不能按时到位的；</w:t>
      </w:r>
    </w:p>
    <w:p>
      <w:pPr>
        <w:adjustRightInd w:val="0"/>
        <w:snapToGrid w:val="0"/>
        <w:spacing w:beforeLines="0" w:afterLines="0" w:line="360" w:lineRule="auto"/>
        <w:ind w:firstLineChars="200"/>
        <w:rPr>
          <w:rFonts w:hint="eastAsia" w:ascii="宋体" w:hAnsi="宋体" w:eastAsia="宋体" w:cs="宋体"/>
          <w:b w:val="0"/>
          <w:kern w:val="0"/>
          <w:sz w:val="24"/>
          <w:highlight w:val="none"/>
        </w:rPr>
      </w:pPr>
      <w:r>
        <w:rPr>
          <w:rFonts w:hint="eastAsia" w:ascii="宋体" w:hAnsi="宋体" w:eastAsia="宋体" w:cs="宋体"/>
          <w:kern w:val="0"/>
          <w:sz w:val="24"/>
          <w:highlight w:val="none"/>
          <w:lang w:val="en-US" w:eastAsia="zh-CN"/>
        </w:rPr>
        <w:t>（3）进度滞后该维护总体进度计划的10％以上的；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lang w:val="en-US" w:eastAsia="zh-CN"/>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4）不遵守甲方的管理，造成维护管理无法推进的；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lang w:val="en-US" w:eastAsia="zh-CN"/>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5）合同签订之日起乙方未按投标文件承诺的人员到位的；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lang w:val="en-US" w:eastAsia="zh-CN"/>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6）甲方有权随时抽查乙方在实施期间是否按投标文件、响应文件、合同谈判文件承诺的驻地人员到位情况，7天内整改不达标的；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lang w:val="en-US" w:eastAsia="zh-CN"/>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7）合同期内，乙方维护工作不合格，经甲方通知其返工，乙方拒不返工或未按要求完成整改的；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lang w:val="en-US" w:eastAsia="zh-CN"/>
        </w:rPr>
      </w:pPr>
      <w:r>
        <w:rPr>
          <w:rFonts w:hint="eastAsia" w:ascii="宋体" w:hAnsi="宋体" w:eastAsia="宋体" w:cs="宋体"/>
          <w:b w:val="0"/>
          <w:kern w:val="0"/>
          <w:sz w:val="24"/>
          <w:highlight w:val="none"/>
          <w:lang w:eastAsia="zh-CN"/>
        </w:rPr>
        <w:t>（</w:t>
      </w:r>
      <w:r>
        <w:rPr>
          <w:rFonts w:hint="eastAsia" w:ascii="宋体" w:hAnsi="宋体" w:eastAsia="宋体" w:cs="宋体"/>
          <w:b w:val="0"/>
          <w:kern w:val="0"/>
          <w:sz w:val="24"/>
          <w:highlight w:val="none"/>
          <w:lang w:val="en-US" w:eastAsia="zh-CN"/>
        </w:rPr>
        <w:t>8）乙方拒绝任意一次甲方通知的应急抢险工作的；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sz w:val="24"/>
          <w:highlight w:val="none"/>
          <w:lang w:val="en-US" w:eastAsia="zh-CN"/>
        </w:rPr>
      </w:pPr>
      <w:r>
        <w:rPr>
          <w:rFonts w:hint="eastAsia" w:ascii="宋体" w:hAnsi="宋体" w:eastAsia="宋体" w:cs="宋体"/>
          <w:b w:val="0"/>
          <w:kern w:val="0"/>
          <w:sz w:val="24"/>
          <w:highlight w:val="none"/>
          <w:lang w:val="en-US" w:eastAsia="zh-CN"/>
        </w:rPr>
        <w:t>（9）乙方</w:t>
      </w:r>
      <w:r>
        <w:rPr>
          <w:rFonts w:hint="eastAsia" w:ascii="宋体" w:hAnsi="宋体" w:eastAsia="宋体" w:cs="宋体"/>
          <w:kern w:val="0"/>
          <w:sz w:val="24"/>
          <w:highlight w:val="none"/>
        </w:rPr>
        <w:t>再行转包或</w:t>
      </w:r>
      <w:r>
        <w:rPr>
          <w:rFonts w:hint="eastAsia" w:ascii="宋体" w:hAnsi="宋体" w:eastAsia="宋体" w:cs="宋体"/>
          <w:kern w:val="0"/>
          <w:sz w:val="24"/>
          <w:highlight w:val="none"/>
          <w:lang w:val="en-US" w:eastAsia="zh-CN"/>
        </w:rPr>
        <w:t>违法</w:t>
      </w:r>
      <w:r>
        <w:rPr>
          <w:rFonts w:hint="eastAsia" w:ascii="宋体" w:hAnsi="宋体" w:eastAsia="宋体" w:cs="宋体"/>
          <w:kern w:val="0"/>
          <w:sz w:val="24"/>
          <w:highlight w:val="none"/>
        </w:rPr>
        <w:t>分包</w:t>
      </w:r>
      <w:r>
        <w:rPr>
          <w:rFonts w:hint="eastAsia" w:ascii="宋体" w:hAnsi="宋体" w:eastAsia="宋体" w:cs="宋体"/>
          <w:sz w:val="24"/>
          <w:highlight w:val="none"/>
          <w:lang w:val="en-US" w:eastAsia="zh-CN"/>
        </w:rPr>
        <w:t>的；</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（10）因乙方原因对甲方造成不良影响。</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lang w:val="en-US" w:eastAsia="zh-CN"/>
        </w:rPr>
        <w:t>8</w:t>
      </w:r>
      <w:r>
        <w:rPr>
          <w:rFonts w:hint="eastAsia" w:ascii="宋体" w:hAnsi="宋体" w:eastAsia="宋体" w:cs="宋体"/>
          <w:b w:val="0"/>
          <w:kern w:val="0"/>
          <w:sz w:val="24"/>
          <w:highlight w:val="none"/>
        </w:rPr>
        <w:t>.2 当出现下列不可抗拒的因素，致本合同无法履行时，甲乙双方都不承担经济赔偿责任，并另行协商或终止合同：</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（1）发生战争、动乱、严重自然灾害等致本高速公路无法进行经营活动时；</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w:t>
      </w:r>
      <w:r>
        <w:rPr>
          <w:rFonts w:hint="eastAsia" w:ascii="宋体" w:hAnsi="宋体" w:eastAsia="宋体" w:cs="宋体"/>
          <w:b w:val="0"/>
          <w:kern w:val="0"/>
          <w:sz w:val="24"/>
          <w:highlight w:val="none"/>
          <w:lang w:val="en-US" w:eastAsia="zh-CN"/>
        </w:rPr>
        <w:t>2</w:t>
      </w:r>
      <w:r>
        <w:rPr>
          <w:rFonts w:hint="eastAsia" w:ascii="宋体" w:hAnsi="宋体" w:eastAsia="宋体" w:cs="宋体"/>
          <w:b w:val="0"/>
          <w:kern w:val="0"/>
          <w:sz w:val="24"/>
          <w:highlight w:val="none"/>
        </w:rPr>
        <w:t>）由于政策的重大变更或其他因素致使本高速公路无法进行经营活动时；</w:t>
      </w:r>
    </w:p>
    <w:p>
      <w:pPr>
        <w:pStyle w:val="6"/>
        <w:adjustRightInd w:val="0"/>
        <w:snapToGrid w:val="0"/>
        <w:spacing w:beforeAutospacing="0" w:after="0" w:afterAutospacing="0" w:line="360" w:lineRule="auto"/>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8.3  若出现双方均不可预见因素导致合同无法继续履行，经双方协商一致可以解除合同。</w:t>
      </w:r>
    </w:p>
    <w:p>
      <w:pPr>
        <w:pStyle w:val="2"/>
        <w:adjustRightInd w:val="0"/>
        <w:snapToGrid w:val="0"/>
        <w:spacing w:beforeLines="0" w:after="0" w:afterLines="0" w:line="360" w:lineRule="auto"/>
        <w:rPr>
          <w:rFonts w:hint="eastAsia" w:ascii="宋体" w:hAnsi="宋体" w:eastAsia="宋体" w:cs="宋体"/>
          <w:b/>
          <w:sz w:val="24"/>
          <w:szCs w:val="24"/>
          <w:highlight w:val="none"/>
        </w:rPr>
      </w:pPr>
      <w:r>
        <w:rPr>
          <w:rFonts w:hint="eastAsia" w:ascii="宋体" w:hAnsi="宋体" w:eastAsia="宋体" w:cs="宋体"/>
          <w:b w:val="0"/>
          <w:kern w:val="0"/>
          <w:sz w:val="24"/>
          <w:highlight w:val="none"/>
          <w:lang w:val="en-US" w:eastAsia="zh-CN"/>
        </w:rPr>
        <w:t xml:space="preserve">    </w:t>
      </w:r>
      <w:r>
        <w:rPr>
          <w:rFonts w:hint="eastAsia" w:ascii="宋体" w:hAnsi="宋体" w:eastAsia="宋体" w:cs="宋体"/>
          <w:b/>
          <w:sz w:val="24"/>
          <w:szCs w:val="24"/>
          <w:highlight w:val="none"/>
        </w:rPr>
        <w:t>第</w:t>
      </w: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章 争议解决方式</w:t>
      </w:r>
    </w:p>
    <w:p>
      <w:pPr>
        <w:tabs>
          <w:tab w:val="left" w:pos="2880"/>
          <w:tab w:val="left" w:pos="7020"/>
        </w:tabs>
        <w:adjustRightInd w:val="0"/>
        <w:snapToGrid w:val="0"/>
        <w:spacing w:beforeLines="0" w:afterLines="0" w:line="360" w:lineRule="auto"/>
        <w:ind w:right="178" w:rightChars="85" w:firstLine="480" w:firstLineChars="200"/>
        <w:rPr>
          <w:rFonts w:hint="eastAsia" w:ascii="宋体" w:hAnsi="宋体" w:eastAsia="宋体" w:cs="宋体"/>
          <w:sz w:val="24"/>
          <w:szCs w:val="24"/>
          <w:highlight w:val="none"/>
        </w:rPr>
      </w:pPr>
      <w:r>
        <w:rPr>
          <w:rFonts w:hint="eastAsia" w:ascii="宋体" w:hAnsi="宋体" w:eastAsia="宋体" w:cs="宋体"/>
          <w:b w:val="0"/>
          <w:kern w:val="0"/>
          <w:sz w:val="24"/>
          <w:highlight w:val="none"/>
        </w:rPr>
        <w:t>在发生因履行本合同而引起的或与本合同有关的争议时，双方应首先通过友好协商解决；协商不成的，任何一方可将争议向甲方所在地有管辖权的人民法院提请诉讼。</w:t>
      </w:r>
    </w:p>
    <w:p>
      <w:pPr>
        <w:numPr>
          <w:ilvl w:val="0"/>
          <w:numId w:val="0"/>
        </w:num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第十章 </w:t>
      </w:r>
      <w:r>
        <w:rPr>
          <w:rFonts w:hint="eastAsia" w:ascii="宋体" w:hAnsi="宋体" w:eastAsia="宋体" w:cs="宋体"/>
          <w:b/>
          <w:sz w:val="24"/>
          <w:highlight w:val="none"/>
        </w:rPr>
        <w:t>通知与送达</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10.1</w:t>
      </w:r>
      <w:r>
        <w:rPr>
          <w:rFonts w:hint="eastAsia" w:ascii="宋体" w:hAnsi="宋体" w:eastAsia="宋体" w:cs="宋体"/>
          <w:sz w:val="24"/>
          <w:highlight w:val="none"/>
        </w:rPr>
        <w:t>甲方确认其送达地址为：_______________________________，受送达人为：_________，联系方式为：__________________________。</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乙方确认其送达地址为：____________________________，受送达人为：_________，联系方式为：__________________________。</w:t>
      </w:r>
    </w:p>
    <w:p>
      <w:pPr>
        <w:adjustRightInd w:val="0"/>
        <w:snapToGrid w:val="0"/>
        <w:spacing w:beforeLines="0" w:afterLines="0" w:line="360" w:lineRule="auto"/>
        <w:rPr>
          <w:rFonts w:hint="eastAsia" w:ascii="宋体" w:hAnsi="宋体" w:eastAsia="宋体" w:cs="宋体"/>
          <w:sz w:val="24"/>
          <w:highlight w:val="none"/>
        </w:rPr>
      </w:pPr>
      <w:r>
        <w:rPr>
          <w:rFonts w:hint="eastAsia" w:ascii="宋体" w:hAnsi="宋体" w:eastAsia="宋体" w:cs="宋体"/>
          <w:sz w:val="24"/>
          <w:highlight w:val="none"/>
        </w:rPr>
        <w:t>（若联系地址未填写，则以身份证载明的住址或工商登记的住所地为送达地址）</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10.2</w:t>
      </w:r>
      <w:r>
        <w:rPr>
          <w:rFonts w:hint="eastAsia" w:ascii="宋体" w:hAnsi="宋体" w:eastAsia="宋体" w:cs="宋体"/>
          <w:sz w:val="24"/>
          <w:highlight w:val="none"/>
        </w:rPr>
        <w:t xml:space="preserve">以上送达地址适用范围包括但不限于各类告知书、通知书、工作联系单、协议文件、诉讼或仲裁文书，送达主体可以是合同各方、人民法院、仲裁委员会及各行政机关。                         </w:t>
      </w:r>
    </w:p>
    <w:p>
      <w:pPr>
        <w:pStyle w:val="6"/>
        <w:adjustRightInd w:val="0"/>
        <w:snapToGrid w:val="0"/>
        <w:spacing w:beforeAutospacing="0" w:after="0" w:afterAutospacing="0" w:line="360" w:lineRule="auto"/>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10.3</w:t>
      </w:r>
      <w:r>
        <w:rPr>
          <w:rFonts w:hint="eastAsia" w:ascii="宋体" w:hAnsi="宋体" w:eastAsia="宋体" w:cs="宋体"/>
          <w:b w:val="0"/>
          <w:bCs w:val="0"/>
          <w:sz w:val="24"/>
          <w:szCs w:val="24"/>
          <w:highlight w:val="none"/>
        </w:rPr>
        <w:t>送达主体按照上述送达地址进行送达，视为有效送达；采用邮寄送达的，以文书签收之日或退回之日视为送达之日；直接送达的，送达人当场在送达回证上记明情况之日视为送达之日</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采取电子邮件或其他电子形式送达的，以按上述邮件地址或电子地址发出之日或退回之日视为送达之日。</w:t>
      </w:r>
    </w:p>
    <w:p>
      <w:pPr>
        <w:tabs>
          <w:tab w:val="left" w:pos="2880"/>
          <w:tab w:val="left" w:pos="7020"/>
        </w:tabs>
        <w:adjustRightInd w:val="0"/>
        <w:snapToGrid w:val="0"/>
        <w:spacing w:beforeLines="0" w:afterLines="0" w:line="360" w:lineRule="auto"/>
        <w:ind w:right="0" w:rightChars="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10.4</w:t>
      </w:r>
      <w:r>
        <w:rPr>
          <w:rFonts w:hint="eastAsia" w:ascii="宋体" w:hAnsi="宋体" w:eastAsia="宋体" w:cs="宋体"/>
          <w:sz w:val="24"/>
          <w:highlight w:val="none"/>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numPr>
          <w:ilvl w:val="0"/>
          <w:numId w:val="0"/>
        </w:num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szCs w:val="24"/>
          <w:highlight w:val="none"/>
        </w:rPr>
      </w:pPr>
      <w:r>
        <w:rPr>
          <w:rFonts w:hint="eastAsia" w:ascii="宋体" w:hAnsi="宋体" w:eastAsia="宋体" w:cs="宋体"/>
          <w:b/>
          <w:sz w:val="24"/>
          <w:highlight w:val="none"/>
          <w:lang w:val="en-US" w:eastAsia="zh-CN"/>
        </w:rPr>
        <w:t xml:space="preserve">第十一章 </w:t>
      </w:r>
      <w:r>
        <w:rPr>
          <w:rFonts w:hint="eastAsia" w:ascii="宋体" w:hAnsi="宋体" w:eastAsia="宋体" w:cs="宋体"/>
          <w:b/>
          <w:sz w:val="24"/>
          <w:szCs w:val="24"/>
          <w:highlight w:val="none"/>
        </w:rPr>
        <w:t xml:space="preserve">其他约定或补充条款 </w:t>
      </w:r>
    </w:p>
    <w:p>
      <w:pPr>
        <w:pStyle w:val="2"/>
        <w:numPr>
          <w:ilvl w:val="0"/>
          <w:numId w:val="0"/>
        </w:numPr>
        <w:adjustRightInd w:val="0"/>
        <w:snapToGrid w:val="0"/>
        <w:spacing w:beforeLines="0" w:after="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.1各方必须认真履行共同签订的附属本合同的《安全生产</w:t>
      </w:r>
      <w:r>
        <w:rPr>
          <w:rFonts w:hint="eastAsia" w:ascii="宋体" w:hAnsi="宋体" w:eastAsia="宋体" w:cs="宋体"/>
          <w:sz w:val="24"/>
          <w:szCs w:val="24"/>
          <w:highlight w:val="none"/>
          <w:lang w:val="en-US" w:eastAsia="zh-CN"/>
        </w:rPr>
        <w:t>协议</w:t>
      </w:r>
      <w:r>
        <w:rPr>
          <w:rFonts w:hint="eastAsia" w:ascii="宋体" w:hAnsi="宋体" w:eastAsia="宋体" w:cs="宋体"/>
          <w:sz w:val="24"/>
          <w:szCs w:val="24"/>
          <w:highlight w:val="none"/>
        </w:rPr>
        <w:t>》和《廉政合同》、《</w:t>
      </w:r>
      <w:r>
        <w:rPr>
          <w:rFonts w:hint="eastAsia" w:ascii="宋体" w:hAnsi="宋体" w:eastAsia="宋体" w:cs="宋体"/>
          <w:sz w:val="24"/>
          <w:szCs w:val="24"/>
          <w:highlight w:val="none"/>
          <w:lang w:val="en-US" w:eastAsia="zh-CN"/>
        </w:rPr>
        <w:t>保密协议</w:t>
      </w:r>
      <w:r>
        <w:rPr>
          <w:rFonts w:hint="eastAsia" w:ascii="宋体" w:hAnsi="宋体" w:eastAsia="宋体" w:cs="宋体"/>
          <w:sz w:val="24"/>
          <w:szCs w:val="24"/>
          <w:highlight w:val="none"/>
        </w:rPr>
        <w:t xml:space="preserve">》。 </w:t>
      </w:r>
    </w:p>
    <w:p>
      <w:pPr>
        <w:pStyle w:val="2"/>
        <w:numPr>
          <w:ilvl w:val="0"/>
          <w:numId w:val="0"/>
        </w:numPr>
        <w:adjustRightInd w:val="0"/>
        <w:snapToGrid w:val="0"/>
        <w:spacing w:beforeLines="0" w:after="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.2本合同的附表资料，系本合同不可分割的一部分，与本合同具有同等法律效力。</w:t>
      </w:r>
    </w:p>
    <w:p>
      <w:pPr>
        <w:pStyle w:val="2"/>
        <w:adjustRightInd w:val="0"/>
        <w:snapToGrid w:val="0"/>
        <w:spacing w:beforeLines="0" w:after="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本合同未尽事宜，由双方协商并签订补充协议，补充协议与本合同具有同等法律效力。</w:t>
      </w:r>
    </w:p>
    <w:p>
      <w:pPr>
        <w:adjustRightInd w:val="0"/>
        <w:snapToGrid w:val="0"/>
        <w:spacing w:beforeLines="0" w:afterLines="0" w:line="360" w:lineRule="auto"/>
        <w:rPr>
          <w:rFonts w:hint="eastAsia" w:ascii="宋体" w:hAnsi="宋体" w:eastAsia="宋体" w:cs="宋体"/>
          <w:color w:val="FF0000"/>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FF0000"/>
          <w:sz w:val="24"/>
          <w:szCs w:val="24"/>
          <w:highlight w:val="none"/>
          <w:lang w:val="en-US" w:eastAsia="zh-CN"/>
        </w:rPr>
        <w:t xml:space="preserve">  11.4（前述不适用于该维护的合同条款可在此说明）</w:t>
      </w:r>
    </w:p>
    <w:p>
      <w:pPr>
        <w:tabs>
          <w:tab w:val="left" w:pos="2880"/>
          <w:tab w:val="left" w:pos="7020"/>
        </w:tabs>
        <w:adjustRightInd w:val="0"/>
        <w:snapToGrid w:val="0"/>
        <w:spacing w:beforeLines="0" w:afterLines="0" w:line="360" w:lineRule="auto"/>
        <w:ind w:right="178" w:rightChars="85"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章 合同订立地点、份数及时效</w:t>
      </w:r>
    </w:p>
    <w:p>
      <w:pPr>
        <w:pStyle w:val="2"/>
        <w:numPr>
          <w:ilvl w:val="0"/>
          <w:numId w:val="0"/>
        </w:numPr>
        <w:adjustRightInd w:val="0"/>
        <w:snapToGrid w:val="0"/>
        <w:spacing w:beforeLines="0" w:after="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 合同订立地点：</w:t>
      </w:r>
      <w:r>
        <w:rPr>
          <w:rFonts w:hint="eastAsia" w:ascii="宋体" w:hAnsi="宋体" w:eastAsia="宋体" w:cs="宋体"/>
          <w:sz w:val="24"/>
          <w:szCs w:val="24"/>
          <w:highlight w:val="none"/>
          <w:u w:val="single"/>
        </w:rPr>
        <w:t xml:space="preserve">                                  </w:t>
      </w:r>
    </w:p>
    <w:p>
      <w:pPr>
        <w:pStyle w:val="2"/>
        <w:numPr>
          <w:ilvl w:val="0"/>
          <w:numId w:val="0"/>
        </w:numPr>
        <w:adjustRightInd w:val="0"/>
        <w:snapToGrid w:val="0"/>
        <w:spacing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 本合同一式</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份，甲方肆份，</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X</w:t>
      </w:r>
      <w:r>
        <w:rPr>
          <w:rFonts w:hint="eastAsia" w:ascii="宋体" w:hAnsi="宋体" w:eastAsia="宋体" w:cs="宋体"/>
          <w:color w:val="auto"/>
          <w:sz w:val="24"/>
          <w:szCs w:val="24"/>
          <w:highlight w:val="none"/>
        </w:rPr>
        <w:t>份。均具有同等法律效力，由双方</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后生效。</w:t>
      </w:r>
    </w:p>
    <w:p>
      <w:pPr>
        <w:adjustRightInd w:val="0"/>
        <w:snapToGrid w:val="0"/>
        <w:spacing w:beforeLines="0" w:afterLines="0" w:line="360" w:lineRule="auto"/>
        <w:rPr>
          <w:rFonts w:hint="eastAsia" w:ascii="宋体" w:hAnsi="宋体" w:eastAsia="宋体" w:cs="宋体"/>
          <w:b/>
          <w:bCs/>
          <w:color w:val="auto"/>
          <w:sz w:val="24"/>
          <w:highlight w:val="none"/>
          <w:u w:val="none"/>
        </w:rPr>
      </w:pPr>
      <w:r>
        <w:rPr>
          <w:rFonts w:hint="eastAsia" w:ascii="宋体" w:hAnsi="宋体" w:eastAsia="宋体" w:cs="宋体"/>
          <w:b/>
          <w:bCs/>
          <w:sz w:val="24"/>
          <w:highlight w:val="none"/>
          <w:lang w:val="en-US" w:eastAsia="zh-CN"/>
        </w:rPr>
        <w:t>附件一：</w:t>
      </w:r>
      <w:r>
        <w:rPr>
          <w:rFonts w:hint="eastAsia" w:ascii="宋体" w:hAnsi="宋体" w:eastAsia="宋体" w:cs="宋体"/>
          <w:b/>
          <w:bCs/>
          <w:color w:val="auto"/>
          <w:sz w:val="24"/>
          <w:highlight w:val="none"/>
          <w:u w:val="none"/>
        </w:rPr>
        <w:t>维护工程量及合同清单表</w:t>
      </w:r>
    </w:p>
    <w:p>
      <w:pPr>
        <w:adjustRightInd w:val="0"/>
        <w:snapToGrid w:val="0"/>
        <w:spacing w:beforeLines="0" w:afterLines="0"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附件二：维护技术标准及要求</w:t>
      </w:r>
    </w:p>
    <w:p>
      <w:pPr>
        <w:adjustRightInd w:val="0"/>
        <w:snapToGrid w:val="0"/>
        <w:spacing w:beforeLines="0" w:afterLines="0"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附件三：</w:t>
      </w:r>
      <w:r>
        <w:rPr>
          <w:rFonts w:hint="eastAsia" w:ascii="宋体" w:hAnsi="宋体" w:eastAsia="宋体" w:cs="宋体"/>
          <w:b/>
          <w:bCs/>
          <w:sz w:val="24"/>
          <w:szCs w:val="24"/>
          <w:highlight w:val="none"/>
          <w:lang w:val="en-US" w:eastAsia="zh-CN"/>
        </w:rPr>
        <w:t>安全生产协议（如有）</w:t>
      </w:r>
    </w:p>
    <w:p>
      <w:pPr>
        <w:adjustRightInd w:val="0"/>
        <w:snapToGrid w:val="0"/>
        <w:spacing w:beforeLines="0" w:afterLines="0"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 xml:space="preserve">附件四：廉政合同 </w:t>
      </w:r>
      <w:r>
        <w:rPr>
          <w:rFonts w:hint="eastAsia" w:ascii="宋体" w:hAnsi="宋体" w:eastAsia="宋体" w:cs="宋体"/>
          <w:b/>
          <w:bCs/>
          <w:sz w:val="24"/>
          <w:highlight w:val="none"/>
          <w:lang w:val="en-US" w:eastAsia="zh-CN"/>
        </w:rPr>
        <w:tab/>
      </w:r>
    </w:p>
    <w:p>
      <w:pPr>
        <w:adjustRightInd w:val="0"/>
        <w:snapToGrid w:val="0"/>
        <w:spacing w:beforeLines="0" w:afterLines="0"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附件五：保密协议</w:t>
      </w:r>
    </w:p>
    <w:p>
      <w:pPr>
        <w:adjustRightInd w:val="0"/>
        <w:snapToGrid w:val="0"/>
        <w:spacing w:beforeLines="0" w:afterLines="0"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附件六：授权委托书</w:t>
      </w:r>
    </w:p>
    <w:p>
      <w:pPr>
        <w:pStyle w:val="6"/>
        <w:rPr>
          <w:rFonts w:hint="default"/>
          <w:highlight w:val="none"/>
          <w:lang w:val="en-US" w:eastAsia="zh-CN"/>
        </w:rPr>
      </w:pPr>
    </w:p>
    <w:p>
      <w:pPr>
        <w:pStyle w:val="31"/>
        <w:spacing w:before="0" w:beforeAutospacing="0" w:after="0" w:afterAutospacing="0"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以下</w:t>
      </w:r>
      <w:r>
        <w:rPr>
          <w:rFonts w:hint="eastAsia" w:ascii="宋体" w:hAnsi="宋体" w:eastAsia="宋体" w:cs="宋体"/>
          <w:color w:val="000000"/>
          <w:kern w:val="2"/>
          <w:sz w:val="24"/>
          <w:szCs w:val="24"/>
          <w:highlight w:val="none"/>
          <w:lang w:val="en-US" w:eastAsia="zh-CN" w:bidi="ar-SA"/>
        </w:rPr>
        <w:t>无合同正文）</w:t>
      </w:r>
    </w:p>
    <w:tbl>
      <w:tblPr>
        <w:tblStyle w:val="36"/>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甲方名称：</w:t>
            </w:r>
            <w:r>
              <w:rPr>
                <w:rFonts w:hint="eastAsia" w:ascii="宋体" w:hAnsi="宋体" w:eastAsia="宋体" w:cs="宋体"/>
                <w:sz w:val="24"/>
                <w:szCs w:val="24"/>
                <w:highlight w:val="none"/>
              </w:rPr>
              <w:t>重庆首讯科技股份有限公司（章）</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rPr>
            </w:pPr>
          </w:p>
        </w:tc>
        <w:tc>
          <w:tcPr>
            <w:tcW w:w="458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乙方名称：</w:t>
            </w:r>
            <w:r>
              <w:rPr>
                <w:rFonts w:hint="eastAsia" w:ascii="宋体" w:hAnsi="宋体" w:eastAsia="宋体" w:cs="宋体"/>
                <w:color w:val="FF0000"/>
                <w:sz w:val="24"/>
                <w:szCs w:val="24"/>
                <w:highlight w:val="none"/>
                <w:lang w:val="en-US" w:eastAsia="zh-CN"/>
              </w:rPr>
              <w:t xml:space="preserve"> XXXXX    </w:t>
            </w:r>
            <w:r>
              <w:rPr>
                <w:rFonts w:hint="eastAsia" w:ascii="宋体" w:hAnsi="宋体" w:eastAsia="宋体" w:cs="宋体"/>
                <w:color w:val="000000"/>
                <w:sz w:val="24"/>
                <w:szCs w:val="24"/>
                <w:highlight w:val="none"/>
              </w:rPr>
              <w:t>（章）</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r>
              <w:rPr>
                <w:rFonts w:hint="eastAsia" w:ascii="宋体" w:hAnsi="宋体" w:eastAsia="宋体" w:cs="宋体"/>
                <w:sz w:val="24"/>
                <w:szCs w:val="24"/>
                <w:highlight w:val="none"/>
              </w:rPr>
              <w:t>渝北区龙溪街道新南路52号1幢3-1</w:t>
            </w:r>
          </w:p>
        </w:tc>
        <w:tc>
          <w:tcPr>
            <w:tcW w:w="4583"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单位地址：</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lang w:eastAsia="zh-CN"/>
              </w:rPr>
            </w:pP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eastAsia="zh-CN"/>
              </w:rPr>
            </w:pPr>
          </w:p>
        </w:tc>
        <w:tc>
          <w:tcPr>
            <w:tcW w:w="4583"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经办人</w:t>
            </w:r>
            <w:r>
              <w:rPr>
                <w:rFonts w:hint="eastAsia" w:ascii="宋体" w:hAnsi="宋体" w:eastAsia="宋体" w:cs="宋体"/>
                <w:color w:val="000000"/>
                <w:sz w:val="24"/>
                <w:szCs w:val="24"/>
                <w:highlight w:val="none"/>
              </w:rPr>
              <w:t>：</w:t>
            </w:r>
          </w:p>
        </w:tc>
        <w:tc>
          <w:tcPr>
            <w:tcW w:w="4583"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经办人</w:t>
            </w:r>
            <w:r>
              <w:rPr>
                <w:rFonts w:hint="eastAsia" w:ascii="宋体" w:hAnsi="宋体" w:eastAsia="宋体" w:cs="宋体"/>
                <w:color w:val="000000"/>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公司电话：</w:t>
            </w:r>
            <w:r>
              <w:rPr>
                <w:rFonts w:hint="eastAsia" w:ascii="宋体" w:hAnsi="宋体" w:eastAsia="宋体" w:cs="宋体"/>
                <w:highlight w:val="none"/>
              </w:rPr>
              <w:t xml:space="preserve">023-86917860 </w:t>
            </w:r>
          </w:p>
        </w:tc>
        <w:tc>
          <w:tcPr>
            <w:tcW w:w="4583" w:type="dxa"/>
            <w:noWrap w:val="0"/>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Cs w:val="0"/>
                <w:sz w:val="24"/>
                <w:szCs w:val="24"/>
                <w:highlight w:val="none"/>
              </w:rPr>
            </w:pPr>
            <w:r>
              <w:rPr>
                <w:rFonts w:hint="eastAsia" w:ascii="宋体" w:hAnsi="宋体" w:eastAsia="宋体" w:cs="宋体"/>
                <w:sz w:val="24"/>
                <w:szCs w:val="24"/>
                <w:highlight w:val="none"/>
                <w:lang w:val="en-US" w:eastAsia="zh-CN"/>
              </w:rPr>
              <w:t>公司电话</w:t>
            </w:r>
            <w:r>
              <w:rPr>
                <w:rFonts w:hint="eastAsia" w:ascii="宋体" w:hAnsi="宋体" w:eastAsia="宋体" w:cs="宋体"/>
                <w:bCs w:val="0"/>
                <w:sz w:val="24"/>
                <w:szCs w:val="24"/>
                <w:highlight w:val="none"/>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开户银行：</w:t>
            </w:r>
            <w:r>
              <w:rPr>
                <w:rFonts w:hint="eastAsia" w:ascii="宋体" w:hAnsi="宋体" w:eastAsia="宋体" w:cs="宋体"/>
                <w:bCs w:val="0"/>
                <w:sz w:val="24"/>
                <w:szCs w:val="24"/>
                <w:highlight w:val="none"/>
              </w:rPr>
              <w:t>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Cs w:val="0"/>
                <w:color w:val="000000"/>
                <w:sz w:val="24"/>
                <w:szCs w:val="24"/>
                <w:highlight w:val="none"/>
              </w:rPr>
            </w:pPr>
            <w:r>
              <w:rPr>
                <w:rFonts w:hint="eastAsia" w:ascii="宋体" w:hAnsi="宋体" w:eastAsia="宋体" w:cs="宋体"/>
                <w:bCs w:val="0"/>
                <w:sz w:val="24"/>
                <w:szCs w:val="24"/>
                <w:highlight w:val="none"/>
              </w:rPr>
              <w:t>开户银行：</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银行账号：</w:t>
            </w:r>
            <w:r>
              <w:rPr>
                <w:rFonts w:hint="eastAsia" w:ascii="宋体" w:hAnsi="宋体" w:eastAsia="宋体" w:cs="宋体"/>
                <w:bCs w:val="0"/>
                <w:sz w:val="24"/>
                <w:szCs w:val="24"/>
                <w:highlight w:val="none"/>
              </w:rPr>
              <w:t>39530188000016968</w:t>
            </w:r>
          </w:p>
        </w:tc>
        <w:tc>
          <w:tcPr>
            <w:tcW w:w="4583" w:type="dxa"/>
            <w:noWrap w:val="0"/>
            <w:vAlign w:val="top"/>
          </w:tcPr>
          <w:p>
            <w:pPr>
              <w:keepNext w:val="0"/>
              <w:keepLines w:val="0"/>
              <w:widowControl/>
              <w:suppressLineNumbers w:val="0"/>
              <w:spacing w:before="0" w:beforeLines="0" w:beforeAutospacing="0" w:after="0" w:afterAutospacing="0" w:line="360" w:lineRule="auto"/>
              <w:ind w:left="0" w:right="0"/>
              <w:jc w:val="left"/>
              <w:rPr>
                <w:rFonts w:hint="eastAsia" w:ascii="宋体" w:hAnsi="宋体" w:eastAsia="宋体" w:cs="宋体"/>
                <w:bCs w:val="0"/>
                <w:color w:val="000000"/>
                <w:sz w:val="24"/>
                <w:szCs w:val="24"/>
                <w:highlight w:val="none"/>
              </w:rPr>
            </w:pPr>
            <w:r>
              <w:rPr>
                <w:rFonts w:hint="eastAsia" w:ascii="宋体" w:hAnsi="宋体" w:eastAsia="宋体" w:cs="宋体"/>
                <w:bCs w:val="0"/>
                <w:sz w:val="24"/>
                <w:szCs w:val="24"/>
                <w:highlight w:val="none"/>
              </w:rPr>
              <w:t>银行帐号：</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日期：     年     月     日</w:t>
            </w:r>
          </w:p>
        </w:tc>
        <w:tc>
          <w:tcPr>
            <w:tcW w:w="4583" w:type="dxa"/>
            <w:noWrap w:val="0"/>
            <w:vAlign w:val="top"/>
          </w:tcPr>
          <w:p>
            <w:pPr>
              <w:keepNext w:val="0"/>
              <w:keepLines w:val="0"/>
              <w:suppressLineNumbers w:val="0"/>
              <w:spacing w:before="0" w:beforeLines="0" w:beforeAutospacing="0" w:after="0" w:afterAutospacing="0" w:line="360" w:lineRule="auto"/>
              <w:ind w:left="0" w:right="0"/>
              <w:jc w:val="left"/>
              <w:rPr>
                <w:rFonts w:hint="eastAsia" w:ascii="宋体" w:hAnsi="宋体" w:eastAsia="宋体" w:cs="宋体"/>
                <w:bCs w:val="0"/>
                <w:kern w:val="2"/>
                <w:sz w:val="24"/>
                <w:szCs w:val="24"/>
                <w:highlight w:val="none"/>
                <w:lang w:val="en-US" w:eastAsia="zh-CN" w:bidi="ar-SA"/>
              </w:rPr>
            </w:pPr>
            <w:r>
              <w:rPr>
                <w:rFonts w:hint="eastAsia" w:ascii="宋体" w:hAnsi="宋体" w:eastAsia="宋体" w:cs="宋体"/>
                <w:sz w:val="24"/>
                <w:szCs w:val="24"/>
                <w:highlight w:val="none"/>
                <w:lang w:val="en-US" w:eastAsia="zh-CN"/>
              </w:rPr>
              <w:t>日期：     年     月     日</w:t>
            </w:r>
          </w:p>
        </w:tc>
      </w:tr>
    </w:tbl>
    <w:p>
      <w:pPr>
        <w:spacing w:line="360" w:lineRule="auto"/>
        <w:rPr>
          <w:rFonts w:hint="eastAsia" w:ascii="宋体" w:hAnsi="宋体" w:eastAsia="宋体" w:cs="宋体"/>
          <w:sz w:val="24"/>
          <w:highlight w:val="none"/>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kern w:val="0"/>
          <w:sz w:val="32"/>
          <w:szCs w:val="32"/>
          <w:highlight w:val="none"/>
          <w:lang w:val="en-US" w:eastAsia="zh-CN" w:bidi="ar-SA"/>
        </w:rPr>
        <w:t>一</w:t>
      </w:r>
      <w:r>
        <w:rPr>
          <w:rFonts w:hint="eastAsia" w:ascii="宋体" w:hAnsi="宋体" w:eastAsia="宋体" w:cs="宋体"/>
          <w:b/>
          <w:kern w:val="0"/>
          <w:sz w:val="32"/>
          <w:szCs w:val="32"/>
          <w:highlight w:val="none"/>
          <w:lang w:bidi="ar-SA"/>
        </w:rPr>
        <w:t>：</w:t>
      </w:r>
      <w:r>
        <w:rPr>
          <w:rFonts w:hint="eastAsia" w:ascii="宋体" w:hAnsi="宋体" w:eastAsia="宋体" w:cs="宋体"/>
          <w:b/>
          <w:bCs w:val="0"/>
          <w:kern w:val="0"/>
          <w:sz w:val="32"/>
          <w:szCs w:val="32"/>
          <w:highlight w:val="none"/>
          <w:u w:val="none"/>
        </w:rPr>
        <w:t>维护工程量及合同清单表</w:t>
      </w:r>
    </w:p>
    <w:p>
      <w:pPr>
        <w:tabs>
          <w:tab w:val="left" w:pos="2880"/>
          <w:tab w:val="left" w:pos="7020"/>
        </w:tabs>
        <w:spacing w:line="360" w:lineRule="auto"/>
        <w:ind w:left="630" w:leftChars="300" w:right="178" w:rightChars="85"/>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单位：人民币元</w:t>
      </w:r>
      <w:r>
        <w:rPr>
          <w:rFonts w:hint="eastAsia" w:ascii="宋体" w:hAnsi="宋体" w:eastAsia="宋体" w:cs="宋体"/>
          <w:kern w:val="0"/>
          <w:sz w:val="24"/>
          <w:highlight w:val="none"/>
        </w:rPr>
        <w:tab/>
      </w:r>
    </w:p>
    <w:p>
      <w:pPr>
        <w:widowControl/>
        <w:spacing w:line="360" w:lineRule="auto"/>
        <w:jc w:val="left"/>
        <w:rPr>
          <w:rFonts w:hint="eastAsia" w:ascii="宋体" w:hAnsi="宋体" w:eastAsia="宋体" w:cs="宋体"/>
          <w:b/>
          <w:kern w:val="0"/>
          <w:sz w:val="32"/>
          <w:szCs w:val="32"/>
          <w:highlight w:val="none"/>
          <w:lang w:bidi="ar-SA"/>
        </w:rPr>
      </w:pPr>
    </w:p>
    <w:tbl>
      <w:tblPr>
        <w:tblStyle w:val="36"/>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9"/>
        <w:gridCol w:w="1032"/>
        <w:gridCol w:w="876"/>
        <w:gridCol w:w="794"/>
        <w:gridCol w:w="742"/>
        <w:gridCol w:w="1068"/>
        <w:gridCol w:w="1164"/>
        <w:gridCol w:w="1128"/>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11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维护项目</w:t>
            </w:r>
          </w:p>
        </w:tc>
        <w:tc>
          <w:tcPr>
            <w:tcW w:w="87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维护内容</w:t>
            </w:r>
          </w:p>
        </w:tc>
        <w:tc>
          <w:tcPr>
            <w:tcW w:w="79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74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频率</w:t>
            </w:r>
          </w:p>
        </w:tc>
        <w:tc>
          <w:tcPr>
            <w:tcW w:w="10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单价（不含税）</w:t>
            </w:r>
          </w:p>
        </w:tc>
        <w:tc>
          <w:tcPr>
            <w:tcW w:w="116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单价（含税）</w:t>
            </w:r>
          </w:p>
        </w:tc>
        <w:tc>
          <w:tcPr>
            <w:tcW w:w="112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小计(含税）</w:t>
            </w:r>
          </w:p>
        </w:tc>
        <w:tc>
          <w:tcPr>
            <w:tcW w:w="12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9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4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0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6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2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9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4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0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6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2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3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9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4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0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6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2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3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9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4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0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6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2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03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87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9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742"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06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64"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128"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199"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32"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安全生产费</w:t>
            </w:r>
          </w:p>
        </w:tc>
        <w:tc>
          <w:tcPr>
            <w:tcW w:w="876"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p>
        </w:tc>
        <w:tc>
          <w:tcPr>
            <w:tcW w:w="794"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p>
        </w:tc>
        <w:tc>
          <w:tcPr>
            <w:tcW w:w="742"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1068"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1164"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1128"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1236" w:type="dxa"/>
            <w:tcBorders>
              <w:top w:val="nil"/>
              <w:left w:val="nil"/>
              <w:bottom w:val="single" w:color="auto"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不可竞争性费用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23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含税合同金额合计：大写</w:t>
            </w:r>
            <w:r>
              <w:rPr>
                <w:rFonts w:hint="eastAsia" w:ascii="宋体" w:hAnsi="宋体" w:eastAsia="宋体" w:cs="宋体"/>
                <w:i w:val="0"/>
                <w:iCs w:val="0"/>
                <w:color w:val="FF0000"/>
                <w:kern w:val="0"/>
                <w:sz w:val="24"/>
                <w:szCs w:val="24"/>
                <w:highlight w:val="none"/>
                <w:u w:val="none"/>
                <w:lang w:val="en-US" w:eastAsia="zh-CN" w:bidi="ar"/>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923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税金（税率X%）：大写XX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23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不含税合同金额合计：大写XX</w:t>
            </w:r>
          </w:p>
        </w:tc>
      </w:tr>
    </w:tbl>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附件二: 维护技术标准及要求</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详见</w:t>
      </w:r>
      <w:r>
        <w:rPr>
          <w:rFonts w:hint="eastAsia" w:ascii="宋体" w:hAnsi="宋体" w:eastAsia="宋体" w:cs="宋体"/>
          <w:kern w:val="0"/>
          <w:sz w:val="24"/>
          <w:highlight w:val="none"/>
        </w:rPr>
        <w:t>第七章  技术标准和要求</w:t>
      </w:r>
      <w:r>
        <w:rPr>
          <w:rFonts w:hint="eastAsia" w:ascii="宋体" w:hAnsi="宋体" w:cs="宋体"/>
          <w:kern w:val="0"/>
          <w:sz w:val="24"/>
          <w:highlight w:val="none"/>
          <w:lang w:eastAsia="zh-CN"/>
        </w:rPr>
        <w:t>。</w:t>
      </w:r>
    </w:p>
    <w:p>
      <w:pPr>
        <w:widowControl/>
        <w:numPr>
          <w:ilvl w:val="0"/>
          <w:numId w:val="0"/>
        </w:numPr>
        <w:spacing w:line="360" w:lineRule="auto"/>
        <w:ind w:firstLine="0" w:firstLineChars="0"/>
        <w:jc w:val="left"/>
        <w:rPr>
          <w:rFonts w:hint="eastAsia" w:ascii="宋体" w:hAnsi="宋体" w:eastAsia="宋体" w:cs="宋体"/>
          <w:highlight w:val="none"/>
          <w:lang w:val="en-US" w:eastAsia="zh-CN"/>
        </w:rPr>
      </w:pPr>
    </w:p>
    <w:p>
      <w:pPr>
        <w:pStyle w:val="6"/>
        <w:rPr>
          <w:rFonts w:hint="eastAsia" w:ascii="宋体" w:hAnsi="宋体" w:eastAsia="宋体" w:cs="宋体"/>
          <w:b/>
          <w:kern w:val="0"/>
          <w:sz w:val="32"/>
          <w:szCs w:val="32"/>
          <w:highlight w:val="none"/>
          <w:lang w:bidi="ar-SA"/>
        </w:rPr>
      </w:pPr>
    </w:p>
    <w:p>
      <w:pPr>
        <w:rPr>
          <w:rFonts w:hint="eastAsia" w:ascii="宋体" w:hAnsi="宋体" w:cs="宋体"/>
          <w:highlight w:val="none"/>
        </w:rPr>
      </w:pPr>
      <w:r>
        <w:rPr>
          <w:rFonts w:hint="eastAsia" w:ascii="宋体" w:hAnsi="宋体" w:cs="宋体"/>
          <w:highlight w:val="none"/>
        </w:rPr>
        <w:br w:type="page"/>
      </w:r>
    </w:p>
    <w:p>
      <w:pPr>
        <w:snapToGrid w:val="0"/>
        <w:spacing w:line="360" w:lineRule="auto"/>
        <w:jc w:val="center"/>
        <w:rPr>
          <w:rFonts w:hint="eastAsia" w:ascii="宋体" w:hAnsi="宋体" w:eastAsia="宋体" w:cs="宋体"/>
          <w:b/>
          <w:sz w:val="44"/>
          <w:szCs w:val="44"/>
          <w:highlight w:val="none"/>
        </w:rPr>
      </w:pPr>
      <w:r>
        <w:rPr>
          <w:rFonts w:hint="eastAsia" w:ascii="宋体" w:hAnsi="宋体" w:eastAsia="宋体" w:cs="宋体"/>
          <w:b/>
          <w:bCs/>
          <w:color w:val="auto"/>
          <w:sz w:val="32"/>
          <w:szCs w:val="32"/>
          <w:highlight w:val="none"/>
        </w:rPr>
        <w:t>保密协议</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为了促进双方合作，加强项目维护工作中的信息与保密工作，依据《中华人民共和国民法典》的规定并经双方友好协商，签订如下协议（以下简称本协议）。</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甲方的保密信息包括甲方所拥有的业务数据、商业信息、客户信息和被测信息系统不可分割的组成部分的相关信息等，同时包括甲方声明的其他保密信息。</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2．乙方不得在工作中获取非甲方提供的保密信息，乙方不得将甲方的保密信息透露给任何第三方。</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3．乙方不应使用甲方的保密信息也不应在自己的组织内流通，除非是为与甲方人员或授权代表商谈、讨论和协商之需或在本协议签署后经甲方书面授权的任何目的。</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4．乙方不应为除本协议规定的目的以外的自身利益或任何其他方的利益而使用任何甲方的保密信息。</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6．本协议或向乙方披露的保密信息均不得视为向乙方授予任何知识产权或与之有关的任何性质的权利。</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7．所有由甲方提供给乙方的材料，包括但不限于文件、设计和清单应仍为甲方的财产，且甲方要求时应立即归还原件和所有据此制作的副本。</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本协议自双方签字盖章之日起生效，对签字双方及其关联机构及其继受者均具有约束力。本协议自生效日之后五年内具有效力。本协议有效期内任何时间双方可通过相互同意或向另一方发出书面通知六十天后终止协议；但提前终止本协议不应豁免乙方在本协议下就终止生效日前提供给乙方保密信息所应履行的义务。如保密信息因接受方之外的原因而成为公知信息，则本协议对该部分保密信息自动失效。</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 违约责任：本协议签订后双方应尽力遵守相应条款的规定。如出现违约，违约方承担相应的法律责任和经济损失。</w:t>
      </w:r>
    </w:p>
    <w:p>
      <w:pPr>
        <w:widowControl/>
        <w:numPr>
          <w:ilvl w:val="0"/>
          <w:numId w:val="0"/>
        </w:numPr>
        <w:tabs>
          <w:tab w:val="left" w:pos="2880"/>
          <w:tab w:val="left" w:pos="7020"/>
        </w:tabs>
        <w:spacing w:line="360" w:lineRule="auto"/>
        <w:ind w:right="178" w:rightChars="85"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10．本协议包含双方关于此事项的全部约定。双方在此之前达成的任何口头或书面的协议或约定，如果与本协议冲突，则以本协议内容为准。本协议的任何修改须以书面方式做出并经双方签字才能生效。</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11．与本协议有关的任何纠纷或争议应通过友好协商解决。如不能协商解决，任何一方可提交重庆仲裁委员会进行仲裁，仲裁裁决对双方均有约束力。本协议受中华人民共和国法律管辖。</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sz w:val="24"/>
          <w:highlight w:val="none"/>
        </w:rPr>
        <w:t>本合同一式两份，甲、乙双方各执一份。</w:t>
      </w:r>
    </w:p>
    <w:p>
      <w:pPr>
        <w:widowControl/>
        <w:spacing w:line="400" w:lineRule="exact"/>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甲方：重庆首讯科技股份有限公司            乙方：</w:t>
      </w:r>
      <w:r>
        <w:rPr>
          <w:rFonts w:hint="eastAsia" w:ascii="宋体" w:hAnsi="宋体" w:eastAsia="宋体" w:cs="宋体"/>
          <w:color w:val="FF0000"/>
          <w:sz w:val="24"/>
          <w:highlight w:val="none"/>
          <w:lang w:val="en-US" w:eastAsia="zh-CN"/>
        </w:rPr>
        <w:t>XXXXXX</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24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br w:type="page"/>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w:t>
      </w:r>
      <w:r>
        <w:rPr>
          <w:rFonts w:hint="eastAsia" w:ascii="宋体" w:hAnsi="宋体" w:eastAsia="宋体" w:cs="宋体"/>
          <w:b/>
          <w:color w:val="auto"/>
          <w:kern w:val="0"/>
          <w:sz w:val="32"/>
          <w:szCs w:val="32"/>
          <w:highlight w:val="none"/>
          <w:lang w:eastAsia="zh-CN"/>
        </w:rPr>
        <w:t>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4"/>
          <w:highlight w:val="none"/>
          <w:lang w:eastAsia="zh-CN"/>
        </w:rPr>
      </w:pP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项目名称</w:t>
            </w: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38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38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38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38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38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w:t>
      </w:r>
      <w:r>
        <w:rPr>
          <w:rFonts w:hint="eastAsia" w:ascii="宋体" w:hAnsi="宋体" w:eastAsia="宋体" w:cs="宋体"/>
          <w:color w:val="auto"/>
          <w:kern w:val="0"/>
          <w:sz w:val="24"/>
          <w:szCs w:val="24"/>
          <w:highlight w:val="none"/>
          <w:lang w:val="en-US" w:eastAsia="zh-CN"/>
        </w:rPr>
        <w:t>维护</w:t>
      </w:r>
      <w:r>
        <w:rPr>
          <w:rFonts w:hint="eastAsia" w:ascii="宋体" w:hAnsi="宋体" w:eastAsia="宋体" w:cs="宋体"/>
          <w:color w:val="auto"/>
          <w:kern w:val="0"/>
          <w:sz w:val="24"/>
          <w:szCs w:val="24"/>
          <w:highlight w:val="none"/>
          <w:lang w:eastAsia="zh-CN"/>
        </w:rPr>
        <w:t>单位，一份开具违约通知书部门留底，一份交职能部门。</w:t>
      </w:r>
    </w:p>
    <w:p>
      <w:pPr>
        <w:pStyle w:val="6"/>
        <w:rPr>
          <w:highlight w:val="none"/>
        </w:rPr>
      </w:pPr>
    </w:p>
    <w:p>
      <w:pPr>
        <w:widowControl/>
        <w:spacing w:line="360" w:lineRule="auto"/>
        <w:jc w:val="left"/>
        <w:rPr>
          <w:rFonts w:hint="eastAsia" w:ascii="宋体" w:hAnsi="宋体" w:eastAsia="宋体" w:cs="宋体"/>
          <w:b/>
          <w:kern w:val="0"/>
          <w:sz w:val="32"/>
          <w:szCs w:val="32"/>
          <w:highlight w:val="none"/>
          <w:lang w:bidi="ar-SA"/>
        </w:rPr>
      </w:pP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四</w:t>
      </w:r>
      <w:r>
        <w:rPr>
          <w:rFonts w:hint="eastAsia" w:ascii="宋体" w:hAnsi="宋体" w:eastAsia="宋体" w:cs="宋体"/>
          <w:b/>
          <w:kern w:val="0"/>
          <w:sz w:val="32"/>
          <w:szCs w:val="32"/>
          <w:highlight w:val="none"/>
          <w:lang w:bidi="ar-SA"/>
        </w:rPr>
        <w:t>：廉政合同</w:t>
      </w:r>
    </w:p>
    <w:p>
      <w:pPr>
        <w:pStyle w:val="31"/>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1"/>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w:t>
      </w:r>
      <w:r>
        <w:rPr>
          <w:rFonts w:hint="eastAsia" w:ascii="宋体" w:hAnsi="宋体" w:eastAsia="宋体" w:cs="宋体"/>
          <w:b/>
          <w:bCs/>
          <w:sz w:val="24"/>
          <w:highlight w:val="none"/>
          <w:lang w:val="en-US" w:eastAsia="zh-CN"/>
        </w:rPr>
        <w:t>维护</w:t>
      </w:r>
      <w:r>
        <w:rPr>
          <w:rFonts w:hint="eastAsia" w:ascii="宋体" w:hAnsi="宋体" w:eastAsia="宋体" w:cs="宋体"/>
          <w:b/>
          <w:bCs/>
          <w:sz w:val="24"/>
          <w:highlight w:val="none"/>
        </w:rPr>
        <w:t>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甲方（项目负责人）：               </w:t>
      </w:r>
    </w:p>
    <w:p>
      <w:pPr>
        <w:pStyle w:val="6"/>
        <w:ind w:firstLine="480" w:firstLineChars="200"/>
        <w:jc w:val="both"/>
        <w:rPr>
          <w:highlight w:val="none"/>
        </w:rPr>
      </w:pPr>
      <w:r>
        <w:rPr>
          <w:rFonts w:hint="eastAsia" w:ascii="宋体" w:hAnsi="宋体" w:eastAsia="宋体" w:cs="宋体"/>
          <w:b w:val="0"/>
          <w:bCs w:val="0"/>
          <w:sz w:val="24"/>
          <w:highlight w:val="none"/>
        </w:rPr>
        <w:t xml:space="preserve">乙方（项目负责人）： </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spacing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spacing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spacing w:line="400" w:lineRule="exact"/>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甲方：重庆首讯科技股份有限公司            乙方：</w:t>
      </w:r>
      <w:r>
        <w:rPr>
          <w:rFonts w:hint="eastAsia" w:ascii="宋体" w:hAnsi="宋体" w:eastAsia="宋体" w:cs="宋体"/>
          <w:color w:val="FF0000"/>
          <w:sz w:val="24"/>
          <w:highlight w:val="none"/>
          <w:lang w:val="en-US" w:eastAsia="zh-CN"/>
        </w:rPr>
        <w:t>XXXXXX</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val="0"/>
          <w:bCs w:val="0"/>
          <w:sz w:val="24"/>
          <w:highlight w:val="none"/>
        </w:rPr>
      </w:pPr>
    </w:p>
    <w:p>
      <w:pPr>
        <w:spacing w:line="360" w:lineRule="auto"/>
        <w:rPr>
          <w:rFonts w:hint="eastAsia" w:ascii="宋体" w:hAnsi="宋体" w:cs="宋体"/>
          <w:b/>
          <w:bCs/>
          <w:sz w:val="32"/>
          <w:szCs w:val="32"/>
          <w:highlight w:val="none"/>
        </w:rPr>
      </w:pPr>
      <w:r>
        <w:rPr>
          <w:rFonts w:hint="eastAsia" w:ascii="宋体" w:hAnsi="宋体" w:eastAsia="宋体" w:cs="宋体"/>
          <w:szCs w:val="21"/>
          <w:highlight w:val="none"/>
        </w:rPr>
        <w:t xml:space="preserve">         </w:t>
      </w:r>
    </w:p>
    <w:p>
      <w:pPr>
        <w:spacing w:line="360" w:lineRule="auto"/>
        <w:rPr>
          <w:rFonts w:hint="eastAsia" w:ascii="宋体" w:hAnsi="宋体" w:cs="宋体"/>
          <w:highlight w:val="none"/>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360" w:lineRule="auto"/>
        <w:jc w:val="left"/>
        <w:rPr>
          <w:rFonts w:hint="eastAsia" w:ascii="宋体" w:hAnsi="宋体" w:eastAsia="宋体" w:cs="宋体"/>
          <w:b/>
          <w:kern w:val="0"/>
          <w:sz w:val="32"/>
          <w:szCs w:val="32"/>
          <w:highlight w:val="none"/>
          <w:lang w:bidi="ar-SA"/>
        </w:rPr>
      </w:pPr>
    </w:p>
    <w:p>
      <w:pPr>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spacing w:line="240" w:lineRule="auto"/>
        <w:jc w:val="left"/>
        <w:rPr>
          <w:rFonts w:hint="eastAsia" w:ascii="宋体" w:hAnsi="宋体" w:eastAsia="宋体" w:cs="宋体"/>
          <w:b/>
          <w:kern w:val="0"/>
          <w:sz w:val="32"/>
          <w:szCs w:val="32"/>
          <w:highlight w:val="none"/>
          <w:lang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五</w:t>
      </w:r>
      <w:r>
        <w:rPr>
          <w:rFonts w:hint="eastAsia" w:ascii="宋体" w:hAnsi="宋体" w:eastAsia="宋体" w:cs="宋体"/>
          <w:b/>
          <w:kern w:val="0"/>
          <w:sz w:val="32"/>
          <w:szCs w:val="32"/>
          <w:highlight w:val="none"/>
          <w:lang w:bidi="ar-SA"/>
        </w:rPr>
        <w:t>：授权委托书</w:t>
      </w:r>
    </w:p>
    <w:p>
      <w:pPr>
        <w:pStyle w:val="6"/>
        <w:rPr>
          <w:rFonts w:hint="eastAsia"/>
          <w:highlight w:val="none"/>
          <w:lang w:val="en-US" w:eastAsia="zh-CN"/>
        </w:rPr>
      </w:pPr>
    </w:p>
    <w:p>
      <w:pPr>
        <w:rPr>
          <w:rFonts w:hint="eastAsia" w:ascii="宋体" w:hAnsi="宋体" w:cs="宋体"/>
          <w:highlight w:val="none"/>
          <w:lang w:val="en-US" w:eastAsia="zh-CN"/>
        </w:rPr>
      </w:pPr>
    </w:p>
    <w:p>
      <w:pPr>
        <w:spacing w:line="360" w:lineRule="auto"/>
        <w:jc w:val="both"/>
        <w:rPr>
          <w:rFonts w:hint="eastAsia" w:ascii="宋体" w:hAnsi="宋体" w:eastAsia="宋体" w:cs="宋体"/>
          <w:b/>
          <w:sz w:val="44"/>
          <w:szCs w:val="44"/>
          <w:highlight w:val="none"/>
          <w:lang w:eastAsia="zh-CN"/>
        </w:rPr>
      </w:pPr>
    </w:p>
    <w:p>
      <w:pPr>
        <w:spacing w:line="240" w:lineRule="auto"/>
        <w:jc w:val="left"/>
        <w:rPr>
          <w:rFonts w:hint="eastAsia" w:ascii="宋体" w:hAnsi="宋体" w:cs="宋体"/>
          <w:color w:val="auto"/>
          <w:sz w:val="32"/>
          <w:szCs w:val="32"/>
          <w:highlight w:val="none"/>
          <w:lang w:val="en-US" w:eastAsia="zh-CN" w:bidi="ar"/>
        </w:rPr>
      </w:pPr>
      <w:bookmarkStart w:id="428" w:name="_Toc287620797"/>
      <w:bookmarkStart w:id="429" w:name="_Toc287607855"/>
      <w:bookmarkStart w:id="430" w:name="_Toc430530513"/>
      <w:bookmarkStart w:id="431" w:name="_Toc534185822"/>
      <w:bookmarkStart w:id="432" w:name="_Toc509218843"/>
      <w:bookmarkStart w:id="433" w:name="_Toc351203480"/>
      <w:bookmarkStart w:id="434" w:name="_Toc296890982"/>
      <w:bookmarkStart w:id="435" w:name="_Toc296503025"/>
    </w:p>
    <w:p>
      <w:pPr>
        <w:adjustRightInd/>
        <w:snapToGrid/>
        <w:spacing w:afterLines="-2147483648" w:line="240" w:lineRule="auto"/>
        <w:jc w:val="left"/>
        <w:rPr>
          <w:rFonts w:hint="eastAsia" w:ascii="宋体" w:hAnsi="宋体" w:cs="宋体"/>
          <w:highlight w:val="none"/>
        </w:rPr>
      </w:pPr>
      <w:r>
        <w:rPr>
          <w:rFonts w:hint="eastAsia" w:ascii="宋体" w:hAnsi="宋体" w:cs="宋体"/>
          <w:highlight w:val="none"/>
        </w:rPr>
        <w:br w:type="page"/>
      </w:r>
    </w:p>
    <w:p>
      <w:pPr>
        <w:pStyle w:val="3"/>
        <w:spacing w:before="0" w:after="0" w:line="360" w:lineRule="auto"/>
        <w:jc w:val="center"/>
        <w:rPr>
          <w:rFonts w:hint="eastAsia" w:ascii="宋体" w:hAnsi="宋体" w:eastAsia="宋体" w:cs="宋体"/>
          <w:b w:val="0"/>
          <w:color w:val="auto"/>
          <w:highlight w:val="none"/>
        </w:rPr>
      </w:pPr>
      <w:bookmarkStart w:id="436" w:name="_Toc16288"/>
      <w:bookmarkStart w:id="437" w:name="_Toc4403"/>
      <w:bookmarkStart w:id="438" w:name="_Toc9946"/>
      <w:r>
        <w:rPr>
          <w:rFonts w:hint="eastAsia" w:ascii="宋体" w:hAnsi="宋体" w:eastAsia="宋体" w:cs="宋体"/>
          <w:bCs w:val="0"/>
          <w:color w:val="auto"/>
          <w:highlight w:val="none"/>
        </w:rPr>
        <w:t>第五章  工程量清单</w:t>
      </w:r>
      <w:bookmarkEnd w:id="428"/>
      <w:bookmarkEnd w:id="429"/>
      <w:bookmarkEnd w:id="430"/>
      <w:bookmarkEnd w:id="431"/>
      <w:bookmarkEnd w:id="432"/>
      <w:bookmarkEnd w:id="436"/>
      <w:bookmarkEnd w:id="437"/>
      <w:bookmarkEnd w:id="438"/>
    </w:p>
    <w:p>
      <w:pPr>
        <w:snapToGrid w:val="0"/>
        <w:spacing w:line="360" w:lineRule="auto"/>
        <w:jc w:val="center"/>
        <w:rPr>
          <w:rFonts w:hint="eastAsia" w:ascii="宋体" w:hAnsi="宋体" w:eastAsia="宋体" w:cs="宋体"/>
          <w:color w:val="auto"/>
          <w:szCs w:val="21"/>
          <w:highlight w:val="none"/>
        </w:rPr>
      </w:pPr>
      <w:bookmarkStart w:id="439" w:name="招标文件05章工程量清单01"/>
      <w:bookmarkEnd w:id="439"/>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440" w:name="_Toc509218844"/>
      <w:bookmarkStart w:id="441" w:name="_Toc10323"/>
      <w:bookmarkStart w:id="442" w:name="_Toc30771"/>
      <w:bookmarkStart w:id="443" w:name="_Toc29175"/>
      <w:bookmarkStart w:id="444" w:name="_Toc534185823"/>
      <w:r>
        <w:rPr>
          <w:rFonts w:hint="eastAsia" w:ascii="宋体" w:hAnsi="宋体" w:eastAsia="宋体" w:cs="宋体"/>
          <w:color w:val="auto"/>
          <w:sz w:val="52"/>
          <w:szCs w:val="52"/>
          <w:highlight w:val="none"/>
        </w:rPr>
        <w:t>第 二 卷</w:t>
      </w:r>
      <w:bookmarkEnd w:id="440"/>
      <w:bookmarkEnd w:id="441"/>
      <w:bookmarkEnd w:id="442"/>
      <w:bookmarkEnd w:id="443"/>
      <w:bookmarkEnd w:id="444"/>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445" w:name="招标文件06章图纸"/>
      <w:bookmarkEnd w:id="445"/>
      <w:bookmarkStart w:id="446" w:name="_Toc27579"/>
      <w:bookmarkStart w:id="447" w:name="_Toc9554"/>
      <w:bookmarkStart w:id="448" w:name="_Toc534185825"/>
      <w:bookmarkStart w:id="449" w:name="_Toc287607861"/>
      <w:bookmarkStart w:id="450" w:name="_Toc509218846"/>
      <w:bookmarkStart w:id="451" w:name="_Toc20784"/>
      <w:bookmarkStart w:id="452" w:name="_Toc287620803"/>
      <w:bookmarkStart w:id="453" w:name="_Toc430530519"/>
      <w:r>
        <w:rPr>
          <w:rFonts w:hint="eastAsia" w:ascii="宋体" w:hAnsi="宋体" w:eastAsia="宋体" w:cs="宋体"/>
          <w:bCs w:val="0"/>
          <w:color w:val="auto"/>
          <w:highlight w:val="none"/>
        </w:rPr>
        <w:t>第六章  图纸</w:t>
      </w:r>
      <w:bookmarkEnd w:id="446"/>
      <w:bookmarkEnd w:id="447"/>
      <w:bookmarkEnd w:id="448"/>
      <w:bookmarkEnd w:id="449"/>
      <w:bookmarkEnd w:id="450"/>
      <w:bookmarkEnd w:id="451"/>
      <w:bookmarkEnd w:id="452"/>
      <w:bookmarkEnd w:id="453"/>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highlight w:val="none"/>
        </w:rPr>
      </w:pPr>
      <w:r>
        <w:rPr>
          <w:rFonts w:hint="eastAsia" w:ascii="宋体" w:hAnsi="宋体" w:cs="宋体"/>
          <w:b w:val="0"/>
          <w:bCs w:val="0"/>
          <w:i w:val="0"/>
          <w:color w:val="auto"/>
          <w:kern w:val="2"/>
          <w:sz w:val="21"/>
          <w:szCs w:val="21"/>
          <w:highlight w:val="none"/>
          <w:lang w:val="en-US" w:eastAsia="zh-CN"/>
        </w:rPr>
        <w:t>无。</w:t>
      </w:r>
      <w:r>
        <w:rPr>
          <w:rFonts w:hint="eastAsia" w:ascii="宋体" w:hAnsi="宋体" w:eastAsia="宋体" w:cs="宋体"/>
          <w:color w:val="auto"/>
          <w:szCs w:val="20"/>
          <w:highlight w:val="none"/>
        </w:rPr>
        <w:br w:type="page"/>
      </w:r>
      <w:bookmarkStart w:id="454" w:name="招标文件06章图纸01"/>
      <w:bookmarkEnd w:id="454"/>
    </w:p>
    <w:p>
      <w:pPr>
        <w:pStyle w:val="3"/>
        <w:spacing w:before="0" w:after="0" w:line="480" w:lineRule="auto"/>
        <w:jc w:val="center"/>
        <w:rPr>
          <w:rFonts w:hint="eastAsia" w:ascii="宋体" w:hAnsi="宋体" w:eastAsia="宋体" w:cs="宋体"/>
          <w:color w:val="auto"/>
          <w:sz w:val="52"/>
          <w:szCs w:val="52"/>
          <w:highlight w:val="none"/>
        </w:rPr>
      </w:pPr>
      <w:bookmarkStart w:id="455" w:name="_Toc19359"/>
      <w:bookmarkStart w:id="456" w:name="_Toc10315"/>
      <w:bookmarkStart w:id="457" w:name="_Toc30813"/>
      <w:r>
        <w:rPr>
          <w:rFonts w:hint="eastAsia" w:ascii="宋体" w:hAnsi="宋体" w:eastAsia="宋体" w:cs="宋体"/>
          <w:color w:val="auto"/>
          <w:sz w:val="52"/>
          <w:szCs w:val="52"/>
          <w:highlight w:val="none"/>
        </w:rPr>
        <w:t>第 三 卷</w:t>
      </w:r>
      <w:bookmarkEnd w:id="455"/>
      <w:bookmarkEnd w:id="456"/>
      <w:bookmarkEnd w:id="457"/>
    </w:p>
    <w:p>
      <w:pPr>
        <w:pStyle w:val="3"/>
        <w:spacing w:before="0" w:after="0" w:line="360" w:lineRule="auto"/>
        <w:jc w:val="center"/>
        <w:rPr>
          <w:rFonts w:hint="eastAsia" w:ascii="宋体" w:hAnsi="宋体" w:eastAsia="宋体" w:cs="宋体"/>
          <w:color w:val="auto"/>
          <w:sz w:val="48"/>
          <w:szCs w:val="48"/>
          <w:highlight w:val="none"/>
        </w:rPr>
      </w:pPr>
      <w:bookmarkStart w:id="458" w:name="_Toc43278921"/>
      <w:bookmarkStart w:id="459" w:name="_Toc536781805"/>
      <w:bookmarkStart w:id="460" w:name="_Toc536773650"/>
      <w:bookmarkStart w:id="461" w:name="_Toc37531145"/>
      <w:bookmarkStart w:id="462" w:name="_Toc536800736"/>
      <w:bookmarkStart w:id="463" w:name="_Toc536782072"/>
      <w:bookmarkStart w:id="464" w:name="_Toc534185826"/>
      <w:bookmarkStart w:id="465" w:name="_Toc536782206"/>
      <w:bookmarkStart w:id="466" w:name="_Toc536781937"/>
      <w:bookmarkStart w:id="467" w:name="_Toc30239"/>
      <w:r>
        <w:rPr>
          <w:rFonts w:hint="eastAsia" w:ascii="宋体" w:hAnsi="宋体" w:eastAsia="宋体" w:cs="宋体"/>
          <w:color w:val="auto"/>
          <w:sz w:val="56"/>
          <w:szCs w:val="56"/>
          <w:highlight w:val="none"/>
        </w:rPr>
        <w:br w:type="page"/>
      </w:r>
      <w:bookmarkEnd w:id="458"/>
      <w:bookmarkEnd w:id="459"/>
      <w:bookmarkEnd w:id="460"/>
      <w:bookmarkEnd w:id="461"/>
      <w:bookmarkEnd w:id="462"/>
      <w:bookmarkEnd w:id="463"/>
      <w:bookmarkEnd w:id="464"/>
      <w:bookmarkEnd w:id="465"/>
      <w:bookmarkEnd w:id="466"/>
      <w:bookmarkEnd w:id="467"/>
      <w:bookmarkStart w:id="468" w:name="招标文件07章技术标准和要求"/>
      <w:bookmarkEnd w:id="468"/>
      <w:bookmarkStart w:id="469" w:name="_Toc32308"/>
      <w:bookmarkStart w:id="470" w:name="_Toc8267"/>
      <w:bookmarkStart w:id="471" w:name="_Toc30295"/>
      <w:r>
        <w:rPr>
          <w:rFonts w:hint="eastAsia" w:ascii="宋体" w:hAnsi="宋体" w:eastAsia="宋体" w:cs="宋体"/>
          <w:bCs w:val="0"/>
          <w:color w:val="auto"/>
          <w:highlight w:val="none"/>
        </w:rPr>
        <w:t>第七章  技术标准和要求</w:t>
      </w:r>
      <w:bookmarkEnd w:id="469"/>
      <w:bookmarkEnd w:id="470"/>
      <w:bookmarkEnd w:id="471"/>
      <w:bookmarkStart w:id="472" w:name="招标文件07章技术标准和要求01"/>
      <w:bookmarkEnd w:id="472"/>
      <w:bookmarkStart w:id="473" w:name="_Toc430530524"/>
      <w:bookmarkStart w:id="474" w:name="_Toc287620808"/>
    </w:p>
    <w:bookmarkEnd w:id="473"/>
    <w:bookmarkEnd w:id="474"/>
    <w:p>
      <w:pPr>
        <w:spacing w:line="360" w:lineRule="auto"/>
        <w:jc w:val="center"/>
        <w:rPr>
          <w:rFonts w:hint="eastAsia" w:ascii="宋体" w:hAnsi="宋体" w:eastAsia="宋体" w:cs="宋体"/>
          <w:i/>
          <w:color w:val="auto"/>
          <w:highlight w:val="none"/>
        </w:rPr>
      </w:pPr>
    </w:p>
    <w:p>
      <w:pPr>
        <w:pStyle w:val="58"/>
        <w:numPr>
          <w:ilvl w:val="-1"/>
          <w:numId w:val="0"/>
        </w:numPr>
        <w:snapToGrid w:val="0"/>
        <w:spacing w:line="360" w:lineRule="auto"/>
        <w:ind w:left="0" w:firstLine="0" w:firstLineChars="0"/>
        <w:outlineLvl w:val="0"/>
        <w:rPr>
          <w:rFonts w:ascii="宋体" w:hAnsi="宋体" w:eastAsia="宋体"/>
          <w:color w:val="171A1D"/>
          <w:sz w:val="21"/>
          <w:szCs w:val="21"/>
          <w:highlight w:val="none"/>
          <w:shd w:val="clear" w:color="auto" w:fill="FFFFFF"/>
        </w:rPr>
      </w:pPr>
      <w:bookmarkStart w:id="475" w:name="_Toc9848"/>
      <w:r>
        <w:rPr>
          <w:rFonts w:hint="eastAsia"/>
          <w:color w:val="171A1D"/>
          <w:sz w:val="21"/>
          <w:szCs w:val="21"/>
          <w:highlight w:val="none"/>
          <w:shd w:val="clear" w:color="auto" w:fill="FFFFFF"/>
          <w:lang w:val="en-US" w:eastAsia="zh-CN"/>
        </w:rPr>
        <w:t>一、</w:t>
      </w:r>
      <w:r>
        <w:rPr>
          <w:rFonts w:hint="eastAsia" w:ascii="宋体" w:hAnsi="宋体" w:eastAsia="宋体"/>
          <w:color w:val="171A1D"/>
          <w:sz w:val="21"/>
          <w:szCs w:val="21"/>
          <w:highlight w:val="none"/>
          <w:shd w:val="clear" w:color="auto" w:fill="FFFFFF"/>
        </w:rPr>
        <w:t>联网监控系统</w:t>
      </w:r>
    </w:p>
    <w:p>
      <w:pPr>
        <w:pStyle w:val="58"/>
        <w:snapToGrid w:val="0"/>
        <w:spacing w:line="360" w:lineRule="auto"/>
        <w:ind w:firstLine="0" w:firstLineChars="0"/>
        <w:outlineLvl w:val="1"/>
        <w:rPr>
          <w:rFonts w:hint="default" w:ascii="宋体" w:hAnsi="宋体" w:eastAsia="宋体"/>
          <w:color w:val="171A1D"/>
          <w:sz w:val="21"/>
          <w:szCs w:val="21"/>
          <w:highlight w:val="none"/>
          <w:shd w:val="clear" w:color="auto" w:fill="FFFFFF"/>
          <w:lang w:val="en-US" w:eastAsia="zh-CN"/>
        </w:rPr>
      </w:pPr>
      <w:r>
        <w:rPr>
          <w:rFonts w:hint="eastAsia" w:ascii="宋体" w:hAnsi="宋体" w:eastAsia="宋体"/>
          <w:color w:val="171A1D"/>
          <w:sz w:val="21"/>
          <w:szCs w:val="21"/>
          <w:highlight w:val="none"/>
          <w:shd w:val="clear" w:color="auto" w:fill="FFFFFF"/>
        </w:rPr>
        <w:t>（一）智慧道路监测与应急处置平台</w:t>
      </w:r>
      <w:r>
        <w:rPr>
          <w:rFonts w:hint="eastAsia" w:ascii="宋体" w:hAnsi="宋体" w:eastAsia="宋体"/>
          <w:color w:val="171A1D"/>
          <w:sz w:val="21"/>
          <w:szCs w:val="21"/>
          <w:highlight w:val="none"/>
          <w:shd w:val="clear" w:color="auto" w:fill="FFFFFF"/>
          <w:lang w:val="en-US" w:eastAsia="zh-CN"/>
        </w:rPr>
        <w:t>-路段</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1、保障火灾软件、紧急电话软件与监控软件正常联动报警，位置与监控软件一一对应。</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2、当火灾软件发生火灾光纤、烟感以及火焰探测器报警后，保障监控软件对应设备正常报警，且位置与火灾软件对应。</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3、监控软件确认火灾报警，对应火灾分区的火灾预案执行框需正常弹出，关联摄像机需成功自动切墙，预览火灾预案，保障该火灾预案正确，且所有火灾预案均需不可遗漏。</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4、核查事件检测工作站与监控软件联动报警是否正常，监控软件摄像机位置与现场是否对应，是否所有摄像机均能正常切墙。</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5、通过监控软件查看故障列表中的故障设备，核查是否网络故障，准确描述故障现象。</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6、通过监控软件控制隧道风机、车道指示器、横通门、照明等所有可控制的机电设备，查看设备控制是否成功，状态变化是否与软件控制命令一致。</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7、通过监控软件控制外场和隧道中的情报板，核查显示内容（大小、颜色、格式等）与软件控制是否一致，实际位置是否与监控软件标记位置向对应。</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8、通过监控软件查看CO、VI、风速风向、光强、车检器、气象仪等检测设备检测数值是否异常。</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9、系统的安装调试；</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10、系统bug处理、专项改造实施等调试、编码工作。</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（二）ETC门架监控平台</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1、保障钉钉和微信报警正常推送。</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2、ETC门架各类设备运行状态以及采集数据正常。</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3、门架监控平台的安装部署、各设备正常接入以及监控。</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4、系统bug处理、专项改造实施等调试、编码工作。</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（三）视频云联网平台</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1、保障各路段视频上云点位整体在线率。</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2、对已上云的点位进行点位信息更新以及更换。。</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3、新增路段视频云网关应用安装部署，对接部平台，接入视频点位。</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4、系统bug处理、专项改造实施等调试、编码工作。</w:t>
      </w:r>
    </w:p>
    <w:p>
      <w:pPr>
        <w:pStyle w:val="58"/>
        <w:snapToGrid w:val="0"/>
        <w:spacing w:line="360" w:lineRule="auto"/>
        <w:ind w:firstLine="0" w:firstLineChars="0"/>
        <w:outlineLvl w:val="1"/>
        <w:rPr>
          <w:rFonts w:hint="eastAsia"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（四）智慧道路监测与应急处置平台-总中心</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1、保障首页收费数据、路段监控设备数据、事件数据、机电平台、养护平台、12122客服平台、巡查救援平台进行分析统计的智慧大屏展示业务正常。</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2、路段监控与总中心路段设备数据、状态保持同步，使总中心能看到路网下所有路段的设备最新状态信息，比如设备状态、情报板数据等。</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3、对高速内发生的各类型事件能正常进行填报，续报、添加解除管制、解除等操作，并能实时同步事件数据到交委系统中。</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4、对专题图层、应急事件处置、系统管理、日志管理等功能模块进行维护，保障系统日常稳定运行。</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5、系统bug处理、专项改造实施等调试、编码工作。</w:t>
      </w:r>
    </w:p>
    <w:p>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（五）时钟同步系统</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1、通过监测工具对路段监控网、视频网内各服务器、工作站对钟程序的运行情况进行监测，及时发现问题。</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2、对对钟异常的服务器或工作站进行故障诊断及修复。</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3、对新增终端或重装了操作系统的终端安装对钟程序，保障各终端时钟同步。</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4、系统bug处理、专项改造实施等调试、编码工作。</w:t>
      </w:r>
    </w:p>
    <w:p>
      <w:pPr>
        <w:snapToGrid w:val="0"/>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（六）重庆高速移动应用管理平台</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1、对系统中接入摄像机状态进行监控，保障摄像机正常工作。</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2、对工地上的摄像机按需求进行增减配置及参数调整。</w:t>
      </w:r>
    </w:p>
    <w:p>
      <w:pPr>
        <w:snapToGrid w:val="0"/>
        <w:spacing w:line="360" w:lineRule="auto"/>
        <w:ind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3、系统bug处理、专项改造实施等调试、编码工作。</w:t>
      </w:r>
    </w:p>
    <w:p>
      <w:pPr>
        <w:pStyle w:val="58"/>
        <w:snapToGrid w:val="0"/>
        <w:spacing w:line="360" w:lineRule="auto"/>
        <w:ind w:left="0" w:firstLine="0" w:firstLineChars="0"/>
        <w:outlineLvl w:val="1"/>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七</w:t>
      </w:r>
      <w:r>
        <w:rPr>
          <w:rFonts w:hint="eastAsia" w:ascii="宋体" w:hAnsi="宋体" w:eastAsia="宋体" w:cs="宋体"/>
          <w:color w:val="000000"/>
          <w:kern w:val="0"/>
          <w:sz w:val="21"/>
          <w:szCs w:val="21"/>
          <w:highlight w:val="none"/>
          <w:lang w:bidi="ar"/>
        </w:rPr>
        <w:t>）维护方法和要求</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软件维护工作包括日常巡查、日常维护、故障维修、数据备份等工作，但是季度专项维护不包含在本项目工作范畴。</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1、日常巡查 通过目测以及其他信息化手段对机电设施或系统的运行状态进行一般巡视检查，检查系统或机电设施是否处在正常工作状态和是否存在故障隐患,并对检查结果及时记录。日常巡查可采用人工与信息化手段相结合的方式，当发现异常情况时，应予以报告，并做好记录，必要时应进行拍照和摄像。 </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2、日常维护 对系统或设备进行经常性检修以及清洁维护等，通过检查工作发现机电设施完好情况，系统掌握和评定机电设施技术状况，确定相应的养护对策或措施。同时发现故障隐患和存在问题， 进行一般故障处理和记录等工作。</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3、故障维修 及时对机电设备或系统运行中发生的故障进行诊断及修复工作。</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4、数据备份 </w:t>
      </w:r>
      <w:r>
        <w:rPr>
          <w:rFonts w:hint="eastAsia" w:ascii="宋体" w:hAnsi="宋体" w:eastAsia="宋体" w:cs="宋体"/>
          <w:color w:val="000000"/>
          <w:kern w:val="0"/>
          <w:sz w:val="21"/>
          <w:szCs w:val="21"/>
          <w:highlight w:val="none"/>
          <w:lang w:bidi="ar"/>
        </w:rPr>
        <w:t>负责对数据库及系统运行关键信息进行备份，以防止数据丢失，并能够及时恢复系统到正常状态。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具体维护要求如下：</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1．电话支持</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乙方维护人员实行 7 * 24 小时（不分节假日）维护服务，保证电话随时畅通。乙方工程师对用户提出的问题应迅速做出详尽解答；对少数无法及时解答的复杂性问题应在 24 小时内予以解答。如软件和数据库在使用过程中出现的任何问题或异常（如对产生的数据有疑问）等都可寻求技术支持。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2．远程诊断服务</w:t>
      </w:r>
    </w:p>
    <w:p>
      <w:pPr>
        <w:widowControl/>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bidi="ar"/>
        </w:rPr>
        <w:t>乙方工程师可通过甲方指定地方的指定终端设备登录用户计算机进行故障诊断并电话告知用户解决方法。若涉及对原始数据进行操作（如删重复记录等）等行为必须获得用户认可后方可进行并做好详细的记录</w:t>
      </w:r>
      <w:r>
        <w:rPr>
          <w:rFonts w:hint="eastAsia" w:ascii="宋体" w:hAnsi="宋体" w:eastAsia="宋体" w:cs="宋体"/>
          <w:color w:val="000000"/>
          <w:kern w:val="0"/>
          <w:sz w:val="21"/>
          <w:szCs w:val="21"/>
          <w:highlight w:val="none"/>
          <w:lang w:eastAsia="zh-CN" w:bidi="ar"/>
        </w:rPr>
        <w:t>。</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3．现场服务</w:t>
      </w:r>
    </w:p>
    <w:p>
      <w:pPr>
        <w:snapToGrid w:val="0"/>
        <w:spacing w:line="360" w:lineRule="auto"/>
        <w:ind w:firstLine="420" w:firstLineChars="200"/>
        <w:rPr>
          <w:rFonts w:ascii="宋体" w:hAnsi="宋体" w:eastAsia="宋体" w:cs="宋体"/>
          <w:color w:val="000000"/>
          <w:kern w:val="0"/>
          <w:szCs w:val="21"/>
          <w:highlight w:val="none"/>
          <w:lang w:bidi="ar"/>
        </w:rPr>
      </w:pPr>
      <w:r>
        <w:rPr>
          <w:rFonts w:hint="eastAsia" w:ascii="宋体" w:hAnsi="宋体" w:eastAsia="宋体" w:cs="宋体"/>
          <w:color w:val="000000"/>
          <w:sz w:val="21"/>
          <w:szCs w:val="21"/>
          <w:highlight w:val="none"/>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r>
        <w:rPr>
          <w:rFonts w:hint="eastAsia" w:ascii="宋体" w:hAnsi="宋体" w:eastAsia="宋体" w:cs="宋体"/>
          <w:color w:val="000000"/>
          <w:kern w:val="0"/>
          <w:sz w:val="21"/>
          <w:szCs w:val="21"/>
          <w:highlight w:val="none"/>
          <w:lang w:bidi="ar"/>
        </w:rPr>
        <w:t>。</w:t>
      </w:r>
    </w:p>
    <w:p>
      <w:pPr>
        <w:snapToGrid w:val="0"/>
        <w:spacing w:line="360" w:lineRule="auto"/>
        <w:ind w:firstLine="420" w:firstLineChars="200"/>
        <w:rPr>
          <w:rFonts w:hint="eastAsia" w:ascii="宋体" w:hAnsi="宋体" w:eastAsia="宋体" w:cs="宋体"/>
          <w:sz w:val="21"/>
          <w:szCs w:val="21"/>
          <w:highlight w:val="none"/>
        </w:rPr>
      </w:pPr>
    </w:p>
    <w:p>
      <w:pPr>
        <w:pStyle w:val="58"/>
        <w:numPr>
          <w:ilvl w:val="-1"/>
          <w:numId w:val="0"/>
        </w:numPr>
        <w:snapToGrid w:val="0"/>
        <w:spacing w:line="360" w:lineRule="auto"/>
        <w:ind w:left="0" w:firstLine="0" w:firstLineChars="0"/>
        <w:outlineLvl w:val="0"/>
        <w:rPr>
          <w:rFonts w:ascii="宋体" w:hAnsi="宋体" w:eastAsia="宋体"/>
          <w:color w:val="171A1D"/>
          <w:sz w:val="21"/>
          <w:szCs w:val="21"/>
          <w:highlight w:val="none"/>
          <w:shd w:val="clear" w:color="auto" w:fill="FFFFFF"/>
        </w:rPr>
      </w:pPr>
      <w:r>
        <w:rPr>
          <w:rFonts w:hint="eastAsia"/>
          <w:color w:val="171A1D"/>
          <w:sz w:val="21"/>
          <w:szCs w:val="21"/>
          <w:highlight w:val="none"/>
          <w:shd w:val="clear" w:color="auto" w:fill="FFFFFF"/>
          <w:lang w:val="en-US" w:eastAsia="zh-CN"/>
        </w:rPr>
        <w:t>二、</w:t>
      </w:r>
      <w:r>
        <w:rPr>
          <w:rFonts w:hint="eastAsia" w:ascii="宋体" w:hAnsi="宋体" w:eastAsia="宋体"/>
          <w:color w:val="171A1D"/>
          <w:sz w:val="21"/>
          <w:szCs w:val="21"/>
          <w:highlight w:val="none"/>
          <w:shd w:val="clear" w:color="auto" w:fill="FFFFFF"/>
        </w:rPr>
        <w:t xml:space="preserve">联网收费系统 </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（一）重庆高速公路联网收费软件维护</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联网收费系统软件维护分系统软件维护和应用软件维护两部分。其中系统软件维护包括操作系统和数据库系统维护。其中操作系统维护包括所有与操作系统相关问题</w:t>
      </w:r>
      <w:r>
        <w:rPr>
          <w:rFonts w:hint="eastAsia" w:ascii="宋体" w:hAnsi="宋体" w:eastAsia="宋体" w:cs="宋体"/>
          <w:color w:val="000000"/>
          <w:kern w:val="0"/>
          <w:sz w:val="21"/>
          <w:szCs w:val="21"/>
          <w:highlight w:val="none"/>
          <w:lang w:eastAsia="zh-CN" w:bidi="ar"/>
        </w:rPr>
        <w:t>（车道收费系统，收费站核销管理系统，车道远程辅助系统，广场治超系统，门架计费系统</w:t>
      </w:r>
      <w:r>
        <w:rPr>
          <w:rFonts w:hint="eastAsia" w:ascii="宋体" w:hAnsi="宋体" w:eastAsia="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 xml:space="preserve">，有操作系统（含各种驱动程序）的安装及配置，打系统补丁，系统性能调优，状态监控等；数据库系统维护包括对数据库系统服务器端和客户端软件安装及配置，性能优化，空间扩容，状态监控，(协助业主进行)数据备份及恢复，故障处理等相关问题。应用软件维护包括联网收费应用软件的安装，配置，更新以及故障处理。（注：不含系统大型升级、改造的安装，比如渝籍卡系统）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联网收费系统各级软件维护具体内容如下：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1．结算中心</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系统软件维护：工作站的操作系统（含各驱动程序）及数据库客户端软件的安装维护。应用软件维护：联网收费所有应用程序（包括现有的系统管理、清分管理、票据管理、IC 卡管理和统计报表等应用程序）的安装、程序更新、故障处理及相关问题处理。</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2．收费中心</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系统软件维护：收费中心服务器的操作系统（含各驱动程序）的安装及配置，打系统补丁；工作站的操作系统（含各驱动程序）及数据库客户端软件的安装维护；数据库历史数据清理及移植，杀毒软件的维护（安装、更新、故障处理）。中心服务器是双机设备的公司，还包含 cluster 软件的维护。</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应用软件维护：联网收费所有应用程序（包括现有的系统管理、清分管理、票据管理、IC 卡管理和统计报表等应用程序）的安装、程序更新、故障处理及相关问题处理。</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3．收费站</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系统软件维护：收费站服务器和工作站的操作系统（含各驱动程序）的安装及配置，打系统补丁，杀毒软件的维护（安装、更新、故障处理），中间件的安装(仅负责安装)；工作站数据库客户端软件的安装维护；数据库历史数据清理及移植。</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应用软件维护：联网收费所有应用程序（包括现有的系统管理、票据管理、IC 卡管理、统计报表、实时监控、数据上传和中间件等应用程序）的安装、程序更新、故障处理等相关问题。（中间件只包安装）</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4．收费车道（包括固定车道和应急机）</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系统软件维护：车道（含在维护路段、维护期内临时使用的车道和新增的应急机，）操作系统的安装及配置，打系统补丁；车道数据库的安装维护、配置，各类板卡驱动程序的安装。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应用软件维护：联网收费所有应用程序（包括现有的车道收费软件和中间件等应用程序）的安装、程序更新和使用过程中的故障处理。（中间件只包安装）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5．其他内容</w:t>
      </w:r>
    </w:p>
    <w:p>
      <w:pPr>
        <w:widowControl/>
        <w:snapToGrid w:val="0"/>
        <w:spacing w:line="360" w:lineRule="auto"/>
        <w:ind w:firstLine="420" w:firstLineChars="200"/>
        <w:rPr>
          <w:rFonts w:hint="eastAsia" w:ascii="宋体" w:hAnsi="宋体" w:cs="宋体"/>
          <w:szCs w:val="21"/>
          <w:highlight w:val="none"/>
        </w:rPr>
      </w:pPr>
      <w:r>
        <w:rPr>
          <w:rFonts w:hint="eastAsia" w:ascii="宋体" w:hAnsi="宋体" w:eastAsia="宋体" w:cs="宋体"/>
          <w:color w:val="000000"/>
          <w:kern w:val="0"/>
          <w:sz w:val="21"/>
          <w:szCs w:val="21"/>
          <w:highlight w:val="none"/>
          <w:lang w:bidi="ar"/>
        </w:rPr>
        <w:t>不在上述描述范围内但属于软件（含系统软件、应用软件）维护范畴的内容；由于政策变化而引起的涉及全路网基础信息变动的行为，也要提供相应维护；协助甲方进行数据查询、统计等工作。</w:t>
      </w:r>
      <w:r>
        <w:rPr>
          <w:rFonts w:hint="eastAsia" w:ascii="宋体" w:hAnsi="宋体" w:eastAsia="宋体" w:cs="宋体"/>
          <w:sz w:val="21"/>
          <w:szCs w:val="21"/>
          <w:highlight w:val="none"/>
          <w:lang w:val="en-US" w:eastAsia="zh-CN"/>
        </w:rPr>
        <w:t>系统bug处理、专项改造实施等调试、编码工作。</w:t>
      </w:r>
    </w:p>
    <w:p>
      <w:pPr>
        <w:widowControl/>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bidi="ar"/>
        </w:rPr>
        <w:t>维护方法和要求如下：</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1．电话支持</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乙方维护人员实行 7 * 24 小时（不分节假日）维护服务，保证电话随时畅通。乙方工程师对用户提出的问题应迅速做出详尽解答；对少数无法及时解答的复杂性问题应在 24 小时内予以解答。如软件和数据库在使用过程中出现的任何问题或异常（如对产生的数据有疑问）等都可寻求技术支持。 </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2．远程诊断服务</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一般情况下，对于可通过远程登录进行诊断和解决的问题，乙方工程师可通过甲方指定地方的指定终端设备登录用户计算机进行故障诊断并电话告知用户解决方法。若涉及对原始数据进行操作（如删重复记录等）等行为必须获得用户认可后方可进行并做好详细的记录</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3．现场服务</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对于确实需要到现场进行技术支持时，乙方工程师应及时到达现场（响应时间视故障级别有所不同，见合同维护约定部分），进行技术支持和故障排除。如：操作系统崩溃，则要重新安装操作系统、数据库等并配置正确，保证能投入正常使用；数据库崩溃，则要负责恢复数据库及其数据等。</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4．定期巡检</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① 系统现场巡查</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每年度维护开始则需要乙方拟定整个年度详细的巡检方案，包括巡检时间、内容、巡检范围等。在每个季度、大假前对全路网用户的生产系统进行一次详细巡检；每个月不定期的对重要站点进行巡检。巡检应包括操作系统、应用软件和数据库系统等，包含的项目有：图片清理、系统扩容、系统检查、参数优化、应用程序版本更新、问题解决、备份检查、用户答疑。任何巡检结束后，乙方均要出具详细的巡检报告提交给用户。</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② 技术讨论</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每季度乙方需组织技术人员与用户进行技术交流，内容包括：系统整理、运行维护讨论、系统优化调整建议、软件新特性简介等。</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③ 综合问题分析和会诊</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针对复杂的问题，即难以确认为硬件、软件或应用的问题，需要几方共同到达现场进行分析和会诊并解决问题。乙方对系统可能出现的隐患及时提出改进措施，避免出现运行故障。</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5、路网预防性维护</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对于路网状况，乙方要建立完善的预防性维护计划和实施细则，定期进行日常远程巡检工作，查看数据库空间运行情况，对路网收费站、收费中心进行各方面的检查（车道软件、站服务器、应用软件等）。一旦发现问题或可能会出现的问题及时解决并告之用户。</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6．生产系统升级保障</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针对联网收费系统的升级或路网有新路接入等，乙方应提供技术方案和保障，必须确保用户生产系统平稳过渡。在升级过程中，若破坏了原有生产系统中能正常使用的功能模块，导致不能正常使用，其责任由乙方承担。</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7．专家顾问</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乙方还将为客户提供专家顾问服务，负责向用户推荐业界内新的产品和技术，对客户的系统升级提供参考性意见，并配合用户完成方案的实施。</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8．文档服务</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对每次巡检都有统一的表格递交最终用户，包括巡检内容、系统现状、进行了何种优化操作、解决了什么问题、存在什么隐患以及建议如何处理等内容。对日常维护过程中的问题处理都按统一格式进行详细的记录，分阶段汇总提交用户，供用户参考和指导用户避免再次发生。</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9．技术培训</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每年度维护开始则需要乙方拟定整个年度详细的培训方案，培训人员、培训范围、培训内容等。乙方对甲方进行多层次的培训，含管理、操作和应用三个层次。其中本合同对管理层将进行业界新技术、新应用等宏观高层培训；对操作层的各公司机电维护人员进行现有联网收费应用软件新技术说明、日常操作、运行维护方法、系统优化和日常维护注意事项、软件安装等培训内容不少于2次；对应用层的各级站长、站务和收费中心业务员进行软件日常操作、常见使用故障排除、故障定位和软件新功能等内容的培训。维护期内培训总计次数不应少于 4 次。</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10．服务质量保证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乙方承诺保证提供足够的技术力量，响应及时，保证对客户的服务质量。保证所有维护人员具备较高的专业水平，有认真、负责的态度，维护人员的更换不应过于频繁，为甲方维护一年以上的维护人员才能具有相应的维护资格。所有维护人员应本着“仔细保养、积极检查”的维护方针，积极作好维护工作。</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11．乙方维护人员应协助甲方完成新开站点、路段全路网基础信息的更新工作，同时协助甲方完成清分结算的核对等工作。</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乙方的每次服务应形成记录文档，作为甲方对乙方的考评依据。同时每个月进行详细的整理汇总后提供给甲方和对应的收费中心。每个月进行详细的整理汇总后于下月10日前提交本月的维护服务报告单给甲方和对应的收费中心（含电子文档）。</w:t>
      </w:r>
    </w:p>
    <w:p>
      <w:pPr>
        <w:snapToGrid w:val="0"/>
        <w:spacing w:line="360" w:lineRule="auto"/>
        <w:ind w:firstLine="420" w:firstLineChars="200"/>
        <w:rPr>
          <w:rFonts w:hint="eastAsia" w:ascii="宋体" w:hAnsi="宋体" w:cs="宋体"/>
          <w:szCs w:val="21"/>
          <w:highlight w:val="none"/>
        </w:rPr>
      </w:pPr>
      <w:r>
        <w:rPr>
          <w:rFonts w:hint="eastAsia" w:ascii="宋体" w:hAnsi="宋体" w:eastAsia="宋体" w:cs="宋体"/>
          <w:sz w:val="21"/>
          <w:szCs w:val="21"/>
          <w:highlight w:val="none"/>
        </w:rPr>
        <w:t>13．乙方维护人员须通过维护平台软件对联网收费软件相关故障进行维护，每次维护均需进行详细记录，并发给甲方备案。</w:t>
      </w:r>
    </w:p>
    <w:p>
      <w:pPr>
        <w:pStyle w:val="58"/>
        <w:snapToGrid w:val="0"/>
        <w:spacing w:line="360" w:lineRule="auto"/>
        <w:ind w:left="0"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（二）“天网”稽核系统</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1、基础平台运维：保障平台基础环境正常运行，包括数据备份、操作系统及各中间件正常运行。</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2、软件平台运维：包含平台功能优化、缺陷修复、日常运维、用户培训。</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3、模型迭代开发：对已有稽核模型进行迭代升级、新模型研究及开发。</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4、模型验证。</w:t>
      </w:r>
    </w:p>
    <w:p>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5、系统bug处理、专项改造实施等调试、编码工作。</w:t>
      </w:r>
    </w:p>
    <w:p>
      <w:pPr>
        <w:widowControl/>
        <w:snapToGrid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bidi="ar"/>
        </w:rPr>
        <w:t>维护方法和要求如下</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1、电话支持</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乙方维护人员实行7 * 24 小时（不分节假日）维护服务，保证电话随时畅通。乙方工程师对用户提出的问题应迅速做出详尽解答；对少数无法及时解答的复杂性问题应在24小时内针对解决情况予以回复。</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2、远程诊断服务</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般情况下，对于可通过远程登录进行诊断和解决的问题，乙方工程师可通过甲方指定地方的指定终端设备登录用户计算机进行故障诊断并电话告知用户解决方法。若涉及对原始数据进行操作（如删重复记录等）等行为必须获得用户认可后方可进行并做好详细的记录。</w:t>
      </w:r>
    </w:p>
    <w:p>
      <w:pPr>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3、现场服务</w:t>
      </w:r>
    </w:p>
    <w:p>
      <w:pPr>
        <w:widowControl/>
        <w:numPr>
          <w:ilvl w:val="-1"/>
          <w:numId w:val="0"/>
        </w:numPr>
        <w:snapToGrid w:val="0"/>
        <w:spacing w:line="360" w:lineRule="auto"/>
        <w:ind w:left="0" w:leftChars="0" w:firstLine="420" w:firstLineChars="200"/>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维护人员应常驻于重庆高速公路结算中心开展维护工作，实行7*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widowControl/>
        <w:numPr>
          <w:ilvl w:val="-1"/>
          <w:numId w:val="0"/>
        </w:numPr>
        <w:snapToGrid w:val="0"/>
        <w:spacing w:line="360" w:lineRule="auto"/>
        <w:ind w:left="0" w:leftChars="0" w:firstLine="0" w:firstLineChars="0"/>
        <w:outlineLvl w:val="0"/>
        <w:rPr>
          <w:rFonts w:hint="eastAsia" w:ascii="宋体" w:hAnsi="宋体" w:cs="宋体"/>
          <w:color w:val="171A1D"/>
          <w:sz w:val="21"/>
          <w:szCs w:val="21"/>
          <w:highlight w:val="none"/>
          <w:shd w:val="clear" w:color="auto" w:fill="FFFFFF"/>
          <w:lang w:val="en-US" w:eastAsia="zh-CN"/>
        </w:rPr>
      </w:pPr>
    </w:p>
    <w:p>
      <w:pPr>
        <w:widowControl/>
        <w:numPr>
          <w:ilvl w:val="-1"/>
          <w:numId w:val="0"/>
        </w:numPr>
        <w:snapToGrid w:val="0"/>
        <w:spacing w:line="360" w:lineRule="auto"/>
        <w:ind w:left="0" w:leftChars="0" w:firstLine="0" w:firstLineChars="0"/>
        <w:outlineLvl w:val="0"/>
        <w:rPr>
          <w:rFonts w:hint="eastAsia" w:ascii="宋体" w:hAnsi="宋体" w:eastAsia="宋体" w:cs="宋体"/>
          <w:color w:val="171A1D"/>
          <w:sz w:val="21"/>
          <w:szCs w:val="21"/>
          <w:highlight w:val="none"/>
          <w:shd w:val="clear" w:color="auto" w:fill="FFFFFF"/>
        </w:rPr>
      </w:pPr>
      <w:r>
        <w:rPr>
          <w:rFonts w:hint="eastAsia" w:ascii="宋体" w:hAnsi="宋体" w:cs="宋体"/>
          <w:color w:val="171A1D"/>
          <w:sz w:val="21"/>
          <w:szCs w:val="21"/>
          <w:highlight w:val="none"/>
          <w:shd w:val="clear" w:color="auto" w:fill="FFFFFF"/>
          <w:lang w:val="en-US" w:eastAsia="zh-CN"/>
        </w:rPr>
        <w:t>三、</w:t>
      </w:r>
      <w:r>
        <w:rPr>
          <w:rFonts w:hint="eastAsia" w:ascii="宋体" w:hAnsi="宋体" w:eastAsia="宋体" w:cs="宋体"/>
          <w:color w:val="171A1D"/>
          <w:sz w:val="21"/>
          <w:szCs w:val="21"/>
          <w:highlight w:val="none"/>
          <w:shd w:val="clear" w:color="auto" w:fill="FFFFFF"/>
        </w:rPr>
        <w:t xml:space="preserve">管养系统 </w:t>
      </w:r>
    </w:p>
    <w:p>
      <w:pPr>
        <w:pStyle w:val="58"/>
        <w:snapToGrid w:val="0"/>
        <w:spacing w:line="360" w:lineRule="auto"/>
        <w:ind w:left="0" w:firstLine="420" w:firstLineChars="20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（一）养护系统运维内容</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负责按照甲方的要求完成养护平台的安装培训及数据录入，包括以下内容：</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（1）客户端系统安装。</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（2）系统安装培训。</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（3）系统版本升级安装培训。</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（4）系统操作培训。</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（5）资料编制、印刷及出版。</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（6）组织机构、部门、人员，路线、路段、各级部门操作权限初始设置。</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（7）桥、隧、涵、立交、路基、防护、绿化、其它沿线设施等路段基础数据的收集、整理、录入及养护数据的初始化。</w:t>
      </w:r>
    </w:p>
    <w:p>
      <w:pPr>
        <w:widowControl/>
        <w:snapToGrid w:val="0"/>
        <w:spacing w:line="360" w:lineRule="auto"/>
        <w:ind w:firstLine="420" w:firstLineChars="20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（8）数据梳理、数据上传</w:t>
      </w:r>
      <w:r>
        <w:rPr>
          <w:rFonts w:hint="eastAsia" w:ascii="宋体" w:hAnsi="宋体" w:eastAsia="宋体" w:cs="宋体"/>
          <w:color w:val="000000"/>
          <w:kern w:val="0"/>
          <w:sz w:val="21"/>
          <w:szCs w:val="21"/>
          <w:highlight w:val="none"/>
          <w:lang w:eastAsia="zh-CN" w:bidi="ar"/>
        </w:rPr>
        <w:t>。</w:t>
      </w:r>
    </w:p>
    <w:p>
      <w:pPr>
        <w:widowControl/>
        <w:snapToGrid w:val="0"/>
        <w:spacing w:line="360" w:lineRule="auto"/>
        <w:ind w:firstLine="420" w:firstLineChars="200"/>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bidi="ar"/>
        </w:rPr>
        <w:t>（9）养护年报数据审核与上传</w:t>
      </w:r>
      <w:r>
        <w:rPr>
          <w:rFonts w:hint="eastAsia" w:ascii="宋体" w:hAnsi="宋体" w:eastAsia="宋体" w:cs="宋体"/>
          <w:color w:val="000000"/>
          <w:kern w:val="0"/>
          <w:sz w:val="21"/>
          <w:szCs w:val="21"/>
          <w:highlight w:val="none"/>
          <w:lang w:eastAsia="zh-CN" w:bidi="ar"/>
        </w:rPr>
        <w:t>。</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sz w:val="21"/>
          <w:szCs w:val="21"/>
          <w:highlight w:val="none"/>
          <w:lang w:val="en-US" w:eastAsia="zh-CN"/>
        </w:rPr>
        <w:t>系统bug处理、专项改造实施等调试、编码工作。</w:t>
      </w:r>
    </w:p>
    <w:p>
      <w:pPr>
        <w:pStyle w:val="58"/>
        <w:snapToGrid w:val="0"/>
        <w:spacing w:line="360" w:lineRule="auto"/>
        <w:ind w:left="0" w:firstLine="420" w:firstLineChars="20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（二）机电运维平台</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（1）系统监控和故障处理：负责对机电系统进行实时监控，及时发现故障并进行处理，保证系统的稳定运行。</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（2）数据管理和分析：负责对机电人员录入和采集到的设备数据进行存储、管理和分析，生成报表、分析趋势，为决策提供支持。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（3）系统优化和升级：负责对系统进行性能优化和功能升级，提升系统的稳定性、可靠性和性能。</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（4）安全管理和保障：负责系统的安全管理，包括数据加密、权限控制、漏洞修复等，保障系统的安全性和可信度。</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（5）故障排除和维修：负责对系统故障进行排查、定位和修复，确保设备的正常运行。</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（6）系统备份和恢复：负责对系统进行备份，以防止数据丢失，并能够及时恢复系统到正常状态。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（7）用户支持与培训：负责提供技术支持和培训，解答用户在使用过程中遇到的问题，提供操作指导和培训材料。</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（8）系统性能监测和调优：负责对系统性能进行监测和调优，确保系统的高效运行。</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（9）系统更新和维护：负责对系统软件和硬件进行更新和维护，确保系统的正常运行。</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（10）与第三方系统合作和协调：负责与第三方系统进行合作和协调，确保系统扩展和完善机电全生命周期业务。</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11）</w:t>
      </w:r>
      <w:r>
        <w:rPr>
          <w:rFonts w:hint="eastAsia" w:ascii="宋体" w:hAnsi="宋体" w:eastAsia="宋体" w:cs="宋体"/>
          <w:sz w:val="21"/>
          <w:szCs w:val="21"/>
          <w:highlight w:val="none"/>
          <w:lang w:val="en-US" w:eastAsia="zh-CN"/>
        </w:rPr>
        <w:t>系统bug处理、专项改造实施等调试、编码工作。</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（三）服务区综合管理平台</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（1）对于设备或系统故障,乙方工程师在接到电话通知后30分钟内回复处理意见:工作时间外远程不能解决的故障，工程师将在2小时内到达用户现场;服务时段为服务时段为365天*24小时。</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（2）对业务系统的安全状况采用设备进行监测和预警通报，及时发现网站的安全事件和存在的隐患。对网站各方面进行7x24小时监测;</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确保网站服务器安全:选择安全性较高、稳定性较强的服务器，同时,服务器各种安全补丁一定要及时更新，定期进行安全检查，对服务器和网站开展全面的安全检测，以防存在安全隐患，要及时修复安全漏洞。</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确保网站安全:保障网站后台安全，分配好后台管理权限;网站上线前应在各方面进行安全性测试，包括防止SQL注入、密码加密、数据备份、使用验证码等方面，加强安全保护措施;防止JS挂马，恶意加密挂马,框架隐藏,挖矿脚本、搜索引擎劫持、黑链、恶意暗链(黄赌毒私服等)等;及时备份网站数据;时刻关注内容系统使用的相关插件、引擎、框架等推出的更新，及时更新相关软件，预防网络攻击。</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sz w:val="21"/>
          <w:szCs w:val="21"/>
          <w:highlight w:val="none"/>
          <w:lang w:val="en-US" w:eastAsia="zh-CN"/>
        </w:rPr>
        <w:t>系统bug处理、专项改造实施等调试、编码工作。</w:t>
      </w:r>
    </w:p>
    <w:p>
      <w:pPr>
        <w:pStyle w:val="58"/>
        <w:numPr>
          <w:ilvl w:val="-1"/>
          <w:numId w:val="0"/>
        </w:numPr>
        <w:snapToGrid w:val="0"/>
        <w:spacing w:line="360" w:lineRule="auto"/>
        <w:ind w:left="0" w:firstLine="0" w:firstLineChars="0"/>
        <w:outlineLvl w:val="0"/>
        <w:rPr>
          <w:rFonts w:ascii="宋体" w:hAnsi="宋体" w:eastAsia="宋体"/>
          <w:color w:val="171A1D"/>
          <w:sz w:val="21"/>
          <w:szCs w:val="21"/>
          <w:highlight w:val="none"/>
          <w:shd w:val="clear" w:color="auto" w:fill="FFFFFF"/>
        </w:rPr>
      </w:pPr>
      <w:r>
        <w:rPr>
          <w:rFonts w:hint="eastAsia"/>
          <w:color w:val="171A1D"/>
          <w:sz w:val="21"/>
          <w:szCs w:val="21"/>
          <w:highlight w:val="none"/>
          <w:shd w:val="clear" w:color="auto" w:fill="FFFFFF"/>
          <w:lang w:val="en-US" w:eastAsia="zh-CN"/>
        </w:rPr>
        <w:t>四、</w:t>
      </w:r>
      <w:r>
        <w:rPr>
          <w:rFonts w:hint="eastAsia" w:ascii="宋体" w:hAnsi="宋体" w:eastAsia="宋体"/>
          <w:color w:val="171A1D"/>
          <w:sz w:val="21"/>
          <w:szCs w:val="21"/>
          <w:highlight w:val="none"/>
          <w:shd w:val="clear" w:color="auto" w:fill="FFFFFF"/>
        </w:rPr>
        <w:t xml:space="preserve">办公系统 </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一）OA系统</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1、维护内容</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办公系统相关功能日常维护；办公系统组织架构，人员调整维护；办公系统邮件功能维护；涉及到的流程调整，人员调动维护；涉及到的表单信息调整维护；涉及到的流程实例跳转、删除维护；系统更新维护；办公系统底层组件维护，包括数据库、应用中间件、基础平台，保障系统级别的正常运行。办公系统相关基础设施维护，包括服务器及其操作系统，底层文件系统，保证系统的正常运行以及文件、数据的完整。</w:t>
      </w:r>
      <w:r>
        <w:rPr>
          <w:rFonts w:hint="eastAsia" w:ascii="宋体" w:hAnsi="宋体" w:eastAsia="宋体" w:cs="宋体"/>
          <w:sz w:val="21"/>
          <w:szCs w:val="21"/>
          <w:highlight w:val="none"/>
          <w:lang w:val="en-US" w:eastAsia="zh-CN"/>
        </w:rPr>
        <w:t>系统bug处理、专项改造实施等调试、编码工作。</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2、维护方法和要求</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(1)电话支持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sz w:val="21"/>
          <w:szCs w:val="21"/>
          <w:highlight w:val="none"/>
        </w:rPr>
        <w:t>乙方</w:t>
      </w:r>
      <w:r>
        <w:rPr>
          <w:rFonts w:hint="eastAsia" w:ascii="宋体" w:hAnsi="宋体" w:eastAsia="宋体" w:cs="宋体"/>
          <w:color w:val="000000"/>
          <w:kern w:val="0"/>
          <w:sz w:val="21"/>
          <w:szCs w:val="21"/>
          <w:highlight w:val="none"/>
          <w:lang w:bidi="ar"/>
        </w:rPr>
        <w:t>维护人员实行 7 * 24 小时（不分节假日）维护服务，保证电话随时畅通。维护工程师对用户提出的问题应迅速做出详尽解答；对少数无法及时解答的复杂性问题应在 24 小时内予以解答。保障甲方能正常使用办公系统相关功能。</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(2)现场服务</w:t>
      </w:r>
    </w:p>
    <w:p>
      <w:pPr>
        <w:snapToGrid w:val="0"/>
        <w:spacing w:line="360" w:lineRule="auto"/>
        <w:ind w:firstLine="420" w:firstLineChars="200"/>
        <w:rPr>
          <w:rFonts w:ascii="宋体" w:hAnsi="宋体" w:eastAsia="宋体" w:cs="宋体"/>
          <w:color w:val="000000"/>
          <w:kern w:val="0"/>
          <w:szCs w:val="21"/>
          <w:highlight w:val="none"/>
          <w:lang w:bidi="ar"/>
        </w:rPr>
      </w:pPr>
      <w:r>
        <w:rPr>
          <w:rFonts w:hint="eastAsia" w:ascii="宋体" w:hAnsi="宋体" w:eastAsia="宋体" w:cs="宋体"/>
          <w:color w:val="000000"/>
          <w:sz w:val="21"/>
          <w:szCs w:val="21"/>
          <w:highlight w:val="none"/>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widowControl/>
        <w:numPr>
          <w:ilvl w:val="0"/>
          <w:numId w:val="3"/>
        </w:numPr>
        <w:snapToGrid w:val="0"/>
        <w:spacing w:line="360" w:lineRule="auto"/>
        <w:ind w:firstLine="420" w:firstLineChars="0"/>
        <w:jc w:val="left"/>
        <w:rPr>
          <w:rFonts w:hint="eastAsia" w:ascii="宋体" w:hAnsi="宋体" w:eastAsia="宋体" w:cs="宋体"/>
          <w:color w:val="171A1D"/>
          <w:szCs w:val="21"/>
          <w:highlight w:val="none"/>
          <w:shd w:val="clear" w:color="auto" w:fill="FFFFFF"/>
          <w:lang w:val="en-US" w:eastAsia="zh-CN"/>
        </w:rPr>
      </w:pPr>
      <w:r>
        <w:rPr>
          <w:rFonts w:hint="eastAsia" w:ascii="宋体" w:hAnsi="宋体" w:eastAsia="宋体" w:cs="宋体"/>
          <w:color w:val="171A1D"/>
          <w:szCs w:val="21"/>
          <w:highlight w:val="none"/>
          <w:shd w:val="clear" w:color="auto" w:fill="FFFFFF"/>
          <w:lang w:val="en-US" w:eastAsia="zh-CN"/>
        </w:rPr>
        <w:t>集团办公楼IT系统</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集团总部办公大楼电脑、网络、电脑外设、LED大屏以及ETC门禁的正常运行是甲方办公运作的保障，乙方对甲方提供应用软件安装配置维护（包括但不限于操作系统、应用软件、财务应用软件与OA应用程序安装设置等故障情形）、电脑硬件故障处理维护（包括但不限于电脑不能开机、死机、显示不正常等故障情形）、互联网硬件设备维护（包括但不限于有线或无线路由器、交换机安装设置）、电脑外设安装设置（包括但不限于打印机、传真机、扫描仪、投影仪）、服务器操作系统维护（包括但不限于人力工资短信平台、人力瑞友天翼平台、）、内外线电话故障处理平层移机、安防监控维护（包括但不限于安防摄像机、硬盘录像机、红外报警）、保障内部视频会议系统的正常使用、保障信息源的增加调试、保障LED大屏的正常使用、信息发布以及ETC门禁系统正常运行等，除此外，乙方定期每月向甲方提交维护报告，并配置专业维护人员对上述服务项目开展定点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维护工作的具体内容如下：</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1、应用软件安装配置维护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确保电脑应用程序的正常运行。包含：操作系统的升级降级重装，杀毒软件，网络通讯软件，office软件安装升级，OA系统软件的安装和设置，人力资源瑞友天翼软件，优化系统，开机密码破解等相关工作，食堂LED显示器发布程序维护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2、电脑硬件故障处理维护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维护内容：确保电脑硬件系统正常开机运行，包含：电脑不能开机、蓝屏、死机、屏幕不显示、花屏等故障处理，并对设备运行缓慢升级硬件、更换配件等提供咨询服务，硬盘的分区、格式化、调整大小、简单的数据恢复以及分区表恢复、数据备份导出等。</w:t>
      </w:r>
      <w:r>
        <w:rPr>
          <w:rFonts w:hint="eastAsia" w:ascii="宋体" w:hAnsi="宋体" w:eastAsia="宋体" w:cs="宋体"/>
          <w:color w:val="000000"/>
          <w:kern w:val="0"/>
          <w:sz w:val="21"/>
          <w:szCs w:val="21"/>
          <w:highlight w:val="none"/>
          <w:lang w:val="en-US" w:eastAsia="zh-CN" w:bidi="ar"/>
        </w:rPr>
        <w:t>包含但不限于服务器、电脑主机、平板电脑等。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3、互联网及互联网硬件设备维护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网络来访人员登记，注册，新进办公人员网络接入账号和IP分配，确保正常联网，布置办公场所，会议场所无线网络信号覆盖，办公室内网络线缆的布置安装，网络端口的开通，，交换机路由器的设置维护</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人行道闸、监控图像</w:t>
      </w:r>
      <w:r>
        <w:rPr>
          <w:rFonts w:hint="eastAsia" w:ascii="宋体" w:hAnsi="宋体" w:eastAsia="宋体" w:cs="宋体"/>
          <w:color w:val="000000"/>
          <w:kern w:val="0"/>
          <w:sz w:val="21"/>
          <w:szCs w:val="21"/>
          <w:highlight w:val="none"/>
          <w:lang w:bidi="ar"/>
        </w:rPr>
        <w:t>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4、电脑外设安装设置</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打印机的驱动安装网络设置、打印机设置、财务凭证等格式设置，确保满足正常使用需求，IP打印机以及打印服务主机局域网络的共享互访连接，无法打印的故障判断处理，传真机设置以及故障判断处理，投影仪安装调试。各类数据光盘视频光盘备份刻录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5、服务器操作系统维护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维护内容：配合kingdee公司，人力资源工资短信平台、人力资源瑞友天翼平台，服务器操作系统维护，日常巡检维护等。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6、内外线电话安装维护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维护内容：电话故障检查报修、串联分机、平层室内移机、电话会议安装调试，电话线缆布置等。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7、安防监控维护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维护内容：安防监控、硬盘录像机维护，以及会议信息发布系统等。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8、保障LED大屏的正常使用</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维护内容：确保发布平台各个环节正常运行，如操作主机、操作系统、发布程序、音响功放、LED模块故障。</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9、保障LED大屏的正常发布</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维护内容：按照甲方要求的时间、内容、形式，采用专人定点守候及时发布信息的方式，保障甲方重要消息发布不延误，确保及时性。</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10、保障信息源的增加调试</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维护内容：在使用过程中，按照甲方的要求添加相应的信号输入源，如各类视频信号接入、音频信号接入等，并调试到合理的效果。</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11、保障内部视频会议系统的正常使用</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维护内容：安装调试视频设备，保障视频会议顺利使用。</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12、门禁系统的维护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维护内容：提供服务确保门禁系统的正常使用。</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13、公路馆的维护管理</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维护内容：馆内专业设备的开启关闭、巡检、处理故障、报修维护单位督促修理；馆内部分展示内容增减、修改，设备调试；公路馆参观解说。</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14、职工书屋管理</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维护内容：职工书屋的书籍借阅和清点。</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15、车牌识别系统维护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维护内容：一、三、四号门车牌识别系统维护。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16、后勤工作</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维护内容：办公用品库房管理、办公用品采购、报账流程，总经理、董事会会议设备准备，二楼广告机、食堂电视内容更改发布。</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17、专项工作</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维护内容：交换机防火墙更换、监控系统安装、保密专项检查含集团分公司、流毒检查含集团分公司、西洽会、智博会等。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18、涉密IT设备维护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19、日常维护</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维护内容：线缆规整、零星故障的及时处置，对设备（无线路由器、交换机）的运行状态进行监管，检测与故障排除等。</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（三）维护方法和要求</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(1)电话支持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sz w:val="21"/>
          <w:szCs w:val="21"/>
          <w:highlight w:val="none"/>
        </w:rPr>
        <w:t>乙方</w:t>
      </w:r>
      <w:r>
        <w:rPr>
          <w:rFonts w:hint="eastAsia" w:ascii="宋体" w:hAnsi="宋体" w:eastAsia="宋体" w:cs="宋体"/>
          <w:color w:val="000000"/>
          <w:kern w:val="0"/>
          <w:sz w:val="21"/>
          <w:szCs w:val="21"/>
          <w:highlight w:val="none"/>
          <w:lang w:bidi="ar"/>
        </w:rPr>
        <w:t>维护人员实行 7 * 24 小时（不分节假日）维护服务，保证电话随时畅通。维护工程师对用户提出的问题应迅速做出详尽解答；对少数无法及时解答的复杂性问题应在 24 小时内予以解答。保障甲方委托维护的相关IT设施正常运行。</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(2)现场服务</w:t>
      </w:r>
    </w:p>
    <w:p>
      <w:pPr>
        <w:widowControl/>
        <w:numPr>
          <w:ilvl w:val="0"/>
          <w:numId w:val="0"/>
        </w:numPr>
        <w:snapToGrid w:val="0"/>
        <w:spacing w:line="360" w:lineRule="auto"/>
        <w:jc w:val="left"/>
        <w:rPr>
          <w:rFonts w:hint="eastAsia" w:ascii="宋体" w:hAnsi="宋体" w:eastAsia="宋体" w:cs="宋体"/>
          <w:color w:val="171A1D"/>
          <w:szCs w:val="21"/>
          <w:highlight w:val="none"/>
          <w:shd w:val="clear" w:color="auto" w:fill="FFFFFF"/>
          <w:lang w:val="en-US" w:eastAsia="zh-CN"/>
        </w:rPr>
      </w:pPr>
      <w:r>
        <w:rPr>
          <w:rFonts w:hint="eastAsia" w:ascii="宋体" w:hAnsi="宋体" w:eastAsia="宋体" w:cs="宋体"/>
          <w:color w:val="000000"/>
          <w:sz w:val="21"/>
          <w:szCs w:val="21"/>
          <w:highlight w:val="none"/>
        </w:rPr>
        <w:t>乙方维护人员应常驻于重庆高速公路集团有限公司开展维护工作，实行5*8小时（不分节假日）坐班维护服务、7*24小时（不分节假日）技术支持。乙方工程师对用户提出的问题应迅速做出详尽解答与及时处理。现场出现故障时，乙方工程师应及时到达现场（响应时间按合同约定部分）进行技术支持和故障排除。</w:t>
      </w:r>
    </w:p>
    <w:p>
      <w:pPr>
        <w:pStyle w:val="58"/>
        <w:numPr>
          <w:ilvl w:val="-1"/>
          <w:numId w:val="0"/>
        </w:numPr>
        <w:snapToGrid w:val="0"/>
        <w:spacing w:line="360" w:lineRule="auto"/>
        <w:ind w:left="0" w:firstLine="0" w:firstLineChars="0"/>
        <w:outlineLvl w:val="0"/>
        <w:rPr>
          <w:rFonts w:hint="eastAsia"/>
          <w:color w:val="171A1D"/>
          <w:sz w:val="21"/>
          <w:szCs w:val="21"/>
          <w:highlight w:val="none"/>
          <w:shd w:val="clear" w:color="auto" w:fill="FFFFFF"/>
          <w:lang w:val="en-US" w:eastAsia="zh-CN"/>
        </w:rPr>
      </w:pPr>
    </w:p>
    <w:p>
      <w:pPr>
        <w:pStyle w:val="58"/>
        <w:numPr>
          <w:ilvl w:val="-1"/>
          <w:numId w:val="0"/>
        </w:numPr>
        <w:snapToGrid w:val="0"/>
        <w:spacing w:line="360" w:lineRule="auto"/>
        <w:ind w:left="0" w:firstLine="0" w:firstLineChars="0"/>
        <w:outlineLvl w:val="0"/>
        <w:rPr>
          <w:rFonts w:ascii="宋体" w:hAnsi="宋体" w:eastAsia="宋体"/>
          <w:color w:val="171A1D"/>
          <w:sz w:val="21"/>
          <w:szCs w:val="21"/>
          <w:highlight w:val="none"/>
          <w:shd w:val="clear" w:color="auto" w:fill="FFFFFF"/>
        </w:rPr>
      </w:pPr>
      <w:r>
        <w:rPr>
          <w:rFonts w:hint="eastAsia"/>
          <w:color w:val="171A1D"/>
          <w:sz w:val="21"/>
          <w:szCs w:val="21"/>
          <w:highlight w:val="none"/>
          <w:shd w:val="clear" w:color="auto" w:fill="FFFFFF"/>
          <w:lang w:val="en-US" w:eastAsia="zh-CN"/>
        </w:rPr>
        <w:t>五、</w:t>
      </w:r>
      <w:r>
        <w:rPr>
          <w:rFonts w:hint="eastAsia" w:ascii="宋体" w:hAnsi="宋体" w:eastAsia="宋体"/>
          <w:color w:val="171A1D"/>
          <w:sz w:val="21"/>
          <w:szCs w:val="21"/>
          <w:highlight w:val="none"/>
          <w:shd w:val="clear" w:color="auto" w:fill="FFFFFF"/>
        </w:rPr>
        <w:t>智慧建设系统</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（一）维护内容</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智慧建设系统运维工作包括系统部署、日常巡检、数据灾备、网络安全管理、故障修复等工作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系统bug处理、专项改造实施等调试、编码工作。</w:t>
      </w:r>
      <w:r>
        <w:rPr>
          <w:rFonts w:hint="eastAsia" w:ascii="宋体" w:hAnsi="宋体" w:eastAsia="宋体" w:cs="宋体"/>
          <w:sz w:val="21"/>
          <w:szCs w:val="21"/>
          <w:highlight w:val="none"/>
        </w:rPr>
        <w:t>涉及的平台包括：智慧建设管理平台、集团（公司）安全平台、电子签章、</w:t>
      </w:r>
      <w:r>
        <w:rPr>
          <w:rFonts w:hint="eastAsia" w:ascii="宋体" w:hAnsi="宋体" w:eastAsia="宋体" w:cs="宋体"/>
          <w:sz w:val="21"/>
          <w:szCs w:val="21"/>
          <w:highlight w:val="none"/>
          <w:lang w:val="en-US" w:eastAsia="zh-CN"/>
        </w:rPr>
        <w:t>视频调度平台</w:t>
      </w:r>
      <w:r>
        <w:rPr>
          <w:rFonts w:hint="eastAsia" w:ascii="宋体" w:hAnsi="宋体" w:eastAsia="宋体" w:cs="宋体"/>
          <w:sz w:val="21"/>
          <w:szCs w:val="21"/>
          <w:highlight w:val="none"/>
        </w:rPr>
        <w:t>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1、系统部署 </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（1）确定部署目标和环境，明确系统部署的目标和目标环境，包括部署的软件版本、目标硬件和操作系统环境、数据库和服务等。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（2）确定部署策略和流程，制定系统部署的策略和流程，包括系统部署的步骤、任务分配、时间安排、风险控制等。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（3）准备系统部署所需的资源和工具，准备系统部署所需的资源和工具，包括软件安装包、部署脚本、配置文件、系统管理员权限等。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（4）进行系统部署和配置，根据部署策略和流程，进行系统部署和配置，包括软件安装、初始化配置、数据库连接、服务启动等。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（5）进行系统维护和更新，包括定期备份、安全加固、软件更新等。</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2、日常巡检</w:t>
      </w:r>
    </w:p>
    <w:p>
      <w:pPr>
        <w:widowControl/>
        <w:numPr>
          <w:ilvl w:val="0"/>
          <w:numId w:val="4"/>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核实平台是否正常登录，平台各项功能日常使用、页面点击是否正常。</w:t>
      </w:r>
    </w:p>
    <w:p>
      <w:pPr>
        <w:widowControl/>
        <w:numPr>
          <w:ilvl w:val="0"/>
          <w:numId w:val="4"/>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监控服务器业务进程，CPU利用率、内存使用情况等。</w:t>
      </w:r>
    </w:p>
    <w:p>
      <w:pPr>
        <w:widowControl/>
        <w:numPr>
          <w:ilvl w:val="0"/>
          <w:numId w:val="4"/>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检查数据库服务器的状态和性能，确保数据库可靠且高效。</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3、数据灾备</w:t>
      </w:r>
    </w:p>
    <w:p>
      <w:pPr>
        <w:widowControl/>
        <w:numPr>
          <w:ilvl w:val="0"/>
          <w:numId w:val="5"/>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建立完善的灾备机制方案</w:t>
      </w:r>
    </w:p>
    <w:p>
      <w:pPr>
        <w:widowControl/>
        <w:numPr>
          <w:ilvl w:val="0"/>
          <w:numId w:val="5"/>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进行系统备份和恢复测试，确保系统数据和配置可以有效地备份和恢复。</w:t>
      </w:r>
    </w:p>
    <w:p>
      <w:pPr>
        <w:widowControl/>
        <w:numPr>
          <w:ilvl w:val="0"/>
          <w:numId w:val="5"/>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定期测试数据备份的完整性和可恢复性，确保在灾难发生时能够快速恢复系统。</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4、网络安全管理</w:t>
      </w:r>
    </w:p>
    <w:p>
      <w:pPr>
        <w:widowControl/>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负责系统的安全管理，包括数据加密、权限控制、漏洞修复等，保障系统的安全性和可信度。</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5、故障修复</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用户报告问题或系统出现故障时，运维团队需要及时响应并进行故障排查，找出问题的根源并提供相应的解决方案。同时，需提供技术支持和咨询，确保用户得到及时而准确的帮助。</w:t>
      </w:r>
    </w:p>
    <w:p>
      <w:pPr>
        <w:widowControl/>
        <w:snapToGrid w:val="0"/>
        <w:spacing w:line="360" w:lineRule="auto"/>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sz w:val="21"/>
          <w:szCs w:val="21"/>
          <w:highlight w:val="none"/>
          <w:lang w:val="en-US" w:eastAsia="zh-CN"/>
        </w:rPr>
        <w:t>系统bug处理、专项改造实施等调试、编码工作。</w:t>
      </w:r>
    </w:p>
    <w:p>
      <w:pPr>
        <w:pStyle w:val="58"/>
        <w:snapToGrid w:val="0"/>
        <w:spacing w:line="360" w:lineRule="auto"/>
        <w:ind w:firstLine="0" w:firstLineChars="0"/>
        <w:outlineLvl w:val="1"/>
        <w:rPr>
          <w:rFonts w:ascii="宋体" w:hAnsi="宋体" w:eastAsia="宋体"/>
          <w:color w:val="171A1D"/>
          <w:sz w:val="21"/>
          <w:szCs w:val="21"/>
          <w:highlight w:val="none"/>
          <w:shd w:val="clear" w:color="auto" w:fill="FFFFFF"/>
        </w:rPr>
      </w:pPr>
      <w:r>
        <w:rPr>
          <w:rFonts w:hint="eastAsia" w:ascii="宋体" w:hAnsi="宋体" w:eastAsia="宋体"/>
          <w:color w:val="171A1D"/>
          <w:sz w:val="21"/>
          <w:szCs w:val="21"/>
          <w:highlight w:val="none"/>
          <w:shd w:val="clear" w:color="auto" w:fill="FFFFFF"/>
        </w:rPr>
        <w:t>（二）维护方法和要求</w:t>
      </w:r>
    </w:p>
    <w:p>
      <w:pPr>
        <w:widowControl/>
        <w:numPr>
          <w:ilvl w:val="0"/>
          <w:numId w:val="6"/>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在线客服支持</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乙方维护人员实行 7 * 12 小时（不分节假日,8:00-20:00）维护服务，做到工作时间对用户响应时间不超过5分钟，休息及节假日期间对用户响应时间不超过30分钟。</w:t>
      </w:r>
    </w:p>
    <w:p>
      <w:pPr>
        <w:widowControl/>
        <w:numPr>
          <w:ilvl w:val="0"/>
          <w:numId w:val="6"/>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远程诊断服务</w:t>
      </w:r>
    </w:p>
    <w:p>
      <w:pPr>
        <w:widowControl/>
        <w:snapToGrid w:val="0"/>
        <w:spacing w:line="360" w:lineRule="auto"/>
        <w:ind w:firstLine="56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一般情况下，对于可通过远程登录进行诊断和解决的问题，乙方工程师可通过甲方指定地方的指定终端设备登录用户计算机进行故障诊断并电话告知用户解决方法。</w:t>
      </w:r>
    </w:p>
    <w:p>
      <w:pPr>
        <w:widowControl/>
        <w:numPr>
          <w:ilvl w:val="0"/>
          <w:numId w:val="6"/>
        </w:numPr>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现场服务</w:t>
      </w:r>
    </w:p>
    <w:p>
      <w:pPr>
        <w:widowControl/>
        <w:snapToGrid w:val="0"/>
        <w:spacing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组建现场服务团队，协助各标段进行资料录入、跟踪审批流程、解决现场遇到的问题，降低用户沟通成本，及时响应用户问题并处理。</w:t>
      </w:r>
    </w:p>
    <w:p>
      <w:pPr>
        <w:pStyle w:val="3"/>
        <w:bidi w:val="0"/>
        <w:adjustRightInd w:val="0"/>
        <w:snapToGrid w:val="0"/>
        <w:spacing w:before="0" w:after="0" w:line="36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六、人员要求</w:t>
      </w:r>
    </w:p>
    <w:p>
      <w:pPr>
        <w:pStyle w:val="3"/>
        <w:adjustRightInd w:val="0"/>
        <w:snapToGrid w:val="0"/>
        <w:spacing w:before="0" w:after="0" w:line="360" w:lineRule="auto"/>
        <w:ind w:firstLine="420" w:firstLineChars="200"/>
        <w:jc w:val="both"/>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本项目运维团队至少需配置六个运维小组，分别是办公系统运维小组、机电平台运维小组、管养系统运维小组、联网收费系统运维小组、联网监控系统运维小组、建设信息化平台运维小组。每小组需配置相应运维人员和相应开发人员，其中必须配置两名及以上美工设计人员。</w:t>
      </w:r>
    </w:p>
    <w:p>
      <w:pPr>
        <w:pStyle w:val="3"/>
        <w:jc w:val="center"/>
        <w:rPr>
          <w:rFonts w:hint="eastAsia" w:ascii="宋体" w:hAnsi="宋体" w:eastAsia="宋体" w:cs="宋体"/>
          <w:b/>
          <w:color w:val="auto"/>
          <w:kern w:val="44"/>
          <w:sz w:val="44"/>
          <w:szCs w:val="44"/>
          <w:highlight w:val="none"/>
        </w:rPr>
      </w:pPr>
      <w:r>
        <w:rPr>
          <w:rFonts w:hint="eastAsia" w:ascii="宋体" w:hAnsi="宋体" w:eastAsia="宋体" w:cs="宋体"/>
          <w:b w:val="0"/>
          <w:color w:val="auto"/>
          <w:sz w:val="48"/>
          <w:szCs w:val="48"/>
          <w:highlight w:val="none"/>
        </w:rPr>
        <w:br w:type="page"/>
      </w:r>
      <w:bookmarkStart w:id="476" w:name="_Toc11564"/>
      <w:r>
        <w:rPr>
          <w:rFonts w:hint="eastAsia" w:ascii="宋体" w:hAnsi="宋体" w:eastAsia="宋体" w:cs="宋体"/>
          <w:b/>
          <w:bCs w:val="0"/>
          <w:color w:val="auto"/>
          <w:kern w:val="44"/>
          <w:sz w:val="44"/>
          <w:szCs w:val="44"/>
          <w:highlight w:val="none"/>
        </w:rPr>
        <w:t>第八章  工程量清单计量规则</w:t>
      </w:r>
      <w:bookmarkEnd w:id="475"/>
      <w:bookmarkEnd w:id="476"/>
    </w:p>
    <w:p>
      <w:pPr>
        <w:spacing w:line="360" w:lineRule="auto"/>
        <w:jc w:val="center"/>
        <w:rPr>
          <w:rFonts w:hint="eastAsia" w:ascii="宋体" w:hAnsi="宋体" w:eastAsia="宋体" w:cs="宋体"/>
          <w:color w:val="auto"/>
          <w:szCs w:val="21"/>
          <w:highlight w:val="none"/>
        </w:rPr>
      </w:pPr>
      <w:bookmarkStart w:id="477" w:name="_Toc534185827"/>
      <w:bookmarkStart w:id="478" w:name="_Toc509218849"/>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79" w:name="_Toc28173"/>
      <w:bookmarkStart w:id="480" w:name="_Toc985"/>
      <w:bookmarkStart w:id="481" w:name="_Toc15522"/>
      <w:r>
        <w:rPr>
          <w:rFonts w:hint="eastAsia" w:ascii="宋体" w:hAnsi="宋体" w:eastAsia="宋体" w:cs="宋体"/>
          <w:color w:val="auto"/>
          <w:sz w:val="52"/>
          <w:szCs w:val="52"/>
          <w:highlight w:val="none"/>
        </w:rPr>
        <w:t>第 四 卷</w:t>
      </w:r>
      <w:bookmarkEnd w:id="477"/>
      <w:bookmarkEnd w:id="478"/>
      <w:bookmarkEnd w:id="479"/>
      <w:bookmarkEnd w:id="480"/>
      <w:bookmarkEnd w:id="481"/>
    </w:p>
    <w:p>
      <w:pPr>
        <w:pStyle w:val="3"/>
        <w:spacing w:before="0" w:after="0" w:line="360" w:lineRule="auto"/>
        <w:jc w:val="center"/>
        <w:rPr>
          <w:rFonts w:hint="eastAsia" w:ascii="宋体" w:hAnsi="宋体" w:eastAsia="宋体" w:cs="宋体"/>
          <w:b w:val="0"/>
          <w:color w:val="auto"/>
          <w:sz w:val="48"/>
          <w:szCs w:val="48"/>
          <w:highlight w:val="none"/>
        </w:rPr>
      </w:pPr>
      <w:bookmarkStart w:id="482" w:name="招标文件08章投标文件格式"/>
      <w:bookmarkEnd w:id="482"/>
      <w:bookmarkStart w:id="483" w:name="_Toc509218852"/>
      <w:bookmarkStart w:id="484" w:name="_Toc534185829"/>
      <w:bookmarkStart w:id="485" w:name="_Toc430530528"/>
      <w:bookmarkStart w:id="486" w:name="_Toc287607865"/>
      <w:bookmarkStart w:id="487" w:name="_Toc287620812"/>
      <w:r>
        <w:rPr>
          <w:rFonts w:hint="eastAsia" w:ascii="宋体" w:hAnsi="宋体" w:eastAsia="宋体" w:cs="宋体"/>
          <w:b w:val="0"/>
          <w:color w:val="auto"/>
          <w:sz w:val="48"/>
          <w:szCs w:val="48"/>
          <w:highlight w:val="none"/>
        </w:rPr>
        <w:br w:type="page"/>
      </w:r>
      <w:bookmarkStart w:id="488" w:name="_Toc7247"/>
      <w:bookmarkStart w:id="489" w:name="_Toc26228"/>
      <w:bookmarkStart w:id="490" w:name="_Toc10935"/>
      <w:r>
        <w:rPr>
          <w:rFonts w:hint="eastAsia" w:ascii="宋体" w:hAnsi="宋体" w:eastAsia="宋体" w:cs="宋体"/>
          <w:bCs w:val="0"/>
          <w:color w:val="auto"/>
          <w:highlight w:val="none"/>
        </w:rPr>
        <w:t>第九章  投标文件格式</w:t>
      </w:r>
      <w:bookmarkEnd w:id="483"/>
      <w:bookmarkEnd w:id="484"/>
      <w:bookmarkEnd w:id="485"/>
      <w:bookmarkEnd w:id="486"/>
      <w:bookmarkEnd w:id="487"/>
      <w:bookmarkEnd w:id="488"/>
      <w:bookmarkEnd w:id="489"/>
      <w:bookmarkEnd w:id="490"/>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Cs w:val="20"/>
          <w:highlight w:val="none"/>
        </w:rPr>
        <w:br w:type="page"/>
      </w:r>
      <w:bookmarkStart w:id="491" w:name="_Toc2183"/>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92" w:name="_Toc827"/>
      <w:bookmarkStart w:id="493" w:name="_Toc3701"/>
      <w:bookmarkStart w:id="494" w:name="_Toc4972"/>
      <w:bookmarkStart w:id="495" w:name="_Toc6264"/>
      <w:r>
        <w:rPr>
          <w:rFonts w:hint="eastAsia" w:ascii="宋体" w:hAnsi="宋体" w:eastAsia="宋体" w:cs="宋体"/>
          <w:b/>
          <w:bCs/>
          <w:color w:val="auto"/>
          <w:sz w:val="36"/>
          <w:szCs w:val="36"/>
          <w:highlight w:val="none"/>
        </w:rPr>
        <w:t>目  录</w:t>
      </w:r>
      <w:bookmarkEnd w:id="491"/>
      <w:bookmarkEnd w:id="492"/>
      <w:bookmarkEnd w:id="493"/>
      <w:bookmarkEnd w:id="494"/>
      <w:bookmarkEnd w:id="495"/>
    </w:p>
    <w:p>
      <w:pPr>
        <w:spacing w:line="360" w:lineRule="auto"/>
        <w:outlineLvl w:val="0"/>
        <w:rPr>
          <w:rFonts w:hint="eastAsia" w:ascii="宋体" w:hAnsi="宋体" w:eastAsia="宋体" w:cs="宋体"/>
          <w:b/>
          <w:color w:val="auto"/>
          <w:highlight w:val="none"/>
        </w:rPr>
      </w:pPr>
      <w:bookmarkStart w:id="496" w:name="_Toc125"/>
      <w:bookmarkStart w:id="497" w:name="_Toc16858"/>
      <w:bookmarkStart w:id="498" w:name="_Toc25094"/>
      <w:bookmarkStart w:id="499" w:name="_Toc22195"/>
      <w:bookmarkStart w:id="500" w:name="_Toc3664"/>
      <w:r>
        <w:rPr>
          <w:rFonts w:hint="eastAsia" w:ascii="宋体" w:hAnsi="宋体" w:eastAsia="宋体" w:cs="宋体"/>
          <w:b/>
          <w:color w:val="auto"/>
          <w:highlight w:val="none"/>
        </w:rPr>
        <w:t>一、投标函部分</w:t>
      </w:r>
      <w:bookmarkEnd w:id="496"/>
      <w:bookmarkEnd w:id="497"/>
      <w:bookmarkEnd w:id="498"/>
      <w:bookmarkEnd w:id="499"/>
      <w:bookmarkEnd w:id="50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501" w:name="_Toc14114"/>
      <w:bookmarkStart w:id="502" w:name="_Toc13085"/>
      <w:bookmarkStart w:id="503" w:name="_Toc4617"/>
      <w:bookmarkStart w:id="504" w:name="_Toc11332"/>
      <w:bookmarkStart w:id="505" w:name="_Toc22471"/>
      <w:r>
        <w:rPr>
          <w:rFonts w:hint="eastAsia" w:ascii="宋体" w:hAnsi="宋体" w:eastAsia="宋体" w:cs="宋体"/>
          <w:b/>
          <w:color w:val="auto"/>
          <w:highlight w:val="none"/>
        </w:rPr>
        <w:t>二、经济部分</w:t>
      </w:r>
      <w:bookmarkEnd w:id="501"/>
      <w:bookmarkEnd w:id="502"/>
      <w:bookmarkEnd w:id="503"/>
      <w:bookmarkEnd w:id="504"/>
      <w:bookmarkEnd w:id="505"/>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cs="宋体"/>
          <w:b/>
          <w:color w:val="auto"/>
          <w:highlight w:val="none"/>
        </w:rPr>
      </w:pPr>
      <w:bookmarkStart w:id="506" w:name="_Toc3878"/>
      <w:bookmarkStart w:id="507" w:name="_Toc529"/>
      <w:bookmarkStart w:id="508" w:name="_Toc2619"/>
      <w:bookmarkStart w:id="509" w:name="_Toc365"/>
      <w:bookmarkStart w:id="510" w:name="_Toc31462"/>
      <w:bookmarkStart w:id="511" w:name="_Toc32175"/>
      <w:bookmarkStart w:id="512" w:name="_Toc24478"/>
      <w:bookmarkStart w:id="513" w:name="_Toc10307"/>
      <w:r>
        <w:rPr>
          <w:rFonts w:hint="eastAsia" w:ascii="宋体" w:hAnsi="宋体" w:cs="宋体"/>
          <w:b/>
          <w:color w:val="auto"/>
          <w:highlight w:val="none"/>
        </w:rPr>
        <w:t>三、商务部分</w:t>
      </w:r>
      <w:bookmarkEnd w:id="506"/>
      <w:bookmarkEnd w:id="507"/>
      <w:bookmarkEnd w:id="508"/>
      <w:bookmarkEnd w:id="509"/>
    </w:p>
    <w:p>
      <w:pPr>
        <w:spacing w:line="360" w:lineRule="auto"/>
        <w:outlineLvl w:val="0"/>
        <w:rPr>
          <w:rFonts w:hint="eastAsia" w:ascii="宋体" w:hAnsi="宋体" w:cs="宋体"/>
          <w:b/>
          <w:color w:val="auto"/>
          <w:highlight w:val="none"/>
        </w:rPr>
      </w:pPr>
      <w:bookmarkStart w:id="514" w:name="_Toc20837"/>
      <w:bookmarkStart w:id="515" w:name="_Toc5391"/>
      <w:r>
        <w:rPr>
          <w:rFonts w:hint="eastAsia" w:ascii="宋体" w:hAnsi="宋体" w:cs="宋体"/>
          <w:b/>
          <w:color w:val="auto"/>
          <w:highlight w:val="none"/>
        </w:rPr>
        <w:t>四、技术部分</w:t>
      </w:r>
      <w:bookmarkEnd w:id="514"/>
      <w:bookmarkEnd w:id="515"/>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技术方案</w:t>
      </w:r>
    </w:p>
    <w:p>
      <w:pPr>
        <w:spacing w:line="360" w:lineRule="auto"/>
        <w:outlineLvl w:val="0"/>
        <w:rPr>
          <w:rFonts w:hint="eastAsia" w:ascii="宋体" w:hAnsi="宋体" w:cs="宋体"/>
          <w:b/>
          <w:color w:val="auto"/>
          <w:highlight w:val="none"/>
        </w:rPr>
      </w:pPr>
      <w:bookmarkStart w:id="516" w:name="_Toc4836"/>
      <w:bookmarkStart w:id="517" w:name="_Toc88"/>
      <w:r>
        <w:rPr>
          <w:rFonts w:hint="eastAsia" w:ascii="宋体" w:hAnsi="宋体" w:cs="宋体"/>
          <w:b/>
          <w:color w:val="auto"/>
          <w:highlight w:val="none"/>
        </w:rPr>
        <w:t>五、资格审查部分</w:t>
      </w:r>
      <w:bookmarkEnd w:id="516"/>
      <w:bookmarkEnd w:id="517"/>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（二）投标人基本情况表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（三）项目管理机构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四</w:t>
      </w:r>
      <w:r>
        <w:rPr>
          <w:rFonts w:hint="eastAsia" w:ascii="宋体" w:hAnsi="宋体" w:cs="宋体"/>
          <w:color w:val="auto"/>
          <w:highlight w:val="none"/>
        </w:rPr>
        <w:t>）承诺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）其他资料</w:t>
      </w:r>
    </w:p>
    <w:bookmarkEnd w:id="510"/>
    <w:bookmarkEnd w:id="511"/>
    <w:bookmarkEnd w:id="512"/>
    <w:bookmarkEnd w:id="513"/>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518" w:name="_Toc24904"/>
      <w:bookmarkStart w:id="519" w:name="_Toc1052"/>
      <w:bookmarkStart w:id="520" w:name="_Toc21272"/>
      <w:bookmarkStart w:id="521" w:name="_Toc33106472"/>
      <w:r>
        <w:rPr>
          <w:rFonts w:hint="eastAsia" w:ascii="宋体" w:hAnsi="宋体" w:eastAsia="宋体" w:cs="宋体"/>
          <w:b w:val="0"/>
          <w:bCs w:val="0"/>
          <w:color w:val="auto"/>
          <w:sz w:val="44"/>
          <w:szCs w:val="44"/>
          <w:highlight w:val="none"/>
        </w:rPr>
        <w:t>一、投标函部分</w:t>
      </w:r>
      <w:bookmarkEnd w:id="518"/>
      <w:bookmarkEnd w:id="519"/>
      <w:bookmarkEnd w:id="520"/>
      <w:bookmarkEnd w:id="521"/>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522" w:name="_Toc509218853"/>
      <w:bookmarkStart w:id="523" w:name="_Toc534185830"/>
      <w:bookmarkStart w:id="524" w:name="_Toc536800771"/>
      <w:r>
        <w:rPr>
          <w:rFonts w:hint="eastAsia" w:ascii="宋体" w:hAnsi="宋体" w:eastAsia="宋体" w:cs="宋体"/>
          <w:b/>
          <w:color w:val="auto"/>
          <w:sz w:val="32"/>
          <w:szCs w:val="32"/>
          <w:highlight w:val="none"/>
        </w:rPr>
        <w:t xml:space="preserve"> </w:t>
      </w:r>
      <w:bookmarkEnd w:id="522"/>
      <w:bookmarkEnd w:id="523"/>
      <w:bookmarkEnd w:id="524"/>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525" w:name="_Toc277082643"/>
      <w:bookmarkStart w:id="526" w:name="_Toc21828"/>
      <w:bookmarkStart w:id="527" w:name="_Toc287620814"/>
      <w:bookmarkStart w:id="528" w:name="_Toc224103495"/>
      <w:bookmarkStart w:id="529" w:name="_Toc287607867"/>
      <w:bookmarkStart w:id="530" w:name="_Toc509218854"/>
      <w:bookmarkStart w:id="531" w:name="_Toc534185831"/>
      <w:bookmarkStart w:id="532" w:name="_Toc29877"/>
      <w:bookmarkStart w:id="533" w:name="_Toc16229"/>
      <w:bookmarkStart w:id="534" w:name="_Toc430530530"/>
      <w:bookmarkStart w:id="535" w:name="_Toc536800772"/>
      <w:r>
        <w:rPr>
          <w:rFonts w:hint="eastAsia" w:ascii="宋体" w:hAnsi="宋体" w:eastAsia="宋体" w:cs="宋体"/>
          <w:b w:val="0"/>
          <w:bCs w:val="0"/>
          <w:color w:val="auto"/>
          <w:highlight w:val="none"/>
        </w:rPr>
        <w:t>（一）投标函</w:t>
      </w:r>
      <w:bookmarkEnd w:id="525"/>
      <w:bookmarkEnd w:id="526"/>
      <w:bookmarkEnd w:id="527"/>
      <w:bookmarkEnd w:id="528"/>
      <w:bookmarkEnd w:id="529"/>
      <w:bookmarkEnd w:id="530"/>
      <w:bookmarkEnd w:id="531"/>
      <w:bookmarkEnd w:id="532"/>
      <w:bookmarkEnd w:id="533"/>
      <w:bookmarkEnd w:id="534"/>
      <w:bookmarkEnd w:id="535"/>
    </w:p>
    <w:p>
      <w:pPr>
        <w:keepNext w:val="0"/>
        <w:keepLines w:val="0"/>
        <w:pageBreakBefore w:val="0"/>
        <w:widowControl w:val="0"/>
        <w:tabs>
          <w:tab w:val="left" w:pos="264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首讯公司2025年软件运维劳务分包</w:t>
      </w:r>
      <w:r>
        <w:rPr>
          <w:rFonts w:hint="eastAsia" w:ascii="宋体" w:hAnsi="宋体" w:eastAsia="宋体" w:cs="宋体"/>
          <w:color w:val="auto"/>
          <w:szCs w:val="21"/>
          <w:highlight w:val="none"/>
        </w:rPr>
        <w:t>招标文件的全部内容，</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，按合同约定实施和完成承包工程，修补工程中的任何缺陷，</w:t>
      </w:r>
      <w:r>
        <w:rPr>
          <w:rFonts w:hint="eastAsia" w:ascii="宋体" w:hAnsi="宋体" w:cs="宋体"/>
          <w:color w:val="auto"/>
          <w:szCs w:val="21"/>
          <w:highlight w:val="none"/>
          <w:lang w:val="en-US" w:eastAsia="zh-CN"/>
        </w:rPr>
        <w:t>质量要求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highlight w:val="none"/>
        </w:rPr>
        <w:br w:type="page"/>
      </w:r>
      <w:bookmarkStart w:id="536" w:name="_Toc287607869"/>
      <w:bookmarkStart w:id="537" w:name="_Toc224103497"/>
      <w:bookmarkStart w:id="538" w:name="_Toc277082645"/>
      <w:bookmarkStart w:id="539" w:name="_Toc430530532"/>
      <w:bookmarkStart w:id="540" w:name="_Toc287620816"/>
    </w:p>
    <w:p>
      <w:pPr>
        <w:pStyle w:val="5"/>
        <w:spacing w:before="0" w:line="360" w:lineRule="auto"/>
        <w:jc w:val="center"/>
        <w:outlineLvl w:val="1"/>
        <w:rPr>
          <w:rFonts w:hint="eastAsia" w:ascii="宋体" w:hAnsi="宋体" w:eastAsia="宋体" w:cs="宋体"/>
          <w:b w:val="0"/>
          <w:bCs w:val="0"/>
          <w:color w:val="auto"/>
          <w:highlight w:val="none"/>
        </w:rPr>
      </w:pPr>
      <w:bookmarkStart w:id="541" w:name="_Toc29609"/>
      <w:bookmarkStart w:id="542" w:name="_Toc32689"/>
      <w:bookmarkStart w:id="543" w:name="_Toc13186"/>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）法定代表人身份证明或附有法定代表人身份证明的授权委托书</w:t>
      </w:r>
      <w:bookmarkEnd w:id="536"/>
      <w:bookmarkEnd w:id="537"/>
      <w:bookmarkEnd w:id="538"/>
      <w:bookmarkEnd w:id="539"/>
      <w:bookmarkEnd w:id="540"/>
      <w:bookmarkEnd w:id="541"/>
      <w:bookmarkEnd w:id="542"/>
      <w:bookmarkEnd w:id="543"/>
    </w:p>
    <w:p>
      <w:pPr>
        <w:spacing w:line="480" w:lineRule="auto"/>
        <w:jc w:val="center"/>
        <w:outlineLvl w:val="1"/>
        <w:rPr>
          <w:rFonts w:hint="eastAsia" w:ascii="宋体" w:hAnsi="宋体" w:eastAsia="宋体" w:cs="宋体"/>
          <w:color w:val="auto"/>
          <w:sz w:val="28"/>
          <w:highlight w:val="none"/>
        </w:rPr>
      </w:pPr>
      <w:bookmarkStart w:id="544" w:name="_Toc14385"/>
      <w:bookmarkStart w:id="545" w:name="_Toc16278"/>
      <w:bookmarkStart w:id="546" w:name="_Toc27567"/>
      <w:bookmarkStart w:id="547" w:name="_Toc25663"/>
      <w:bookmarkStart w:id="548" w:name="_Toc23321"/>
      <w:bookmarkStart w:id="549" w:name="_Toc26839"/>
      <w:r>
        <w:rPr>
          <w:rFonts w:hint="eastAsia" w:ascii="宋体" w:hAnsi="宋体" w:eastAsia="宋体" w:cs="宋体"/>
          <w:color w:val="auto"/>
          <w:sz w:val="28"/>
          <w:highlight w:val="none"/>
        </w:rPr>
        <w:t>法定代表人身份证明</w:t>
      </w:r>
      <w:bookmarkEnd w:id="544"/>
      <w:bookmarkEnd w:id="545"/>
      <w:bookmarkEnd w:id="546"/>
      <w:bookmarkEnd w:id="547"/>
      <w:bookmarkEnd w:id="548"/>
      <w:bookmarkEnd w:id="549"/>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550" w:name="_Toc15322"/>
      <w:bookmarkStart w:id="551" w:name="_Toc20028"/>
      <w:bookmarkStart w:id="552" w:name="_Toc4450"/>
      <w:bookmarkStart w:id="553" w:name="_Toc16260"/>
      <w:bookmarkStart w:id="554" w:name="_Toc4982"/>
      <w:bookmarkStart w:id="555" w:name="_Toc31307"/>
      <w:r>
        <w:rPr>
          <w:rFonts w:hint="eastAsia" w:ascii="宋体" w:hAnsi="宋体" w:eastAsia="宋体" w:cs="宋体"/>
          <w:snapToGrid w:val="0"/>
          <w:color w:val="auto"/>
          <w:kern w:val="0"/>
          <w:sz w:val="32"/>
          <w:szCs w:val="32"/>
          <w:highlight w:val="none"/>
        </w:rPr>
        <w:t>授权委托书</w:t>
      </w:r>
      <w:bookmarkEnd w:id="550"/>
      <w:bookmarkEnd w:id="551"/>
      <w:bookmarkEnd w:id="552"/>
      <w:bookmarkEnd w:id="553"/>
      <w:bookmarkEnd w:id="554"/>
      <w:bookmarkEnd w:id="555"/>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首讯公司2025年软件运维劳务分包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color w:val="auto"/>
          <w:highlight w:val="none"/>
        </w:rPr>
      </w:pPr>
      <w:bookmarkStart w:id="556" w:name="_Toc224103500"/>
      <w:r>
        <w:rPr>
          <w:rFonts w:hint="eastAsia" w:ascii="宋体" w:hAnsi="宋体" w:eastAsia="宋体" w:cs="宋体"/>
          <w:color w:val="auto"/>
          <w:highlight w:val="none"/>
        </w:rPr>
        <w:br w:type="page"/>
      </w:r>
      <w:bookmarkEnd w:id="556"/>
      <w:bookmarkStart w:id="557" w:name="_Toc14424"/>
      <w:bookmarkStart w:id="558" w:name="_Toc9803"/>
      <w:bookmarkStart w:id="559" w:name="_Toc7263"/>
    </w:p>
    <w:p>
      <w:pPr>
        <w:pStyle w:val="4"/>
        <w:spacing w:line="360" w:lineRule="auto"/>
        <w:jc w:val="center"/>
        <w:rPr>
          <w:rFonts w:hint="eastAsia" w:ascii="宋体" w:hAnsi="宋体" w:cs="宋体"/>
          <w:b w:val="0"/>
          <w:bCs w:val="0"/>
          <w:color w:val="auto"/>
          <w:sz w:val="44"/>
          <w:szCs w:val="44"/>
          <w:highlight w:val="none"/>
        </w:rPr>
      </w:pPr>
      <w:bookmarkStart w:id="560" w:name="_Toc22605"/>
      <w:bookmarkStart w:id="561" w:name="_Toc4436"/>
      <w:r>
        <w:rPr>
          <w:rFonts w:hint="eastAsia" w:ascii="宋体" w:hAnsi="宋体" w:cs="宋体"/>
          <w:b w:val="0"/>
          <w:bCs w:val="0"/>
          <w:color w:val="auto"/>
          <w:sz w:val="44"/>
          <w:szCs w:val="44"/>
          <w:highlight w:val="none"/>
        </w:rPr>
        <w:t>二、经济部分</w:t>
      </w:r>
      <w:bookmarkEnd w:id="560"/>
      <w:bookmarkEnd w:id="561"/>
    </w:p>
    <w:p>
      <w:pPr>
        <w:autoSpaceDE w:val="0"/>
        <w:autoSpaceDN w:val="0"/>
        <w:adjustRightInd w:val="0"/>
        <w:snapToGrid w:val="0"/>
        <w:spacing w:line="360" w:lineRule="auto"/>
        <w:jc w:val="center"/>
        <w:rPr>
          <w:rFonts w:ascii="宋体" w:hAnsi="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cs="宋体"/>
          <w:color w:val="auto"/>
          <w:kern w:val="0"/>
          <w:sz w:val="24"/>
          <w:szCs w:val="21"/>
          <w:highlight w:val="none"/>
        </w:rPr>
      </w:pPr>
      <w:r>
        <w:rPr>
          <w:rFonts w:ascii="宋体" w:hAnsi="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cs="宋体"/>
          <w:color w:val="auto"/>
          <w:kern w:val="0"/>
          <w:szCs w:val="21"/>
          <w:highlight w:val="none"/>
        </w:rPr>
      </w:pPr>
    </w:p>
    <w:p>
      <w:pPr>
        <w:autoSpaceDE w:val="0"/>
        <w:autoSpaceDN w:val="0"/>
        <w:adjustRightInd w:val="0"/>
        <w:snapToGrid w:val="0"/>
        <w:spacing w:line="360" w:lineRule="auto"/>
        <w:jc w:val="center"/>
        <w:rPr>
          <w:rFonts w:hint="eastAsia" w:ascii="宋体" w:hAnsi="宋体" w:cs="宋体"/>
          <w:i/>
          <w:iCs/>
          <w:color w:val="auto"/>
          <w:kern w:val="0"/>
          <w:szCs w:val="21"/>
          <w:highlight w:val="none"/>
        </w:rPr>
      </w:pPr>
      <w:r>
        <w:rPr>
          <w:rFonts w:hint="eastAsia" w:ascii="宋体" w:hAnsi="宋体" w:cs="宋体"/>
          <w:i/>
          <w:iCs/>
          <w:color w:val="auto"/>
          <w:kern w:val="0"/>
          <w:szCs w:val="21"/>
          <w:highlight w:val="none"/>
        </w:rPr>
        <w:t>[目录由投标人自行编制]</w:t>
      </w:r>
    </w:p>
    <w:p>
      <w:pPr>
        <w:pStyle w:val="5"/>
        <w:spacing w:before="0" w:after="0" w:line="240" w:lineRule="auto"/>
        <w:jc w:val="center"/>
        <w:rPr>
          <w:rFonts w:hint="eastAsia" w:ascii="宋体" w:hAnsi="宋体" w:cs="宋体"/>
          <w:b w:val="0"/>
          <w:bCs w:val="0"/>
          <w:color w:val="auto"/>
          <w:highlight w:val="none"/>
        </w:rPr>
      </w:pPr>
      <w:r>
        <w:rPr>
          <w:rFonts w:hint="eastAsia" w:ascii="宋体" w:hAnsi="宋体" w:cs="宋体"/>
          <w:b w:val="0"/>
          <w:bCs w:val="0"/>
          <w:color w:val="auto"/>
          <w:kern w:val="0"/>
          <w:sz w:val="21"/>
          <w:szCs w:val="21"/>
          <w:highlight w:val="none"/>
        </w:rPr>
        <w:br w:type="page"/>
      </w:r>
      <w:bookmarkStart w:id="562" w:name="_Toc30411"/>
      <w:bookmarkStart w:id="563" w:name="_Toc26515"/>
      <w:r>
        <w:rPr>
          <w:rFonts w:hint="eastAsia" w:ascii="宋体" w:hAnsi="宋体" w:cs="宋体"/>
          <w:b w:val="0"/>
          <w:bCs w:val="0"/>
          <w:color w:val="auto"/>
          <w:highlight w:val="none"/>
        </w:rPr>
        <w:t>（一）已标价工程量清单</w:t>
      </w:r>
      <w:bookmarkEnd w:id="562"/>
      <w:bookmarkEnd w:id="563"/>
    </w:p>
    <w:p>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pPr>
        <w:pStyle w:val="4"/>
        <w:spacing w:line="360" w:lineRule="auto"/>
        <w:jc w:val="center"/>
        <w:rPr>
          <w:rFonts w:hint="eastAsia" w:ascii="宋体" w:hAnsi="宋体" w:cs="宋体"/>
          <w:b w:val="0"/>
          <w:bCs w:val="0"/>
          <w:color w:val="auto"/>
          <w:sz w:val="44"/>
          <w:szCs w:val="44"/>
          <w:highlight w:val="none"/>
        </w:rPr>
      </w:pPr>
      <w:r>
        <w:rPr>
          <w:rFonts w:hint="eastAsia" w:ascii="宋体" w:hAnsi="宋体" w:cs="宋体"/>
          <w:color w:val="auto"/>
          <w:highlight w:val="none"/>
        </w:rPr>
        <w:br w:type="page"/>
      </w:r>
      <w:bookmarkStart w:id="564" w:name="_Toc23708"/>
      <w:bookmarkStart w:id="565" w:name="_Toc26909"/>
      <w:bookmarkStart w:id="566" w:name="_Toc26354"/>
      <w:bookmarkStart w:id="567" w:name="_Toc10431"/>
      <w:r>
        <w:rPr>
          <w:rFonts w:hint="eastAsia" w:ascii="宋体" w:hAnsi="宋体" w:cs="宋体"/>
          <w:b w:val="0"/>
          <w:bCs w:val="0"/>
          <w:color w:val="auto"/>
          <w:sz w:val="44"/>
          <w:szCs w:val="44"/>
          <w:highlight w:val="none"/>
        </w:rPr>
        <w:t>三、商务部分</w:t>
      </w:r>
      <w:bookmarkEnd w:id="564"/>
      <w:bookmarkEnd w:id="565"/>
      <w:bookmarkEnd w:id="566"/>
      <w:bookmarkEnd w:id="567"/>
    </w:p>
    <w:p>
      <w:pPr>
        <w:tabs>
          <w:tab w:val="left" w:pos="3280"/>
          <w:tab w:val="left" w:pos="4680"/>
          <w:tab w:val="left" w:pos="6080"/>
        </w:tabs>
        <w:autoSpaceDE w:val="0"/>
        <w:autoSpaceDN w:val="0"/>
        <w:adjustRightInd w:val="0"/>
        <w:snapToGrid w:val="0"/>
        <w:spacing w:after="156" w:afterLines="50" w:line="360" w:lineRule="auto"/>
        <w:jc w:val="center"/>
        <w:outlineLvl w:val="1"/>
        <w:rPr>
          <w:rFonts w:hint="eastAsia" w:ascii="宋体" w:hAnsi="宋体" w:cs="宋体"/>
          <w:color w:val="auto"/>
          <w:kern w:val="0"/>
          <w:sz w:val="24"/>
          <w:szCs w:val="21"/>
          <w:highlight w:val="none"/>
        </w:rPr>
      </w:pPr>
      <w:r>
        <w:rPr>
          <w:rFonts w:hint="eastAsia" w:ascii="宋体" w:hAnsi="宋体" w:cs="宋体"/>
          <w:color w:val="auto"/>
          <w:kern w:val="0"/>
          <w:sz w:val="28"/>
          <w:szCs w:val="28"/>
          <w:highlight w:val="none"/>
        </w:rPr>
        <w:br w:type="page"/>
      </w:r>
    </w:p>
    <w:p>
      <w:pPr>
        <w:autoSpaceDE w:val="0"/>
        <w:autoSpaceDN w:val="0"/>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cs="宋体"/>
          <w:color w:val="auto"/>
          <w:kern w:val="0"/>
          <w:szCs w:val="21"/>
          <w:highlight w:val="none"/>
        </w:rPr>
      </w:pPr>
    </w:p>
    <w:p>
      <w:pPr>
        <w:autoSpaceDE w:val="0"/>
        <w:autoSpaceDN w:val="0"/>
        <w:adjustRightInd w:val="0"/>
        <w:snapToGrid w:val="0"/>
        <w:spacing w:line="360" w:lineRule="auto"/>
        <w:jc w:val="center"/>
        <w:rPr>
          <w:rFonts w:hint="eastAsia" w:ascii="宋体" w:hAnsi="宋体" w:cs="宋体"/>
          <w:i/>
          <w:iCs/>
          <w:color w:val="auto"/>
          <w:kern w:val="0"/>
          <w:szCs w:val="21"/>
          <w:highlight w:val="none"/>
        </w:rPr>
      </w:pPr>
      <w:r>
        <w:rPr>
          <w:rFonts w:hint="eastAsia" w:ascii="宋体" w:hAnsi="宋体" w:cs="宋体"/>
          <w:i/>
          <w:iCs/>
          <w:color w:val="auto"/>
          <w:kern w:val="0"/>
          <w:szCs w:val="21"/>
          <w:highlight w:val="none"/>
        </w:rPr>
        <w:t>[目录由投标人自行编制]</w:t>
      </w:r>
    </w:p>
    <w:p>
      <w:pPr>
        <w:pStyle w:val="4"/>
        <w:spacing w:line="360" w:lineRule="auto"/>
        <w:rPr>
          <w:rFonts w:hint="eastAsia" w:ascii="宋体" w:hAnsi="宋体" w:cs="宋体"/>
          <w:color w:val="auto"/>
          <w:highlight w:val="none"/>
        </w:rPr>
      </w:pPr>
      <w:r>
        <w:rPr>
          <w:rFonts w:hint="eastAsia" w:ascii="宋体" w:hAnsi="宋体" w:cs="宋体"/>
          <w:color w:val="auto"/>
          <w:szCs w:val="21"/>
          <w:highlight w:val="none"/>
        </w:rPr>
        <w:br w:type="page"/>
      </w:r>
    </w:p>
    <w:p>
      <w:pPr>
        <w:pStyle w:val="4"/>
        <w:spacing w:line="360" w:lineRule="auto"/>
        <w:jc w:val="center"/>
        <w:rPr>
          <w:rFonts w:hint="eastAsia" w:ascii="宋体" w:hAnsi="宋体" w:cs="宋体"/>
          <w:b w:val="0"/>
          <w:bCs w:val="0"/>
          <w:color w:val="auto"/>
          <w:sz w:val="44"/>
          <w:szCs w:val="44"/>
          <w:highlight w:val="none"/>
        </w:rPr>
      </w:pPr>
      <w:bookmarkStart w:id="568" w:name="_Toc26656"/>
      <w:bookmarkStart w:id="569" w:name="_Toc27790"/>
      <w:r>
        <w:rPr>
          <w:rFonts w:hint="eastAsia" w:ascii="宋体" w:hAnsi="宋体" w:cs="宋体"/>
          <w:color w:val="auto"/>
          <w:sz w:val="44"/>
          <w:szCs w:val="44"/>
          <w:highlight w:val="none"/>
        </w:rPr>
        <w:t>四、</w:t>
      </w:r>
      <w:r>
        <w:rPr>
          <w:rFonts w:hint="eastAsia" w:ascii="宋体" w:hAnsi="宋体" w:cs="宋体"/>
          <w:b w:val="0"/>
          <w:bCs w:val="0"/>
          <w:color w:val="auto"/>
          <w:sz w:val="44"/>
          <w:szCs w:val="44"/>
          <w:highlight w:val="none"/>
        </w:rPr>
        <w:t>技术部分</w:t>
      </w:r>
      <w:bookmarkEnd w:id="568"/>
      <w:bookmarkEnd w:id="569"/>
    </w:p>
    <w:p>
      <w:pPr>
        <w:jc w:val="center"/>
        <w:rPr>
          <w:rFonts w:hint="eastAsia" w:ascii="宋体" w:hAnsi="宋体" w:cs="宋体"/>
          <w:i/>
          <w:iCs/>
          <w:color w:val="auto"/>
          <w:highlight w:val="none"/>
        </w:rPr>
      </w:pPr>
    </w:p>
    <w:p>
      <w:pPr>
        <w:jc w:val="center"/>
        <w:rPr>
          <w:rFonts w:hint="eastAsia" w:ascii="宋体" w:hAnsi="宋体" w:cs="宋体"/>
          <w:color w:val="auto"/>
          <w:highlight w:val="none"/>
        </w:rPr>
      </w:pPr>
    </w:p>
    <w:p>
      <w:pPr>
        <w:autoSpaceDE w:val="0"/>
        <w:autoSpaceDN w:val="0"/>
        <w:adjustRightInd w:val="0"/>
        <w:snapToGrid w:val="0"/>
        <w:spacing w:line="360" w:lineRule="auto"/>
        <w:jc w:val="center"/>
        <w:rPr>
          <w:rFonts w:ascii="宋体" w:hAnsi="宋体" w:cs="宋体"/>
          <w:color w:val="auto"/>
          <w:sz w:val="44"/>
          <w:szCs w:val="44"/>
          <w:highlight w:val="none"/>
        </w:rPr>
      </w:pPr>
    </w:p>
    <w:p>
      <w:pPr>
        <w:autoSpaceDE w:val="0"/>
        <w:autoSpaceDN w:val="0"/>
        <w:adjustRightInd w:val="0"/>
        <w:snapToGrid w:val="0"/>
        <w:spacing w:line="360" w:lineRule="auto"/>
        <w:jc w:val="center"/>
        <w:rPr>
          <w:rFonts w:hint="eastAsia" w:ascii="宋体" w:hAnsi="宋体" w:cs="宋体"/>
          <w:color w:val="auto"/>
          <w:kern w:val="0"/>
          <w:sz w:val="32"/>
          <w:szCs w:val="32"/>
          <w:highlight w:val="none"/>
        </w:rPr>
      </w:pPr>
      <w:r>
        <w:rPr>
          <w:rFonts w:ascii="宋体" w:hAnsi="宋体" w:cs="宋体"/>
          <w:color w:val="auto"/>
          <w:sz w:val="44"/>
          <w:szCs w:val="44"/>
          <w:highlight w:val="none"/>
        </w:rPr>
        <w:br w:type="page"/>
      </w:r>
      <w:r>
        <w:rPr>
          <w:rFonts w:hint="eastAsia" w:ascii="宋体" w:hAnsi="宋体" w:cs="宋体"/>
          <w:color w:val="auto"/>
          <w:kern w:val="0"/>
          <w:sz w:val="36"/>
          <w:szCs w:val="36"/>
          <w:highlight w:val="none"/>
        </w:rPr>
        <w:t>目  录</w:t>
      </w:r>
    </w:p>
    <w:p>
      <w:pPr>
        <w:pStyle w:val="2"/>
        <w:rPr>
          <w:rFonts w:hint="eastAsia" w:ascii="宋体" w:hAnsi="宋体" w:cs="宋体"/>
          <w:color w:val="auto"/>
          <w:highlight w:val="none"/>
        </w:rPr>
      </w:pPr>
    </w:p>
    <w:p>
      <w:pPr>
        <w:autoSpaceDE w:val="0"/>
        <w:autoSpaceDN w:val="0"/>
        <w:adjustRightInd w:val="0"/>
        <w:snapToGrid w:val="0"/>
        <w:spacing w:line="360" w:lineRule="auto"/>
        <w:jc w:val="center"/>
        <w:rPr>
          <w:rFonts w:hint="eastAsia" w:ascii="宋体" w:hAnsi="宋体" w:cs="宋体"/>
          <w:i/>
          <w:iCs/>
          <w:color w:val="auto"/>
          <w:kern w:val="0"/>
          <w:szCs w:val="21"/>
          <w:highlight w:val="none"/>
        </w:rPr>
      </w:pPr>
      <w:r>
        <w:rPr>
          <w:rFonts w:hint="eastAsia" w:ascii="宋体" w:hAnsi="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cs="宋体"/>
          <w:color w:val="auto"/>
          <w:kern w:val="0"/>
          <w:szCs w:val="21"/>
          <w:highlight w:val="none"/>
        </w:rPr>
      </w:pPr>
    </w:p>
    <w:p>
      <w:pPr>
        <w:pStyle w:val="5"/>
        <w:spacing w:before="0" w:after="0" w:line="24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bookmarkStart w:id="570" w:name="_Toc19496"/>
      <w:bookmarkStart w:id="571" w:name="_Toc29300"/>
      <w:r>
        <w:rPr>
          <w:rFonts w:hint="eastAsia" w:ascii="宋体" w:hAnsi="宋体" w:cs="宋体"/>
          <w:b w:val="0"/>
          <w:bCs w:val="0"/>
          <w:color w:val="auto"/>
          <w:sz w:val="36"/>
          <w:szCs w:val="36"/>
          <w:highlight w:val="none"/>
        </w:rPr>
        <w:t>（一）</w:t>
      </w:r>
      <w:r>
        <w:rPr>
          <w:rFonts w:hint="eastAsia" w:ascii="宋体" w:hAnsi="宋体" w:cs="宋体"/>
          <w:b w:val="0"/>
          <w:bCs w:val="0"/>
          <w:color w:val="auto"/>
          <w:highlight w:val="none"/>
        </w:rPr>
        <w:t>技术方案</w:t>
      </w:r>
      <w:bookmarkEnd w:id="570"/>
      <w:bookmarkEnd w:id="571"/>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pStyle w:val="2"/>
        <w:spacing w:line="360" w:lineRule="auto"/>
        <w:ind w:firstLine="420" w:firstLineChars="200"/>
        <w:jc w:val="center"/>
        <w:rPr>
          <w:rFonts w:hint="eastAsia" w:ascii="宋体" w:hAnsi="宋体" w:cs="宋体"/>
          <w:i/>
          <w:color w:val="auto"/>
          <w:kern w:val="0"/>
          <w:highlight w:val="none"/>
        </w:rPr>
      </w:pPr>
      <w:r>
        <w:rPr>
          <w:rFonts w:hint="eastAsia" w:ascii="宋体" w:hAnsi="宋体" w:cs="宋体"/>
          <w:i/>
          <w:color w:val="auto"/>
          <w:kern w:val="0"/>
          <w:highlight w:val="none"/>
        </w:rPr>
        <w:t>[投标人应根据招标文件的要求编制技术方案]</w:t>
      </w:r>
    </w:p>
    <w:p>
      <w:pPr>
        <w:pStyle w:val="2"/>
        <w:spacing w:beforeLines="0" w:after="0" w:afterLines="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投标人应按以下要点编制技术方案（文字宜精炼、内容具有针对性）：</w:t>
      </w:r>
    </w:p>
    <w:p>
      <w:pPr>
        <w:pStyle w:val="4"/>
        <w:spacing w:before="0" w:after="0" w:line="360" w:lineRule="auto"/>
        <w:ind w:firstLine="420" w:firstLineChars="200"/>
        <w:jc w:val="left"/>
        <w:rPr>
          <w:rFonts w:hint="eastAsia" w:ascii="宋体" w:hAnsi="宋体" w:cs="宋体"/>
          <w:b w:val="0"/>
          <w:bCs w:val="0"/>
          <w:color w:val="auto"/>
          <w:kern w:val="2"/>
          <w:sz w:val="21"/>
          <w:szCs w:val="21"/>
          <w:highlight w:val="none"/>
          <w:lang w:bidi="ar"/>
        </w:rPr>
      </w:pPr>
      <w:bookmarkStart w:id="572" w:name="_Toc4543"/>
      <w:r>
        <w:rPr>
          <w:rFonts w:hint="eastAsia" w:ascii="宋体" w:hAnsi="宋体" w:cs="宋体"/>
          <w:b w:val="0"/>
          <w:bCs w:val="0"/>
          <w:color w:val="auto"/>
          <w:kern w:val="2"/>
          <w:sz w:val="21"/>
          <w:szCs w:val="21"/>
          <w:highlight w:val="none"/>
          <w:lang w:val="en-US" w:eastAsia="zh-CN" w:bidi="ar"/>
        </w:rPr>
        <w:t>1.</w:t>
      </w:r>
      <w:r>
        <w:rPr>
          <w:rFonts w:hint="eastAsia" w:ascii="宋体" w:hAnsi="宋体" w:cs="宋体"/>
          <w:b w:val="0"/>
          <w:bCs w:val="0"/>
          <w:color w:val="auto"/>
          <w:kern w:val="2"/>
          <w:sz w:val="21"/>
          <w:szCs w:val="21"/>
          <w:highlight w:val="none"/>
          <w:lang w:bidi="ar"/>
        </w:rPr>
        <w:t>现场机构设置</w:t>
      </w:r>
      <w:bookmarkEnd w:id="572"/>
    </w:p>
    <w:p>
      <w:pPr>
        <w:pStyle w:val="4"/>
        <w:spacing w:before="0" w:after="0" w:line="360" w:lineRule="auto"/>
        <w:ind w:firstLine="420" w:firstLineChars="200"/>
        <w:jc w:val="left"/>
        <w:rPr>
          <w:rFonts w:hint="eastAsia" w:ascii="宋体" w:hAnsi="宋体" w:cs="宋体"/>
          <w:b w:val="0"/>
          <w:bCs w:val="0"/>
          <w:color w:val="auto"/>
          <w:kern w:val="2"/>
          <w:sz w:val="21"/>
          <w:szCs w:val="21"/>
          <w:highlight w:val="none"/>
          <w:lang w:bidi="ar"/>
        </w:rPr>
      </w:pPr>
      <w:bookmarkStart w:id="573" w:name="_Toc342"/>
      <w:r>
        <w:rPr>
          <w:rFonts w:hint="eastAsia" w:ascii="宋体" w:hAnsi="宋体" w:cs="宋体"/>
          <w:b w:val="0"/>
          <w:bCs w:val="0"/>
          <w:color w:val="auto"/>
          <w:kern w:val="2"/>
          <w:sz w:val="21"/>
          <w:szCs w:val="21"/>
          <w:highlight w:val="none"/>
          <w:lang w:val="en-US" w:eastAsia="zh-CN" w:bidi="ar"/>
        </w:rPr>
        <w:t>2.</w:t>
      </w:r>
      <w:r>
        <w:rPr>
          <w:rFonts w:hint="eastAsia" w:ascii="宋体" w:hAnsi="宋体" w:cs="宋体"/>
          <w:b w:val="0"/>
          <w:bCs w:val="0"/>
          <w:color w:val="auto"/>
          <w:kern w:val="2"/>
          <w:sz w:val="21"/>
          <w:szCs w:val="21"/>
          <w:highlight w:val="none"/>
          <w:lang w:bidi="ar"/>
        </w:rPr>
        <w:t>维护实施方案</w:t>
      </w:r>
      <w:bookmarkEnd w:id="573"/>
    </w:p>
    <w:p>
      <w:pPr>
        <w:pStyle w:val="4"/>
        <w:spacing w:before="0" w:after="0" w:line="360" w:lineRule="auto"/>
        <w:ind w:firstLine="420" w:firstLineChars="200"/>
        <w:jc w:val="left"/>
        <w:rPr>
          <w:rFonts w:hint="eastAsia" w:ascii="宋体" w:hAnsi="宋体" w:cs="宋体"/>
          <w:b w:val="0"/>
          <w:bCs w:val="0"/>
          <w:color w:val="auto"/>
          <w:kern w:val="2"/>
          <w:sz w:val="21"/>
          <w:szCs w:val="21"/>
          <w:highlight w:val="none"/>
          <w:lang w:bidi="ar"/>
        </w:rPr>
      </w:pPr>
      <w:bookmarkStart w:id="574" w:name="_Toc26843"/>
      <w:r>
        <w:rPr>
          <w:rFonts w:hint="eastAsia" w:ascii="宋体" w:hAnsi="宋体" w:cs="宋体"/>
          <w:b w:val="0"/>
          <w:bCs w:val="0"/>
          <w:color w:val="auto"/>
          <w:kern w:val="2"/>
          <w:sz w:val="21"/>
          <w:szCs w:val="21"/>
          <w:highlight w:val="none"/>
          <w:lang w:val="en-US" w:eastAsia="zh-CN" w:bidi="ar"/>
        </w:rPr>
        <w:t>3.</w:t>
      </w:r>
      <w:r>
        <w:rPr>
          <w:rFonts w:hint="eastAsia" w:ascii="宋体" w:hAnsi="宋体" w:cs="宋体"/>
          <w:b w:val="0"/>
          <w:bCs w:val="0"/>
          <w:color w:val="auto"/>
          <w:kern w:val="2"/>
          <w:sz w:val="21"/>
          <w:szCs w:val="21"/>
          <w:highlight w:val="none"/>
          <w:lang w:bidi="ar"/>
        </w:rPr>
        <w:t>突发事件应急预案和保障措施</w:t>
      </w:r>
      <w:bookmarkEnd w:id="574"/>
    </w:p>
    <w:p>
      <w:pPr>
        <w:pStyle w:val="4"/>
        <w:spacing w:line="360" w:lineRule="auto"/>
        <w:ind w:firstLine="643" w:firstLineChars="200"/>
        <w:jc w:val="center"/>
        <w:rPr>
          <w:rFonts w:ascii="宋体" w:hAnsi="宋体" w:cs="宋体"/>
          <w:color w:val="auto"/>
          <w:sz w:val="44"/>
          <w:szCs w:val="44"/>
          <w:highlight w:val="none"/>
        </w:rPr>
      </w:pPr>
      <w:r>
        <w:rPr>
          <w:rFonts w:hint="eastAsia" w:ascii="宋体" w:hAnsi="宋体" w:cs="宋体"/>
          <w:color w:val="auto"/>
          <w:highlight w:val="none"/>
        </w:rPr>
        <w:br w:type="page"/>
      </w:r>
      <w:bookmarkStart w:id="575" w:name="_Toc29537"/>
      <w:bookmarkStart w:id="576" w:name="_Toc30982"/>
      <w:r>
        <w:rPr>
          <w:rFonts w:hint="eastAsia" w:ascii="宋体" w:hAnsi="宋体" w:cs="宋体"/>
          <w:b w:val="0"/>
          <w:bCs w:val="0"/>
          <w:color w:val="auto"/>
          <w:sz w:val="44"/>
          <w:szCs w:val="44"/>
          <w:highlight w:val="none"/>
        </w:rPr>
        <w:t>五、资格审查资料</w:t>
      </w:r>
      <w:bookmarkEnd w:id="575"/>
      <w:bookmarkEnd w:id="576"/>
    </w:p>
    <w:p>
      <w:pPr>
        <w:tabs>
          <w:tab w:val="left" w:pos="3280"/>
          <w:tab w:val="left" w:pos="4680"/>
          <w:tab w:val="left" w:pos="6080"/>
        </w:tabs>
        <w:autoSpaceDE w:val="0"/>
        <w:autoSpaceDN w:val="0"/>
        <w:adjustRightInd w:val="0"/>
        <w:snapToGrid w:val="0"/>
        <w:spacing w:line="480" w:lineRule="auto"/>
        <w:jc w:val="center"/>
        <w:rPr>
          <w:rFonts w:hint="eastAsia" w:ascii="宋体" w:hAnsi="宋体" w:cs="宋体"/>
          <w:b/>
          <w:color w:val="auto"/>
          <w:kern w:val="0"/>
          <w:sz w:val="28"/>
          <w:szCs w:val="28"/>
          <w:highlight w:val="none"/>
        </w:rPr>
      </w:pPr>
      <w:r>
        <w:rPr>
          <w:rFonts w:ascii="宋体" w:hAnsi="宋体" w:cs="宋体"/>
          <w:color w:val="auto"/>
          <w:sz w:val="32"/>
          <w:szCs w:val="32"/>
          <w:highlight w:val="none"/>
        </w:rPr>
        <w:br w:type="page"/>
      </w:r>
    </w:p>
    <w:p>
      <w:pPr>
        <w:autoSpaceDE w:val="0"/>
        <w:autoSpaceDN w:val="0"/>
        <w:adjustRightInd w:val="0"/>
        <w:snapToGrid w:val="0"/>
        <w:jc w:val="center"/>
        <w:rPr>
          <w:rFonts w:hint="eastAsia" w:ascii="宋体" w:hAnsi="宋体" w:cs="宋体"/>
          <w:color w:val="auto"/>
          <w:kern w:val="0"/>
          <w:sz w:val="36"/>
          <w:szCs w:val="36"/>
          <w:highlight w:val="none"/>
        </w:rPr>
      </w:pPr>
    </w:p>
    <w:p>
      <w:pPr>
        <w:autoSpaceDE w:val="0"/>
        <w:autoSpaceDN w:val="0"/>
        <w:adjustRightInd w:val="0"/>
        <w:snapToGrid w:val="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pPr>
        <w:spacing w:line="360" w:lineRule="auto"/>
        <w:jc w:val="center"/>
        <w:rPr>
          <w:rFonts w:hint="eastAsia" w:ascii="宋体" w:hAnsi="宋体" w:cs="宋体"/>
          <w:b/>
          <w:color w:val="auto"/>
          <w:kern w:val="0"/>
          <w:sz w:val="32"/>
          <w:szCs w:val="32"/>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（二）投标人基本情况表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（三）项目管理机构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四</w:t>
      </w:r>
      <w:r>
        <w:rPr>
          <w:rFonts w:hint="eastAsia" w:ascii="宋体" w:hAnsi="宋体" w:cs="宋体"/>
          <w:color w:val="auto"/>
          <w:highlight w:val="none"/>
        </w:rPr>
        <w:t>）承诺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五</w:t>
      </w:r>
      <w:r>
        <w:rPr>
          <w:rFonts w:hint="eastAsia" w:ascii="宋体" w:hAnsi="宋体" w:cs="宋体"/>
          <w:color w:val="auto"/>
          <w:highlight w:val="none"/>
        </w:rPr>
        <w:t>）其他资料</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pStyle w:val="2"/>
        <w:rPr>
          <w:rFonts w:hint="eastAsia" w:ascii="宋体" w:hAnsi="宋体" w:cs="宋体"/>
          <w:color w:val="auto"/>
          <w:highlight w:val="none"/>
        </w:rPr>
      </w:pPr>
    </w:p>
    <w:p>
      <w:pPr>
        <w:pStyle w:val="5"/>
        <w:spacing w:before="0" w:after="0" w:line="240" w:lineRule="auto"/>
        <w:jc w:val="center"/>
        <w:rPr>
          <w:rFonts w:hint="eastAsia" w:ascii="宋体" w:hAnsi="宋体" w:cs="宋体"/>
          <w:color w:val="auto"/>
          <w:sz w:val="36"/>
          <w:szCs w:val="36"/>
          <w:highlight w:val="none"/>
        </w:rPr>
      </w:pPr>
      <w:r>
        <w:rPr>
          <w:rFonts w:hint="eastAsia" w:ascii="宋体" w:hAnsi="宋体" w:cs="宋体"/>
          <w:b w:val="0"/>
          <w:bCs w:val="0"/>
          <w:color w:val="auto"/>
          <w:highlight w:val="none"/>
        </w:rPr>
        <w:br w:type="page"/>
      </w:r>
      <w:bookmarkStart w:id="577" w:name="_Toc24955"/>
      <w:bookmarkStart w:id="578" w:name="_Toc9402"/>
      <w:r>
        <w:rPr>
          <w:rFonts w:hint="eastAsia" w:ascii="宋体" w:hAnsi="宋体" w:cs="宋体"/>
          <w:b w:val="0"/>
          <w:bCs w:val="0"/>
          <w:color w:val="auto"/>
          <w:highlight w:val="none"/>
        </w:rPr>
        <w:t>（一）法定代表人身份证明或附有法定代表人身份证明的授权委托书</w:t>
      </w:r>
      <w:bookmarkEnd w:id="577"/>
      <w:bookmarkEnd w:id="578"/>
    </w:p>
    <w:p>
      <w:pPr>
        <w:spacing w:line="480" w:lineRule="auto"/>
        <w:jc w:val="center"/>
        <w:rPr>
          <w:rFonts w:hint="eastAsia" w:ascii="宋体" w:hAnsi="宋体" w:cs="宋体"/>
          <w:color w:val="auto"/>
          <w:sz w:val="28"/>
          <w:highlight w:val="none"/>
        </w:rPr>
      </w:pPr>
      <w:r>
        <w:rPr>
          <w:rFonts w:hint="eastAsia" w:ascii="宋体" w:hAnsi="宋体" w:cs="宋体"/>
          <w:color w:val="auto"/>
          <w:sz w:val="28"/>
          <w:highlight w:val="none"/>
        </w:rPr>
        <w:t>法定代表人身份证明</w:t>
      </w:r>
    </w:p>
    <w:p>
      <w:pPr>
        <w:spacing w:line="480" w:lineRule="auto"/>
        <w:jc w:val="center"/>
        <w:rPr>
          <w:rFonts w:hint="eastAsia" w:ascii="宋体" w:hAnsi="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w:t>
      </w:r>
      <w:r>
        <w:rPr>
          <w:rFonts w:hint="eastAsia" w:ascii="宋体" w:hAnsi="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s="宋体"/>
          <w:color w:val="auto"/>
          <w:szCs w:val="21"/>
          <w:highlight w:val="none"/>
        </w:rPr>
      </w:pPr>
    </w:p>
    <w:p>
      <w:pPr>
        <w:pStyle w:val="2"/>
        <w:spacing w:after="0" w:line="360" w:lineRule="auto"/>
        <w:rPr>
          <w:rFonts w:hint="eastAsia" w:ascii="宋体" w:hAnsi="宋体" w:cs="宋体"/>
          <w:color w:val="auto"/>
          <w:highlight w:val="none"/>
        </w:rPr>
      </w:pPr>
    </w:p>
    <w:p>
      <w:pPr>
        <w:pStyle w:val="2"/>
        <w:spacing w:after="0" w:line="360" w:lineRule="auto"/>
        <w:rPr>
          <w:rFonts w:hint="eastAsia" w:ascii="宋体" w:hAnsi="宋体" w:cs="宋体"/>
          <w:color w:val="auto"/>
          <w:highlight w:val="none"/>
        </w:rPr>
      </w:pPr>
    </w:p>
    <w:p>
      <w:pPr>
        <w:pStyle w:val="2"/>
        <w:spacing w:after="0" w:line="360" w:lineRule="auto"/>
        <w:rPr>
          <w:rFonts w:hint="eastAsia" w:ascii="宋体" w:hAnsi="宋体" w:cs="宋体"/>
          <w:color w:val="auto"/>
          <w:highlight w:val="none"/>
        </w:rPr>
      </w:pPr>
    </w:p>
    <w:p>
      <w:pPr>
        <w:pStyle w:val="2"/>
        <w:spacing w:after="0" w:line="360" w:lineRule="auto"/>
        <w:rPr>
          <w:rFonts w:hint="eastAsia" w:ascii="宋体" w:hAnsi="宋体" w:cs="宋体"/>
          <w:color w:val="auto"/>
          <w:highlight w:val="none"/>
        </w:rPr>
      </w:pPr>
    </w:p>
    <w:p>
      <w:pPr>
        <w:pStyle w:val="2"/>
        <w:spacing w:after="0" w:line="360" w:lineRule="auto"/>
        <w:rPr>
          <w:rFonts w:hint="eastAsia" w:ascii="宋体" w:hAnsi="宋体" w:cs="宋体"/>
          <w:color w:val="auto"/>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s="宋体"/>
          <w:color w:val="auto"/>
          <w:kern w:val="0"/>
          <w:szCs w:val="21"/>
          <w:highlight w:val="none"/>
        </w:rPr>
      </w:pPr>
      <w:r>
        <w:rPr>
          <w:rFonts w:hint="eastAsia" w:ascii="宋体" w:hAnsi="宋体" w:cs="宋体"/>
          <w:color w:val="auto"/>
          <w:highlight w:val="none"/>
        </w:rPr>
        <w:t>注：法定代表人身份证明需按上述格式填写完整，不可缺少内容。在此基础上增加内容的不影响其有效性</w:t>
      </w:r>
      <w:r>
        <w:rPr>
          <w:rFonts w:hint="eastAsia" w:ascii="宋体" w:hAnsi="宋体" w:cs="宋体"/>
          <w:color w:val="auto"/>
          <w:kern w:val="0"/>
          <w:szCs w:val="21"/>
          <w:highlight w:val="none"/>
        </w:rPr>
        <w:t>。</w:t>
      </w:r>
    </w:p>
    <w:bookmarkEnd w:id="433"/>
    <w:bookmarkEnd w:id="434"/>
    <w:bookmarkEnd w:id="435"/>
    <w:bookmarkEnd w:id="557"/>
    <w:bookmarkEnd w:id="558"/>
    <w:bookmarkEnd w:id="559"/>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bookmarkStart w:id="579" w:name="_Toc27983327"/>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首讯公司2025年软件运维劳务分包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79"/>
    <w:p>
      <w:pPr>
        <w:spacing w:before="0" w:after="0" w:line="240" w:lineRule="auto"/>
        <w:jc w:val="center"/>
        <w:rPr>
          <w:rFonts w:hint="eastAsia" w:ascii="宋体" w:hAnsi="宋体" w:eastAsia="宋体" w:cs="宋体"/>
          <w:b w:val="0"/>
          <w:bCs w:val="0"/>
          <w:color w:val="auto"/>
          <w:highlight w:val="none"/>
        </w:rPr>
      </w:pPr>
      <w:bookmarkStart w:id="580" w:name="_Toc33106478"/>
      <w:bookmarkStart w:id="581" w:name="_Toc5739"/>
    </w:p>
    <w:p>
      <w:pPr>
        <w:pStyle w:val="5"/>
        <w:spacing w:before="0" w:after="0" w:line="240" w:lineRule="auto"/>
        <w:jc w:val="center"/>
        <w:rPr>
          <w:rFonts w:hint="eastAsia" w:ascii="宋体" w:hAnsi="宋体" w:eastAsia="宋体" w:cs="宋体"/>
          <w:color w:val="auto"/>
          <w:highlight w:val="none"/>
        </w:rPr>
      </w:pPr>
      <w:bookmarkStart w:id="582" w:name="_Toc20400"/>
      <w:bookmarkStart w:id="583" w:name="_Toc8544"/>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580"/>
      <w:bookmarkEnd w:id="581"/>
      <w:bookmarkEnd w:id="582"/>
      <w:bookmarkEnd w:id="583"/>
    </w:p>
    <w:tbl>
      <w:tblPr>
        <w:tblStyle w:val="3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技术负责人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584" w:name="_Toc12042"/>
      <w:bookmarkStart w:id="585" w:name="_Toc33106479"/>
      <w:bookmarkStart w:id="586" w:name="_Toc1324"/>
      <w:bookmarkStart w:id="587" w:name="_Toc16655"/>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）项目管理机构</w:t>
      </w:r>
      <w:bookmarkEnd w:id="584"/>
      <w:bookmarkEnd w:id="585"/>
      <w:bookmarkEnd w:id="586"/>
      <w:bookmarkEnd w:id="587"/>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eastAsia="宋体" w:cs="宋体"/>
                <w:color w:val="auto"/>
                <w:kern w:val="0"/>
                <w:szCs w:val="21"/>
                <w:highlight w:val="none"/>
                <w:lang w:val="en-US" w:eastAsia="zh-CN"/>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both"/>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注：本表</w:t>
      </w:r>
      <w:r>
        <w:rPr>
          <w:rFonts w:hint="eastAsia" w:ascii="宋体" w:hAnsi="宋体" w:cs="宋体"/>
          <w:color w:val="auto"/>
          <w:szCs w:val="21"/>
          <w:highlight w:val="none"/>
          <w:lang w:val="en-US" w:eastAsia="zh-CN"/>
        </w:rPr>
        <w:t>按照投标人须知前附表1.4.1要求</w:t>
      </w:r>
      <w:r>
        <w:rPr>
          <w:rFonts w:hint="eastAsia" w:ascii="宋体" w:hAnsi="宋体" w:eastAsia="宋体" w:cs="宋体"/>
          <w:color w:val="auto"/>
          <w:szCs w:val="21"/>
          <w:highlight w:val="none"/>
        </w:rPr>
        <w:t>填</w:t>
      </w:r>
      <w:r>
        <w:rPr>
          <w:rFonts w:hint="eastAsia" w:ascii="宋体" w:hAnsi="宋体" w:cs="宋体"/>
          <w:color w:val="auto"/>
          <w:szCs w:val="21"/>
          <w:highlight w:val="none"/>
          <w:lang w:val="en-US" w:eastAsia="zh-CN"/>
        </w:rPr>
        <w:t>写</w:t>
      </w:r>
      <w:r>
        <w:rPr>
          <w:rFonts w:hint="eastAsia" w:ascii="宋体" w:hAnsi="宋体" w:eastAsia="宋体" w:cs="宋体"/>
          <w:color w:val="auto"/>
          <w:szCs w:val="21"/>
          <w:highlight w:val="none"/>
        </w:rPr>
        <w:t>软件开发或维护人员</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rPr>
        <w:t>相关信息</w:t>
      </w:r>
      <w:r>
        <w:rPr>
          <w:rFonts w:hint="eastAsia" w:ascii="宋体" w:hAnsi="宋体" w:cs="宋体"/>
          <w:color w:val="auto"/>
          <w:szCs w:val="21"/>
          <w:highlight w:val="none"/>
          <w:lang w:eastAsia="zh-CN"/>
        </w:rPr>
        <w:t>。</w:t>
      </w: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软件开发或维护人员简历表</w:t>
      </w:r>
    </w:p>
    <w:tbl>
      <w:tblPr>
        <w:tblStyle w:val="36"/>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588" w:name="_Toc224103515"/>
    </w:p>
    <w:bookmarkEnd w:id="588"/>
    <w:p>
      <w:pPr>
        <w:pStyle w:val="5"/>
        <w:spacing w:before="0" w:line="360" w:lineRule="auto"/>
        <w:jc w:val="center"/>
        <w:rPr>
          <w:rFonts w:hint="eastAsia" w:ascii="宋体" w:hAnsi="宋体" w:eastAsia="宋体" w:cs="宋体"/>
          <w:b w:val="0"/>
          <w:color w:val="auto"/>
          <w:highlight w:val="none"/>
        </w:rPr>
      </w:pPr>
      <w:bookmarkStart w:id="589" w:name="_Toc287607889"/>
      <w:bookmarkStart w:id="590" w:name="_Toc277082661"/>
      <w:bookmarkStart w:id="591" w:name="_Toc27983330"/>
      <w:bookmarkStart w:id="592" w:name="_Toc287620835"/>
      <w:bookmarkStart w:id="593" w:name="_Toc534185842"/>
      <w:bookmarkStart w:id="594" w:name="_Toc224103516"/>
      <w:bookmarkStart w:id="595" w:name="_Toc430530551"/>
      <w:bookmarkStart w:id="596" w:name="_Toc509218865"/>
      <w:r>
        <w:rPr>
          <w:rFonts w:hint="eastAsia" w:ascii="宋体" w:hAnsi="宋体" w:eastAsia="宋体" w:cs="宋体"/>
          <w:bCs w:val="0"/>
          <w:color w:val="auto"/>
          <w:szCs w:val="28"/>
          <w:highlight w:val="none"/>
        </w:rPr>
        <w:br w:type="page"/>
      </w:r>
      <w:bookmarkEnd w:id="589"/>
      <w:bookmarkEnd w:id="590"/>
      <w:bookmarkEnd w:id="591"/>
      <w:bookmarkEnd w:id="592"/>
      <w:bookmarkEnd w:id="593"/>
      <w:bookmarkEnd w:id="594"/>
      <w:bookmarkEnd w:id="595"/>
      <w:bookmarkEnd w:id="596"/>
      <w:bookmarkStart w:id="597" w:name="_Toc27983331"/>
      <w:bookmarkStart w:id="598" w:name="_Toc430530552"/>
      <w:bookmarkStart w:id="599" w:name="_Toc224103520"/>
      <w:bookmarkStart w:id="600" w:name="_Toc277082663"/>
      <w:bookmarkStart w:id="601" w:name="_Toc534185843"/>
      <w:bookmarkStart w:id="602" w:name="_Toc509218866"/>
      <w:bookmarkStart w:id="603" w:name="_Toc287620839"/>
      <w:bookmarkStart w:id="604" w:name="_Toc287607893"/>
      <w:bookmarkStart w:id="605" w:name="_Toc461"/>
      <w:bookmarkStart w:id="606" w:name="_Toc32664"/>
      <w:bookmarkStart w:id="607" w:name="_Toc19829"/>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四</w:t>
      </w:r>
      <w:r>
        <w:rPr>
          <w:rFonts w:hint="eastAsia" w:ascii="宋体" w:hAnsi="宋体" w:eastAsia="宋体" w:cs="宋体"/>
          <w:b w:val="0"/>
          <w:color w:val="auto"/>
          <w:highlight w:val="none"/>
        </w:rPr>
        <w:t>）</w:t>
      </w:r>
      <w:bookmarkEnd w:id="597"/>
      <w:bookmarkEnd w:id="598"/>
      <w:bookmarkEnd w:id="599"/>
      <w:bookmarkEnd w:id="600"/>
      <w:bookmarkEnd w:id="601"/>
      <w:bookmarkEnd w:id="602"/>
      <w:bookmarkEnd w:id="603"/>
      <w:bookmarkEnd w:id="604"/>
      <w:r>
        <w:rPr>
          <w:rFonts w:hint="eastAsia" w:ascii="宋体" w:hAnsi="宋体" w:eastAsia="宋体" w:cs="宋体"/>
          <w:b w:val="0"/>
          <w:color w:val="auto"/>
          <w:highlight w:val="none"/>
        </w:rPr>
        <w:t>承诺</w:t>
      </w:r>
      <w:bookmarkEnd w:id="605"/>
      <w:bookmarkEnd w:id="606"/>
      <w:bookmarkEnd w:id="607"/>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首讯公司2025年软件运维劳务分包</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承诺拟投入</w:t>
      </w:r>
      <w:r>
        <w:rPr>
          <w:rFonts w:hint="eastAsia" w:ascii="宋体" w:hAnsi="宋体" w:eastAsia="宋体" w:cs="宋体"/>
          <w:color w:val="auto"/>
          <w:szCs w:val="21"/>
          <w:highlight w:val="none"/>
          <w:lang w:val="en-US" w:eastAsia="zh-CN"/>
        </w:rPr>
        <w:t>本项目的</w:t>
      </w:r>
      <w:r>
        <w:rPr>
          <w:rFonts w:hint="eastAsia" w:ascii="宋体" w:hAnsi="宋体" w:eastAsia="宋体" w:cs="宋体"/>
          <w:color w:val="auto"/>
          <w:kern w:val="2"/>
          <w:sz w:val="21"/>
          <w:szCs w:val="21"/>
          <w:highlight w:val="none"/>
          <w:lang w:val="en-US" w:eastAsia="zh-CN" w:bidi="ar"/>
        </w:rPr>
        <w:t>软件开发或</w:t>
      </w:r>
      <w:r>
        <w:rPr>
          <w:rFonts w:hint="eastAsia" w:ascii="宋体" w:hAnsi="宋体" w:cs="宋体"/>
          <w:color w:val="auto"/>
          <w:szCs w:val="21"/>
          <w:highlight w:val="none"/>
          <w:lang w:val="en-US" w:eastAsia="zh-CN"/>
        </w:rPr>
        <w:t>维护</w:t>
      </w:r>
      <w:r>
        <w:rPr>
          <w:rFonts w:hint="eastAsia" w:ascii="宋体" w:hAnsi="宋体" w:eastAsia="宋体" w:cs="宋体"/>
          <w:color w:val="auto"/>
          <w:szCs w:val="21"/>
          <w:highlight w:val="none"/>
          <w:lang w:val="en-US" w:eastAsia="zh-CN"/>
        </w:rPr>
        <w:t>人员</w:t>
      </w:r>
      <w:r>
        <w:rPr>
          <w:rFonts w:hint="eastAsia" w:ascii="宋体" w:hAnsi="宋体" w:cs="宋体"/>
          <w:color w:val="auto"/>
          <w:szCs w:val="21"/>
          <w:highlight w:val="none"/>
          <w:lang w:eastAsia="zh-CN"/>
        </w:rPr>
        <w:t>具有不少于三个月的工作经验</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、我公司的投标文件符合第七章 技术标准和要求。</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、我公司接受招标文件中关于“不允许负数报价”的相关要求。</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608" w:name="_Toc27983333"/>
      <w:bookmarkStart w:id="609" w:name="_Toc28867"/>
      <w:bookmarkStart w:id="610" w:name="_Toc17965"/>
      <w:bookmarkStart w:id="611" w:name="_Toc29005"/>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五</w:t>
      </w:r>
      <w:r>
        <w:rPr>
          <w:rFonts w:hint="eastAsia" w:ascii="宋体" w:hAnsi="宋体" w:eastAsia="宋体" w:cs="宋体"/>
          <w:b w:val="0"/>
          <w:color w:val="auto"/>
          <w:highlight w:val="none"/>
        </w:rPr>
        <w:t>）其他资料</w:t>
      </w:r>
      <w:bookmarkEnd w:id="608"/>
      <w:bookmarkEnd w:id="609"/>
      <w:bookmarkEnd w:id="610"/>
      <w:bookmarkEnd w:id="611"/>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p>
    <w:p>
      <w:pPr>
        <w:spacing w:line="360" w:lineRule="auto"/>
        <w:ind w:firstLine="360" w:firstLineChars="200"/>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9" w:type="first"/>
      <w:headerReference r:id="rId7" w:type="default"/>
      <w:footerReference r:id="rId8"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239" w:rightChars="-114" w:firstLine="0" w:firstLineChars="0"/>
      <w:jc w:val="both"/>
      <w:rPr>
        <w:rFonts w:hint="eastAsia"/>
      </w:rPr>
    </w:pPr>
    <w:r>
      <w:rPr>
        <w:rFonts w:hint="eastAsia" w:ascii="仿宋" w:hAnsi="仿宋" w:cs="宋体"/>
        <w:sz w:val="21"/>
        <w:szCs w:val="21"/>
        <w:lang w:val="en-US" w:eastAsia="zh-CN"/>
      </w:rPr>
      <w:t>重庆首讯科技股份有限公司</w:t>
    </w:r>
    <w:r>
      <w:rPr>
        <w:rFonts w:hint="eastAsia" w:ascii="仿宋" w:hAnsi="仿宋" w:cs="宋体"/>
        <w:sz w:val="21"/>
        <w:szCs w:val="21"/>
      </w:rPr>
      <w:t xml:space="preserve">                         </w:t>
    </w:r>
    <w:r>
      <w:rPr>
        <w:rFonts w:hint="eastAsia" w:ascii="仿宋" w:hAnsi="仿宋" w:cs="宋体"/>
        <w:sz w:val="21"/>
        <w:szCs w:val="21"/>
        <w:lang w:val="en-US" w:eastAsia="zh-CN"/>
      </w:rPr>
      <w:t xml:space="preserve">                   </w:t>
    </w:r>
    <w:r>
      <w:rPr>
        <w:rFonts w:hint="eastAsia" w:ascii="仿宋" w:hAnsi="仿宋" w:cs="宋体"/>
        <w:sz w:val="21"/>
        <w:szCs w:val="21"/>
      </w:rPr>
      <w:t xml:space="preserve">  </w:t>
    </w:r>
    <w:r>
      <w:rPr>
        <w:rFonts w:hint="eastAsia" w:ascii="仿宋" w:hAnsi="仿宋" w:cs="宋体"/>
        <w:sz w:val="21"/>
        <w:szCs w:val="21"/>
        <w:lang w:val="en-US" w:eastAsia="zh-CN"/>
      </w:rPr>
      <w:t xml:space="preserve"> </w:t>
    </w:r>
    <w:r>
      <w:rPr>
        <w:rFonts w:hint="eastAsia" w:ascii="仿宋" w:hAnsi="仿宋"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E9215"/>
    <w:multiLevelType w:val="singleLevel"/>
    <w:tmpl w:val="8DFE9215"/>
    <w:lvl w:ilvl="0" w:tentative="0">
      <w:start w:val="1"/>
      <w:numFmt w:val="decimal"/>
      <w:suff w:val="nothing"/>
      <w:lvlText w:val="（%1）"/>
      <w:lvlJc w:val="left"/>
    </w:lvl>
  </w:abstractNum>
  <w:abstractNum w:abstractNumId="1">
    <w:nsid w:val="AF1070C6"/>
    <w:multiLevelType w:val="singleLevel"/>
    <w:tmpl w:val="AF1070C6"/>
    <w:lvl w:ilvl="0" w:tentative="0">
      <w:start w:val="1"/>
      <w:numFmt w:val="decimal"/>
      <w:suff w:val="nothing"/>
      <w:lvlText w:val="（%1）"/>
      <w:lvlJc w:val="left"/>
    </w:lvl>
  </w:abstractNum>
  <w:abstractNum w:abstractNumId="2">
    <w:nsid w:val="E0C9F9D9"/>
    <w:multiLevelType w:val="singleLevel"/>
    <w:tmpl w:val="E0C9F9D9"/>
    <w:lvl w:ilvl="0" w:tentative="0">
      <w:start w:val="2"/>
      <w:numFmt w:val="chineseCounting"/>
      <w:suff w:val="nothing"/>
      <w:lvlText w:val="（%1）"/>
      <w:lvlJc w:val="left"/>
      <w:rPr>
        <w:rFonts w:hint="eastAsia"/>
      </w:rPr>
    </w:lvl>
  </w:abstractNum>
  <w:abstractNum w:abstractNumId="3">
    <w:nsid w:val="FDA35899"/>
    <w:multiLevelType w:val="singleLevel"/>
    <w:tmpl w:val="FDA35899"/>
    <w:lvl w:ilvl="0" w:tentative="0">
      <w:start w:val="1"/>
      <w:numFmt w:val="decimal"/>
      <w:lvlText w:val="%1."/>
      <w:lvlJc w:val="left"/>
      <w:pPr>
        <w:tabs>
          <w:tab w:val="left" w:pos="312"/>
        </w:tabs>
      </w:pPr>
    </w:lvl>
  </w:abstractNum>
  <w:abstractNum w:abstractNumId="4">
    <w:nsid w:val="4FFDD58D"/>
    <w:multiLevelType w:val="singleLevel"/>
    <w:tmpl w:val="4FFDD58D"/>
    <w:lvl w:ilvl="0" w:tentative="0">
      <w:start w:val="3"/>
      <w:numFmt w:val="chineseCounting"/>
      <w:suff w:val="space"/>
      <w:lvlText w:val="第%1章"/>
      <w:lvlJc w:val="left"/>
      <w:rPr>
        <w:rFonts w:hint="eastAsia"/>
      </w:rPr>
    </w:lvl>
  </w:abstractNum>
  <w:abstractNum w:abstractNumId="5">
    <w:nsid w:val="68FA84E3"/>
    <w:multiLevelType w:val="singleLevel"/>
    <w:tmpl w:val="68FA84E3"/>
    <w:lvl w:ilvl="0" w:tentative="0">
      <w:start w:val="7"/>
      <w:numFmt w:val="chineseCounting"/>
      <w:suff w:val="space"/>
      <w:lvlText w:val="第%1章"/>
      <w:lvlJc w:val="left"/>
      <w:pPr>
        <w:ind w:left="48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352B"/>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1DD18A6"/>
    <w:rsid w:val="01EB34DE"/>
    <w:rsid w:val="025A6533"/>
    <w:rsid w:val="02B67D2C"/>
    <w:rsid w:val="03030405"/>
    <w:rsid w:val="031151DE"/>
    <w:rsid w:val="035B217F"/>
    <w:rsid w:val="037629D4"/>
    <w:rsid w:val="0449181A"/>
    <w:rsid w:val="044A1D23"/>
    <w:rsid w:val="047D65FE"/>
    <w:rsid w:val="048A5101"/>
    <w:rsid w:val="0491196B"/>
    <w:rsid w:val="04DA472B"/>
    <w:rsid w:val="05592D53"/>
    <w:rsid w:val="05783A3C"/>
    <w:rsid w:val="0585676B"/>
    <w:rsid w:val="05B1245E"/>
    <w:rsid w:val="05EF7AF1"/>
    <w:rsid w:val="0620273A"/>
    <w:rsid w:val="064B0E32"/>
    <w:rsid w:val="067E64B8"/>
    <w:rsid w:val="06993E44"/>
    <w:rsid w:val="069E7432"/>
    <w:rsid w:val="06A95C2E"/>
    <w:rsid w:val="06C07E9C"/>
    <w:rsid w:val="073D68E0"/>
    <w:rsid w:val="075B23C1"/>
    <w:rsid w:val="07BE618B"/>
    <w:rsid w:val="081F724D"/>
    <w:rsid w:val="083B1C9D"/>
    <w:rsid w:val="083C0673"/>
    <w:rsid w:val="084C713D"/>
    <w:rsid w:val="084E094B"/>
    <w:rsid w:val="085E04B3"/>
    <w:rsid w:val="08662BC9"/>
    <w:rsid w:val="08756B3B"/>
    <w:rsid w:val="08910757"/>
    <w:rsid w:val="089B67BD"/>
    <w:rsid w:val="08C97DCD"/>
    <w:rsid w:val="08FE575D"/>
    <w:rsid w:val="090A6451"/>
    <w:rsid w:val="090C1EBC"/>
    <w:rsid w:val="09502641"/>
    <w:rsid w:val="09691011"/>
    <w:rsid w:val="097825B5"/>
    <w:rsid w:val="09784721"/>
    <w:rsid w:val="097C3834"/>
    <w:rsid w:val="097D43D3"/>
    <w:rsid w:val="09A12942"/>
    <w:rsid w:val="09EA17B6"/>
    <w:rsid w:val="0A1022FA"/>
    <w:rsid w:val="0A1259C1"/>
    <w:rsid w:val="0A1503A2"/>
    <w:rsid w:val="0A59403A"/>
    <w:rsid w:val="0A984E9B"/>
    <w:rsid w:val="0AA6526E"/>
    <w:rsid w:val="0AC30814"/>
    <w:rsid w:val="0ADB7DE9"/>
    <w:rsid w:val="0AE957B4"/>
    <w:rsid w:val="0AFD05BF"/>
    <w:rsid w:val="0B00739E"/>
    <w:rsid w:val="0B0F72C5"/>
    <w:rsid w:val="0B233575"/>
    <w:rsid w:val="0B297F03"/>
    <w:rsid w:val="0B453633"/>
    <w:rsid w:val="0B6D05B8"/>
    <w:rsid w:val="0B9F0258"/>
    <w:rsid w:val="0C21793B"/>
    <w:rsid w:val="0C3A4C9D"/>
    <w:rsid w:val="0C4A2238"/>
    <w:rsid w:val="0C8F3B55"/>
    <w:rsid w:val="0CDE3D9A"/>
    <w:rsid w:val="0CFF23C2"/>
    <w:rsid w:val="0D150B42"/>
    <w:rsid w:val="0D973D58"/>
    <w:rsid w:val="0D9F2BF4"/>
    <w:rsid w:val="0DA4324B"/>
    <w:rsid w:val="0DB24751"/>
    <w:rsid w:val="0DB247AE"/>
    <w:rsid w:val="0DB93D8E"/>
    <w:rsid w:val="0DE047BF"/>
    <w:rsid w:val="0E0A62CD"/>
    <w:rsid w:val="0E1B0C80"/>
    <w:rsid w:val="0E313CB2"/>
    <w:rsid w:val="0EAE5F16"/>
    <w:rsid w:val="0F063498"/>
    <w:rsid w:val="0F20638A"/>
    <w:rsid w:val="0F39623B"/>
    <w:rsid w:val="0F3B2869"/>
    <w:rsid w:val="0F3E2235"/>
    <w:rsid w:val="0F4372C8"/>
    <w:rsid w:val="0F5F3F4B"/>
    <w:rsid w:val="0FAD4F92"/>
    <w:rsid w:val="0FAF439F"/>
    <w:rsid w:val="0FD93D3D"/>
    <w:rsid w:val="0FDB683D"/>
    <w:rsid w:val="0FEB191A"/>
    <w:rsid w:val="0FEC0DA5"/>
    <w:rsid w:val="104B4477"/>
    <w:rsid w:val="106A6F7B"/>
    <w:rsid w:val="109C7925"/>
    <w:rsid w:val="11063445"/>
    <w:rsid w:val="1130644C"/>
    <w:rsid w:val="113A5835"/>
    <w:rsid w:val="115E09AF"/>
    <w:rsid w:val="11672002"/>
    <w:rsid w:val="119F0C73"/>
    <w:rsid w:val="11A36112"/>
    <w:rsid w:val="11A63E39"/>
    <w:rsid w:val="11EE7BE1"/>
    <w:rsid w:val="12191134"/>
    <w:rsid w:val="12330463"/>
    <w:rsid w:val="124318AA"/>
    <w:rsid w:val="1261166A"/>
    <w:rsid w:val="12BB1A01"/>
    <w:rsid w:val="12D75E24"/>
    <w:rsid w:val="12E8751A"/>
    <w:rsid w:val="135F621C"/>
    <w:rsid w:val="1370283F"/>
    <w:rsid w:val="137E2170"/>
    <w:rsid w:val="13900B1C"/>
    <w:rsid w:val="13D55BEF"/>
    <w:rsid w:val="141D7709"/>
    <w:rsid w:val="14454F7F"/>
    <w:rsid w:val="14764402"/>
    <w:rsid w:val="1476678A"/>
    <w:rsid w:val="14850D94"/>
    <w:rsid w:val="14A5693F"/>
    <w:rsid w:val="14A67BBE"/>
    <w:rsid w:val="14A9258C"/>
    <w:rsid w:val="14AC5F02"/>
    <w:rsid w:val="14D86A5D"/>
    <w:rsid w:val="153D55BD"/>
    <w:rsid w:val="15776D7E"/>
    <w:rsid w:val="157A0D68"/>
    <w:rsid w:val="15983282"/>
    <w:rsid w:val="15EE3AB6"/>
    <w:rsid w:val="161D0D52"/>
    <w:rsid w:val="16630470"/>
    <w:rsid w:val="16647707"/>
    <w:rsid w:val="16745B62"/>
    <w:rsid w:val="16895203"/>
    <w:rsid w:val="16A672C9"/>
    <w:rsid w:val="16AE3F18"/>
    <w:rsid w:val="16B81603"/>
    <w:rsid w:val="16CF1CC6"/>
    <w:rsid w:val="17072BAB"/>
    <w:rsid w:val="1711696E"/>
    <w:rsid w:val="171D6C66"/>
    <w:rsid w:val="172E7810"/>
    <w:rsid w:val="17794346"/>
    <w:rsid w:val="179D26E1"/>
    <w:rsid w:val="17BC48FD"/>
    <w:rsid w:val="17C57F40"/>
    <w:rsid w:val="17F71E7C"/>
    <w:rsid w:val="17F84EE5"/>
    <w:rsid w:val="182E0082"/>
    <w:rsid w:val="18355BC4"/>
    <w:rsid w:val="18492666"/>
    <w:rsid w:val="185507A1"/>
    <w:rsid w:val="186D1005"/>
    <w:rsid w:val="187359FA"/>
    <w:rsid w:val="18792857"/>
    <w:rsid w:val="188E727B"/>
    <w:rsid w:val="193079D5"/>
    <w:rsid w:val="196462BA"/>
    <w:rsid w:val="1977632C"/>
    <w:rsid w:val="19786206"/>
    <w:rsid w:val="197C1FCE"/>
    <w:rsid w:val="19A20EDD"/>
    <w:rsid w:val="19A526C7"/>
    <w:rsid w:val="19E12006"/>
    <w:rsid w:val="1A154CDA"/>
    <w:rsid w:val="1A3C0C0D"/>
    <w:rsid w:val="1A585BC2"/>
    <w:rsid w:val="1A5E6A00"/>
    <w:rsid w:val="1A8671EE"/>
    <w:rsid w:val="1A8B6CE7"/>
    <w:rsid w:val="1A9262B2"/>
    <w:rsid w:val="1A9322D8"/>
    <w:rsid w:val="1AEC42A8"/>
    <w:rsid w:val="1AEE6276"/>
    <w:rsid w:val="1AF323D8"/>
    <w:rsid w:val="1AF62C69"/>
    <w:rsid w:val="1BC20C24"/>
    <w:rsid w:val="1BFD27A2"/>
    <w:rsid w:val="1C011678"/>
    <w:rsid w:val="1C224BF8"/>
    <w:rsid w:val="1C2A7E30"/>
    <w:rsid w:val="1C53323F"/>
    <w:rsid w:val="1C756A7F"/>
    <w:rsid w:val="1CD01E77"/>
    <w:rsid w:val="1CE87118"/>
    <w:rsid w:val="1D124316"/>
    <w:rsid w:val="1E587E3F"/>
    <w:rsid w:val="1E925EEC"/>
    <w:rsid w:val="1E9B5208"/>
    <w:rsid w:val="1EA00EAF"/>
    <w:rsid w:val="1ED75912"/>
    <w:rsid w:val="1EE25BAC"/>
    <w:rsid w:val="1F315BD9"/>
    <w:rsid w:val="1F404FCB"/>
    <w:rsid w:val="1FD4737A"/>
    <w:rsid w:val="2016722C"/>
    <w:rsid w:val="201B73DE"/>
    <w:rsid w:val="202A06CD"/>
    <w:rsid w:val="202A7A44"/>
    <w:rsid w:val="203043BA"/>
    <w:rsid w:val="203D6437"/>
    <w:rsid w:val="209605CD"/>
    <w:rsid w:val="20967991"/>
    <w:rsid w:val="20B9471F"/>
    <w:rsid w:val="20C032A2"/>
    <w:rsid w:val="211339B5"/>
    <w:rsid w:val="211D336B"/>
    <w:rsid w:val="21224CAB"/>
    <w:rsid w:val="212F17DB"/>
    <w:rsid w:val="21590E3E"/>
    <w:rsid w:val="215A0185"/>
    <w:rsid w:val="219A17D7"/>
    <w:rsid w:val="21A33D9D"/>
    <w:rsid w:val="21C26024"/>
    <w:rsid w:val="21DD798D"/>
    <w:rsid w:val="221C2C00"/>
    <w:rsid w:val="222F62DB"/>
    <w:rsid w:val="223C0B2A"/>
    <w:rsid w:val="224D32E0"/>
    <w:rsid w:val="22630AD3"/>
    <w:rsid w:val="22A868C7"/>
    <w:rsid w:val="22E83C69"/>
    <w:rsid w:val="22E94D59"/>
    <w:rsid w:val="22F05CD0"/>
    <w:rsid w:val="23362D72"/>
    <w:rsid w:val="235C1616"/>
    <w:rsid w:val="23B657C7"/>
    <w:rsid w:val="23BE63FD"/>
    <w:rsid w:val="23C461DF"/>
    <w:rsid w:val="23D87D6F"/>
    <w:rsid w:val="23DF56EE"/>
    <w:rsid w:val="23E87558"/>
    <w:rsid w:val="243D0021"/>
    <w:rsid w:val="24571916"/>
    <w:rsid w:val="24D96407"/>
    <w:rsid w:val="24F46A34"/>
    <w:rsid w:val="25036463"/>
    <w:rsid w:val="250733EC"/>
    <w:rsid w:val="253B6199"/>
    <w:rsid w:val="258917F1"/>
    <w:rsid w:val="25DB6B75"/>
    <w:rsid w:val="2641526C"/>
    <w:rsid w:val="26730A93"/>
    <w:rsid w:val="26BC3ED1"/>
    <w:rsid w:val="26CF5E39"/>
    <w:rsid w:val="26E03B86"/>
    <w:rsid w:val="26E5714E"/>
    <w:rsid w:val="27817123"/>
    <w:rsid w:val="2796417F"/>
    <w:rsid w:val="27EE79E5"/>
    <w:rsid w:val="28812CD5"/>
    <w:rsid w:val="28966B51"/>
    <w:rsid w:val="28AA26C7"/>
    <w:rsid w:val="28CD0B68"/>
    <w:rsid w:val="29036481"/>
    <w:rsid w:val="29154700"/>
    <w:rsid w:val="299A402F"/>
    <w:rsid w:val="29A50305"/>
    <w:rsid w:val="29BE50E3"/>
    <w:rsid w:val="29D335AD"/>
    <w:rsid w:val="29D617CD"/>
    <w:rsid w:val="29F74959"/>
    <w:rsid w:val="29FC6BA5"/>
    <w:rsid w:val="2A3335CD"/>
    <w:rsid w:val="2A42741A"/>
    <w:rsid w:val="2AD704AC"/>
    <w:rsid w:val="2B0507DE"/>
    <w:rsid w:val="2B2D30AD"/>
    <w:rsid w:val="2B4932A0"/>
    <w:rsid w:val="2B4E1731"/>
    <w:rsid w:val="2B840CEF"/>
    <w:rsid w:val="2B912553"/>
    <w:rsid w:val="2BC34B28"/>
    <w:rsid w:val="2BC7066A"/>
    <w:rsid w:val="2BE4490C"/>
    <w:rsid w:val="2BF4566F"/>
    <w:rsid w:val="2C0223D5"/>
    <w:rsid w:val="2C0F35AF"/>
    <w:rsid w:val="2C3F4619"/>
    <w:rsid w:val="2C9F5410"/>
    <w:rsid w:val="2D3C672F"/>
    <w:rsid w:val="2D86600E"/>
    <w:rsid w:val="2D8C0CA9"/>
    <w:rsid w:val="2DA22559"/>
    <w:rsid w:val="2DAF5896"/>
    <w:rsid w:val="2DFD7190"/>
    <w:rsid w:val="2E211F3C"/>
    <w:rsid w:val="2E3C2B38"/>
    <w:rsid w:val="2E5E719D"/>
    <w:rsid w:val="2E855278"/>
    <w:rsid w:val="2E864028"/>
    <w:rsid w:val="2E9A469C"/>
    <w:rsid w:val="2EA90039"/>
    <w:rsid w:val="2EE74166"/>
    <w:rsid w:val="2F0E7980"/>
    <w:rsid w:val="2F1B3FB6"/>
    <w:rsid w:val="2F2002C4"/>
    <w:rsid w:val="2F351546"/>
    <w:rsid w:val="302F2916"/>
    <w:rsid w:val="304779B5"/>
    <w:rsid w:val="30C07E87"/>
    <w:rsid w:val="310D54FE"/>
    <w:rsid w:val="319B301C"/>
    <w:rsid w:val="31DA3FA2"/>
    <w:rsid w:val="32064B97"/>
    <w:rsid w:val="32262AF8"/>
    <w:rsid w:val="322724E2"/>
    <w:rsid w:val="323B56EB"/>
    <w:rsid w:val="325516D3"/>
    <w:rsid w:val="32C33315"/>
    <w:rsid w:val="32C93B11"/>
    <w:rsid w:val="32DD5CE2"/>
    <w:rsid w:val="32FA66E7"/>
    <w:rsid w:val="330453E1"/>
    <w:rsid w:val="33984A32"/>
    <w:rsid w:val="33CA1B48"/>
    <w:rsid w:val="33D23AE7"/>
    <w:rsid w:val="33E82C54"/>
    <w:rsid w:val="33E84C6F"/>
    <w:rsid w:val="33EE16C5"/>
    <w:rsid w:val="34094D01"/>
    <w:rsid w:val="34386EB3"/>
    <w:rsid w:val="343D3142"/>
    <w:rsid w:val="344D638C"/>
    <w:rsid w:val="34623430"/>
    <w:rsid w:val="346A0500"/>
    <w:rsid w:val="34A43D50"/>
    <w:rsid w:val="34A62090"/>
    <w:rsid w:val="34D72AE1"/>
    <w:rsid w:val="34E32270"/>
    <w:rsid w:val="3522336A"/>
    <w:rsid w:val="356614A1"/>
    <w:rsid w:val="3583315C"/>
    <w:rsid w:val="35991723"/>
    <w:rsid w:val="35A4308C"/>
    <w:rsid w:val="35BA3378"/>
    <w:rsid w:val="35E43AC5"/>
    <w:rsid w:val="36322D75"/>
    <w:rsid w:val="365C138D"/>
    <w:rsid w:val="365D3297"/>
    <w:rsid w:val="365F2FA1"/>
    <w:rsid w:val="36917A37"/>
    <w:rsid w:val="36A12F8B"/>
    <w:rsid w:val="36B75F37"/>
    <w:rsid w:val="370C6480"/>
    <w:rsid w:val="371563EC"/>
    <w:rsid w:val="37285326"/>
    <w:rsid w:val="373B1965"/>
    <w:rsid w:val="37464D41"/>
    <w:rsid w:val="37660B99"/>
    <w:rsid w:val="376B5470"/>
    <w:rsid w:val="377F0339"/>
    <w:rsid w:val="378576A4"/>
    <w:rsid w:val="378661DC"/>
    <w:rsid w:val="378D144C"/>
    <w:rsid w:val="378F05C8"/>
    <w:rsid w:val="37A94DFF"/>
    <w:rsid w:val="37C05A95"/>
    <w:rsid w:val="37D912AF"/>
    <w:rsid w:val="37F938E1"/>
    <w:rsid w:val="389670B8"/>
    <w:rsid w:val="38AE536D"/>
    <w:rsid w:val="38C8075C"/>
    <w:rsid w:val="38D70825"/>
    <w:rsid w:val="38E870DF"/>
    <w:rsid w:val="38F013CF"/>
    <w:rsid w:val="39081444"/>
    <w:rsid w:val="3927526A"/>
    <w:rsid w:val="392873D2"/>
    <w:rsid w:val="393E267E"/>
    <w:rsid w:val="394936CA"/>
    <w:rsid w:val="394C7A4E"/>
    <w:rsid w:val="39861EF9"/>
    <w:rsid w:val="39DF5E7B"/>
    <w:rsid w:val="39FC031F"/>
    <w:rsid w:val="39FF1CFC"/>
    <w:rsid w:val="3A08284D"/>
    <w:rsid w:val="3A1563B6"/>
    <w:rsid w:val="3A4A20F0"/>
    <w:rsid w:val="3A9D5677"/>
    <w:rsid w:val="3ADE2055"/>
    <w:rsid w:val="3B0D436B"/>
    <w:rsid w:val="3B2829E6"/>
    <w:rsid w:val="3B3D3804"/>
    <w:rsid w:val="3B6542C9"/>
    <w:rsid w:val="3B6D0393"/>
    <w:rsid w:val="3BA42917"/>
    <w:rsid w:val="3BD21844"/>
    <w:rsid w:val="3BE309D0"/>
    <w:rsid w:val="3C6B3FB1"/>
    <w:rsid w:val="3C825AEE"/>
    <w:rsid w:val="3CB54F9E"/>
    <w:rsid w:val="3CDE7AB5"/>
    <w:rsid w:val="3D5F87A3"/>
    <w:rsid w:val="3D767B9F"/>
    <w:rsid w:val="3D9D3166"/>
    <w:rsid w:val="3DBA1E5B"/>
    <w:rsid w:val="3DC50703"/>
    <w:rsid w:val="3DD83EEF"/>
    <w:rsid w:val="3DF4772F"/>
    <w:rsid w:val="3E0266DA"/>
    <w:rsid w:val="3E120575"/>
    <w:rsid w:val="3E565B2F"/>
    <w:rsid w:val="3E934D6B"/>
    <w:rsid w:val="3E9711CD"/>
    <w:rsid w:val="3EB05AE8"/>
    <w:rsid w:val="3F1359D9"/>
    <w:rsid w:val="3F181114"/>
    <w:rsid w:val="3F550A1D"/>
    <w:rsid w:val="3F736F49"/>
    <w:rsid w:val="3F936427"/>
    <w:rsid w:val="40330355"/>
    <w:rsid w:val="4074430D"/>
    <w:rsid w:val="408332FD"/>
    <w:rsid w:val="409E72AD"/>
    <w:rsid w:val="40D06FF7"/>
    <w:rsid w:val="40DA57F1"/>
    <w:rsid w:val="41173673"/>
    <w:rsid w:val="412D0429"/>
    <w:rsid w:val="414D77A0"/>
    <w:rsid w:val="414F246F"/>
    <w:rsid w:val="41826A1B"/>
    <w:rsid w:val="41890F84"/>
    <w:rsid w:val="41935AA8"/>
    <w:rsid w:val="419C3F57"/>
    <w:rsid w:val="41AF06E5"/>
    <w:rsid w:val="41B43BB3"/>
    <w:rsid w:val="41EF7624"/>
    <w:rsid w:val="420F5CD5"/>
    <w:rsid w:val="422D088A"/>
    <w:rsid w:val="42936D3A"/>
    <w:rsid w:val="42E626B8"/>
    <w:rsid w:val="42F87AAC"/>
    <w:rsid w:val="4310260B"/>
    <w:rsid w:val="43122A4F"/>
    <w:rsid w:val="43556D09"/>
    <w:rsid w:val="43960C56"/>
    <w:rsid w:val="439C4E72"/>
    <w:rsid w:val="43CA7AC6"/>
    <w:rsid w:val="43F6136F"/>
    <w:rsid w:val="445F05C2"/>
    <w:rsid w:val="44A22EFC"/>
    <w:rsid w:val="44A67551"/>
    <w:rsid w:val="44ED3EC3"/>
    <w:rsid w:val="4522752F"/>
    <w:rsid w:val="45856949"/>
    <w:rsid w:val="45B71E2A"/>
    <w:rsid w:val="45EA7CB3"/>
    <w:rsid w:val="45EB7527"/>
    <w:rsid w:val="46101EFE"/>
    <w:rsid w:val="4620416D"/>
    <w:rsid w:val="4638721A"/>
    <w:rsid w:val="466871EB"/>
    <w:rsid w:val="466B15F6"/>
    <w:rsid w:val="46806F6C"/>
    <w:rsid w:val="46895B7E"/>
    <w:rsid w:val="46971B71"/>
    <w:rsid w:val="46B85657"/>
    <w:rsid w:val="47044DA5"/>
    <w:rsid w:val="47230359"/>
    <w:rsid w:val="474F78BE"/>
    <w:rsid w:val="47823FD6"/>
    <w:rsid w:val="47976D64"/>
    <w:rsid w:val="47D56597"/>
    <w:rsid w:val="47ED6C78"/>
    <w:rsid w:val="4815401C"/>
    <w:rsid w:val="482A0DBD"/>
    <w:rsid w:val="483B43E5"/>
    <w:rsid w:val="4883110E"/>
    <w:rsid w:val="48A81E74"/>
    <w:rsid w:val="48CB4707"/>
    <w:rsid w:val="48EF0FFD"/>
    <w:rsid w:val="49061368"/>
    <w:rsid w:val="49BA2155"/>
    <w:rsid w:val="49E6074E"/>
    <w:rsid w:val="4A187B73"/>
    <w:rsid w:val="4A38536D"/>
    <w:rsid w:val="4A424AD8"/>
    <w:rsid w:val="4A8357D3"/>
    <w:rsid w:val="4A8B01EA"/>
    <w:rsid w:val="4ACC757D"/>
    <w:rsid w:val="4AD75231"/>
    <w:rsid w:val="4B141613"/>
    <w:rsid w:val="4B1C559C"/>
    <w:rsid w:val="4B3D3E36"/>
    <w:rsid w:val="4B58121B"/>
    <w:rsid w:val="4BE5166F"/>
    <w:rsid w:val="4BF700B8"/>
    <w:rsid w:val="4C0F41D3"/>
    <w:rsid w:val="4C5335A6"/>
    <w:rsid w:val="4C6B6A45"/>
    <w:rsid w:val="4CAF0BCD"/>
    <w:rsid w:val="4CCC055B"/>
    <w:rsid w:val="4D645B95"/>
    <w:rsid w:val="4D840EA6"/>
    <w:rsid w:val="4D995A9E"/>
    <w:rsid w:val="4D9A2071"/>
    <w:rsid w:val="4E217075"/>
    <w:rsid w:val="4E2E13A4"/>
    <w:rsid w:val="4E4978FA"/>
    <w:rsid w:val="4E5E5790"/>
    <w:rsid w:val="4E707357"/>
    <w:rsid w:val="4E7E1EF7"/>
    <w:rsid w:val="4E811D9C"/>
    <w:rsid w:val="4E975A2F"/>
    <w:rsid w:val="4EA630D1"/>
    <w:rsid w:val="4ECB62BD"/>
    <w:rsid w:val="4EE93BC7"/>
    <w:rsid w:val="4F132D93"/>
    <w:rsid w:val="4F1E65B6"/>
    <w:rsid w:val="4F385F62"/>
    <w:rsid w:val="4F3B5815"/>
    <w:rsid w:val="4F7C2662"/>
    <w:rsid w:val="4F8A7BC1"/>
    <w:rsid w:val="4F8B7540"/>
    <w:rsid w:val="4FC03BB7"/>
    <w:rsid w:val="4FDA7B19"/>
    <w:rsid w:val="4FF51174"/>
    <w:rsid w:val="50010D18"/>
    <w:rsid w:val="5054412B"/>
    <w:rsid w:val="50651E60"/>
    <w:rsid w:val="5070182A"/>
    <w:rsid w:val="509E60CE"/>
    <w:rsid w:val="51350182"/>
    <w:rsid w:val="514A7DDE"/>
    <w:rsid w:val="51D90B7F"/>
    <w:rsid w:val="51F223CA"/>
    <w:rsid w:val="5242311F"/>
    <w:rsid w:val="527A50A7"/>
    <w:rsid w:val="5284158D"/>
    <w:rsid w:val="52AB16CD"/>
    <w:rsid w:val="52CD6292"/>
    <w:rsid w:val="52D53DDD"/>
    <w:rsid w:val="52E53CDC"/>
    <w:rsid w:val="52FA5D10"/>
    <w:rsid w:val="5387750E"/>
    <w:rsid w:val="53A72CFD"/>
    <w:rsid w:val="53B848D6"/>
    <w:rsid w:val="53CF0D45"/>
    <w:rsid w:val="541A5C3D"/>
    <w:rsid w:val="541B7F5F"/>
    <w:rsid w:val="542E4C26"/>
    <w:rsid w:val="54664225"/>
    <w:rsid w:val="54B424A6"/>
    <w:rsid w:val="54D50B1E"/>
    <w:rsid w:val="54DD0B09"/>
    <w:rsid w:val="552C446C"/>
    <w:rsid w:val="553852FD"/>
    <w:rsid w:val="554F3275"/>
    <w:rsid w:val="557C4D9B"/>
    <w:rsid w:val="55B84A33"/>
    <w:rsid w:val="55E157DD"/>
    <w:rsid w:val="55E32158"/>
    <w:rsid w:val="55EE1679"/>
    <w:rsid w:val="55F4532C"/>
    <w:rsid w:val="55FC18AE"/>
    <w:rsid w:val="564B02FA"/>
    <w:rsid w:val="56D0674C"/>
    <w:rsid w:val="56E064D3"/>
    <w:rsid w:val="57873E5D"/>
    <w:rsid w:val="57B46383"/>
    <w:rsid w:val="57B86E53"/>
    <w:rsid w:val="57C01797"/>
    <w:rsid w:val="57C97459"/>
    <w:rsid w:val="57CB50E3"/>
    <w:rsid w:val="57D040B3"/>
    <w:rsid w:val="58851615"/>
    <w:rsid w:val="58AA4307"/>
    <w:rsid w:val="58B21DED"/>
    <w:rsid w:val="58B55EFF"/>
    <w:rsid w:val="58BB3472"/>
    <w:rsid w:val="58BF552E"/>
    <w:rsid w:val="58F3018E"/>
    <w:rsid w:val="58FF3ECD"/>
    <w:rsid w:val="59031F0F"/>
    <w:rsid w:val="59070B0A"/>
    <w:rsid w:val="597318B4"/>
    <w:rsid w:val="59C559E9"/>
    <w:rsid w:val="5A107862"/>
    <w:rsid w:val="5A303418"/>
    <w:rsid w:val="5A893CB7"/>
    <w:rsid w:val="5AD31898"/>
    <w:rsid w:val="5AEB5538"/>
    <w:rsid w:val="5AF92E38"/>
    <w:rsid w:val="5B061EEA"/>
    <w:rsid w:val="5B0B5357"/>
    <w:rsid w:val="5B6C463D"/>
    <w:rsid w:val="5BA33DD5"/>
    <w:rsid w:val="5BCB373A"/>
    <w:rsid w:val="5C077140"/>
    <w:rsid w:val="5C09332D"/>
    <w:rsid w:val="5C2241EA"/>
    <w:rsid w:val="5C427612"/>
    <w:rsid w:val="5C582223"/>
    <w:rsid w:val="5C7A0FD1"/>
    <w:rsid w:val="5D0B72B7"/>
    <w:rsid w:val="5D2F3E81"/>
    <w:rsid w:val="5D356FF9"/>
    <w:rsid w:val="5D3A3002"/>
    <w:rsid w:val="5D3B7D01"/>
    <w:rsid w:val="5D9D650F"/>
    <w:rsid w:val="5DB541FC"/>
    <w:rsid w:val="5DC60B7B"/>
    <w:rsid w:val="5DE75350"/>
    <w:rsid w:val="5DF632D6"/>
    <w:rsid w:val="5E226469"/>
    <w:rsid w:val="5E6C710A"/>
    <w:rsid w:val="5E7C4D7C"/>
    <w:rsid w:val="5EB81B62"/>
    <w:rsid w:val="5ED864A3"/>
    <w:rsid w:val="5EEA4405"/>
    <w:rsid w:val="5EEA6392"/>
    <w:rsid w:val="5F7807E8"/>
    <w:rsid w:val="5F8F1CCA"/>
    <w:rsid w:val="5FD567BC"/>
    <w:rsid w:val="5FD93481"/>
    <w:rsid w:val="5FF45A39"/>
    <w:rsid w:val="600A145C"/>
    <w:rsid w:val="6017073D"/>
    <w:rsid w:val="6040564F"/>
    <w:rsid w:val="60805044"/>
    <w:rsid w:val="60840DC4"/>
    <w:rsid w:val="60951E5E"/>
    <w:rsid w:val="60C17C80"/>
    <w:rsid w:val="60C61354"/>
    <w:rsid w:val="60F54FD4"/>
    <w:rsid w:val="61637845"/>
    <w:rsid w:val="61743132"/>
    <w:rsid w:val="619A3CD5"/>
    <w:rsid w:val="61B21C7A"/>
    <w:rsid w:val="621A1485"/>
    <w:rsid w:val="62590A51"/>
    <w:rsid w:val="626951AE"/>
    <w:rsid w:val="628840AC"/>
    <w:rsid w:val="62A14F38"/>
    <w:rsid w:val="62A53056"/>
    <w:rsid w:val="62B11A4A"/>
    <w:rsid w:val="62B4404D"/>
    <w:rsid w:val="62B70F44"/>
    <w:rsid w:val="62DB2A06"/>
    <w:rsid w:val="62E4555A"/>
    <w:rsid w:val="62EA29B8"/>
    <w:rsid w:val="62FC237B"/>
    <w:rsid w:val="6330270F"/>
    <w:rsid w:val="63320C2D"/>
    <w:rsid w:val="63454151"/>
    <w:rsid w:val="635316CE"/>
    <w:rsid w:val="636662E6"/>
    <w:rsid w:val="63A04C23"/>
    <w:rsid w:val="63B46F70"/>
    <w:rsid w:val="63BD15E9"/>
    <w:rsid w:val="63CC7EC7"/>
    <w:rsid w:val="63DD2BD2"/>
    <w:rsid w:val="641B7BD5"/>
    <w:rsid w:val="64744580"/>
    <w:rsid w:val="648D21CA"/>
    <w:rsid w:val="64B2485B"/>
    <w:rsid w:val="655D18A4"/>
    <w:rsid w:val="657C4CC0"/>
    <w:rsid w:val="659A4010"/>
    <w:rsid w:val="65B2076A"/>
    <w:rsid w:val="65DC4FC3"/>
    <w:rsid w:val="65E67D0C"/>
    <w:rsid w:val="6609788A"/>
    <w:rsid w:val="661502BA"/>
    <w:rsid w:val="661D1CBA"/>
    <w:rsid w:val="6699415C"/>
    <w:rsid w:val="66A345A3"/>
    <w:rsid w:val="66AF4F01"/>
    <w:rsid w:val="67304B97"/>
    <w:rsid w:val="673E2FAD"/>
    <w:rsid w:val="67405FFB"/>
    <w:rsid w:val="67654E4C"/>
    <w:rsid w:val="677B2F49"/>
    <w:rsid w:val="6782583F"/>
    <w:rsid w:val="67992950"/>
    <w:rsid w:val="67A8253D"/>
    <w:rsid w:val="67DB9BAC"/>
    <w:rsid w:val="67E0569A"/>
    <w:rsid w:val="67EE6C5E"/>
    <w:rsid w:val="680E1E3E"/>
    <w:rsid w:val="6896659C"/>
    <w:rsid w:val="68C53B3C"/>
    <w:rsid w:val="68DD5656"/>
    <w:rsid w:val="68F22FB3"/>
    <w:rsid w:val="69040F22"/>
    <w:rsid w:val="690D529F"/>
    <w:rsid w:val="69404255"/>
    <w:rsid w:val="695A58A7"/>
    <w:rsid w:val="6983580F"/>
    <w:rsid w:val="698712D2"/>
    <w:rsid w:val="69AC5D1A"/>
    <w:rsid w:val="69D55525"/>
    <w:rsid w:val="69F12C12"/>
    <w:rsid w:val="69F7747D"/>
    <w:rsid w:val="6A0B6749"/>
    <w:rsid w:val="6A941EE2"/>
    <w:rsid w:val="6ABB50E0"/>
    <w:rsid w:val="6AD06215"/>
    <w:rsid w:val="6B11635C"/>
    <w:rsid w:val="6B191868"/>
    <w:rsid w:val="6B391FC4"/>
    <w:rsid w:val="6B563033"/>
    <w:rsid w:val="6B6415CC"/>
    <w:rsid w:val="6B725C27"/>
    <w:rsid w:val="6BAF252C"/>
    <w:rsid w:val="6BC76EEF"/>
    <w:rsid w:val="6BEC4DA3"/>
    <w:rsid w:val="6BF71620"/>
    <w:rsid w:val="6BFA2FE5"/>
    <w:rsid w:val="6C525906"/>
    <w:rsid w:val="6CB34B3B"/>
    <w:rsid w:val="6CBE4E4B"/>
    <w:rsid w:val="6CD07E03"/>
    <w:rsid w:val="6CD132C9"/>
    <w:rsid w:val="6CF20C90"/>
    <w:rsid w:val="6D031B69"/>
    <w:rsid w:val="6D35349C"/>
    <w:rsid w:val="6DC2F6AF"/>
    <w:rsid w:val="6DEE5CE3"/>
    <w:rsid w:val="6E0519B5"/>
    <w:rsid w:val="6E3B0A35"/>
    <w:rsid w:val="6E617936"/>
    <w:rsid w:val="6E64080E"/>
    <w:rsid w:val="6E8B3884"/>
    <w:rsid w:val="6EF374CD"/>
    <w:rsid w:val="6F273181"/>
    <w:rsid w:val="6F363068"/>
    <w:rsid w:val="6F7C126C"/>
    <w:rsid w:val="6FB830E8"/>
    <w:rsid w:val="6FEA5E6C"/>
    <w:rsid w:val="70195AE2"/>
    <w:rsid w:val="701E3F32"/>
    <w:rsid w:val="70233379"/>
    <w:rsid w:val="702F338B"/>
    <w:rsid w:val="70621F78"/>
    <w:rsid w:val="706D7EFF"/>
    <w:rsid w:val="70900C9D"/>
    <w:rsid w:val="709F6D7F"/>
    <w:rsid w:val="70A03005"/>
    <w:rsid w:val="70D00331"/>
    <w:rsid w:val="70E30201"/>
    <w:rsid w:val="70FB7EE6"/>
    <w:rsid w:val="710B44B6"/>
    <w:rsid w:val="719D5B13"/>
    <w:rsid w:val="71A617A0"/>
    <w:rsid w:val="71D97BD7"/>
    <w:rsid w:val="71DC5AD4"/>
    <w:rsid w:val="72052E2D"/>
    <w:rsid w:val="7213629E"/>
    <w:rsid w:val="72817588"/>
    <w:rsid w:val="729565A6"/>
    <w:rsid w:val="72BB1C50"/>
    <w:rsid w:val="72BD1547"/>
    <w:rsid w:val="72CE59A2"/>
    <w:rsid w:val="72F71CE0"/>
    <w:rsid w:val="730B2E93"/>
    <w:rsid w:val="734310CD"/>
    <w:rsid w:val="736B65D7"/>
    <w:rsid w:val="738F4C25"/>
    <w:rsid w:val="73C61AAF"/>
    <w:rsid w:val="73FB2F08"/>
    <w:rsid w:val="7405578E"/>
    <w:rsid w:val="74245921"/>
    <w:rsid w:val="74994F19"/>
    <w:rsid w:val="75332BD9"/>
    <w:rsid w:val="75511F93"/>
    <w:rsid w:val="755702EC"/>
    <w:rsid w:val="755858E1"/>
    <w:rsid w:val="755A18A0"/>
    <w:rsid w:val="756D3404"/>
    <w:rsid w:val="759D7994"/>
    <w:rsid w:val="75A7007A"/>
    <w:rsid w:val="75A823AB"/>
    <w:rsid w:val="75D27948"/>
    <w:rsid w:val="75D56853"/>
    <w:rsid w:val="75F30DB1"/>
    <w:rsid w:val="76054E98"/>
    <w:rsid w:val="76576F7D"/>
    <w:rsid w:val="765D4BDE"/>
    <w:rsid w:val="76987597"/>
    <w:rsid w:val="76A36ECC"/>
    <w:rsid w:val="76CE02F2"/>
    <w:rsid w:val="76ED2397"/>
    <w:rsid w:val="76FB50AD"/>
    <w:rsid w:val="77053749"/>
    <w:rsid w:val="77247BB4"/>
    <w:rsid w:val="777A4144"/>
    <w:rsid w:val="77876861"/>
    <w:rsid w:val="77B169C2"/>
    <w:rsid w:val="77E236CF"/>
    <w:rsid w:val="78073AFA"/>
    <w:rsid w:val="78127266"/>
    <w:rsid w:val="78635737"/>
    <w:rsid w:val="7873271C"/>
    <w:rsid w:val="78D67D8F"/>
    <w:rsid w:val="78F51F09"/>
    <w:rsid w:val="7902696A"/>
    <w:rsid w:val="791E38B3"/>
    <w:rsid w:val="79535D1B"/>
    <w:rsid w:val="795E3DD1"/>
    <w:rsid w:val="79646481"/>
    <w:rsid w:val="79B03E9D"/>
    <w:rsid w:val="79CF7FC1"/>
    <w:rsid w:val="79F06ECD"/>
    <w:rsid w:val="7A4714C9"/>
    <w:rsid w:val="7A9859BB"/>
    <w:rsid w:val="7AA2574E"/>
    <w:rsid w:val="7AE27919"/>
    <w:rsid w:val="7B15385D"/>
    <w:rsid w:val="7B4A229F"/>
    <w:rsid w:val="7B4F7E9C"/>
    <w:rsid w:val="7B784258"/>
    <w:rsid w:val="7BA01165"/>
    <w:rsid w:val="7BA50CDA"/>
    <w:rsid w:val="7BBA6ECC"/>
    <w:rsid w:val="7BD067C2"/>
    <w:rsid w:val="7BFF4C55"/>
    <w:rsid w:val="7C124F01"/>
    <w:rsid w:val="7C3D774D"/>
    <w:rsid w:val="7C72542F"/>
    <w:rsid w:val="7C8C4E16"/>
    <w:rsid w:val="7CBF1C41"/>
    <w:rsid w:val="7CC9772B"/>
    <w:rsid w:val="7CFA3BCB"/>
    <w:rsid w:val="7CFD1347"/>
    <w:rsid w:val="7D271446"/>
    <w:rsid w:val="7D63303C"/>
    <w:rsid w:val="7D7168E4"/>
    <w:rsid w:val="7D7F274E"/>
    <w:rsid w:val="7D7F4EE0"/>
    <w:rsid w:val="7D943F20"/>
    <w:rsid w:val="7DB91A86"/>
    <w:rsid w:val="7DF25BC9"/>
    <w:rsid w:val="7E0F27EF"/>
    <w:rsid w:val="7E1369B7"/>
    <w:rsid w:val="7E1517A0"/>
    <w:rsid w:val="7E932B20"/>
    <w:rsid w:val="7EA80065"/>
    <w:rsid w:val="7EAA134C"/>
    <w:rsid w:val="7EAE1B4D"/>
    <w:rsid w:val="7EB67C93"/>
    <w:rsid w:val="7EF108E9"/>
    <w:rsid w:val="7EF79F78"/>
    <w:rsid w:val="7F0C347F"/>
    <w:rsid w:val="7F193491"/>
    <w:rsid w:val="7F307FA6"/>
    <w:rsid w:val="7F587F69"/>
    <w:rsid w:val="7F662D60"/>
    <w:rsid w:val="7F6826C0"/>
    <w:rsid w:val="7F996F32"/>
    <w:rsid w:val="7FBA2792"/>
    <w:rsid w:val="7FDD6B9E"/>
    <w:rsid w:val="7FEE56CF"/>
    <w:rsid w:val="7FF81FB1"/>
    <w:rsid w:val="99D2C6D6"/>
    <w:rsid w:val="DFFE90B3"/>
    <w:rsid w:val="EB7F46EF"/>
    <w:rsid w:val="EBDF181A"/>
    <w:rsid w:val="EBF1DC98"/>
    <w:rsid w:val="EDED354C"/>
    <w:rsid w:val="F57FB900"/>
    <w:rsid w:val="FDFD60CF"/>
    <w:rsid w:val="FDFF2670"/>
    <w:rsid w:val="FF770713"/>
    <w:rsid w:val="FF8F7847"/>
    <w:rsid w:val="FFFFDD8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3"/>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90"/>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5"/>
    <w:qFormat/>
    <w:uiPriority w:val="0"/>
    <w:pPr>
      <w:keepNext/>
      <w:keepLines/>
      <w:spacing w:before="240" w:after="64" w:line="320" w:lineRule="auto"/>
      <w:outlineLvl w:val="8"/>
    </w:pPr>
    <w:rPr>
      <w:rFonts w:ascii="等线 Light" w:hAnsi="等线 Light" w:eastAsia="等线 Light"/>
      <w:szCs w:val="21"/>
    </w:rPr>
  </w:style>
  <w:style w:type="character" w:default="1" w:styleId="38">
    <w:name w:val="Default Paragraph Font"/>
    <w:semiHidden/>
    <w:qFormat/>
    <w:uiPriority w:val="0"/>
  </w:style>
  <w:style w:type="table" w:default="1" w:styleId="3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1"/>
    <w:link w:val="89"/>
    <w:qFormat/>
    <w:uiPriority w:val="0"/>
    <w:rPr>
      <w:sz w:val="18"/>
      <w:szCs w:val="18"/>
    </w:rPr>
  </w:style>
  <w:style w:type="paragraph" w:styleId="13">
    <w:name w:val="annotation text"/>
    <w:basedOn w:val="1"/>
    <w:link w:val="84"/>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cs="Times New Roman"/>
      <w:szCs w:val="22"/>
    </w:rPr>
  </w:style>
  <w:style w:type="paragraph" w:styleId="17">
    <w:name w:val="toc 3"/>
    <w:basedOn w:val="1"/>
    <w:next w:val="1"/>
    <w:qFormat/>
    <w:uiPriority w:val="39"/>
    <w:pPr>
      <w:keepNext w:val="0"/>
      <w:keepLines w:val="0"/>
      <w:spacing w:before="0" w:after="0" w:line="240" w:lineRule="auto"/>
      <w:ind w:left="420"/>
      <w:jc w:val="left"/>
      <w:outlineLvl w:val="9"/>
    </w:pPr>
    <w:rPr>
      <w:i/>
      <w:iCs/>
      <w:sz w:val="20"/>
      <w:szCs w:val="20"/>
    </w:rPr>
  </w:style>
  <w:style w:type="paragraph" w:styleId="18">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9">
    <w:name w:val="toc 8"/>
    <w:basedOn w:val="1"/>
    <w:next w:val="1"/>
    <w:unhideWhenUsed/>
    <w:qFormat/>
    <w:uiPriority w:val="39"/>
    <w:pPr>
      <w:ind w:left="2940" w:leftChars="1400"/>
    </w:pPr>
    <w:rPr>
      <w:rFonts w:ascii="等线" w:hAnsi="等线" w:eastAsia="等线" w:cs="Times New Roman"/>
      <w:szCs w:val="22"/>
    </w:rPr>
  </w:style>
  <w:style w:type="paragraph" w:styleId="20">
    <w:name w:val="Date"/>
    <w:basedOn w:val="1"/>
    <w:next w:val="1"/>
    <w:link w:val="79"/>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unhideWhenUsed/>
    <w:qFormat/>
    <w:uiPriority w:val="39"/>
    <w:pPr>
      <w:ind w:left="1260" w:leftChars="600"/>
    </w:pPr>
    <w:rPr>
      <w:rFonts w:ascii="等线" w:hAnsi="等线" w:eastAsia="等线" w:cs="Times New Roman"/>
      <w:szCs w:val="22"/>
    </w:rPr>
  </w:style>
  <w:style w:type="paragraph" w:styleId="26">
    <w:name w:val="Subtitle"/>
    <w:basedOn w:val="1"/>
    <w:link w:val="82"/>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cs="Times New Roman"/>
      <w:szCs w:val="22"/>
    </w:rPr>
  </w:style>
  <w:style w:type="paragraph" w:styleId="28">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29">
    <w:name w:val="toc 9"/>
    <w:basedOn w:val="1"/>
    <w:next w:val="1"/>
    <w:unhideWhenUsed/>
    <w:qFormat/>
    <w:uiPriority w:val="39"/>
    <w:pPr>
      <w:ind w:left="3360" w:leftChars="1600"/>
    </w:pPr>
    <w:rPr>
      <w:rFonts w:ascii="等线" w:hAnsi="等线" w:eastAsia="等线" w:cs="Times New Roman"/>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3">
    <w:name w:val="annotation subject"/>
    <w:basedOn w:val="13"/>
    <w:next w:val="13"/>
    <w:link w:val="81"/>
    <w:qFormat/>
    <w:uiPriority w:val="0"/>
    <w:rPr>
      <w:b/>
      <w:bCs/>
    </w:rPr>
  </w:style>
  <w:style w:type="paragraph" w:styleId="34">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35">
    <w:name w:val="Body Text First Indent 2"/>
    <w:basedOn w:val="14"/>
    <w:next w:val="1"/>
    <w:qFormat/>
    <w:uiPriority w:val="0"/>
    <w:pPr>
      <w:spacing w:after="120"/>
      <w:ind w:left="420" w:leftChars="200" w:firstLine="420"/>
    </w:pPr>
    <w:rPr>
      <w:szCs w:val="2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2">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3">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6">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7">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列出段落1"/>
    <w:basedOn w:val="1"/>
    <w:qFormat/>
    <w:uiPriority w:val="0"/>
    <w:pPr>
      <w:ind w:firstLine="420" w:firstLineChars="200"/>
    </w:pPr>
    <w:rPr>
      <w:sz w:val="28"/>
      <w:szCs w:val="28"/>
    </w:rPr>
  </w:style>
  <w:style w:type="paragraph" w:customStyle="1" w:styleId="5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2">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
    <w:name w:val="Default"/>
    <w:next w:val="58"/>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8">
    <w:name w:val="List Paragraph"/>
    <w:basedOn w:val="59"/>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9">
    <w:name w:val="五级条标题"/>
    <w:basedOn w:val="60"/>
    <w:next w:val="60"/>
    <w:qFormat/>
    <w:uiPriority w:val="0"/>
    <w:pPr>
      <w:outlineLvl w:val="6"/>
    </w:pPr>
  </w:style>
  <w:style w:type="paragraph" w:customStyle="1" w:styleId="60">
    <w:name w:val="章标题"/>
    <w:next w:val="61"/>
    <w:qFormat/>
    <w:uiPriority w:val="0"/>
    <w:pPr>
      <w:jc w:val="both"/>
      <w:outlineLvl w:val="1"/>
    </w:pPr>
    <w:rPr>
      <w:rFonts w:ascii="黑体" w:hAnsi="黑体" w:eastAsia="黑体" w:cs="Times New Roman"/>
      <w:kern w:val="1"/>
      <w:sz w:val="21"/>
      <w:lang w:val="en-US" w:eastAsia="zh-CN" w:bidi="ar-SA"/>
    </w:rPr>
  </w:style>
  <w:style w:type="paragraph" w:customStyle="1" w:styleId="61">
    <w:name w:val="目次、标准名称标题"/>
    <w:basedOn w:val="62"/>
    <w:next w:val="62"/>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2">
    <w:name w:val="投标正文"/>
    <w:basedOn w:val="63"/>
    <w:qFormat/>
    <w:uiPriority w:val="0"/>
    <w:pPr>
      <w:spacing w:line="360" w:lineRule="auto"/>
    </w:pPr>
    <w:rPr>
      <w:spacing w:val="15"/>
      <w:sz w:val="32"/>
      <w:szCs w:val="32"/>
    </w:rPr>
  </w:style>
  <w:style w:type="paragraph" w:customStyle="1" w:styleId="63">
    <w:name w:val="四级条标题"/>
    <w:basedOn w:val="64"/>
    <w:next w:val="64"/>
    <w:qFormat/>
    <w:uiPriority w:val="0"/>
    <w:pPr>
      <w:outlineLvl w:val="5"/>
    </w:pPr>
  </w:style>
  <w:style w:type="paragraph" w:customStyle="1" w:styleId="64">
    <w:name w:val="三级条标题"/>
    <w:basedOn w:val="65"/>
    <w:next w:val="65"/>
    <w:qFormat/>
    <w:uiPriority w:val="0"/>
    <w:pPr>
      <w:outlineLvl w:val="4"/>
    </w:pPr>
  </w:style>
  <w:style w:type="paragraph" w:customStyle="1" w:styleId="65">
    <w:name w:val="二级条标题"/>
    <w:basedOn w:val="66"/>
    <w:next w:val="66"/>
    <w:qFormat/>
    <w:uiPriority w:val="0"/>
    <w:pPr>
      <w:outlineLvl w:val="3"/>
    </w:pPr>
  </w:style>
  <w:style w:type="paragraph" w:customStyle="1" w:styleId="66">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7">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正  文"/>
    <w:basedOn w:val="1"/>
    <w:qFormat/>
    <w:uiPriority w:val="0"/>
    <w:pPr>
      <w:spacing w:line="360" w:lineRule="auto"/>
      <w:ind w:firstLine="200" w:firstLineChars="200"/>
    </w:pPr>
    <w:rPr>
      <w:rFonts w:ascii="宋体" w:hAnsi="Calibri"/>
      <w:sz w:val="24"/>
    </w:rPr>
  </w:style>
  <w:style w:type="paragraph" w:customStyle="1" w:styleId="72">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5">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7">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8">
    <w:name w:val="标题 1 Char"/>
    <w:link w:val="3"/>
    <w:qFormat/>
    <w:uiPriority w:val="0"/>
    <w:rPr>
      <w:b/>
      <w:bCs/>
      <w:kern w:val="44"/>
      <w:sz w:val="44"/>
      <w:szCs w:val="44"/>
    </w:rPr>
  </w:style>
  <w:style w:type="character" w:customStyle="1" w:styleId="79">
    <w:name w:val="日期 Char"/>
    <w:link w:val="20"/>
    <w:qFormat/>
    <w:uiPriority w:val="0"/>
    <w:rPr>
      <w:kern w:val="2"/>
      <w:sz w:val="21"/>
      <w:szCs w:val="24"/>
    </w:rPr>
  </w:style>
  <w:style w:type="character" w:customStyle="1" w:styleId="80">
    <w:name w:val="尾注文本 Char"/>
    <w:qFormat/>
    <w:uiPriority w:val="0"/>
    <w:rPr>
      <w:kern w:val="2"/>
      <w:sz w:val="21"/>
      <w:szCs w:val="24"/>
    </w:rPr>
  </w:style>
  <w:style w:type="character" w:customStyle="1" w:styleId="81">
    <w:name w:val="批注主题 Char"/>
    <w:link w:val="33"/>
    <w:qFormat/>
    <w:uiPriority w:val="0"/>
    <w:rPr>
      <w:b/>
      <w:bCs/>
      <w:kern w:val="2"/>
      <w:sz w:val="21"/>
      <w:szCs w:val="24"/>
    </w:rPr>
  </w:style>
  <w:style w:type="character" w:customStyle="1" w:styleId="82">
    <w:name w:val="副标题 Char"/>
    <w:link w:val="26"/>
    <w:qFormat/>
    <w:uiPriority w:val="0"/>
    <w:rPr>
      <w:szCs w:val="24"/>
      <w:u w:val="single"/>
      <w:lang w:eastAsia="en-US"/>
    </w:rPr>
  </w:style>
  <w:style w:type="character" w:customStyle="1" w:styleId="83">
    <w:name w:val="标题 2 Char"/>
    <w:link w:val="4"/>
    <w:qFormat/>
    <w:uiPriority w:val="0"/>
    <w:rPr>
      <w:rFonts w:ascii="Cambria" w:hAnsi="Cambria"/>
      <w:b/>
      <w:bCs/>
      <w:sz w:val="32"/>
      <w:szCs w:val="32"/>
    </w:rPr>
  </w:style>
  <w:style w:type="character" w:customStyle="1" w:styleId="84">
    <w:name w:val="批注文字 Char"/>
    <w:link w:val="13"/>
    <w:qFormat/>
    <w:uiPriority w:val="99"/>
    <w:rPr>
      <w:kern w:val="2"/>
      <w:sz w:val="21"/>
      <w:szCs w:val="24"/>
    </w:rPr>
  </w:style>
  <w:style w:type="character" w:customStyle="1" w:styleId="85">
    <w:name w:val="标题 9 Char"/>
    <w:link w:val="8"/>
    <w:semiHidden/>
    <w:qFormat/>
    <w:uiPriority w:val="0"/>
    <w:rPr>
      <w:rFonts w:ascii="等线 Light" w:hAnsi="等线 Light" w:eastAsia="等线 Light" w:cs="Times New Roman"/>
      <w:kern w:val="2"/>
      <w:sz w:val="21"/>
      <w:szCs w:val="21"/>
    </w:rPr>
  </w:style>
  <w:style w:type="character" w:customStyle="1" w:styleId="86">
    <w:name w:val="标题 2 Char2"/>
    <w:qFormat/>
    <w:uiPriority w:val="0"/>
    <w:rPr>
      <w:rFonts w:ascii="Cambria" w:hAnsi="Cambria" w:eastAsia="宋体"/>
      <w:b/>
      <w:bCs/>
      <w:kern w:val="2"/>
      <w:sz w:val="32"/>
      <w:szCs w:val="32"/>
      <w:lang w:val="en-US" w:eastAsia="zh-CN" w:bidi="ar-SA"/>
    </w:rPr>
  </w:style>
  <w:style w:type="character" w:customStyle="1" w:styleId="87">
    <w:name w:val="副标题 Char3"/>
    <w:qFormat/>
    <w:uiPriority w:val="0"/>
    <w:rPr>
      <w:rFonts w:eastAsia="宋体"/>
      <w:szCs w:val="24"/>
      <w:u w:val="single"/>
      <w:lang w:val="en-US" w:eastAsia="en-US" w:bidi="ar-SA"/>
    </w:rPr>
  </w:style>
  <w:style w:type="character" w:customStyle="1" w:styleId="88">
    <w:name w:val="批注文字 Char3"/>
    <w:qFormat/>
    <w:uiPriority w:val="99"/>
    <w:rPr>
      <w:rFonts w:eastAsia="宋体"/>
      <w:kern w:val="2"/>
      <w:sz w:val="21"/>
      <w:szCs w:val="24"/>
      <w:lang w:val="en-US" w:eastAsia="zh-CN" w:bidi="ar-SA"/>
    </w:rPr>
  </w:style>
  <w:style w:type="character" w:customStyle="1" w:styleId="89">
    <w:name w:val="批注框文本 Char"/>
    <w:link w:val="12"/>
    <w:qFormat/>
    <w:uiPriority w:val="0"/>
    <w:rPr>
      <w:kern w:val="2"/>
      <w:sz w:val="18"/>
      <w:szCs w:val="18"/>
    </w:rPr>
  </w:style>
  <w:style w:type="character" w:customStyle="1" w:styleId="90">
    <w:name w:val="标题 3 Char"/>
    <w:link w:val="5"/>
    <w:qFormat/>
    <w:uiPriority w:val="0"/>
    <w:rPr>
      <w:b/>
      <w:bCs/>
      <w:kern w:val="2"/>
      <w:sz w:val="32"/>
      <w:szCs w:val="32"/>
    </w:rPr>
  </w:style>
  <w:style w:type="character" w:customStyle="1" w:styleId="91">
    <w:name w:val="未处理的提及"/>
    <w:unhideWhenUsed/>
    <w:qFormat/>
    <w:uiPriority w:val="99"/>
    <w:rPr>
      <w:color w:val="605E5C"/>
      <w:shd w:val="clear" w:color="auto" w:fill="E1DFDD"/>
    </w:rPr>
  </w:style>
  <w:style w:type="character" w:customStyle="1" w:styleId="92">
    <w:name w:val="15"/>
    <w:basedOn w:val="38"/>
    <w:qFormat/>
    <w:uiPriority w:val="0"/>
    <w:rPr>
      <w:rFonts w:hint="default" w:ascii="Times New Roman" w:hAnsi="Times New Roman" w:cs="Times New Roman"/>
    </w:rPr>
  </w:style>
  <w:style w:type="character" w:customStyle="1" w:styleId="93">
    <w:name w:val="10"/>
    <w:basedOn w:val="38"/>
    <w:qFormat/>
    <w:uiPriority w:val="0"/>
    <w:rPr>
      <w:rFonts w:hint="default" w:ascii="Times New Roman" w:hAnsi="Times New Roman" w:cs="Times New Roman"/>
    </w:rPr>
  </w:style>
  <w:style w:type="paragraph" w:customStyle="1" w:styleId="94">
    <w:name w:val="_Style 7"/>
    <w:basedOn w:val="3"/>
    <w:next w:val="1"/>
    <w:qFormat/>
    <w:uiPriority w:val="0"/>
    <w:pPr>
      <w:outlineLvl w:val="9"/>
    </w:pPr>
  </w:style>
  <w:style w:type="paragraph" w:customStyle="1" w:styleId="95">
    <w:name w:val="_Style 2"/>
    <w:basedOn w:val="3"/>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96">
    <w:name w:val="列表段落1"/>
    <w:basedOn w:val="59"/>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97">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146</Pages>
  <Words>62222</Words>
  <Characters>67170</Characters>
  <Lines>1</Lines>
  <Paragraphs>1</Paragraphs>
  <TotalTime>1</TotalTime>
  <ScaleCrop>false</ScaleCrop>
  <LinksUpToDate>false</LinksUpToDate>
  <CharactersWithSpaces>75488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2020-12-29T09:28:00Z</dcterms:created>
  <dc:creator>Lenovo E480</dc:creator>
  <cp:lastModifiedBy>Kevin</cp:lastModifiedBy>
  <cp:lastPrinted>2023-12-05T01:18:00Z</cp:lastPrinted>
  <dcterms:modified xsi:type="dcterms:W3CDTF">2024-12-19T09:25:46Z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C94A33B36DF64E20BA0E059B13228663</vt:lpwstr>
  </property>
</Properties>
</file>