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ascii="宋体" w:hAnsi="宋体" w:cs="宋体"/>
          <w:b/>
          <w:color w:val="000000" w:themeColor="text1"/>
          <w:sz w:val="32"/>
          <w:szCs w:val="32"/>
          <w:highlight w:val="yellow"/>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项目名称：基于时空图学习的高速公路网公里级交通流量预测技术开发服务</w:t>
      </w:r>
    </w:p>
    <w:p>
      <w:pPr>
        <w:pStyle w:val="22"/>
        <w:ind w:left="0" w:leftChars="0" w:firstLine="0"/>
        <w:rPr>
          <w:rFonts w:ascii="宋体" w:hAnsi="宋体" w:cs="宋体"/>
          <w:b/>
          <w:color w:val="000000" w:themeColor="text1"/>
          <w:sz w:val="32"/>
          <w:szCs w:val="32"/>
          <w:highlight w:val="yellow"/>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ascii="宋体" w:hAnsi="宋体" w:cs="宋体"/>
          <w:b/>
          <w:color w:val="000000" w:themeColor="text1"/>
          <w:sz w:val="28"/>
          <w:szCs w:val="28"/>
          <w:u w:val="single"/>
          <w14:textFill>
            <w14:solidFill>
              <w14:schemeClr w14:val="tx1"/>
            </w14:solidFill>
          </w14:textFill>
        </w:rPr>
        <w:t>4</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1</w:t>
      </w:r>
      <w:r>
        <w:rPr>
          <w:rFonts w:hint="eastAsia" w:ascii="宋体" w:hAnsi="宋体" w:cs="宋体"/>
          <w:b/>
          <w:color w:val="000000" w:themeColor="text1"/>
          <w:sz w:val="28"/>
          <w:szCs w:val="28"/>
          <w:u w:val="single"/>
          <w:lang w:val="en-US" w:eastAsia="zh-CN"/>
          <w14:textFill>
            <w14:solidFill>
              <w14:schemeClr w14:val="tx1"/>
            </w14:solidFill>
          </w14:textFill>
        </w:rPr>
        <w:t>2</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月</w:t>
      </w:r>
    </w:p>
    <w:p>
      <w:pPr>
        <w:pStyle w:val="15"/>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296602400"/>
      <w:bookmarkStart w:id="1" w:name="_Toc247085669"/>
      <w:bookmarkStart w:id="2" w:name="_Toc246996898"/>
      <w:bookmarkStart w:id="3" w:name="_Toc507319889"/>
      <w:bookmarkStart w:id="4" w:name="_Toc507428442"/>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16"/>
        <w:tabs>
          <w:tab w:val="right" w:leader="dot" w:pos="9628"/>
        </w:tabs>
        <w:ind w:left="0"/>
        <w:rPr>
          <w:b/>
          <w:bCs/>
          <w:caps/>
          <w:smallCaps w:val="0"/>
          <w:color w:val="000000" w:themeColor="text1"/>
          <w:highlight w:val="green"/>
          <w14:textFill>
            <w14:solidFill>
              <w14:schemeClr w14:val="tx1"/>
            </w14:solidFill>
          </w14:textFill>
        </w:rPr>
      </w:pPr>
    </w:p>
    <w:p>
      <w:pPr>
        <w:pStyle w:val="15"/>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fldChar w:fldCharType="begin"/>
      </w:r>
      <w:r>
        <w:instrText xml:space="preserve"> HYPERLINK \l "_Toc10533" </w:instrText>
      </w:r>
      <w: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"_Toc21719" </w:instrText>
      </w:r>
      <w: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"_Toc7682" </w:instrText>
      </w:r>
      <w:r>
        <w:fldChar w:fldCharType="separate"/>
      </w:r>
      <w:r>
        <w:rPr>
          <w:rFonts w:hint="eastAsia" w:ascii="宋体" w:hAnsi="宋体" w:cs="宋体"/>
          <w:color w:val="000000" w:themeColor="text1"/>
          <w14:textFill>
            <w14:solidFill>
              <w14:schemeClr w14:val="tx1"/>
            </w14:solidFill>
          </w14:textFill>
        </w:rPr>
        <w:t>第三章 评标办法（综合评估法）</w:t>
      </w:r>
      <w:r>
        <w:rPr>
          <w:rFonts w:hint="eastAsia" w:ascii="宋体" w:hAnsi="宋体" w:cs="宋体"/>
          <w:color w:val="000000" w:themeColor="text1"/>
          <w14:textFill>
            <w14:solidFill>
              <w14:schemeClr w14:val="tx1"/>
            </w14:solidFill>
          </w14:textFill>
        </w:rPr>
        <w:fldChar w:fldCharType="end"/>
      </w:r>
    </w:p>
    <w:p>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"_Toc13787" </w:instrText>
      </w:r>
      <w: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"_Toc24503" </w:instrText>
      </w:r>
      <w: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"_Toc12440" </w:instrText>
      </w:r>
      <w: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"_Toc10887" </w:instrText>
      </w:r>
      <w: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"_Toc12089" </w:instrText>
      </w:r>
      <w: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"_Toc24853" </w:instrText>
      </w:r>
      <w: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3"/>
        <w:spacing w:before="0" w:after="0" w:line="360" w:lineRule="auto"/>
        <w:jc w:val="center"/>
        <w:rPr>
          <w:rFonts w:ascii="宋体" w:hAnsi="宋体" w:cs="宋体"/>
          <w:color w:val="000000" w:themeColor="text1"/>
          <w14:textFill>
            <w14:solidFill>
              <w14:schemeClr w14:val="tx1"/>
            </w14:solidFill>
          </w14:textFill>
        </w:rPr>
      </w:pPr>
      <w:bookmarkStart w:id="5" w:name="_Toc152042287"/>
      <w:bookmarkStart w:id="6" w:name="_Toc507319890"/>
      <w:bookmarkStart w:id="7" w:name="_Toc246996157"/>
      <w:bookmarkStart w:id="8" w:name="_Toc246996900"/>
      <w:bookmarkStart w:id="9" w:name="_Toc2000404"/>
      <w:bookmarkStart w:id="10" w:name="_Toc144974479"/>
      <w:bookmarkStart w:id="11" w:name="_Toc247096243"/>
      <w:bookmarkStart w:id="12" w:name="_Toc152045511"/>
      <w:bookmarkStart w:id="13" w:name="_Toc247085671"/>
      <w:bookmarkStart w:id="14" w:name="_Toc179632527"/>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3"/>
      <w:bookmarkStart w:id="17" w:name="OLE_LINK2"/>
    </w:p>
    <w:p>
      <w:pPr>
        <w:pStyle w:val="4"/>
        <w:spacing w:before="0" w:after="0" w:line="360" w:lineRule="auto"/>
        <w:rPr>
          <w:rFonts w:ascii="宋体" w:hAnsi="宋体" w:eastAsia="宋体" w:cs="宋体"/>
          <w:color w:val="000000" w:themeColor="text1"/>
          <w14:textFill>
            <w14:solidFill>
              <w14:schemeClr w14:val="tx1"/>
            </w14:solidFill>
          </w14:textFill>
        </w:rPr>
      </w:pPr>
      <w:bookmarkStart w:id="18" w:name="_Toc152042288"/>
      <w:bookmarkStart w:id="19" w:name="_Toc507319891"/>
      <w:bookmarkStart w:id="20" w:name="_Toc246996901"/>
      <w:bookmarkStart w:id="21" w:name="_Toc11329213"/>
      <w:bookmarkStart w:id="22" w:name="_Toc246996158"/>
      <w:bookmarkStart w:id="23" w:name="_Toc144974480"/>
      <w:bookmarkStart w:id="24" w:name="_Toc179632528"/>
      <w:bookmarkStart w:id="25" w:name="_Toc152045512"/>
      <w:bookmarkStart w:id="26" w:name="_Toc24874"/>
      <w:bookmarkStart w:id="27" w:name="_Toc247085672"/>
      <w:bookmarkStart w:id="28" w:name="_Toc10076"/>
      <w:bookmarkStart w:id="29" w:name="_Toc6549"/>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基于时空图学习的高速公路网公里级交通流量预测技术开发服务</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4"/>
        <w:spacing w:before="120" w:after="0" w:line="360" w:lineRule="auto"/>
        <w:rPr>
          <w:rFonts w:ascii="宋体" w:hAnsi="宋体" w:eastAsia="宋体" w:cs="宋体"/>
          <w:color w:val="000000" w:themeColor="text1"/>
          <w14:textFill>
            <w14:solidFill>
              <w14:schemeClr w14:val="tx1"/>
            </w14:solidFill>
          </w14:textFill>
        </w:rPr>
      </w:pPr>
      <w:bookmarkStart w:id="30" w:name="_Toc144974481"/>
      <w:bookmarkStart w:id="31" w:name="_Toc152045513"/>
      <w:bookmarkStart w:id="32" w:name="_Toc179632529"/>
      <w:bookmarkStart w:id="33" w:name="_Toc246996902"/>
      <w:bookmarkStart w:id="34" w:name="_Toc21343"/>
      <w:bookmarkStart w:id="35" w:name="_Toc247085673"/>
      <w:bookmarkStart w:id="36" w:name="_Toc152042289"/>
      <w:bookmarkStart w:id="37" w:name="_Toc18109"/>
      <w:bookmarkStart w:id="38" w:name="_Toc246996159"/>
      <w:bookmarkStart w:id="39" w:name="_Toc507319892"/>
      <w:bookmarkStart w:id="40" w:name="_Toc11329214"/>
      <w:bookmarkStart w:id="41" w:name="_Toc10952"/>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color w:val="000000" w:themeColor="text1"/>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14:textFill>
            <w14:solidFill>
              <w14:schemeClr w14:val="tx1"/>
            </w14:solidFill>
          </w14:textFill>
        </w:rPr>
        <w:t>重庆市。</w:t>
      </w:r>
    </w:p>
    <w:p>
      <w:pPr>
        <w:pStyle w:val="8"/>
        <w:adjustRightInd w:val="0"/>
        <w:spacing w:line="400" w:lineRule="exact"/>
        <w:rPr>
          <w:rFonts w:ascii="宋体" w:hAnsi="宋体" w:cs="宋体"/>
          <w:szCs w:val="21"/>
        </w:rPr>
      </w:pPr>
      <w:r>
        <w:rPr>
          <w:rFonts w:hint="eastAsia" w:ascii="宋体" w:hAnsi="宋体" w:cs="宋体"/>
          <w:color w:val="000000" w:themeColor="text1"/>
          <w:szCs w:val="21"/>
          <w14:textFill>
            <w14:solidFill>
              <w14:schemeClr w14:val="tx1"/>
            </w14:solidFill>
          </w14:textFill>
        </w:rPr>
        <w:t>2.2 项目概况</w:t>
      </w:r>
      <w:r>
        <w:rPr>
          <w:rFonts w:hint="eastAsia" w:ascii="宋体" w:hAnsi="宋体" w:cs="宋体"/>
          <w:szCs w:val="21"/>
        </w:rPr>
        <w:t>：</w:t>
      </w:r>
      <w:r>
        <w:rPr>
          <w:rFonts w:ascii="宋体" w:hAnsi="宋体" w:cs="宋体"/>
          <w:szCs w:val="21"/>
        </w:rPr>
        <w:t>因"基于云原生架构的数据驱动能力体系平台研发"项目在数据赋能和智能应用方面的需要，我公司拟研发一套核心算法模型，实现路网建模、车辆轨迹还原与预测、交通流量可视化、车辆画像挖掘、交通流量预测、数据集成和算法封装等功能，该算法模型未来将接入路网监控系统，作为流量分析重要工具，结合数据收集、算法训练、程序开发和封装等工作，形成我公司核心研究成果。现需委托一家单位提供基于时空图学习的高速公路网公里级交通流量预测技术开发服务，包括重庆高速公路网公里级交通流量时空动态图建模技术开发服务、基于路网拓扑结构的高速公路网公里级交通流量时空转移模型技术服务、基于时空图学习的高速公路网公里级交通流量预测技术开发服务、软件集成技术服务等，为算法模型的研究提供开发技术支撑。</w:t>
      </w:r>
    </w:p>
    <w:p>
      <w:pPr>
        <w:adjustRightInd w:val="0"/>
        <w:spacing w:line="520" w:lineRule="exact"/>
        <w:ind w:firstLine="420" w:firstLineChars="200"/>
        <w:rPr>
          <w:rFonts w:ascii="宋体" w:hAnsi="宋体" w:cs="宋体"/>
        </w:rPr>
      </w:pPr>
      <w:r>
        <w:rPr>
          <w:rFonts w:hint="eastAsia" w:ascii="宋体" w:hAnsi="宋体" w:cs="宋体"/>
        </w:rPr>
        <w:t>2.3 预计采购金额：93</w:t>
      </w:r>
      <w:r>
        <w:rPr>
          <w:rFonts w:hint="eastAsia" w:ascii="宋体" w:hAnsi="宋体" w:cs="宋体"/>
          <w:lang w:val="en-US" w:eastAsia="zh-CN"/>
        </w:rPr>
        <w:t>.</w:t>
      </w:r>
      <w:r>
        <w:rPr>
          <w:rFonts w:hint="eastAsia" w:ascii="宋体" w:hAnsi="宋体" w:cs="宋体"/>
        </w:rPr>
        <w:t>28万元。</w:t>
      </w:r>
    </w:p>
    <w:p>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 采购内容：</w:t>
      </w:r>
      <w:r>
        <w:rPr>
          <w:rFonts w:hint="eastAsia" w:ascii="宋体" w:hAnsi="宋体" w:cs="宋体"/>
          <w:color w:val="000000" w:themeColor="text1"/>
          <w:szCs w:val="21"/>
          <w14:textFill>
            <w14:solidFill>
              <w14:schemeClr w14:val="tx1"/>
            </w14:solidFill>
          </w14:textFill>
        </w:rPr>
        <w:t>本次采购内容为本项目基于时空图学习的高速公路网公里级交通流量预测技术开发工作,详见工程量清单。</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 工期要求：</w:t>
      </w:r>
      <w:r>
        <w:rPr>
          <w:rFonts w:hint="eastAsia" w:ascii="宋体" w:hAnsi="宋体" w:cs="宋体"/>
        </w:rPr>
        <w:t>预计工期为6个月，具体以项目部要求为准。</w:t>
      </w:r>
    </w:p>
    <w:p>
      <w:pPr>
        <w:pStyle w:val="4"/>
        <w:spacing w:before="120" w:after="0" w:line="360" w:lineRule="auto"/>
        <w:rPr>
          <w:rFonts w:ascii="宋体" w:hAnsi="宋体" w:eastAsia="宋体" w:cs="宋体"/>
          <w:color w:val="000000" w:themeColor="text1"/>
          <w14:textFill>
            <w14:solidFill>
              <w14:schemeClr w14:val="tx1"/>
            </w14:solidFill>
          </w14:textFill>
        </w:rPr>
      </w:pPr>
      <w:bookmarkStart w:id="43" w:name="_Toc152045514"/>
      <w:bookmarkStart w:id="44" w:name="_Toc246996160"/>
      <w:bookmarkStart w:id="45" w:name="_Toc144974482"/>
      <w:bookmarkStart w:id="46" w:name="_Toc247085674"/>
      <w:bookmarkStart w:id="47" w:name="_Toc152042290"/>
      <w:bookmarkStart w:id="48" w:name="_Toc30356"/>
      <w:bookmarkStart w:id="49" w:name="_Toc11329215"/>
      <w:bookmarkStart w:id="50" w:name="_Toc507319893"/>
      <w:bookmarkStart w:id="51" w:name="_Toc7065"/>
      <w:bookmarkStart w:id="52" w:name="_Toc246996903"/>
      <w:bookmarkStart w:id="53" w:name="_Toc179632530"/>
      <w:bookmarkStart w:id="54" w:name="_Toc10171"/>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152045515"/>
      <w:bookmarkStart w:id="56" w:name="_Toc144974483"/>
      <w:bookmarkStart w:id="57" w:name="_Toc179632531"/>
      <w:bookmarkStart w:id="58" w:name="_Toc152042291"/>
      <w:bookmarkStart w:id="59" w:name="_Toc246996904"/>
      <w:bookmarkStart w:id="60" w:name="_Toc247085675"/>
      <w:bookmarkStart w:id="61" w:name="_Toc246996161"/>
      <w:r>
        <w:rPr>
          <w:rFonts w:hint="eastAsia" w:ascii="宋体" w:hAnsi="宋体" w:cs="宋体"/>
          <w:color w:val="000000" w:themeColor="text1"/>
          <w:szCs w:val="21"/>
          <w:shd w:val="clear" w:color="auto" w:fill="FFFFFF"/>
          <w14:textFill>
            <w14:solidFill>
              <w14:schemeClr w14:val="tx1"/>
            </w14:solidFill>
          </w14:textFill>
        </w:rPr>
        <w:t>3.1 资质要求：</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（1）报价人具有独立法人资格及有效的营业执照；</w:t>
      </w:r>
    </w:p>
    <w:p>
      <w:pPr>
        <w:spacing w:line="400" w:lineRule="exact"/>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3.2 业绩要求：</w:t>
      </w:r>
      <w:r>
        <w:rPr>
          <w:rFonts w:hint="eastAsia" w:ascii="宋体" w:hAnsi="宋体" w:cs="宋体"/>
          <w:color w:val="000000" w:themeColor="text1"/>
          <w:szCs w:val="21"/>
          <w:highlight w:val="none"/>
          <w:shd w:val="clear" w:color="auto" w:fill="FFFFFF"/>
          <w14:textFill>
            <w14:solidFill>
              <w14:schemeClr w14:val="tx1"/>
            </w14:solidFill>
          </w14:textFill>
        </w:rPr>
        <w:t>2021年1月1日至报价截止日期（以合同签订时间为准）完成一项</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50万元的软件开发或技术服务相关业绩</w:t>
      </w:r>
      <w:r>
        <w:rPr>
          <w:rFonts w:hint="eastAsia" w:ascii="宋体" w:hAnsi="宋体" w:cs="宋体"/>
          <w:color w:val="000000" w:themeColor="text1"/>
          <w:szCs w:val="21"/>
          <w:highlight w:val="none"/>
          <w:shd w:val="clear" w:color="auto" w:fill="FFFFFF"/>
          <w14:textFill>
            <w14:solidFill>
              <w14:schemeClr w14:val="tx1"/>
            </w14:solidFill>
          </w14:textFill>
        </w:rPr>
        <w:t>（提供合同扫描件）。</w:t>
      </w:r>
    </w:p>
    <w:p>
      <w:pPr>
        <w:wordWrap w:val="0"/>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3.3 信誉要求：在国家企业信用信息公示</w:t>
      </w:r>
      <w:r>
        <w:rPr>
          <w:rFonts w:hint="eastAsia" w:ascii="宋体" w:hAnsi="宋体" w:cs="宋体"/>
          <w:color w:val="000000" w:themeColor="text1"/>
          <w:szCs w:val="21"/>
          <w:shd w:val="clear" w:color="auto" w:fill="FFFFFF"/>
          <w14:textFill>
            <w14:solidFill>
              <w14:schemeClr w14:val="tx1"/>
            </w14:solidFill>
          </w14:textFill>
        </w:rPr>
        <w:t>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3.4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3.5</w:t>
      </w:r>
      <w:r>
        <w:rPr>
          <w:rFonts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3.6 单位负责人为同一人或者存在控股、管理关系的不同单位，不得同时参加本项目报价，否则均按无效报价处理。</w:t>
      </w:r>
    </w:p>
    <w:p>
      <w:pPr>
        <w:pStyle w:val="4"/>
        <w:spacing w:before="120" w:after="0"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评标办法</w:t>
      </w:r>
    </w:p>
    <w:p>
      <w:pPr>
        <w:pStyle w:val="2"/>
        <w:ind w:firstLine="420" w:firstLineChars="200"/>
        <w:rPr>
          <w:rFonts w:ascii="宋体" w:hAnsi="宋体"/>
          <w:kern w:val="2"/>
          <w:sz w:val="21"/>
          <w:szCs w:val="21"/>
        </w:rPr>
      </w:pPr>
      <w:r>
        <w:rPr>
          <w:rFonts w:hint="eastAsia" w:ascii="宋体" w:hAnsi="宋体"/>
          <w:kern w:val="2"/>
          <w:sz w:val="21"/>
          <w:szCs w:val="21"/>
        </w:rPr>
        <w:t>本项目采用综合评估法。</w:t>
      </w:r>
    </w:p>
    <w:p>
      <w:pPr>
        <w:pStyle w:val="4"/>
        <w:spacing w:before="120" w:after="0" w:line="400" w:lineRule="exact"/>
        <w:rPr>
          <w:rFonts w:ascii="宋体" w:hAnsi="宋体" w:eastAsia="宋体" w:cs="宋体"/>
          <w:color w:val="000000" w:themeColor="text1"/>
          <w14:textFill>
            <w14:solidFill>
              <w14:schemeClr w14:val="tx1"/>
            </w14:solidFill>
          </w14:textFill>
        </w:rPr>
      </w:pPr>
      <w:bookmarkStart w:id="62" w:name="_Toc507319894"/>
      <w:bookmarkStart w:id="63" w:name="_Toc14361"/>
      <w:bookmarkStart w:id="64" w:name="_Toc12460"/>
      <w:bookmarkStart w:id="65" w:name="_Toc11329216"/>
      <w:bookmarkStart w:id="66" w:name="_Toc25619"/>
      <w:r>
        <w:rPr>
          <w:rFonts w:hint="eastAsia" w:ascii="宋体" w:hAnsi="宋体" w:eastAsia="宋体" w:cs="宋体"/>
          <w:color w:val="000000" w:themeColor="text1"/>
          <w14:textFill>
            <w14:solidFill>
              <w14:schemeClr w14:val="tx1"/>
            </w14:solidFill>
          </w14:textFill>
        </w:rPr>
        <w:t>5. 比选文件的获取</w:t>
      </w:r>
      <w:bookmarkEnd w:id="55"/>
      <w:bookmarkEnd w:id="56"/>
      <w:bookmarkEnd w:id="57"/>
      <w:bookmarkEnd w:id="58"/>
      <w:bookmarkEnd w:id="59"/>
      <w:bookmarkEnd w:id="60"/>
      <w:bookmarkEnd w:id="61"/>
      <w:bookmarkEnd w:id="62"/>
      <w:bookmarkEnd w:id="63"/>
      <w:bookmarkEnd w:id="64"/>
      <w:bookmarkEnd w:id="65"/>
      <w:bookmarkEnd w:id="66"/>
    </w:p>
    <w:p>
      <w:pPr>
        <w:wordWrap w:val="0"/>
        <w:spacing w:line="360" w:lineRule="auto"/>
        <w:ind w:firstLine="420" w:firstLineChars="200"/>
        <w:rPr>
          <w:rFonts w:ascii="宋体" w:hAnsi="宋体"/>
          <w:color w:val="auto"/>
          <w:szCs w:val="21"/>
          <w:highlight w:val="none"/>
        </w:rPr>
      </w:pPr>
      <w:bookmarkStart w:id="67" w:name="_Toc179632532"/>
      <w:bookmarkStart w:id="68" w:name="_Toc152045516"/>
      <w:bookmarkStart w:id="69" w:name="_Toc152042292"/>
      <w:bookmarkStart w:id="70" w:name="_Toc144974484"/>
      <w:bookmarkStart w:id="71" w:name="_Toc507319895"/>
      <w:bookmarkStart w:id="72" w:name="_Toc246996905"/>
      <w:bookmarkStart w:id="73" w:name="_Toc11329217"/>
      <w:bookmarkStart w:id="74" w:name="_Toc247085676"/>
      <w:bookmarkStart w:id="75" w:name="_Toc246996162"/>
      <w:bookmarkStart w:id="76" w:name="_Toc9131"/>
      <w:bookmarkStart w:id="77" w:name="_Toc16686"/>
      <w:bookmarkStart w:id="78" w:name="_Toc31493"/>
      <w:bookmarkStart w:id="79" w:name="_Toc179632534"/>
      <w:bookmarkStart w:id="80" w:name="_Toc11329219"/>
      <w:bookmarkStart w:id="81" w:name="_Toc507319897"/>
      <w:bookmarkStart w:id="82" w:name="_Toc246996907"/>
      <w:bookmarkStart w:id="83" w:name="_Toc247085678"/>
      <w:bookmarkStart w:id="84" w:name="_Toc144974485"/>
      <w:bookmarkStart w:id="85" w:name="_Toc152045517"/>
      <w:bookmarkStart w:id="86" w:name="_Toc18402"/>
      <w:bookmarkStart w:id="87" w:name="_Toc152042293"/>
      <w:bookmarkStart w:id="88" w:name="_Toc21615"/>
      <w:bookmarkStart w:id="89" w:name="_Toc393"/>
      <w:bookmarkStart w:id="90" w:name="_Toc246996164"/>
      <w:r>
        <w:rPr>
          <w:rFonts w:hint="eastAsia" w:ascii="宋体" w:hAnsi="宋体" w:cs="宋体"/>
        </w:rPr>
        <w:t>凡愿意参加的潜在报价人，</w:t>
      </w:r>
      <w:r>
        <w:rPr>
          <w:rFonts w:hint="eastAsia" w:ascii="宋体" w:hAnsi="宋体" w:cs="宋体"/>
          <w:color w:val="auto"/>
          <w:highlight w:val="none"/>
        </w:rPr>
        <w:t>在2024年1</w:t>
      </w:r>
      <w:r>
        <w:rPr>
          <w:rFonts w:ascii="宋体" w:hAnsi="宋体" w:cs="宋体"/>
          <w:color w:val="auto"/>
          <w:highlight w:val="none"/>
        </w:rPr>
        <w:t>2</w:t>
      </w:r>
      <w:r>
        <w:rPr>
          <w:rFonts w:hint="eastAsia" w:ascii="宋体" w:hAnsi="宋体" w:cs="宋体"/>
          <w:color w:val="auto"/>
          <w:highlight w:val="none"/>
        </w:rPr>
        <w:t>月</w:t>
      </w:r>
      <w:r>
        <w:rPr>
          <w:rFonts w:hint="eastAsia" w:ascii="宋体" w:hAnsi="宋体" w:cs="宋体"/>
          <w:color w:val="auto"/>
          <w:highlight w:val="none"/>
          <w:lang w:val="en-US" w:eastAsia="zh-CN"/>
        </w:rPr>
        <w:t>26</w:t>
      </w:r>
      <w:r>
        <w:rPr>
          <w:rFonts w:hint="eastAsia" w:ascii="宋体" w:hAnsi="宋体" w:cs="宋体"/>
          <w:color w:val="auto"/>
          <w:highlight w:val="none"/>
        </w:rPr>
        <w:t>日</w:t>
      </w:r>
      <w:r>
        <w:rPr>
          <w:rFonts w:hint="eastAsia" w:ascii="宋体" w:hAnsi="宋体"/>
          <w:color w:val="auto"/>
          <w:szCs w:val="21"/>
          <w:highlight w:val="none"/>
        </w:rPr>
        <w:t>上午10：00</w:t>
      </w:r>
      <w:r>
        <w:rPr>
          <w:rFonts w:hint="eastAsia" w:ascii="宋体" w:hAnsi="宋体" w:cs="宋体"/>
          <w:color w:val="auto"/>
          <w:highlight w:val="none"/>
        </w:rPr>
        <w:t>前在重庆高速集团官网（https://www.cegc.com.cn/html/col1810480.html）上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r>
        <w:rPr>
          <w:rFonts w:hint="eastAsia" w:ascii="宋体" w:hAnsi="宋体" w:eastAsia="宋体" w:cs="宋体"/>
          <w:color w:val="auto"/>
          <w:highlight w:val="none"/>
        </w:rPr>
        <w:t>6.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color w:val="auto"/>
          <w:highlight w:val="none"/>
        </w:rPr>
        <w:t>及相关事宜</w:t>
      </w:r>
      <w:bookmarkEnd w:id="76"/>
      <w:bookmarkEnd w:id="77"/>
      <w:bookmarkEnd w:id="78"/>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6.1报价截止时间和开标时间：</w:t>
      </w:r>
      <w:r>
        <w:rPr>
          <w:rFonts w:hint="eastAsia" w:ascii="宋体" w:hAnsi="宋体" w:cs="宋体"/>
          <w:color w:val="auto"/>
          <w:highlight w:val="none"/>
        </w:rPr>
        <w:t>2024年1</w:t>
      </w:r>
      <w:r>
        <w:rPr>
          <w:rFonts w:ascii="宋体" w:hAnsi="宋体" w:cs="宋体"/>
          <w:color w:val="auto"/>
          <w:highlight w:val="none"/>
        </w:rPr>
        <w:t>2</w:t>
      </w:r>
      <w:r>
        <w:rPr>
          <w:rFonts w:hint="eastAsia" w:ascii="宋体" w:hAnsi="宋体" w:cs="宋体"/>
          <w:color w:val="auto"/>
          <w:highlight w:val="none"/>
        </w:rPr>
        <w:t>月</w:t>
      </w:r>
      <w:r>
        <w:rPr>
          <w:rFonts w:hint="eastAsia" w:ascii="宋体" w:hAnsi="宋体" w:cs="宋体"/>
          <w:color w:val="auto"/>
          <w:highlight w:val="none"/>
          <w:lang w:val="en-US" w:eastAsia="zh-CN"/>
        </w:rPr>
        <w:t>26</w:t>
      </w:r>
      <w:r>
        <w:rPr>
          <w:rFonts w:hint="eastAsia" w:ascii="宋体" w:hAnsi="宋体" w:cs="宋体"/>
          <w:color w:val="auto"/>
          <w:highlight w:val="none"/>
        </w:rPr>
        <w:t>日</w:t>
      </w:r>
      <w:r>
        <w:rPr>
          <w:rFonts w:hint="eastAsia" w:ascii="宋体" w:hAnsi="宋体"/>
          <w:color w:val="auto"/>
          <w:szCs w:val="21"/>
          <w:highlight w:val="none"/>
        </w:rPr>
        <w:t>上午</w:t>
      </w:r>
      <w:r>
        <w:rPr>
          <w:rFonts w:hint="eastAsia" w:ascii="宋体" w:hAnsi="宋体" w:cs="宋体"/>
          <w:color w:val="auto"/>
          <w:szCs w:val="21"/>
          <w:highlight w:val="none"/>
        </w:rPr>
        <w:t>10时00分（北京时间）。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2</w:t>
      </w:r>
      <w:r>
        <w:rPr>
          <w:rFonts w:ascii="宋体" w:hAnsi="宋体" w:cs="宋体"/>
          <w:szCs w:val="21"/>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.3 递交地址：重庆市渝北区新南路52号东界龙湖</w:t>
      </w:r>
      <w:r>
        <w:rPr>
          <w:rFonts w:hint="eastAsia" w:ascii="宋体" w:hAnsi="宋体" w:cs="宋体"/>
          <w:szCs w:val="21"/>
        </w:rPr>
        <w:t>一</w:t>
      </w:r>
      <w:r>
        <w:rPr>
          <w:rFonts w:ascii="宋体" w:hAnsi="宋体" w:cs="宋体"/>
          <w:szCs w:val="21"/>
        </w:rPr>
        <w:t>楼。</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.4 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6.5 采购人不组织项目现场踏勘，不召开报价预备会。</w:t>
      </w:r>
    </w:p>
    <w:p>
      <w:pPr>
        <w:pStyle w:val="4"/>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联系方式</w:t>
      </w:r>
      <w:bookmarkEnd w:id="79"/>
      <w:bookmarkEnd w:id="80"/>
      <w:bookmarkEnd w:id="81"/>
      <w:bookmarkEnd w:id="82"/>
      <w:bookmarkEnd w:id="83"/>
      <w:bookmarkEnd w:id="84"/>
      <w:bookmarkEnd w:id="85"/>
      <w:bookmarkEnd w:id="86"/>
      <w:bookmarkEnd w:id="87"/>
      <w:bookmarkEnd w:id="88"/>
      <w:bookmarkEnd w:id="89"/>
      <w:bookmarkEnd w:id="90"/>
    </w:p>
    <w:tbl>
      <w:tblPr>
        <w:tblStyle w:val="2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28"/>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kern w:val="2"/>
                <w:sz w:val="21"/>
                <w:szCs w:val="21"/>
              </w:rPr>
              <w:t>采购人：重庆首讯科技股份有限公司</w:t>
            </w:r>
          </w:p>
        </w:tc>
        <w:tc>
          <w:tcPr>
            <w:tcW w:w="1415" w:type="dxa"/>
            <w:vAlign w:val="center"/>
          </w:tcPr>
          <w:p>
            <w:pPr>
              <w:pStyle w:val="28"/>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szCs w:val="21"/>
              </w:rPr>
              <w:t>地址：重庆市渝北区新南路52号东界龙湖三楼</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szCs w:val="21"/>
              </w:rPr>
              <w:t>商务联系人：</w:t>
            </w:r>
            <w:r>
              <w:rPr>
                <w:rFonts w:hint="eastAsia" w:ascii="宋体" w:hAnsi="宋体" w:cs="宋体"/>
                <w:color w:val="000000" w:themeColor="text1"/>
                <w:szCs w:val="21"/>
                <w14:textFill>
                  <w14:solidFill>
                    <w14:schemeClr w14:val="tx1"/>
                  </w14:solidFill>
                </w14:textFill>
              </w:rPr>
              <w:t>刘  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 话：18623655450</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szCs w:val="21"/>
              </w:rPr>
              <w:t>技术联系人：</w:t>
            </w:r>
            <w:r>
              <w:rPr>
                <w:rFonts w:hint="eastAsia" w:ascii="宋体" w:hAnsi="宋体" w:cs="宋体"/>
                <w:szCs w:val="21"/>
                <w:lang w:val="en-US" w:eastAsia="zh-CN"/>
              </w:rPr>
              <w:t>夏</w:t>
            </w:r>
            <w:r>
              <w:rPr>
                <w:rFonts w:hint="eastAsia" w:ascii="宋体" w:hAnsi="宋体" w:cs="宋体"/>
                <w:szCs w:val="21"/>
              </w:rPr>
              <w:t>老师  电 话：</w:t>
            </w:r>
            <w:r>
              <w:rPr>
                <w:rFonts w:hint="eastAsia" w:ascii="宋体" w:hAnsi="宋体" w:cs="宋体"/>
                <w:szCs w:val="21"/>
                <w:lang w:val="en-US" w:eastAsia="zh-CN"/>
              </w:rPr>
              <w:t>13883060756</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16"/>
    <w:bookmarkEnd w:id="17"/>
    <w:p>
      <w:pPr>
        <w:pStyle w:val="3"/>
        <w:spacing w:before="0" w:after="0" w:line="360" w:lineRule="auto"/>
        <w:jc w:val="center"/>
        <w:rPr>
          <w:rFonts w:ascii="宋体" w:hAnsi="宋体" w:cs="宋体"/>
          <w:color w:val="000000" w:themeColor="text1"/>
          <w14:textFill>
            <w14:solidFill>
              <w14:schemeClr w14:val="tx1"/>
            </w14:solidFill>
          </w14:textFill>
        </w:rPr>
      </w:pPr>
      <w:bookmarkStart w:id="91" w:name="_Toc21719"/>
      <w:bookmarkStart w:id="92" w:name="_Toc507319898"/>
      <w:bookmarkStart w:id="93" w:name="_Toc246996916"/>
      <w:bookmarkStart w:id="94" w:name="_Toc152045527"/>
      <w:bookmarkStart w:id="95" w:name="_Toc152042303"/>
      <w:bookmarkStart w:id="96" w:name="_Toc247085687"/>
      <w:bookmarkStart w:id="97" w:name="_Toc246996173"/>
      <w:bookmarkStart w:id="98" w:name="_Toc144974495"/>
      <w:bookmarkStart w:id="99" w:name="_Toc179632544"/>
      <w:bookmarkStart w:id="100" w:name="_Toc2000405"/>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pPr>
        <w:rPr>
          <w:color w:val="000000" w:themeColor="text1"/>
          <w14:textFill>
            <w14:solidFill>
              <w14:schemeClr w14:val="tx1"/>
            </w14:solidFill>
          </w14:textFill>
        </w:rPr>
      </w:pPr>
    </w:p>
    <w:tbl>
      <w:tblPr>
        <w:tblStyle w:val="2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rPr>
              <w:t>重庆市渝北区新南路52号东界龙湖三楼</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szCs w:val="21"/>
              </w:rPr>
              <w:t>刘老师</w:t>
            </w:r>
          </w:p>
          <w:p>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szCs w:val="21"/>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基于时空图学习的高速公路网公里级交通流量预测技术开发服务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29"/>
              <w:adjustRightInd/>
              <w:spacing w:line="400" w:lineRule="exact"/>
              <w:ind w:firstLine="422" w:firstLineChars="200"/>
              <w:jc w:val="both"/>
              <w:rPr>
                <w:rFonts w:hint="default" w:hAnsi="宋体" w:eastAsia="宋体"/>
                <w:b/>
                <w:bCs/>
                <w:color w:val="000000" w:themeColor="text1"/>
                <w:sz w:val="21"/>
                <w:szCs w:val="21"/>
                <w:lang w:val="en-US" w:eastAsia="zh-CN"/>
                <w14:textFill>
                  <w14:solidFill>
                    <w14:schemeClr w14:val="tx1"/>
                  </w14:solidFill>
                </w14:textFill>
              </w:rPr>
            </w:pPr>
            <w:r>
              <w:rPr>
                <w:rFonts w:hint="eastAsia" w:hAnsi="宋体"/>
                <w:b/>
                <w:bCs/>
                <w:color w:val="000000" w:themeColor="text1"/>
                <w:sz w:val="21"/>
                <w:szCs w:val="21"/>
                <w:lang w:val="en-US" w:eastAsia="zh-CN"/>
                <w14:textFill>
                  <w14:solidFill>
                    <w14:schemeClr w14:val="tx1"/>
                  </w14:solidFill>
                </w14:textFill>
              </w:rPr>
              <w:t>若报价人非企业单位，是其他组织的情况，则无需提供营业执照（复印件），提供事业单位法人证书或执业许可证等证明文件（复印件）即可。</w:t>
            </w:r>
          </w:p>
          <w:p>
            <w:pPr>
              <w:pStyle w:val="29"/>
              <w:adjustRightInd/>
              <w:spacing w:line="400" w:lineRule="exact"/>
              <w:ind w:firstLine="422" w:firstLineChars="200"/>
              <w:jc w:val="both"/>
              <w:rPr>
                <w:rFonts w:hAnsi="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29"/>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b/>
                <w:bCs/>
                <w:szCs w:val="21"/>
              </w:rPr>
              <w:t>基于时空图学习的高速公路网公里级交通流量预测技术开发服务项目最高限价：</w:t>
            </w:r>
            <w:r>
              <w:rPr>
                <w:rFonts w:hint="eastAsia" w:ascii="宋体" w:hAnsi="宋体"/>
                <w:b/>
                <w:bCs/>
                <w:szCs w:val="21"/>
                <w:u w:val="single"/>
              </w:rPr>
              <w:t>932880.00</w:t>
            </w:r>
            <w:r>
              <w:rPr>
                <w:rFonts w:hint="eastAsia" w:ascii="宋体" w:hAnsi="宋体"/>
                <w:b/>
                <w:bCs/>
                <w:szCs w:val="21"/>
              </w:rPr>
              <w:t>元。</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b/>
                <w:bCs/>
                <w:szCs w:val="21"/>
              </w:rPr>
              <w:t>报价人所报价格不得超过采购人发布的限价，否则</w:t>
            </w:r>
            <w:r>
              <w:rPr>
                <w:rFonts w:hint="eastAsia" w:ascii="宋体" w:hAnsi="宋体" w:cs="宋体"/>
                <w:b/>
                <w:szCs w:val="21"/>
              </w:rPr>
              <w:t>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numPr>
                <w:ilvl w:val="255"/>
                <w:numId w:val="0"/>
              </w:numPr>
              <w:spacing w:line="400" w:lineRule="exact"/>
              <w:ind w:firstLine="420" w:firstLineChars="200"/>
              <w:rPr>
                <w:color w:val="auto"/>
                <w:highlight w:val="none"/>
              </w:rPr>
            </w:pPr>
            <w:r>
              <w:rPr>
                <w:rFonts w:hint="eastAsia"/>
                <w:color w:val="000000" w:themeColor="text1"/>
                <w14:textFill>
                  <w14:solidFill>
                    <w14:schemeClr w14:val="tx1"/>
                  </w14:solidFill>
                </w14:textFill>
              </w:rPr>
              <w:t>每次支付前需由乙方提交书面支付申请、相关证明材料以及对应增值税</w:t>
            </w:r>
            <w:r>
              <w:rPr>
                <w:rFonts w:hint="eastAsia"/>
                <w:color w:val="auto"/>
                <w:highlight w:val="none"/>
              </w:rPr>
              <w:t>专用发票经甲方审核无误后，按以下节点支付：</w:t>
            </w:r>
          </w:p>
          <w:p>
            <w:pPr>
              <w:numPr>
                <w:ilvl w:val="255"/>
                <w:numId w:val="0"/>
              </w:numPr>
              <w:spacing w:line="400" w:lineRule="exact"/>
              <w:ind w:firstLine="420" w:firstLineChars="200"/>
              <w:rPr>
                <w:color w:val="auto"/>
                <w:highlight w:val="none"/>
              </w:rPr>
            </w:pPr>
            <w:r>
              <w:rPr>
                <w:rFonts w:hint="eastAsia"/>
                <w:color w:val="auto"/>
                <w:highlight w:val="none"/>
              </w:rPr>
              <w:t>（1）签订合同，收到乙方发票后，支付项目总金额的40%；</w:t>
            </w:r>
          </w:p>
          <w:p>
            <w:pPr>
              <w:numPr>
                <w:ilvl w:val="255"/>
                <w:numId w:val="0"/>
              </w:numPr>
              <w:spacing w:line="400" w:lineRule="exact"/>
              <w:ind w:firstLine="420" w:firstLineChars="200"/>
              <w:rPr>
                <w:color w:val="auto"/>
                <w:highlight w:val="none"/>
              </w:rPr>
            </w:pPr>
            <w:r>
              <w:rPr>
                <w:rFonts w:hint="eastAsia"/>
                <w:color w:val="auto"/>
                <w:highlight w:val="none"/>
              </w:rPr>
              <w:t>（2）完成合同约定的所有内容开发，并将算法模型封装成标准组件，部署到我方指定的运行环境成功且经验收合格后1个月内支付项目总金额的55%；</w:t>
            </w:r>
          </w:p>
          <w:p>
            <w:pPr>
              <w:numPr>
                <w:ilvl w:val="255"/>
                <w:numId w:val="0"/>
              </w:numPr>
              <w:spacing w:line="400" w:lineRule="exact"/>
              <w:ind w:firstLine="420" w:firstLineChars="200"/>
              <w:rPr>
                <w:color w:val="000000" w:themeColor="text1"/>
                <w14:textFill>
                  <w14:solidFill>
                    <w14:schemeClr w14:val="tx1"/>
                  </w14:solidFill>
                </w14:textFill>
              </w:rPr>
            </w:pPr>
            <w:r>
              <w:rPr>
                <w:rFonts w:hint="eastAsia"/>
                <w:color w:val="auto"/>
                <w:highlight w:val="none"/>
              </w:rPr>
              <w:t>（3）算法模型软件在指定环境中稳定运行一年后，支付项目总金额的剩余5%。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报价人须知</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报价人应认真阅读本比选函所有技术及服务要求后以确认在填报单价和价格之前，采购人要求的服务内容已被包括在每个项目内，报出的单价和价格应被认为包括所有劳务、工具、相关税费、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一、投标保证金</w:t>
            </w:r>
          </w:p>
          <w:p>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报价人是否提供投标保证金：</w:t>
            </w:r>
            <w:r>
              <w:rPr>
                <w:rFonts w:hint="eastAsia" w:ascii="宋体" w:hAnsi="宋体" w:cs="宋体"/>
                <w:b/>
                <w:bCs/>
                <w:color w:val="auto"/>
                <w:kern w:val="0"/>
                <w:szCs w:val="21"/>
                <w:highlight w:val="none"/>
                <w:u w:val="single"/>
                <w:lang w:bidi="ar"/>
              </w:rPr>
              <w:t>是</w:t>
            </w:r>
          </w:p>
          <w:p>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1、报价人须缴纳投标保证金</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val="en-US" w:eastAsia="zh-CN" w:bidi="ar"/>
              </w:rPr>
              <w:t>10</w:t>
            </w:r>
            <w:r>
              <w:rPr>
                <w:rFonts w:hint="eastAsia" w:ascii="宋体" w:hAnsi="宋体" w:cs="宋体"/>
                <w:color w:val="auto"/>
                <w:kern w:val="0"/>
                <w:szCs w:val="21"/>
                <w:highlight w:val="none"/>
                <w:u w:val="single"/>
                <w:lang w:bidi="ar"/>
              </w:rPr>
              <w:t xml:space="preserve">000.00 </w:t>
            </w:r>
            <w:r>
              <w:rPr>
                <w:rFonts w:hint="eastAsia" w:ascii="宋体" w:hAnsi="宋体" w:cs="宋体"/>
                <w:color w:val="auto"/>
                <w:kern w:val="0"/>
                <w:szCs w:val="21"/>
                <w:highlight w:val="none"/>
                <w:lang w:bidi="ar"/>
              </w:rPr>
              <w:t>元，由报价人从公司基本账户将投标保证金汇至以下指定账户：</w:t>
            </w:r>
          </w:p>
          <w:p>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保证金到账截止时间：2024年</w:t>
            </w:r>
            <w:r>
              <w:rPr>
                <w:rFonts w:ascii="宋体" w:hAnsi="宋体" w:cs="宋体"/>
                <w:color w:val="auto"/>
                <w:kern w:val="0"/>
                <w:szCs w:val="21"/>
                <w:highlight w:val="none"/>
                <w:lang w:bidi="ar"/>
              </w:rPr>
              <w:t>12</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26</w:t>
            </w:r>
            <w:r>
              <w:rPr>
                <w:rFonts w:hint="eastAsia" w:ascii="宋体" w:hAnsi="宋体" w:cs="宋体"/>
                <w:color w:val="auto"/>
                <w:kern w:val="0"/>
                <w:szCs w:val="21"/>
                <w:highlight w:val="none"/>
                <w:lang w:bidi="ar"/>
              </w:rPr>
              <w:t>日上午10时00分前；</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若竞争性比选响应文件内无投标保证金缴纳凭证，采购人有权作废标处理，若投标保证金存在虚假不实情况，采购人有权作废标处理。</w:t>
            </w:r>
          </w:p>
          <w:p>
            <w:pPr>
              <w:spacing w:line="360" w:lineRule="auto"/>
              <w:ind w:firstLine="420" w:firstLineChars="200"/>
              <w:rPr>
                <w:rFonts w:ascii="宋体" w:hAnsi="宋体" w:cs="宋体"/>
                <w:color w:val="000000"/>
                <w:kern w:val="0"/>
                <w:szCs w:val="21"/>
                <w:lang w:bidi="ar"/>
              </w:rPr>
            </w:pPr>
            <w:r>
              <w:rPr>
                <w:rFonts w:hint="eastAsia" w:hAnsi="宋体"/>
                <w:szCs w:val="21"/>
              </w:rPr>
              <w:t>若缴纳现金的，</w:t>
            </w:r>
            <w:r>
              <w:rPr>
                <w:rFonts w:hint="eastAsia" w:ascii="宋体" w:hAnsi="宋体" w:cs="宋体"/>
                <w:color w:val="000000"/>
                <w:szCs w:val="21"/>
              </w:rPr>
              <w:t>则需</w:t>
            </w:r>
            <w:r>
              <w:rPr>
                <w:rFonts w:hint="eastAsia" w:ascii="宋体" w:hAnsi="宋体" w:cs="宋体"/>
                <w:szCs w:val="21"/>
              </w:rPr>
              <w:t>备注，转款备注：</w:t>
            </w:r>
            <w:r>
              <w:rPr>
                <w:rFonts w:hint="eastAsia"/>
                <w:szCs w:val="21"/>
              </w:rPr>
              <w:t>基于时空图学习的高速公路网公里级交通流量预测技术开发服务</w:t>
            </w:r>
            <w:r>
              <w:rPr>
                <w:rFonts w:hint="eastAsia" w:ascii="宋体" w:hAnsi="宋体" w:cs="宋体"/>
                <w:szCs w:val="21"/>
              </w:rPr>
              <w:t>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2、投标保证金退还方式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为便于及时退还，报价人在递交响应文件的同时，递交本项目保证金银行回单和公司的开户许可证复印件。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未中标报价人的投标保证金，于该项目结果公示期结束后15个工作日内无息退还至报价人基本账户。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中标人的投标保证金，自合同签订后15个工作日内无息退还至中标人基本账户。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3、有下列情形之一的，投标保证金将不予退还：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（1）报价人在投标有效期内撤销投标文件；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（2）中标人在收到中标通知书后，无正当理由不与采购人订立合同，在签订合同时向采购人提出附加条件，或者不按照招标文件要求提交履约保证金；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（4）报价人被发现本次投标存在串通投标、弄虚造假、行贿等违法行为的；</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（5）发生报价人须知前附表规定的其他可以不予退还投标保证金的情形。</w:t>
            </w:r>
          </w:p>
          <w:p>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二、履约保证金</w:t>
            </w:r>
          </w:p>
          <w:p>
            <w:pPr>
              <w:spacing w:line="360" w:lineRule="auto"/>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报价人是否提供履约保证金：</w:t>
            </w:r>
            <w:r>
              <w:rPr>
                <w:rFonts w:hint="eastAsia" w:ascii="宋体" w:hAnsi="宋体" w:cs="宋体"/>
                <w:kern w:val="0"/>
                <w:szCs w:val="21"/>
                <w:highlight w:val="none"/>
                <w:lang w:bidi="ar"/>
              </w:rPr>
              <w:t>否</w:t>
            </w:r>
          </w:p>
          <w:p>
            <w:pPr>
              <w:pStyle w:val="29"/>
              <w:spacing w:line="360" w:lineRule="auto"/>
              <w:ind w:firstLine="420" w:firstLineChars="200"/>
              <w:rPr>
                <w:rFonts w:hAnsi="宋体"/>
                <w:color w:val="auto"/>
                <w:kern w:val="2"/>
                <w:sz w:val="21"/>
                <w:szCs w:val="21"/>
                <w:highlight w:val="none"/>
              </w:rPr>
            </w:pPr>
            <w:r>
              <w:rPr>
                <w:rFonts w:hint="eastAsia" w:hAnsi="宋体"/>
                <w:color w:val="auto"/>
                <w:kern w:val="2"/>
                <w:sz w:val="21"/>
                <w:szCs w:val="21"/>
                <w:highlight w:val="none"/>
              </w:rPr>
              <w:t>1、</w:t>
            </w:r>
            <w:r>
              <w:rPr>
                <w:rFonts w:hAnsi="宋体"/>
                <w:color w:val="auto"/>
                <w:kern w:val="2"/>
                <w:sz w:val="21"/>
                <w:szCs w:val="21"/>
                <w:highlight w:val="none"/>
              </w:rPr>
              <w:t>履约担保作为本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rPr>
              <w:t>。</w:t>
            </w:r>
          </w:p>
          <w:p>
            <w:pPr>
              <w:pStyle w:val="29"/>
              <w:spacing w:line="360" w:lineRule="auto"/>
              <w:ind w:firstLine="420" w:firstLineChars="200"/>
              <w:rPr>
                <w:rFonts w:hAnsi="宋体"/>
                <w:color w:val="auto"/>
                <w:kern w:val="2"/>
                <w:sz w:val="21"/>
                <w:szCs w:val="21"/>
                <w:highlight w:val="none"/>
              </w:rPr>
            </w:pPr>
            <w:r>
              <w:rPr>
                <w:rFonts w:hint="eastAsia" w:hAnsi="宋体"/>
                <w:color w:val="auto"/>
                <w:kern w:val="2"/>
                <w:sz w:val="21"/>
                <w:szCs w:val="21"/>
                <w:highlight w:val="none"/>
              </w:rPr>
              <w:t>2、履约保证金的金额：/。</w:t>
            </w:r>
          </w:p>
          <w:p>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3、履约保证金有效期：自双方签订的合同文件生效之日起，至合同约定的工作验收完成止。</w:t>
            </w:r>
          </w:p>
          <w:p>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4、履约保证金缴纳方式：现金或保函</w:t>
            </w:r>
          </w:p>
          <w:p>
            <w:pPr>
              <w:pStyle w:val="18"/>
              <w:spacing w:before="0" w:beforeAutospacing="0" w:after="0" w:afterAutospacing="0" w:line="360" w:lineRule="auto"/>
              <w:ind w:firstLine="420"/>
              <w:rPr>
                <w:kern w:val="2"/>
                <w:sz w:val="21"/>
                <w:szCs w:val="21"/>
              </w:rPr>
            </w:pPr>
            <w:r>
              <w:rPr>
                <w:rFonts w:hint="eastAsia"/>
                <w:kern w:val="2"/>
                <w:sz w:val="21"/>
                <w:szCs w:val="21"/>
              </w:rPr>
              <w:t>5、履约保证金的提交：在甲方发出中标通知书后5个工作日内，中标人向采购人提供履约保证金</w:t>
            </w:r>
            <w:r>
              <w:rPr>
                <w:kern w:val="2"/>
                <w:sz w:val="21"/>
                <w:szCs w:val="21"/>
              </w:rPr>
              <w:t>缴纳凭证</w:t>
            </w:r>
            <w:r>
              <w:rPr>
                <w:rFonts w:hint="eastAsia"/>
                <w:kern w:val="2"/>
                <w:sz w:val="21"/>
                <w:szCs w:val="21"/>
              </w:rPr>
              <w:t>。若缴纳现金的，</w:t>
            </w:r>
            <w:r>
              <w:rPr>
                <w:rFonts w:hint="eastAsia"/>
                <w:color w:val="000000"/>
                <w:sz w:val="21"/>
                <w:szCs w:val="21"/>
              </w:rPr>
              <w:t>则需</w:t>
            </w:r>
            <w:r>
              <w:rPr>
                <w:rFonts w:hint="eastAsia"/>
                <w:sz w:val="21"/>
                <w:szCs w:val="21"/>
              </w:rPr>
              <w:t>备注，转款备注：基于时空图学习的高速公路网公里级交通流量预测技术开发服务履约保证金</w:t>
            </w:r>
          </w:p>
          <w:p>
            <w:pPr>
              <w:spacing w:line="360" w:lineRule="auto"/>
              <w:ind w:firstLine="420" w:firstLineChars="200"/>
              <w:rPr>
                <w:rFonts w:hAnsi="宋体"/>
                <w:szCs w:val="21"/>
              </w:rPr>
            </w:pPr>
            <w:r>
              <w:rPr>
                <w:rFonts w:hint="eastAsia" w:hAnsi="宋体"/>
                <w:szCs w:val="21"/>
              </w:rPr>
              <w:t>6、若提供保函的：</w:t>
            </w:r>
            <w:r>
              <w:rPr>
                <w:rFonts w:hint="eastAsia" w:ascii="宋体" w:hAnsi="宋体" w:cs="宋体"/>
                <w:kern w:val="0"/>
                <w:szCs w:val="21"/>
              </w:rPr>
              <w:t>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spacing w:line="360" w:lineRule="auto"/>
              <w:ind w:firstLine="420" w:firstLineChars="200"/>
              <w:rPr>
                <w:rFonts w:ascii="宋体" w:hAnsi="宋体" w:cs="宋体"/>
                <w:color w:val="000000"/>
                <w:kern w:val="0"/>
                <w:szCs w:val="21"/>
                <w:lang w:bidi="ar"/>
              </w:rPr>
            </w:pPr>
            <w:r>
              <w:rPr>
                <w:rFonts w:hint="eastAsia" w:hAnsi="宋体"/>
                <w:szCs w:val="21"/>
              </w:rPr>
              <w:t>7、</w:t>
            </w:r>
            <w:r>
              <w:rPr>
                <w:rFonts w:ascii="宋体" w:hAnsi="宋体" w:cs="宋体"/>
                <w:szCs w:val="21"/>
              </w:rPr>
              <w:t>履约保证金退还：缴纳现金保函的，在完成合同约定的全部工作内容后28天后无息退还剩余部分。</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三、低价保证金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1．低价风险担保：中标价低于最高限价的85%时提供，如不按时足额提供，视为中标人放弃中标，采购人有权不退还其投标保证金。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2．中标人提供低价风险担保的形式、金额及期限：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（2）低价风险担保的金额：（最高限价×85%-中标价）×3，且最高不超过最高限价的85%。</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（3）低价风险担保送达采购人的时间：从采购人中标通知书送达拟中标人之日起 20 个工作日内。</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（5）低价风险担保的期限：自低价风险担保生效之日起至合同设备验收证书或验收款支付函签署之日止。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（5）低价风险担保的扣减：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②因乙方违约被解除合同的，低价风险担保将全额扣除；</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③因乙方原因导致的其他情形。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备注：当中标人或拟中标人未按时提交低价风险担保，且属于可以延长低价风险担保提交期限的特殊情形时，经采购人同意，可适当延长低价风险担保的提交期限。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投标总报价低于最高限价85%的，报价人应在编制投标文件时，在投标函部分中递交低价风险担保提交承诺书。格式自拟。</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spacing w:line="360" w:lineRule="auto"/>
              <w:ind w:firstLine="420" w:firstLineChars="200"/>
              <w:rPr>
                <w:rFonts w:hAnsi="宋体"/>
                <w:szCs w:val="21"/>
              </w:rPr>
            </w:pPr>
            <w:r>
              <w:rPr>
                <w:rFonts w:hint="eastAsia" w:hAnsi="宋体"/>
                <w:szCs w:val="21"/>
              </w:rPr>
              <w:t>四、采购人指定的开户银行及账号如下：</w:t>
            </w:r>
          </w:p>
          <w:p>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帐    号：3460 1010 0100 4791 14</w:t>
            </w:r>
          </w:p>
          <w:p>
            <w:pPr>
              <w:pStyle w:val="29"/>
              <w:spacing w:line="400" w:lineRule="exact"/>
              <w:ind w:firstLine="422" w:firstLineChars="200"/>
              <w:rPr>
                <w:rFonts w:hAnsi="宋体"/>
                <w:color w:val="auto"/>
                <w:kern w:val="2"/>
                <w:sz w:val="21"/>
                <w:szCs w:val="21"/>
              </w:rPr>
            </w:pPr>
            <w:r>
              <w:rPr>
                <w:rFonts w:hint="eastAsia" w:hAnsi="宋体"/>
                <w:b/>
                <w:bCs/>
                <w:color w:val="auto"/>
                <w:sz w:val="21"/>
                <w:szCs w:val="18"/>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29"/>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2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2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监督部门：重庆首讯科技股份有限公司合规监管部</w:t>
            </w:r>
          </w:p>
          <w:p>
            <w:pPr>
              <w:pStyle w:val="2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址：重庆市渝北区新南路52号东界龙湖三楼</w:t>
            </w:r>
          </w:p>
          <w:p>
            <w:pPr>
              <w:pStyle w:val="29"/>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25</w:t>
            </w:r>
          </w:p>
        </w:tc>
        <w:tc>
          <w:tcPr>
            <w:tcW w:w="2106" w:type="dxa"/>
            <w:vAlign w:val="center"/>
          </w:tcPr>
          <w:p>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竞争性比选响应文件的组成</w:t>
            </w:r>
          </w:p>
        </w:tc>
        <w:tc>
          <w:tcPr>
            <w:tcW w:w="7104" w:type="dxa"/>
            <w:vAlign w:val="center"/>
          </w:tcPr>
          <w:p>
            <w:pPr>
              <w:pStyle w:val="29"/>
              <w:numPr>
                <w:ilvl w:val="255"/>
                <w:numId w:val="0"/>
              </w:numPr>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2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auto"/>
                <w:kern w:val="2"/>
                <w:sz w:val="21"/>
                <w:szCs w:val="21"/>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14:textFill>
                  <w14:solidFill>
                    <w14:schemeClr w14:val="tx1"/>
                  </w14:solidFill>
                </w14:textFill>
              </w:rPr>
              <w:t>。</w:t>
            </w:r>
            <w:r>
              <w:rPr>
                <w:rFonts w:hint="eastAsia" w:hAnsi="宋体"/>
                <w:color w:val="auto"/>
                <w:kern w:val="2"/>
                <w:sz w:val="21"/>
                <w:szCs w:val="21"/>
              </w:rPr>
              <w:t>当电子文件与纸质版竞争性比选响应文件不一致时，以纸质版竞争性比选响应文件为准，当正本与副本不一致时，以正本为准。</w:t>
            </w:r>
          </w:p>
          <w:p>
            <w:pPr>
              <w:pStyle w:val="29"/>
              <w:spacing w:line="400" w:lineRule="exact"/>
              <w:ind w:firstLine="420" w:firstLineChars="200"/>
              <w:rPr>
                <w:rFonts w:hAnsi="宋体"/>
                <w:color w:val="auto"/>
                <w:kern w:val="2"/>
                <w:sz w:val="21"/>
                <w:szCs w:val="21"/>
              </w:rPr>
            </w:pPr>
            <w:r>
              <w:rPr>
                <w:rFonts w:hint="eastAsia" w:hAnsi="宋体"/>
                <w:color w:val="auto"/>
                <w:kern w:val="2"/>
                <w:sz w:val="21"/>
                <w:szCs w:val="21"/>
              </w:rPr>
              <w:t>3.竞争性比选响应声明书、报价函、资格要求材料、报价人认为需要提供的其他相关文件（注：以</w:t>
            </w:r>
            <w:r>
              <w:rPr>
                <w:rFonts w:hint="eastAsia" w:hAnsi="宋体"/>
                <w:b/>
                <w:bCs/>
                <w:color w:val="auto"/>
                <w:kern w:val="2"/>
                <w:sz w:val="21"/>
                <w:szCs w:val="21"/>
              </w:rPr>
              <w:t>上所有文件均须逐页加盖报价人的公章</w:t>
            </w:r>
            <w:r>
              <w:rPr>
                <w:rFonts w:hint="eastAsia" w:hAnsi="宋体"/>
                <w:color w:val="auto"/>
                <w:kern w:val="2"/>
                <w:sz w:val="21"/>
                <w:szCs w:val="21"/>
              </w:rPr>
              <w:t>）。</w:t>
            </w:r>
          </w:p>
          <w:p>
            <w:pPr>
              <w:pStyle w:val="2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2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2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基于时空图学习的高速公路网公里级交通流量预测技术开发服务竞争性比选响应文件（加盖报价人的公章）</w:t>
            </w:r>
          </w:p>
          <w:p>
            <w:pPr>
              <w:pStyle w:val="2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auto"/>
                <w:kern w:val="2"/>
                <w:sz w:val="21"/>
                <w:szCs w:val="21"/>
                <w:highlight w:val="none"/>
              </w:rPr>
              <w:t>在</w:t>
            </w:r>
            <w:r>
              <w:rPr>
                <w:rFonts w:hint="eastAsia" w:hAnsi="宋体"/>
                <w:color w:val="auto"/>
                <w:kern w:val="2"/>
                <w:sz w:val="21"/>
                <w:szCs w:val="21"/>
                <w:highlight w:val="none"/>
                <w:u w:val="single"/>
              </w:rPr>
              <w:t xml:space="preserve"> </w:t>
            </w:r>
            <w:r>
              <w:rPr>
                <w:rFonts w:hint="eastAsia" w:hAnsi="宋体"/>
                <w:color w:val="auto"/>
                <w:sz w:val="21"/>
                <w:szCs w:val="18"/>
                <w:highlight w:val="none"/>
                <w:u w:val="single"/>
              </w:rPr>
              <w:t xml:space="preserve">2024 </w:t>
            </w:r>
            <w:r>
              <w:rPr>
                <w:rFonts w:hint="eastAsia" w:hAnsi="宋体"/>
                <w:color w:val="auto"/>
                <w:sz w:val="21"/>
                <w:szCs w:val="18"/>
                <w:highlight w:val="none"/>
              </w:rPr>
              <w:t>年</w:t>
            </w:r>
            <w:r>
              <w:rPr>
                <w:rFonts w:hint="eastAsia" w:hAnsi="宋体"/>
                <w:color w:val="auto"/>
                <w:sz w:val="21"/>
                <w:szCs w:val="18"/>
                <w:highlight w:val="none"/>
                <w:u w:val="single"/>
              </w:rPr>
              <w:t xml:space="preserve"> 1</w:t>
            </w:r>
            <w:r>
              <w:rPr>
                <w:rFonts w:hAnsi="宋体"/>
                <w:color w:val="auto"/>
                <w:sz w:val="21"/>
                <w:szCs w:val="18"/>
                <w:highlight w:val="none"/>
                <w:u w:val="single"/>
              </w:rPr>
              <w:t>2</w:t>
            </w:r>
            <w:r>
              <w:rPr>
                <w:rFonts w:hint="eastAsia" w:hAnsi="宋体"/>
                <w:color w:val="auto"/>
                <w:sz w:val="21"/>
                <w:szCs w:val="18"/>
                <w:highlight w:val="none"/>
                <w:u w:val="single"/>
              </w:rPr>
              <w:t xml:space="preserve"> </w:t>
            </w:r>
            <w:r>
              <w:rPr>
                <w:rFonts w:hint="eastAsia" w:hAnsi="宋体"/>
                <w:color w:val="auto"/>
                <w:sz w:val="21"/>
                <w:szCs w:val="18"/>
                <w:highlight w:val="none"/>
              </w:rPr>
              <w:t>月</w:t>
            </w:r>
            <w:r>
              <w:rPr>
                <w:rFonts w:hint="eastAsia" w:hAnsi="宋体"/>
                <w:color w:val="auto"/>
                <w:sz w:val="21"/>
                <w:szCs w:val="18"/>
                <w:highlight w:val="none"/>
                <w:u w:val="single"/>
              </w:rPr>
              <w:t xml:space="preserve"> </w:t>
            </w:r>
            <w:r>
              <w:rPr>
                <w:rFonts w:hint="eastAsia" w:hAnsi="宋体"/>
                <w:color w:val="auto"/>
                <w:sz w:val="21"/>
                <w:szCs w:val="18"/>
                <w:highlight w:val="none"/>
                <w:u w:val="single"/>
                <w:lang w:val="en-US" w:eastAsia="zh-CN"/>
              </w:rPr>
              <w:t>26</w:t>
            </w:r>
            <w:bookmarkStart w:id="269" w:name="_GoBack"/>
            <w:bookmarkEnd w:id="269"/>
            <w:r>
              <w:rPr>
                <w:rFonts w:hAnsi="宋体"/>
                <w:color w:val="auto"/>
                <w:sz w:val="21"/>
                <w:szCs w:val="18"/>
                <w:highlight w:val="none"/>
                <w:u w:val="single"/>
              </w:rPr>
              <w:t xml:space="preserve"> </w:t>
            </w:r>
            <w:r>
              <w:rPr>
                <w:rFonts w:hint="eastAsia" w:hAnsi="宋体"/>
                <w:color w:val="auto"/>
                <w:sz w:val="21"/>
                <w:szCs w:val="18"/>
                <w:highlight w:val="none"/>
              </w:rPr>
              <w:t>日上</w:t>
            </w:r>
            <w:r>
              <w:rPr>
                <w:rFonts w:hint="eastAsia" w:hAnsi="宋体"/>
                <w:color w:val="auto"/>
                <w:kern w:val="2"/>
                <w:sz w:val="21"/>
                <w:szCs w:val="21"/>
                <w:highlight w:val="none"/>
              </w:rPr>
              <w:t>午10：00时前不得开启。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26</w:t>
            </w:r>
          </w:p>
        </w:tc>
        <w:tc>
          <w:tcPr>
            <w:tcW w:w="2106" w:type="dxa"/>
            <w:vAlign w:val="center"/>
          </w:tcPr>
          <w:p>
            <w:pPr>
              <w:spacing w:line="400" w:lineRule="exact"/>
              <w:jc w:val="center"/>
              <w:rPr>
                <w:rFonts w:hAnsi="宋体"/>
                <w:color w:val="000000" w:themeColor="text1"/>
                <w:szCs w:val="21"/>
                <w14:textFill>
                  <w14:solidFill>
                    <w14:schemeClr w14:val="tx1"/>
                  </w14:solidFill>
                </w14:textFill>
              </w:rPr>
            </w:pPr>
            <w:r>
              <w:rPr>
                <w:rFonts w:hint="eastAsia"/>
              </w:rPr>
              <w:t>中标候选人公示</w:t>
            </w:r>
          </w:p>
        </w:tc>
        <w:tc>
          <w:tcPr>
            <w:tcW w:w="7104" w:type="dxa"/>
            <w:vAlign w:val="center"/>
          </w:tcPr>
          <w:p>
            <w:pPr>
              <w:spacing w:line="400" w:lineRule="exact"/>
              <w:ind w:firstLine="420" w:firstLineChars="200"/>
              <w:rPr>
                <w:rFonts w:hAnsi="宋体"/>
                <w:color w:val="000000" w:themeColor="text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w:t>
            </w:r>
          </w:p>
        </w:tc>
        <w:tc>
          <w:tcPr>
            <w:tcW w:w="9210" w:type="dxa"/>
            <w:gridSpan w:val="2"/>
            <w:vAlign w:val="center"/>
          </w:tcPr>
          <w:p>
            <w:pPr>
              <w:pStyle w:val="29"/>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27.1</w:t>
            </w:r>
          </w:p>
        </w:tc>
        <w:tc>
          <w:tcPr>
            <w:tcW w:w="9210" w:type="dxa"/>
            <w:gridSpan w:val="2"/>
            <w:vAlign w:val="center"/>
          </w:tcPr>
          <w:p>
            <w:pPr>
              <w:pStyle w:val="29"/>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w:t>
            </w:r>
            <w:r>
              <w:rPr>
                <w:rFonts w:hAnsi="宋体"/>
                <w:color w:val="000000" w:themeColor="text1"/>
                <w:kern w:val="2"/>
                <w:sz w:val="21"/>
                <w:szCs w:val="21"/>
                <w14:textFill>
                  <w14:solidFill>
                    <w14:schemeClr w14:val="tx1"/>
                  </w14:solidFill>
                </w14:textFill>
              </w:rPr>
              <w:t>2</w:t>
            </w:r>
          </w:p>
        </w:tc>
        <w:tc>
          <w:tcPr>
            <w:tcW w:w="9210" w:type="dxa"/>
            <w:gridSpan w:val="2"/>
            <w:vAlign w:val="center"/>
          </w:tcPr>
          <w:p>
            <w:pPr>
              <w:pStyle w:val="29"/>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1、需提供投标保证金银行回执。</w:t>
            </w:r>
          </w:p>
        </w:tc>
      </w:tr>
      <w:bookmarkEnd w:id="101"/>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103" w:name="_Toc28820"/>
      <w:bookmarkStart w:id="104" w:name="_Toc11329222"/>
      <w:bookmarkStart w:id="105" w:name="_Toc30198"/>
      <w:bookmarkStart w:id="106" w:name="_Toc32070"/>
      <w:bookmarkStart w:id="107" w:name="_Toc17532"/>
      <w:bookmarkStart w:id="108" w:name="_Toc11284"/>
      <w:r>
        <w:rPr>
          <w:rFonts w:hint="eastAsia" w:ascii="宋体" w:hAnsi="宋体" w:eastAsia="宋体" w:cs="宋体"/>
          <w:sz w:val="28"/>
          <w:szCs w:val="28"/>
        </w:rPr>
        <w:t xml:space="preserve">附录1  </w:t>
      </w:r>
      <w:r>
        <w:rPr>
          <w:rFonts w:hint="eastAsia" w:ascii="宋体" w:hAnsi="宋体" w:eastAsia="宋体" w:cs="宋体"/>
          <w:bCs w:val="0"/>
          <w:sz w:val="28"/>
          <w:szCs w:val="28"/>
        </w:rPr>
        <w:t>资格审查文件（项目主要管理人员最低要求）</w:t>
      </w:r>
      <w:bookmarkEnd w:id="103"/>
    </w:p>
    <w:p>
      <w:pPr>
        <w:spacing w:line="400" w:lineRule="exact"/>
        <w:jc w:val="center"/>
        <w:rPr>
          <w:highlight w:val="none"/>
        </w:rPr>
      </w:pPr>
      <w:r>
        <w:rPr>
          <w:rFonts w:hint="eastAsia" w:ascii="宋体" w:hAnsi="宋体" w:cs="宋体"/>
          <w:b/>
          <w:szCs w:val="21"/>
          <w:highlight w:val="none"/>
        </w:rPr>
        <w:t>主要管理人员最低要求</w:t>
      </w:r>
    </w:p>
    <w:tbl>
      <w:tblPr>
        <w:tblStyle w:val="23"/>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bidi="ar"/>
              </w:rPr>
              <w:t>数量</w:t>
            </w:r>
          </w:p>
        </w:tc>
        <w:tc>
          <w:tcPr>
            <w:tcW w:w="602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bidi="ar"/>
              </w:rPr>
              <w:t>项目负责人</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bidi="ar"/>
              </w:rPr>
              <w:t>1</w:t>
            </w:r>
          </w:p>
        </w:tc>
        <w:tc>
          <w:tcPr>
            <w:tcW w:w="602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bidi="ar"/>
              </w:rPr>
              <w:t>具有中级职称证书。</w:t>
            </w:r>
          </w:p>
        </w:tc>
      </w:tr>
    </w:tbl>
    <w:p>
      <w:pPr>
        <w:spacing w:line="400" w:lineRule="exact"/>
        <w:ind w:firstLine="283" w:firstLineChars="135"/>
        <w:rPr>
          <w:rFonts w:ascii="宋体" w:hAnsi="宋体" w:cs="宋体"/>
          <w:szCs w:val="21"/>
          <w:highlight w:val="none"/>
        </w:rPr>
      </w:pPr>
      <w:r>
        <w:rPr>
          <w:rFonts w:hint="eastAsia" w:ascii="宋体" w:hAnsi="宋体" w:cs="宋体"/>
          <w:szCs w:val="21"/>
          <w:highlight w:val="none"/>
          <w:lang w:bidi="ar"/>
        </w:rPr>
        <w:t>注：</w:t>
      </w:r>
      <w:r>
        <w:rPr>
          <w:rFonts w:hint="eastAsia" w:ascii="宋体" w:hAnsi="宋体" w:cs="宋体"/>
          <w:bCs/>
          <w:kern w:val="0"/>
          <w:sz w:val="22"/>
          <w:szCs w:val="20"/>
          <w:highlight w:val="none"/>
        </w:rPr>
        <w:t>以上人员</w:t>
      </w:r>
      <w:r>
        <w:rPr>
          <w:rFonts w:hint="eastAsia" w:ascii="宋体" w:hAnsi="宋体" w:cs="宋体"/>
          <w:kern w:val="0"/>
          <w:sz w:val="22"/>
          <w:szCs w:val="22"/>
          <w:highlight w:val="none"/>
        </w:rPr>
        <w:t>由报价人</w:t>
      </w:r>
      <w:r>
        <w:rPr>
          <w:rFonts w:hint="eastAsia" w:ascii="宋体" w:hAnsi="宋体" w:cs="宋体"/>
          <w:b/>
          <w:kern w:val="0"/>
          <w:sz w:val="22"/>
          <w:szCs w:val="22"/>
          <w:highlight w:val="none"/>
        </w:rPr>
        <w:t>自行承诺</w:t>
      </w:r>
      <w:r>
        <w:rPr>
          <w:rFonts w:hint="eastAsia" w:ascii="宋体" w:hAnsi="宋体" w:cs="宋体"/>
          <w:kern w:val="0"/>
          <w:sz w:val="22"/>
          <w:szCs w:val="22"/>
          <w:highlight w:val="none"/>
        </w:rPr>
        <w:t>，</w:t>
      </w:r>
      <w:r>
        <w:rPr>
          <w:rFonts w:hint="eastAsia" w:ascii="宋体" w:hAnsi="宋体" w:cs="宋体"/>
          <w:kern w:val="0"/>
          <w:sz w:val="22"/>
          <w:szCs w:val="20"/>
          <w:highlight w:val="none"/>
        </w:rPr>
        <w:t>并加盖单位鲜公章</w:t>
      </w:r>
      <w:r>
        <w:rPr>
          <w:rFonts w:hint="eastAsia" w:hAnsi="宋体"/>
          <w:sz w:val="20"/>
          <w:szCs w:val="20"/>
          <w:highlight w:val="none"/>
        </w:rPr>
        <w:t>。</w:t>
      </w:r>
    </w:p>
    <w:p>
      <w:pPr>
        <w:pStyle w:val="15"/>
        <w:rPr>
          <w:highlight w:val="none"/>
        </w:rPr>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jc w:val="center"/>
        <w:rPr>
          <w:rFonts w:ascii="宋体" w:hAnsi="宋体" w:eastAsia="宋体" w:cs="宋体"/>
          <w:bCs w:val="0"/>
          <w:sz w:val="28"/>
          <w:szCs w:val="28"/>
        </w:rPr>
      </w:pPr>
      <w:bookmarkStart w:id="109" w:name="_Toc22513"/>
      <w:bookmarkStart w:id="110" w:name="_Toc12685"/>
      <w:r>
        <w:rPr>
          <w:rFonts w:hint="eastAsia" w:ascii="宋体" w:hAnsi="宋体" w:eastAsia="宋体" w:cs="宋体"/>
          <w:bCs w:val="0"/>
          <w:sz w:val="28"/>
          <w:szCs w:val="28"/>
        </w:rPr>
        <w:t>附录2 资格审查文件（项目其他人员最低要求）</w:t>
      </w:r>
      <w:bookmarkEnd w:id="109"/>
      <w:bookmarkEnd w:id="110"/>
    </w:p>
    <w:tbl>
      <w:tblPr>
        <w:tblStyle w:val="2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1" w:name="_Toc23696"/>
            <w:bookmarkStart w:id="112" w:name="_Toc507319900"/>
            <w:bookmarkStart w:id="113" w:name="_Toc413241584"/>
            <w:r>
              <w:rPr>
                <w:rFonts w:hint="eastAsia" w:ascii="宋体" w:hAnsi="宋体" w:cs="宋体"/>
                <w:szCs w:val="21"/>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160" w:type="dxa"/>
          </w:tcPr>
          <w:p>
            <w:pPr>
              <w:ind w:firstLine="420" w:firstLineChars="200"/>
            </w:pPr>
            <w:r>
              <w:rPr>
                <w:rFonts w:hint="eastAsia"/>
              </w:rPr>
              <w:t>根据项目实际进度情况及时增加人员。</w:t>
            </w:r>
          </w:p>
        </w:tc>
      </w:tr>
    </w:tbl>
    <w:p>
      <w:pPr>
        <w:pStyle w:val="29"/>
        <w:adjustRightInd/>
        <w:spacing w:line="360" w:lineRule="auto"/>
        <w:jc w:val="both"/>
        <w:rPr>
          <w:rFonts w:hAnsi="宋体"/>
          <w:color w:val="FF0000"/>
          <w:sz w:val="21"/>
          <w:szCs w:val="21"/>
        </w:rPr>
      </w:pPr>
      <w:r>
        <w:rPr>
          <w:rFonts w:hint="eastAsia" w:hAnsi="宋体"/>
          <w:bCs/>
          <w:sz w:val="22"/>
          <w:szCs w:val="20"/>
        </w:rPr>
        <w:t>注：以上人员</w:t>
      </w:r>
      <w:r>
        <w:rPr>
          <w:rFonts w:hint="eastAsia" w:hAnsi="宋体"/>
          <w:sz w:val="22"/>
          <w:szCs w:val="22"/>
        </w:rPr>
        <w:t>由报价人</w:t>
      </w:r>
      <w:r>
        <w:rPr>
          <w:rFonts w:hint="eastAsia" w:hAnsi="宋体"/>
          <w:b/>
          <w:sz w:val="22"/>
          <w:szCs w:val="22"/>
        </w:rPr>
        <w:t>自行承诺</w:t>
      </w:r>
      <w:r>
        <w:rPr>
          <w:rFonts w:hint="eastAsia" w:hAnsi="宋体"/>
          <w:sz w:val="22"/>
          <w:szCs w:val="22"/>
        </w:rPr>
        <w:t>，</w:t>
      </w:r>
      <w:r>
        <w:rPr>
          <w:rFonts w:hint="eastAsia" w:hAnsi="宋体"/>
          <w:sz w:val="22"/>
          <w:szCs w:val="20"/>
        </w:rPr>
        <w:t>并加盖单位鲜公章</w:t>
      </w:r>
      <w:r>
        <w:rPr>
          <w:rFonts w:hint="eastAsia" w:hAnsi="宋体"/>
          <w:color w:val="auto"/>
          <w:sz w:val="20"/>
          <w:szCs w:val="20"/>
        </w:rPr>
        <w:t>。</w:t>
      </w:r>
    </w:p>
    <w:bookmarkEnd w:id="111"/>
    <w:bookmarkEnd w:id="112"/>
    <w:bookmarkEnd w:id="113"/>
    <w:p>
      <w:pPr>
        <w:spacing w:line="400" w:lineRule="exact"/>
        <w:ind w:firstLine="420"/>
        <w:rPr>
          <w:rStyle w:val="30"/>
          <w:rFonts w:ascii="宋体" w:hAnsi="宋体" w:eastAsia="宋体" w:cs="宋体"/>
          <w:sz w:val="28"/>
          <w:szCs w:val="28"/>
        </w:rPr>
      </w:pPr>
    </w:p>
    <w:p>
      <w:pPr>
        <w:pStyle w:val="4"/>
        <w:rPr>
          <w:rFonts w:hAnsi="宋体"/>
          <w:b w:val="0"/>
          <w:sz w:val="28"/>
          <w:szCs w:val="28"/>
        </w:rPr>
      </w:pPr>
      <w:bookmarkStart w:id="114" w:name="_Toc12175"/>
      <w:bookmarkStart w:id="115" w:name="_Toc23610"/>
      <w:r>
        <w:rPr>
          <w:rFonts w:hint="eastAsia" w:ascii="宋体" w:hAnsi="宋体" w:eastAsia="宋体" w:cs="宋体"/>
          <w:bCs w:val="0"/>
          <w:sz w:val="28"/>
          <w:szCs w:val="28"/>
        </w:rPr>
        <w:t>附录3 资格审查文件（主要机械设备和试验检测设备最低要求）</w:t>
      </w:r>
      <w:bookmarkEnd w:id="114"/>
      <w:bookmarkEnd w:id="115"/>
    </w:p>
    <w:tbl>
      <w:tblPr>
        <w:tblStyle w:val="2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rPr>
              <w:t>无</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hAnsi="宋体"/>
          <w:szCs w:val="21"/>
        </w:rPr>
        <w:t>，提供承诺资料并加盖单位公章</w:t>
      </w:r>
      <w:r>
        <w:rPr>
          <w:rFonts w:hint="eastAsia" w:ascii="宋体" w:hAnsi="宋体" w:cs="宋体"/>
          <w:kern w:val="0"/>
          <w:szCs w:val="21"/>
        </w:rPr>
        <w:t>。</w:t>
      </w:r>
    </w:p>
    <w:p>
      <w:pPr>
        <w:spacing w:line="440" w:lineRule="exact"/>
        <w:jc w:val="center"/>
        <w:rPr>
          <w:rFonts w:ascii="宋体" w:hAnsi="宋体" w:cs="宋体"/>
          <w:color w:val="000000" w:themeColor="text1"/>
          <w:szCs w:val="21"/>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szCs w:val="21"/>
        </w:rPr>
        <w:t>以上（附录1-附录3中的资格审查）的要求均为强制性条件，其中任何一条不满足要求，则按否决报价处理。</w:t>
      </w:r>
      <w:bookmarkEnd w:id="104"/>
      <w:bookmarkEnd w:id="105"/>
      <w:bookmarkEnd w:id="106"/>
      <w:bookmarkEnd w:id="107"/>
      <w:bookmarkEnd w:id="108"/>
    </w:p>
    <w:p>
      <w:pPr>
        <w:pStyle w:val="3"/>
        <w:spacing w:before="0" w:after="0" w:line="360" w:lineRule="auto"/>
        <w:jc w:val="center"/>
        <w:rPr>
          <w:rFonts w:ascii="宋体" w:hAnsi="宋体" w:cs="宋体"/>
          <w:color w:val="000000" w:themeColor="text1"/>
          <w14:textFill>
            <w14:solidFill>
              <w14:schemeClr w14:val="tx1"/>
            </w14:solidFill>
          </w14:textFill>
        </w:rPr>
      </w:pPr>
      <w:bookmarkStart w:id="116" w:name="_Toc144974554"/>
      <w:bookmarkStart w:id="117" w:name="_Toc152042364"/>
      <w:bookmarkStart w:id="118" w:name="_Toc247085745"/>
      <w:bookmarkStart w:id="119" w:name="_Toc179632605"/>
      <w:bookmarkStart w:id="120" w:name="_Toc507319957"/>
      <w:bookmarkStart w:id="121" w:name="_Toc246996230"/>
      <w:bookmarkStart w:id="122" w:name="_Toc2000406"/>
      <w:bookmarkStart w:id="123" w:name="_Toc246996973"/>
      <w:bookmarkStart w:id="124" w:name="_Toc152045587"/>
      <w:bookmarkStart w:id="125" w:name="_Toc7682"/>
      <w:r>
        <w:rPr>
          <w:rFonts w:hint="eastAsia" w:ascii="宋体" w:hAnsi="宋体" w:cs="宋体"/>
          <w:color w:val="000000" w:themeColor="text1"/>
          <w14:textFill>
            <w14:solidFill>
              <w14:schemeClr w14:val="tx1"/>
            </w14:solidFill>
          </w14:textFill>
        </w:rPr>
        <w:t xml:space="preserve">第三章 </w:t>
      </w:r>
      <w:r>
        <w:rPr>
          <w:rFonts w:hint="eastAsia" w:ascii="宋体" w:hAnsi="宋体" w:cs="宋体"/>
        </w:rPr>
        <w:t>评标办法（综合评估法）</w:t>
      </w:r>
      <w:bookmarkEnd w:id="116"/>
      <w:bookmarkEnd w:id="117"/>
      <w:bookmarkEnd w:id="118"/>
      <w:bookmarkEnd w:id="119"/>
      <w:bookmarkEnd w:id="120"/>
      <w:bookmarkEnd w:id="121"/>
      <w:bookmarkEnd w:id="122"/>
      <w:bookmarkEnd w:id="123"/>
      <w:bookmarkEnd w:id="124"/>
      <w:bookmarkEnd w:id="125"/>
    </w:p>
    <w:p>
      <w:pPr>
        <w:rPr>
          <w:b/>
          <w:bCs/>
        </w:rPr>
      </w:pPr>
      <w:r>
        <w:rPr>
          <w:rFonts w:hint="eastAsia"/>
          <w:b/>
          <w:bCs/>
        </w:rPr>
        <w:t>评标办法前附表</w:t>
      </w:r>
    </w:p>
    <w:tbl>
      <w:tblPr>
        <w:tblStyle w:val="23"/>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2"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2"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2"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8"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8" w:type="dxa"/>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pPr>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w:t>
            </w:r>
            <w:r>
              <w:rPr>
                <w:rFonts w:hint="eastAsia" w:asciiTheme="minorEastAsia" w:hAnsiTheme="minorEastAsia" w:eastAsiaTheme="minorEastAsia" w:cstheme="minorEastAsia"/>
                <w:color w:val="auto"/>
                <w:szCs w:val="21"/>
                <w:highlight w:val="none"/>
                <w:u w:val="single"/>
                <w:lang w:val="en-US" w:eastAsia="zh-CN"/>
              </w:rPr>
              <w:t>6</w:t>
            </w:r>
            <w:r>
              <w:rPr>
                <w:rFonts w:asciiTheme="minorEastAsia" w:hAnsiTheme="minorEastAsia" w:eastAsiaTheme="minorEastAsia" w:cstheme="minorEastAsia"/>
                <w:color w:val="auto"/>
                <w:szCs w:val="21"/>
                <w:highlight w:val="none"/>
                <w:u w:val="single"/>
              </w:rPr>
              <w:t>0</w:t>
            </w:r>
            <w:r>
              <w:rPr>
                <w:rFonts w:hint="eastAsia" w:asciiTheme="minorEastAsia" w:hAnsiTheme="minorEastAsia" w:eastAsiaTheme="minorEastAsia" w:cstheme="minorEastAsia"/>
                <w:color w:val="auto"/>
                <w:szCs w:val="21"/>
                <w:highlight w:val="none"/>
              </w:rPr>
              <w:t>分；</w:t>
            </w:r>
          </w:p>
          <w:p>
            <w:pPr>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商务部分</w:t>
            </w:r>
            <w:r>
              <w:rPr>
                <w:rFonts w:hint="eastAsia" w:asciiTheme="minorEastAsia" w:hAnsiTheme="minorEastAsia" w:eastAsiaTheme="minorEastAsia" w:cstheme="minorEastAsia"/>
                <w:color w:val="auto"/>
                <w:szCs w:val="21"/>
                <w:highlight w:val="none"/>
                <w:u w:val="single"/>
                <w:lang w:val="en-US" w:eastAsia="zh-CN"/>
              </w:rPr>
              <w:t>2</w:t>
            </w:r>
            <w:r>
              <w:rPr>
                <w:rFonts w:asciiTheme="minorEastAsia" w:hAnsiTheme="minorEastAsia" w:eastAsiaTheme="minorEastAsia" w:cstheme="minorEastAsia"/>
                <w:color w:val="auto"/>
                <w:szCs w:val="21"/>
                <w:highlight w:val="none"/>
                <w:u w:val="single"/>
              </w:rPr>
              <w:t>0</w:t>
            </w:r>
            <w:r>
              <w:rPr>
                <w:rFonts w:hint="eastAsia" w:asciiTheme="minorEastAsia" w:hAnsiTheme="minorEastAsia" w:eastAsiaTheme="minorEastAsia" w:cstheme="minorEastAsia"/>
                <w:color w:val="auto"/>
                <w:szCs w:val="21"/>
                <w:highlight w:val="none"/>
              </w:rPr>
              <w:t>分；</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highlight w:val="none"/>
              </w:rPr>
              <w:t>技术部分</w:t>
            </w:r>
            <w:r>
              <w:rPr>
                <w:rFonts w:hint="eastAsia" w:asciiTheme="minorEastAsia" w:hAnsiTheme="minorEastAsia" w:eastAsiaTheme="minorEastAsia" w:cstheme="minorEastAsia"/>
                <w:color w:val="auto"/>
                <w:szCs w:val="21"/>
                <w:highlight w:val="none"/>
                <w:u w:val="single"/>
              </w:rPr>
              <w:t>20</w:t>
            </w:r>
            <w:r>
              <w:rPr>
                <w:rFonts w:hint="eastAsia" w:asciiTheme="minorEastAsia" w:hAnsiTheme="minorEastAsia" w:eastAsiaTheme="minorEastAsia" w:cs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restart"/>
            <w:vAlign w:val="center"/>
          </w:tcPr>
          <w:p>
            <w:pPr>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w:t>
            </w:r>
          </w:p>
        </w:tc>
        <w:tc>
          <w:tcPr>
            <w:tcW w:w="1159" w:type="dxa"/>
            <w:vMerge w:val="restart"/>
            <w:vAlign w:val="center"/>
          </w:tcPr>
          <w:p>
            <w:pPr>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0分）</w:t>
            </w:r>
          </w:p>
        </w:tc>
        <w:tc>
          <w:tcPr>
            <w:tcW w:w="2022" w:type="dxa"/>
            <w:vAlign w:val="center"/>
          </w:tcPr>
          <w:p>
            <w:pPr>
              <w:snapToGrid w:val="0"/>
              <w:spacing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评标基准价计算方法</w:t>
            </w:r>
          </w:p>
        </w:tc>
        <w:tc>
          <w:tcPr>
            <w:tcW w:w="5928" w:type="dxa"/>
          </w:tcPr>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由评标委员会计算评标基准价：</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（1）评标价的确定：评标价＝投标函文字报价</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（2）评标基准价的确定：</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在通过初步评审后且不高于最高限价和不低于最高限价85%的投标报价中去掉六分之一（不能整除的按小数前整数取整，不足六家报价则不去掉）的最低价和相同家数的最高价后的算术平均值为评标基准价。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color w:val="auto"/>
                <w:szCs w:val="21"/>
              </w:rPr>
            </w:pPr>
          </w:p>
        </w:tc>
        <w:tc>
          <w:tcPr>
            <w:tcW w:w="1159" w:type="dxa"/>
            <w:vMerge w:val="continue"/>
            <w:vAlign w:val="center"/>
          </w:tcPr>
          <w:p>
            <w:pPr>
              <w:spacing w:line="320" w:lineRule="exact"/>
              <w:rPr>
                <w:rFonts w:asciiTheme="minorEastAsia" w:hAnsiTheme="minorEastAsia" w:eastAsiaTheme="minorEastAsia" w:cstheme="minorEastAsia"/>
                <w:color w:val="auto"/>
                <w:szCs w:val="21"/>
              </w:rPr>
            </w:pPr>
          </w:p>
        </w:tc>
        <w:tc>
          <w:tcPr>
            <w:tcW w:w="2022" w:type="dxa"/>
            <w:vAlign w:val="center"/>
          </w:tcPr>
          <w:p>
            <w:pPr>
              <w:snapToGrid w:val="0"/>
              <w:spacing w:line="400" w:lineRule="exact"/>
              <w:jc w:val="center"/>
              <w:rPr>
                <w:rFonts w:asciiTheme="minorEastAsia" w:hAnsiTheme="minorEastAsia" w:eastAsiaTheme="minorEastAsia" w:cstheme="minorEastAsia"/>
                <w:color w:val="auto"/>
                <w:szCs w:val="21"/>
              </w:rPr>
            </w:pPr>
            <w:r>
              <w:rPr>
                <w:rFonts w:hint="eastAsia" w:ascii="宋体" w:hAnsi="宋体" w:cs="宋体"/>
                <w:color w:val="auto"/>
                <w:kern w:val="0"/>
                <w:szCs w:val="21"/>
              </w:rPr>
              <w:t>评标价的偏差率计算公式</w:t>
            </w:r>
          </w:p>
        </w:tc>
        <w:tc>
          <w:tcPr>
            <w:tcW w:w="5928" w:type="dxa"/>
            <w:vAlign w:val="center"/>
          </w:tcPr>
          <w:p>
            <w:pPr>
              <w:spacing w:line="320" w:lineRule="exact"/>
              <w:jc w:val="left"/>
              <w:rPr>
                <w:rFonts w:ascii="宋体" w:hAnsi="宋体" w:cs="宋体"/>
                <w:color w:val="auto"/>
                <w:szCs w:val="21"/>
              </w:rPr>
            </w:pPr>
            <w:r>
              <w:rPr>
                <w:rFonts w:hint="eastAsia" w:ascii="宋体" w:hAnsi="宋体" w:cs="宋体"/>
                <w:b/>
                <w:bCs/>
                <w:color w:val="auto"/>
                <w:szCs w:val="21"/>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color w:val="auto"/>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color w:val="auto"/>
                <w:szCs w:val="21"/>
                <w:highlight w:val="none"/>
              </w:rPr>
            </w:pPr>
          </w:p>
        </w:tc>
        <w:tc>
          <w:tcPr>
            <w:tcW w:w="2022" w:type="dxa"/>
            <w:vAlign w:val="center"/>
          </w:tcPr>
          <w:p>
            <w:pPr>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w:t>
            </w:r>
          </w:p>
        </w:tc>
        <w:tc>
          <w:tcPr>
            <w:tcW w:w="5928" w:type="dxa"/>
          </w:tcPr>
          <w:p>
            <w:pPr>
              <w:pStyle w:val="21"/>
              <w:spacing w:after="0" w:line="320" w:lineRule="exact"/>
              <w:ind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所有有效投标报价分别与评标基准价相比较，等于基准价得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0分，每增加1%扣0.5分；每减少1%扣0.2分，</w:t>
            </w:r>
            <w:r>
              <w:rPr>
                <w:rFonts w:ascii="宋体" w:hAnsi="宋体" w:eastAsia="宋体" w:cs="宋体"/>
                <w:color w:val="auto"/>
                <w:sz w:val="21"/>
                <w:szCs w:val="21"/>
                <w:highlight w:val="none"/>
              </w:rPr>
              <w:t>最多扣10分</w:t>
            </w:r>
            <w:r>
              <w:rPr>
                <w:rFonts w:hint="eastAsia" w:ascii="宋体" w:hAnsi="宋体" w:eastAsia="宋体" w:cs="宋体"/>
                <w:color w:val="auto"/>
                <w:sz w:val="21"/>
                <w:szCs w:val="21"/>
                <w:highlight w:val="none"/>
              </w:rPr>
              <w:t>。按插入法计算得分。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restart"/>
            <w:vAlign w:val="center"/>
          </w:tcPr>
          <w:p>
            <w:pPr>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w:t>
            </w:r>
          </w:p>
        </w:tc>
        <w:tc>
          <w:tcPr>
            <w:tcW w:w="1159" w:type="dxa"/>
            <w:vMerge w:val="restart"/>
            <w:vAlign w:val="center"/>
          </w:tcPr>
          <w:p>
            <w:pPr>
              <w:spacing w:line="32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商务部分</w:t>
            </w:r>
            <w:r>
              <w:rPr>
                <w:rFonts w:hint="eastAsia" w:ascii="宋体" w:hAnsi="宋体" w:cs="宋体"/>
                <w:color w:val="auto"/>
                <w:szCs w:val="21"/>
                <w:highlight w:val="none"/>
              </w:rPr>
              <w:t>评分标准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0分）</w:t>
            </w:r>
          </w:p>
        </w:tc>
        <w:tc>
          <w:tcPr>
            <w:tcW w:w="2022" w:type="dxa"/>
            <w:vAlign w:val="center"/>
          </w:tcPr>
          <w:p>
            <w:pPr>
              <w:widowControl/>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项目团队（</w:t>
            </w:r>
            <w:r>
              <w:rPr>
                <w:rFonts w:hint="eastAsia" w:ascii="宋体" w:hAnsi="宋体" w:cs="宋体"/>
                <w:color w:val="auto"/>
                <w:kern w:val="0"/>
                <w:szCs w:val="21"/>
                <w:highlight w:val="none"/>
                <w:lang w:val="en-US" w:eastAsia="zh-CN" w:bidi="ar"/>
              </w:rPr>
              <w:t>8</w:t>
            </w:r>
            <w:r>
              <w:rPr>
                <w:rFonts w:ascii="宋体" w:hAnsi="宋体" w:cs="宋体"/>
                <w:color w:val="auto"/>
                <w:kern w:val="0"/>
                <w:szCs w:val="21"/>
                <w:highlight w:val="none"/>
                <w:lang w:bidi="ar"/>
              </w:rPr>
              <w:t>分）</w:t>
            </w:r>
          </w:p>
        </w:tc>
        <w:tc>
          <w:tcPr>
            <w:tcW w:w="5928" w:type="dxa"/>
            <w:vAlign w:val="center"/>
          </w:tcPr>
          <w:p>
            <w:pPr>
              <w:snapToGrid w:val="0"/>
              <w:spacing w:line="400" w:lineRule="exact"/>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1.满足</w:t>
            </w:r>
            <w:r>
              <w:rPr>
                <w:rFonts w:hint="eastAsia" w:ascii="宋体" w:hAnsi="宋体" w:cs="宋体"/>
                <w:color w:val="auto"/>
                <w:kern w:val="0"/>
                <w:szCs w:val="21"/>
                <w:highlight w:val="none"/>
              </w:rPr>
              <w:t>资格</w:t>
            </w:r>
            <w:r>
              <w:rPr>
                <w:rFonts w:hint="eastAsia" w:ascii="宋体" w:hAnsi="宋体" w:cs="宋体"/>
                <w:color w:val="auto"/>
                <w:kern w:val="0"/>
                <w:szCs w:val="21"/>
                <w:highlight w:val="none"/>
                <w:lang w:bidi="ar"/>
              </w:rPr>
              <w:t>条件的人员要求得</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分；</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2.项目负责人</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报价人拟派的项目负责人具有高级职称证书的得2分，此项满分2分；其余情况不得分。 </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3.项目团队</w:t>
            </w:r>
          </w:p>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报价人拟派的项目团队成员中具有高级职称证书的得2分，此项满分2分；其余情况不得分。 </w:t>
            </w:r>
          </w:p>
          <w:p>
            <w:pPr>
              <w:widowControl/>
              <w:snapToGri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注：提供以上人员职称证书复印件和业绩合同复印件，提供2024年</w:t>
            </w:r>
            <w:r>
              <w:rPr>
                <w:rFonts w:ascii="宋体" w:hAnsi="宋体" w:cs="宋体"/>
                <w:color w:val="auto"/>
                <w:kern w:val="0"/>
                <w:szCs w:val="21"/>
                <w:highlight w:val="none"/>
              </w:rPr>
              <w:t>8</w:t>
            </w:r>
            <w:r>
              <w:rPr>
                <w:rFonts w:hint="eastAsia" w:ascii="宋体" w:hAnsi="宋体" w:cs="宋体"/>
                <w:color w:val="auto"/>
                <w:kern w:val="0"/>
                <w:szCs w:val="21"/>
                <w:highlight w:val="none"/>
              </w:rPr>
              <w:t>月-2024年</w:t>
            </w:r>
            <w:r>
              <w:rPr>
                <w:rFonts w:ascii="宋体" w:hAnsi="宋体" w:cs="宋体"/>
                <w:color w:val="auto"/>
                <w:kern w:val="0"/>
                <w:szCs w:val="21"/>
                <w:highlight w:val="none"/>
              </w:rPr>
              <w:t>10</w:t>
            </w:r>
            <w:r>
              <w:rPr>
                <w:rFonts w:hint="eastAsia" w:ascii="宋体" w:hAnsi="宋体" w:cs="宋体"/>
                <w:color w:val="auto"/>
                <w:kern w:val="0"/>
                <w:szCs w:val="21"/>
                <w:highlight w:val="none"/>
              </w:rPr>
              <w:t>月报价人为其缴纳的养老保险证明材料。</w:t>
            </w:r>
            <w:r>
              <w:rPr>
                <w:rFonts w:hint="eastAsia" w:ascii="宋体" w:hAnsi="宋体" w:cs="宋体"/>
                <w:color w:val="auto"/>
                <w:kern w:val="0"/>
                <w:szCs w:val="21"/>
                <w:highlight w:val="none"/>
                <w:lang w:bidi="ar"/>
              </w:rPr>
              <w:t>提供：证书复印件并加盖报价单位法人章。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widowControl/>
              <w:snapToGrid w:val="0"/>
              <w:spacing w:line="400" w:lineRule="exact"/>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企业实力（</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tc>
        <w:tc>
          <w:tcPr>
            <w:tcW w:w="5928" w:type="dxa"/>
            <w:vAlign w:val="center"/>
          </w:tcPr>
          <w:p>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1.报价人团队所在单位拥有交通领域或信息领域省部级及以上实验室或工程中心的，得2分，此项满分2分</w:t>
            </w:r>
            <w:r>
              <w:rPr>
                <w:rFonts w:hint="eastAsia" w:ascii="宋体" w:hAnsi="宋体" w:cs="宋体"/>
                <w:color w:val="auto"/>
                <w:kern w:val="0"/>
                <w:szCs w:val="21"/>
                <w:highlight w:val="none"/>
              </w:rPr>
              <w:t>。</w:t>
            </w:r>
          </w:p>
          <w:p>
            <w:pPr>
              <w:snapToGrid w:val="0"/>
              <w:spacing w:line="400" w:lineRule="exact"/>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rPr>
              <w:t>注：提供证书复印件。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widowControl/>
              <w:spacing w:line="3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相关业绩（</w:t>
            </w:r>
            <w:r>
              <w:rPr>
                <w:rFonts w:hint="eastAsia" w:asciiTheme="minorEastAsia" w:hAnsiTheme="minorEastAsia" w:eastAsiaTheme="minorEastAsia" w:cstheme="minorEastAsia"/>
                <w:color w:val="auto"/>
                <w:szCs w:val="21"/>
                <w:highlight w:val="none"/>
                <w:lang w:val="en-US" w:eastAsia="zh-CN" w:bidi="ar"/>
              </w:rPr>
              <w:t>10</w:t>
            </w:r>
            <w:r>
              <w:rPr>
                <w:rFonts w:hint="eastAsia" w:asciiTheme="minorEastAsia" w:hAnsiTheme="minorEastAsia" w:eastAsiaTheme="minorEastAsia" w:cstheme="minorEastAsia"/>
                <w:color w:val="auto"/>
                <w:szCs w:val="21"/>
                <w:highlight w:val="none"/>
                <w:lang w:bidi="ar"/>
              </w:rPr>
              <w:t>分）</w:t>
            </w:r>
          </w:p>
        </w:tc>
        <w:tc>
          <w:tcPr>
            <w:tcW w:w="5928" w:type="dxa"/>
            <w:vAlign w:val="center"/>
          </w:tcPr>
          <w:p>
            <w:pPr>
              <w:widowControl/>
              <w:numPr>
                <w:ilvl w:val="0"/>
                <w:numId w:val="1"/>
              </w:numPr>
              <w:adjustRightInd w:val="0"/>
              <w:spacing w:line="320" w:lineRule="exact"/>
              <w:ind w:firstLine="440"/>
              <w:textAlignment w:val="baseline"/>
              <w:rPr>
                <w:color w:val="auto"/>
                <w:kern w:val="0"/>
                <w:szCs w:val="21"/>
                <w:highlight w:val="none"/>
                <w:lang w:bidi="ar"/>
              </w:rPr>
            </w:pPr>
            <w:r>
              <w:rPr>
                <w:color w:val="auto"/>
                <w:kern w:val="0"/>
                <w:szCs w:val="21"/>
                <w:highlight w:val="none"/>
                <w:lang w:bidi="ar"/>
              </w:rPr>
              <w:t>满足资格条件的业绩要求得</w:t>
            </w:r>
            <w:r>
              <w:rPr>
                <w:rFonts w:hint="eastAsia"/>
                <w:color w:val="auto"/>
                <w:kern w:val="0"/>
                <w:szCs w:val="21"/>
                <w:highlight w:val="none"/>
                <w:lang w:val="en-US" w:eastAsia="zh-CN" w:bidi="ar"/>
              </w:rPr>
              <w:t>6</w:t>
            </w:r>
            <w:r>
              <w:rPr>
                <w:color w:val="auto"/>
                <w:kern w:val="0"/>
                <w:szCs w:val="21"/>
                <w:highlight w:val="none"/>
                <w:lang w:bidi="ar"/>
              </w:rPr>
              <w:t>分；</w:t>
            </w:r>
          </w:p>
          <w:p>
            <w:pPr>
              <w:widowControl/>
              <w:numPr>
                <w:ilvl w:val="0"/>
                <w:numId w:val="1"/>
              </w:numPr>
              <w:adjustRightInd w:val="0"/>
              <w:spacing w:line="320" w:lineRule="exact"/>
              <w:ind w:firstLine="440"/>
              <w:textAlignment w:val="baseline"/>
              <w:rPr>
                <w:color w:val="auto"/>
                <w:szCs w:val="21"/>
                <w:highlight w:val="none"/>
              </w:rPr>
            </w:pPr>
            <w:r>
              <w:rPr>
                <w:rFonts w:hint="eastAsia"/>
                <w:color w:val="auto"/>
                <w:szCs w:val="21"/>
                <w:highlight w:val="none"/>
                <w:lang w:val="en-US" w:eastAsia="zh-CN"/>
              </w:rPr>
              <w:t>在满足资格要求基础上，报价人在</w:t>
            </w:r>
            <w:r>
              <w:rPr>
                <w:rFonts w:hint="default"/>
                <w:color w:val="auto"/>
                <w:szCs w:val="21"/>
                <w:highlight w:val="none"/>
                <w:lang w:val="en-US" w:eastAsia="zh-CN"/>
              </w:rPr>
              <w:t>2021</w:t>
            </w:r>
            <w:r>
              <w:rPr>
                <w:rFonts w:hint="eastAsia"/>
                <w:color w:val="auto"/>
                <w:szCs w:val="21"/>
                <w:highlight w:val="none"/>
                <w:lang w:val="en-US" w:eastAsia="zh-CN"/>
              </w:rPr>
              <w:t>年</w:t>
            </w:r>
            <w:r>
              <w:rPr>
                <w:rFonts w:hint="default"/>
                <w:color w:val="auto"/>
                <w:szCs w:val="21"/>
                <w:highlight w:val="none"/>
                <w:lang w:val="en-US" w:eastAsia="zh-CN"/>
              </w:rPr>
              <w:t>1</w:t>
            </w:r>
            <w:r>
              <w:rPr>
                <w:rFonts w:hint="eastAsia"/>
                <w:color w:val="auto"/>
                <w:szCs w:val="21"/>
                <w:highlight w:val="none"/>
                <w:lang w:val="en-US" w:eastAsia="zh-CN"/>
              </w:rPr>
              <w:t>月</w:t>
            </w:r>
            <w:r>
              <w:rPr>
                <w:rFonts w:hint="default"/>
                <w:color w:val="auto"/>
                <w:szCs w:val="21"/>
                <w:highlight w:val="none"/>
                <w:lang w:val="en-US" w:eastAsia="zh-CN"/>
              </w:rPr>
              <w:t>1</w:t>
            </w:r>
            <w:r>
              <w:rPr>
                <w:rFonts w:hint="eastAsia"/>
                <w:color w:val="auto"/>
                <w:szCs w:val="21"/>
                <w:highlight w:val="none"/>
                <w:lang w:val="en-US" w:eastAsia="zh-CN"/>
              </w:rPr>
              <w:t>日至报价截止日期（以合同签订时间为准），每完成一项合同金额不低于</w:t>
            </w:r>
            <w:r>
              <w:rPr>
                <w:rFonts w:hint="default"/>
                <w:color w:val="auto"/>
                <w:szCs w:val="21"/>
                <w:highlight w:val="none"/>
                <w:lang w:val="en-US" w:eastAsia="zh-CN"/>
              </w:rPr>
              <w:t>50</w:t>
            </w:r>
            <w:r>
              <w:rPr>
                <w:rFonts w:hint="eastAsia"/>
                <w:color w:val="auto"/>
                <w:szCs w:val="21"/>
                <w:highlight w:val="none"/>
                <w:lang w:val="en-US" w:eastAsia="zh-CN"/>
              </w:rPr>
              <w:t>万元的软件开发或技术服务（研究）相关业绩（提供合同扫描件），得2分，</w:t>
            </w:r>
            <w:r>
              <w:rPr>
                <w:rFonts w:hint="eastAsia" w:ascii="宋体" w:hAnsi="宋体" w:cs="宋体"/>
                <w:color w:val="auto"/>
                <w:kern w:val="0"/>
                <w:szCs w:val="21"/>
                <w:highlight w:val="none"/>
              </w:rPr>
              <w:t>此项满分</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r>
              <w:rPr>
                <w:rFonts w:hint="eastAsia"/>
                <w:color w:val="auto"/>
                <w:szCs w:val="21"/>
                <w:highlight w:val="none"/>
                <w:lang w:val="en-US" w:eastAsia="zh-CN"/>
              </w:rPr>
              <w:t>。</w:t>
            </w:r>
          </w:p>
          <w:p>
            <w:pPr>
              <w:widowControl/>
              <w:snapToGrid w:val="0"/>
              <w:spacing w:line="400" w:lineRule="exact"/>
              <w:ind w:firstLine="420" w:firstLineChars="200"/>
              <w:jc w:val="left"/>
              <w:rPr>
                <w:rFonts w:ascii="宋体" w:hAnsi="宋体" w:cs="宋体"/>
                <w:color w:val="auto"/>
                <w:kern w:val="0"/>
                <w:szCs w:val="21"/>
                <w:highlight w:val="none"/>
              </w:rPr>
            </w:pPr>
            <w:r>
              <w:rPr>
                <w:color w:val="auto"/>
                <w:szCs w:val="21"/>
                <w:highlight w:val="none"/>
              </w:rPr>
              <w:t>注：</w:t>
            </w:r>
            <w:r>
              <w:rPr>
                <w:color w:val="auto"/>
                <w:kern w:val="0"/>
                <w:szCs w:val="21"/>
                <w:highlight w:val="none"/>
              </w:rPr>
              <w:t>1.合同复印件（合同需清晰反映上述业绩要求的主要内容，包括但不限于合同金额及工作内容），合同原件备查。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pPr>
              <w:adjustRightInd w:val="0"/>
              <w:snapToGrid w:val="0"/>
              <w:spacing w:line="400" w:lineRule="exact"/>
              <w:jc w:val="center"/>
              <w:rPr>
                <w:rFonts w:ascii="宋体" w:hAnsi="宋体" w:cs="宋体"/>
                <w:kern w:val="0"/>
                <w:szCs w:val="21"/>
              </w:rPr>
            </w:pPr>
            <w:r>
              <w:rPr>
                <w:rFonts w:hint="eastAsia" w:ascii="宋体" w:hAnsi="宋体" w:cs="宋体"/>
                <w:kern w:val="0"/>
                <w:szCs w:val="21"/>
              </w:rPr>
              <w:t>项目整体理解</w:t>
            </w:r>
          </w:p>
          <w:p>
            <w:pPr>
              <w:adjustRightInd w:val="0"/>
              <w:snapToGrid w:val="0"/>
              <w:spacing w:line="400" w:lineRule="exact"/>
              <w:jc w:val="center"/>
              <w:rPr>
                <w:rFonts w:asciiTheme="minorEastAsia" w:hAnsiTheme="minorEastAsia" w:eastAsiaTheme="minorEastAsia" w:cstheme="minorEastAsia"/>
                <w:szCs w:val="21"/>
                <w:lang w:bidi="ar"/>
              </w:rPr>
            </w:pPr>
            <w:r>
              <w:rPr>
                <w:rFonts w:hint="eastAsia" w:ascii="宋体" w:hAnsi="宋体" w:cs="宋体"/>
                <w:kern w:val="0"/>
                <w:szCs w:val="21"/>
              </w:rPr>
              <w:t>（5分）</w:t>
            </w:r>
          </w:p>
        </w:tc>
        <w:tc>
          <w:tcPr>
            <w:tcW w:w="5928" w:type="dxa"/>
            <w:vAlign w:val="center"/>
          </w:tcPr>
          <w:p>
            <w:pPr>
              <w:snapToGrid w:val="0"/>
              <w:spacing w:line="400" w:lineRule="exact"/>
              <w:ind w:firstLine="420" w:firstLineChars="200"/>
              <w:rPr>
                <w:color w:val="auto"/>
                <w:kern w:val="0"/>
                <w:szCs w:val="21"/>
              </w:rPr>
            </w:pPr>
            <w:r>
              <w:rPr>
                <w:color w:val="auto"/>
                <w:kern w:val="0"/>
                <w:szCs w:val="21"/>
              </w:rPr>
              <w:t>1.项目概述</w:t>
            </w:r>
          </w:p>
          <w:p>
            <w:pPr>
              <w:snapToGrid w:val="0"/>
              <w:spacing w:line="400" w:lineRule="exact"/>
              <w:ind w:firstLine="420" w:firstLineChars="200"/>
              <w:rPr>
                <w:color w:val="auto"/>
                <w:kern w:val="0"/>
                <w:szCs w:val="21"/>
              </w:rPr>
            </w:pPr>
            <w:r>
              <w:rPr>
                <w:color w:val="auto"/>
                <w:kern w:val="0"/>
                <w:szCs w:val="21"/>
              </w:rPr>
              <w:t>阐述项目建设目标、建设内容、建设周期等。对本项目总体建设目标与建设内容有充分了解。</w:t>
            </w:r>
          </w:p>
          <w:p>
            <w:pPr>
              <w:snapToGrid w:val="0"/>
              <w:spacing w:line="400" w:lineRule="exact"/>
              <w:ind w:firstLine="420" w:firstLineChars="200"/>
              <w:rPr>
                <w:color w:val="auto"/>
                <w:kern w:val="0"/>
                <w:szCs w:val="21"/>
              </w:rPr>
            </w:pPr>
            <w:r>
              <w:rPr>
                <w:color w:val="auto"/>
                <w:kern w:val="0"/>
                <w:szCs w:val="21"/>
              </w:rPr>
              <w:t>2.现状需求分析</w:t>
            </w:r>
          </w:p>
          <w:p>
            <w:pPr>
              <w:snapToGrid w:val="0"/>
              <w:spacing w:line="400" w:lineRule="exact"/>
              <w:ind w:firstLine="420" w:firstLineChars="200"/>
              <w:rPr>
                <w:color w:val="auto"/>
                <w:kern w:val="0"/>
                <w:szCs w:val="21"/>
              </w:rPr>
            </w:pPr>
            <w:r>
              <w:rPr>
                <w:color w:val="auto"/>
                <w:kern w:val="0"/>
                <w:szCs w:val="21"/>
              </w:rPr>
              <w:t>阐述项目背景、现状分析、项目需求分析。充分结合本项目要求，进行算法模型的调研。</w:t>
            </w:r>
          </w:p>
          <w:p>
            <w:pPr>
              <w:adjustRightInd w:val="0"/>
              <w:snapToGrid w:val="0"/>
              <w:spacing w:line="400" w:lineRule="exact"/>
              <w:ind w:firstLine="420" w:firstLineChars="200"/>
              <w:textAlignment w:val="baseline"/>
              <w:rPr>
                <w:rFonts w:ascii="宋体" w:hAnsi="宋体" w:cs="宋体"/>
                <w:color w:val="auto"/>
                <w:kern w:val="0"/>
                <w:szCs w:val="21"/>
              </w:rPr>
            </w:pPr>
            <w:r>
              <w:rPr>
                <w:color w:val="auto"/>
                <w:kern w:val="0"/>
                <w:szCs w:val="21"/>
              </w:rPr>
              <w:t>整体阐述应清晰透彻、内容详实、贴合实际。根据编制内容优劣给分。（优：5.0~4.0分，良：4.0-3.0分，一般：3.0-0分，无相应内容得0分）。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项目技术方案</w:t>
            </w:r>
          </w:p>
          <w:p>
            <w:pPr>
              <w:adjustRightInd w:val="0"/>
              <w:snapToGrid w:val="0"/>
              <w:spacing w:line="400" w:lineRule="exact"/>
              <w:jc w:val="center"/>
              <w:textAlignment w:val="baseline"/>
              <w:rPr>
                <w:rFonts w:asciiTheme="minorEastAsia" w:hAnsiTheme="minorEastAsia" w:eastAsiaTheme="minorEastAsia" w:cstheme="minorEastAsia"/>
                <w:szCs w:val="21"/>
                <w:highlight w:val="none"/>
                <w:lang w:bidi="ar"/>
              </w:rPr>
            </w:pPr>
            <w:r>
              <w:rPr>
                <w:rFonts w:hint="eastAsia" w:ascii="宋体" w:hAnsi="宋体" w:cs="宋体"/>
                <w:kern w:val="0"/>
                <w:szCs w:val="21"/>
                <w:highlight w:val="none"/>
              </w:rPr>
              <w:t>（10分）</w:t>
            </w:r>
          </w:p>
        </w:tc>
        <w:tc>
          <w:tcPr>
            <w:tcW w:w="5928" w:type="dxa"/>
            <w:vAlign w:val="center"/>
          </w:tcPr>
          <w:p>
            <w:pPr>
              <w:adjustRightInd w:val="0"/>
              <w:snapToGrid w:val="0"/>
              <w:spacing w:line="400" w:lineRule="exact"/>
              <w:ind w:firstLine="420" w:firstLineChars="200"/>
              <w:textAlignment w:val="baseline"/>
              <w:rPr>
                <w:color w:val="auto"/>
                <w:highlight w:val="none"/>
              </w:rPr>
            </w:pPr>
            <w:r>
              <w:rPr>
                <w:rFonts w:hint="eastAsia"/>
                <w:color w:val="auto"/>
                <w:highlight w:val="none"/>
              </w:rPr>
              <w:t>投标人对“第五章 工程量清单”中所列需求进行响应，所选用的机器学习算法、软件开发架构和工具应具有先进性，算法功能齐全且具备扩展性；具有详细的设计；关键性环节步骤有详细的步骤描述；算法性能指标能够满足。</w:t>
            </w:r>
          </w:p>
          <w:p>
            <w:pPr>
              <w:adjustRightInd w:val="0"/>
              <w:snapToGrid w:val="0"/>
              <w:spacing w:line="400" w:lineRule="exact"/>
              <w:ind w:firstLine="420" w:firstLineChars="200"/>
              <w:textAlignment w:val="baseline"/>
              <w:rPr>
                <w:rFonts w:ascii="宋体" w:hAnsi="宋体" w:cs="宋体"/>
                <w:color w:val="auto"/>
                <w:kern w:val="0"/>
                <w:szCs w:val="21"/>
                <w:highlight w:val="none"/>
                <w:lang w:bidi="ar"/>
              </w:rPr>
            </w:pPr>
            <w:r>
              <w:rPr>
                <w:rFonts w:hint="eastAsia"/>
                <w:color w:val="auto"/>
                <w:highlight w:val="none"/>
              </w:rPr>
              <w:t>注：以上性能满足要求得10-8分；以上性能较为满足要求得8~6分，以上性能不满足要求得6~0分。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adjustRightInd w:val="0"/>
              <w:snapToGrid w:val="0"/>
              <w:spacing w:line="400" w:lineRule="exact"/>
              <w:jc w:val="center"/>
              <w:textAlignment w:val="baseline"/>
              <w:rPr>
                <w:rFonts w:ascii="宋体" w:hAnsi="宋体" w:cs="宋体"/>
                <w:bCs/>
                <w:szCs w:val="21"/>
                <w:highlight w:val="none"/>
                <w:lang w:bidi="ar"/>
              </w:rPr>
            </w:pPr>
            <w:r>
              <w:rPr>
                <w:rFonts w:hint="eastAsia" w:ascii="宋体" w:hAnsi="宋体" w:cs="宋体"/>
                <w:bCs/>
                <w:szCs w:val="21"/>
                <w:highlight w:val="none"/>
                <w:lang w:bidi="ar"/>
              </w:rPr>
              <w:t>项目实施方案</w:t>
            </w:r>
          </w:p>
          <w:p>
            <w:pPr>
              <w:adjustRightInd w:val="0"/>
              <w:snapToGrid w:val="0"/>
              <w:spacing w:line="400" w:lineRule="exact"/>
              <w:jc w:val="center"/>
              <w:textAlignment w:val="baseline"/>
              <w:rPr>
                <w:rFonts w:asciiTheme="minorEastAsia" w:hAnsiTheme="minorEastAsia" w:eastAsiaTheme="minorEastAsia" w:cstheme="minorEastAsia"/>
                <w:szCs w:val="21"/>
                <w:highlight w:val="none"/>
                <w:lang w:bidi="ar"/>
              </w:rPr>
            </w:pPr>
            <w:r>
              <w:rPr>
                <w:rFonts w:hint="eastAsia" w:ascii="宋体" w:hAnsi="宋体" w:cs="宋体"/>
                <w:bCs/>
                <w:szCs w:val="21"/>
                <w:highlight w:val="none"/>
                <w:lang w:bidi="ar"/>
              </w:rPr>
              <w:t>（5分）</w:t>
            </w:r>
          </w:p>
        </w:tc>
        <w:tc>
          <w:tcPr>
            <w:tcW w:w="5928" w:type="dxa"/>
            <w:vAlign w:val="center"/>
          </w:tcPr>
          <w:p>
            <w:pPr>
              <w:adjustRightInd w:val="0"/>
              <w:snapToGrid w:val="0"/>
              <w:spacing w:line="400" w:lineRule="exact"/>
              <w:ind w:firstLine="420" w:firstLineChars="200"/>
              <w:textAlignment w:val="baseline"/>
              <w:rPr>
                <w:rFonts w:ascii="宋体" w:hAnsi="宋体" w:cs="宋体"/>
                <w:bCs/>
                <w:color w:val="auto"/>
                <w:szCs w:val="21"/>
                <w:highlight w:val="none"/>
                <w:lang w:bidi="ar"/>
              </w:rPr>
            </w:pPr>
            <w:r>
              <w:rPr>
                <w:rFonts w:hint="eastAsia" w:ascii="宋体" w:hAnsi="宋体" w:cs="宋体"/>
                <w:bCs/>
                <w:color w:val="auto"/>
                <w:szCs w:val="21"/>
                <w:highlight w:val="none"/>
                <w:lang w:bidi="ar"/>
              </w:rPr>
              <w:t>投标人针对基于时空图学习的高速公路网公里级交通流量预测技术开发服务过程提供合理可行的项目实施方案，方案至少包含项目实施的组织架构、实施计划、实施管理流程、服务方案等；实施方案内容全面、结构清晰；实施方案针对技术、资源、时间的安排合理。根据编制内容优劣给分。</w:t>
            </w:r>
          </w:p>
          <w:p>
            <w:pPr>
              <w:adjustRightInd w:val="0"/>
              <w:snapToGrid w:val="0"/>
              <w:spacing w:line="400" w:lineRule="exact"/>
              <w:ind w:firstLine="420" w:firstLineChars="200"/>
              <w:textAlignment w:val="baseline"/>
              <w:rPr>
                <w:rFonts w:ascii="宋体" w:hAnsi="宋体" w:cs="宋体"/>
                <w:color w:val="auto"/>
                <w:kern w:val="0"/>
                <w:szCs w:val="21"/>
                <w:highlight w:val="none"/>
              </w:rPr>
            </w:pPr>
            <w:r>
              <w:rPr>
                <w:rFonts w:hint="eastAsia" w:ascii="宋体" w:hAnsi="宋体" w:cs="宋体"/>
                <w:bCs/>
                <w:color w:val="auto"/>
                <w:szCs w:val="21"/>
                <w:highlight w:val="none"/>
                <w:lang w:bidi="ar"/>
              </w:rPr>
              <w:t>注：方案内容合理、可行性高、完整性好，内容全面结构清晰得5~4分；方案内容较合理性、可行性较高、完整性一般、内容全面结构一般得4~3分；方案内容应不合理性、不具有可行性、完整性较差、内容全面结构模糊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928" w:type="dxa"/>
            <w:vAlign w:val="center"/>
          </w:tcPr>
          <w:p>
            <w:pPr>
              <w:pStyle w:val="33"/>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pPr>
              <w:pStyle w:val="33"/>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pPr>
              <w:pStyle w:val="33"/>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pPr>
              <w:pStyle w:val="33"/>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pPr>
              <w:pStyle w:val="33"/>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报价人不足三个的，评标委员会应当否决所有投标。但是有效报价人的经济、技术等指标仍然具有市场竞争力，能够满足采购文件要求的，评标委员会可以继续评标并确定中标候选人。 </w:t>
            </w:r>
          </w:p>
          <w:p>
            <w:pPr>
              <w:pStyle w:val="33"/>
              <w:spacing w:before="47" w:line="320" w:lineRule="exact"/>
              <w:ind w:left="119" w:firstLine="420"/>
              <w:rPr>
                <w:rFonts w:ascii="宋体" w:hAnsi="宋体" w:cs="宋体"/>
                <w:szCs w:val="21"/>
              </w:rPr>
            </w:pPr>
            <w:r>
              <w:rPr>
                <w:rFonts w:hint="eastAsia" w:ascii="宋体" w:hAnsi="宋体" w:cs="宋体"/>
                <w:szCs w:val="21"/>
              </w:rPr>
              <w:t>6.对技术部分、商务部分、投标总报价得分进行汇总，确定得分由高至低前2名报价人为中标候选人。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报价人得分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报价人得分=投标报价得分+商务部分得分+技术部分得分</w:t>
            </w:r>
          </w:p>
        </w:tc>
      </w:tr>
    </w:tbl>
    <w:p>
      <w:pPr>
        <w:pStyle w:val="2"/>
      </w:pPr>
    </w:p>
    <w:p>
      <w:pPr>
        <w:pStyle w:val="2"/>
      </w:pPr>
      <w:r>
        <w:br w:type="page"/>
      </w:r>
    </w:p>
    <w:p>
      <w:pPr>
        <w:pStyle w:val="7"/>
        <w:spacing w:line="418" w:lineRule="exact"/>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pPr>
        <w:pStyle w:val="2"/>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低顺序推荐中标候选人，若出现报价人投标报价相同的，以评标办法前附表约定的原则确定排序。 </w:t>
      </w:r>
    </w:p>
    <w:p>
      <w:pPr>
        <w:pStyle w:val="7"/>
        <w:spacing w:before="56"/>
        <w:rPr>
          <w:rFonts w:ascii="宋体" w:hAnsi="宋体" w:eastAsia="宋体" w:cs="宋体"/>
          <w:kern w:val="2"/>
          <w:sz w:val="21"/>
          <w:szCs w:val="21"/>
        </w:rPr>
      </w:pPr>
      <w:bookmarkStart w:id="126" w:name="2._评审标准"/>
      <w:bookmarkEnd w:id="126"/>
      <w:r>
        <w:rPr>
          <w:rFonts w:hint="eastAsia" w:ascii="宋体" w:hAnsi="宋体" w:eastAsia="宋体" w:cs="宋体"/>
          <w:kern w:val="2"/>
          <w:sz w:val="21"/>
          <w:szCs w:val="21"/>
        </w:rPr>
        <w:t xml:space="preserve">2. 评审标准 </w:t>
      </w:r>
    </w:p>
    <w:p>
      <w:pPr>
        <w:spacing w:before="156"/>
        <w:ind w:left="106"/>
        <w:rPr>
          <w:rFonts w:ascii="宋体" w:hAnsi="宋体" w:cs="宋体"/>
          <w:szCs w:val="21"/>
        </w:rPr>
      </w:pPr>
      <w:bookmarkStart w:id="127" w:name="2.1_初步评审标准"/>
      <w:bookmarkEnd w:id="127"/>
      <w:r>
        <w:rPr>
          <w:rFonts w:hint="eastAsia" w:ascii="宋体" w:hAnsi="宋体" w:cs="宋体"/>
          <w:szCs w:val="21"/>
        </w:rPr>
        <w:t xml:space="preserve">2.1 初步评审标准 </w:t>
      </w:r>
    </w:p>
    <w:p>
      <w:pPr>
        <w:pStyle w:val="2"/>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pPr>
        <w:rPr>
          <w:rFonts w:ascii="宋体" w:hAnsi="宋体" w:cs="宋体"/>
          <w:caps/>
          <w:szCs w:val="21"/>
        </w:rPr>
      </w:pPr>
    </w:p>
    <w:p>
      <w:pPr>
        <w:ind w:left="106"/>
        <w:rPr>
          <w:rFonts w:ascii="宋体" w:hAnsi="宋体" w:cs="宋体"/>
          <w:caps/>
          <w:szCs w:val="21"/>
        </w:rPr>
      </w:pPr>
      <w:bookmarkStart w:id="128" w:name="2.2_分值构成与评分标准"/>
      <w:bookmarkEnd w:id="128"/>
      <w:r>
        <w:rPr>
          <w:rFonts w:hint="eastAsia" w:ascii="宋体" w:hAnsi="宋体" w:cs="宋体"/>
          <w:caps/>
          <w:szCs w:val="21"/>
        </w:rPr>
        <w:t xml:space="preserve">2.2 分值构成与评分标准 </w:t>
      </w:r>
    </w:p>
    <w:p>
      <w:pPr>
        <w:pStyle w:val="2"/>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pPr>
        <w:pStyle w:val="2"/>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2.2.2 评审标准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（2）商务部分评分标准：见评标办法前附表；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（3）报价评审标准：见评标办法前附表； </w:t>
      </w:r>
    </w:p>
    <w:p>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pPr>
        <w:pStyle w:val="7"/>
        <w:spacing w:before="54"/>
        <w:rPr>
          <w:rFonts w:ascii="宋体" w:hAnsi="宋体" w:eastAsia="宋体" w:cs="宋体"/>
          <w:caps/>
          <w:kern w:val="2"/>
          <w:sz w:val="21"/>
          <w:szCs w:val="21"/>
        </w:rPr>
      </w:pPr>
      <w:bookmarkStart w:id="129" w:name="3._评标程序"/>
      <w:bookmarkEnd w:id="129"/>
      <w:r>
        <w:rPr>
          <w:rFonts w:hint="eastAsia" w:ascii="宋体" w:hAnsi="宋体" w:eastAsia="宋体" w:cs="宋体"/>
          <w:caps/>
          <w:kern w:val="2"/>
          <w:sz w:val="21"/>
          <w:szCs w:val="21"/>
        </w:rPr>
        <w:t xml:space="preserve">3. 评标程序 </w:t>
      </w:r>
    </w:p>
    <w:p>
      <w:pPr>
        <w:spacing w:before="157"/>
        <w:ind w:left="106"/>
        <w:rPr>
          <w:rFonts w:ascii="宋体" w:hAnsi="宋体" w:cs="宋体"/>
          <w:caps/>
          <w:szCs w:val="21"/>
        </w:rPr>
      </w:pPr>
      <w:bookmarkStart w:id="130" w:name="3.1_初步评审"/>
      <w:bookmarkEnd w:id="130"/>
      <w:r>
        <w:rPr>
          <w:rFonts w:hint="eastAsia" w:ascii="宋体" w:hAnsi="宋体" w:cs="宋体"/>
          <w:caps/>
          <w:szCs w:val="21"/>
        </w:rPr>
        <w:t xml:space="preserve">3.1 初步评审 </w:t>
      </w:r>
    </w:p>
    <w:p>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pPr>
        <w:pStyle w:val="2"/>
        <w:spacing w:before="32"/>
        <w:ind w:left="526"/>
        <w:rPr>
          <w:rFonts w:ascii="宋体" w:hAnsi="宋体" w:cs="宋体"/>
          <w:caps/>
          <w:kern w:val="2"/>
          <w:sz w:val="21"/>
          <w:szCs w:val="21"/>
        </w:rPr>
      </w:pPr>
      <w:r>
        <w:rPr>
          <w:rFonts w:hint="eastAsia" w:ascii="宋体" w:hAnsi="宋体" w:cs="宋体"/>
          <w:caps/>
          <w:kern w:val="2"/>
          <w:sz w:val="21"/>
          <w:szCs w:val="21"/>
        </w:rPr>
        <w:t xml:space="preserve">3.1.2 报价人有以下情形之一的，其投标作否决投标处理： </w:t>
      </w:r>
    </w:p>
    <w:p>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（1）第二章“报价人须知”第1.4.3项规定的任何一种情形的；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pPr>
        <w:pStyle w:val="2"/>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投标报价有算术错误的，评标委员会按以下原则对投标报价进行修正，修正的价格经报价人 书面确认后具有约束力，修正原则如下： </w:t>
      </w:r>
    </w:p>
    <w:p>
      <w:pPr>
        <w:pStyle w:val="2"/>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pPr>
        <w:pStyle w:val="2"/>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pPr>
        <w:spacing w:before="169"/>
        <w:ind w:left="106"/>
        <w:rPr>
          <w:rFonts w:ascii="宋体" w:hAnsi="宋体" w:cs="宋体"/>
          <w:caps/>
          <w:szCs w:val="21"/>
        </w:rPr>
      </w:pPr>
      <w:bookmarkStart w:id="131" w:name="3.2_详细评审"/>
      <w:bookmarkEnd w:id="131"/>
      <w:r>
        <w:rPr>
          <w:rFonts w:hint="eastAsia" w:ascii="宋体" w:hAnsi="宋体" w:cs="宋体"/>
          <w:caps/>
          <w:szCs w:val="21"/>
        </w:rPr>
        <w:t xml:space="preserve">3.2 详细评审 </w:t>
      </w:r>
    </w:p>
    <w:p>
      <w:pPr>
        <w:pStyle w:val="2"/>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pPr>
        <w:pStyle w:val="2"/>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（1）按本章第3.3目规定的评审因素和分值对技术部分计算出得分A（所有评委打分中去掉一个最高和一个最低分，余下评委打分取算术平均值为该报价人技术部分得分。） </w:t>
      </w:r>
    </w:p>
    <w:p>
      <w:pPr>
        <w:pStyle w:val="2"/>
        <w:spacing w:before="19"/>
        <w:ind w:left="526"/>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3.2.3  报价人得分=A+B+C。 </w:t>
      </w:r>
    </w:p>
    <w:p>
      <w:pPr>
        <w:ind w:left="106"/>
        <w:rPr>
          <w:rFonts w:ascii="宋体" w:hAnsi="宋体" w:cs="宋体"/>
          <w:caps/>
          <w:szCs w:val="21"/>
        </w:rPr>
      </w:pPr>
      <w:bookmarkStart w:id="132" w:name="3.3_投标文件的澄清和补正"/>
      <w:bookmarkEnd w:id="132"/>
      <w:r>
        <w:rPr>
          <w:rFonts w:hint="eastAsia" w:ascii="宋体" w:hAnsi="宋体" w:cs="宋体"/>
          <w:caps/>
          <w:szCs w:val="21"/>
        </w:rPr>
        <w:t xml:space="preserve">3.3 投标文件的澄清和补正 </w:t>
      </w:r>
    </w:p>
    <w:p>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在评标过程中，评标委员会可以书面形式要求报价人对所提交投标文件中不明确的内容进行 书面澄清或说明，或者对细微偏差进行补正。评标委员会不接受报价人主动提出的澄清、说明或补正。 </w:t>
      </w:r>
    </w:p>
    <w:p>
      <w:pPr>
        <w:pStyle w:val="2"/>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澄清、说明和补正不得改变投标文件的实质性内容（算术性错误修正的除外）。报价人的书 面澄清、说明和补正属于投标文件的组成部分。 </w:t>
      </w:r>
    </w:p>
    <w:p>
      <w:pPr>
        <w:pStyle w:val="2"/>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评标委员会对报价人提交的澄清、说明或补正有疑问的，可以要求报价人进一步澄清、说明或补正，直至满足评标委员会的要求。 </w:t>
      </w:r>
    </w:p>
    <w:p>
      <w:pPr>
        <w:spacing w:before="68"/>
        <w:ind w:left="106"/>
        <w:rPr>
          <w:rFonts w:ascii="宋体" w:hAnsi="宋体" w:cs="宋体"/>
          <w:caps/>
          <w:szCs w:val="21"/>
        </w:rPr>
      </w:pPr>
      <w:bookmarkStart w:id="133" w:name="3.4_评标结果"/>
      <w:bookmarkEnd w:id="133"/>
      <w:r>
        <w:rPr>
          <w:rFonts w:hint="eastAsia" w:ascii="宋体" w:hAnsi="宋体" w:cs="宋体"/>
          <w:caps/>
          <w:szCs w:val="21"/>
        </w:rPr>
        <w:t xml:space="preserve">3.4 评标结果 </w:t>
      </w:r>
    </w:p>
    <w:p>
      <w:pPr>
        <w:pStyle w:val="2"/>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3.4.1 除第二章“报价人须知”前附表授权直接确定中标人外，评标委员会按照得分由高到低的顺 序推荐中标候选人。 </w:t>
      </w:r>
    </w:p>
    <w:p>
      <w:pPr>
        <w:pStyle w:val="2"/>
        <w:spacing w:before="19" w:line="355" w:lineRule="auto"/>
        <w:ind w:firstLine="420"/>
        <w:rPr>
          <w:rFonts w:ascii="宋体" w:hAnsi="宋体" w:cs="宋体"/>
          <w:caps/>
          <w:kern w:val="2"/>
          <w:sz w:val="21"/>
          <w:szCs w:val="21"/>
        </w:rPr>
      </w:pPr>
      <w:r>
        <w:rPr>
          <w:rFonts w:hint="eastAsia" w:ascii="宋体" w:hAnsi="宋体" w:cs="宋体"/>
          <w:caps/>
          <w:kern w:val="2"/>
          <w:sz w:val="21"/>
          <w:szCs w:val="21"/>
        </w:rPr>
        <w:t>3.4.2 评标委员会完成评标后，应当向采购人提交书面评标报告。</w:t>
      </w:r>
    </w:p>
    <w:p>
      <w:pPr>
        <w:rPr>
          <w:rFonts w:ascii="宋体" w:hAnsi="宋体" w:cs="宋体"/>
          <w:color w:val="000000" w:themeColor="text1"/>
          <w14:textFill>
            <w14:solidFill>
              <w14:schemeClr w14:val="tx1"/>
            </w14:solidFill>
          </w14:textFill>
        </w:rPr>
      </w:pPr>
    </w:p>
    <w:p>
      <w:pPr>
        <w:pStyle w:val="1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4" w:name="_Toc13787"/>
      <w:r>
        <w:rPr>
          <w:rStyle w:val="31"/>
          <w:rFonts w:hint="eastAsia"/>
          <w:b/>
          <w:bCs/>
          <w:color w:val="000000" w:themeColor="text1"/>
          <w14:textFill>
            <w14:solidFill>
              <w14:schemeClr w14:val="tx1"/>
            </w14:solidFill>
          </w14:textFill>
        </w:rPr>
        <w:t>第四章 报价说明</w:t>
      </w:r>
      <w:bookmarkEnd w:id="134"/>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1、工程量清单应与本项目竞争性比选文件、技术标准和要求等文件结合起来查阅与理解。</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税率为6%）等完成本项目的一切费用（即人工费、材料设备、安装和调试费、差旅费、交通费、车辆通行费、竣工资料编制、竣工验收、保险、综合费等），以及竞争性比选文件中明示或暗示的所有责任、义务和一般风险。</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3、报价人应结合现场实际和现在的市场情况、自身技术及管理水平、经营状况、机械设备及制定的方案的要求自行报价，该报价不低于报价人完成该项目的成本。</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5、工程量清单中所列工程量的变动，丝毫不会降低或影响合同条款的效力，也不免除报价人按规定的标准进行作业和修复缺陷的责任。</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项目费用的汇总。</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14、报价人应严格按照工程量清单进行报价，不得随意修改采购人发布的工程量清单数量、公式及相关内容。</w:t>
      </w:r>
    </w:p>
    <w:p>
      <w:pPr>
        <w:pStyle w:val="15"/>
        <w:spacing w:line="440" w:lineRule="exact"/>
        <w:ind w:firstLine="420" w:firstLineChars="200"/>
        <w:rPr>
          <w:rFonts w:ascii="Times New Roman" w:hAnsi="Times New Roman"/>
          <w:b w:val="0"/>
          <w:bCs w:val="0"/>
          <w:caps w:val="0"/>
          <w:color w:val="000000" w:themeColor="text1"/>
          <w:sz w:val="21"/>
          <w:szCs w:val="24"/>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35" w:name="_Toc152045772"/>
      <w:bookmarkStart w:id="136" w:name="_Toc2000409"/>
      <w:bookmarkStart w:id="137" w:name="_Toc152042554"/>
      <w:bookmarkStart w:id="138" w:name="_Toc144974834"/>
      <w:bookmarkStart w:id="139" w:name="_Toc246996340"/>
      <w:bookmarkStart w:id="140" w:name="_Toc246997083"/>
      <w:bookmarkStart w:id="141" w:name="_Toc179632789"/>
      <w:bookmarkStart w:id="142" w:name="_Toc247085855"/>
      <w:bookmarkStart w:id="143" w:name="_Toc24503"/>
      <w:bookmarkStart w:id="144" w:name="_Toc514858705"/>
      <w:bookmarkStart w:id="145" w:name="_Toc246996354"/>
      <w:bookmarkStart w:id="146" w:name="_Toc152045786"/>
      <w:bookmarkStart w:id="147" w:name="_Toc247085872"/>
      <w:bookmarkStart w:id="148" w:name="_Toc246997097"/>
      <w:bookmarkStart w:id="149" w:name="_Toc152042575"/>
      <w:bookmarkStart w:id="150" w:name="_Toc144974855"/>
      <w:bookmarkStart w:id="151" w:name="_Toc179632806"/>
      <w:r>
        <w:rPr>
          <w:rFonts w:hint="eastAsia" w:ascii="宋体" w:hAnsi="宋体" w:cs="宋体"/>
          <w:color w:val="000000" w:themeColor="text1"/>
          <w14:textFill>
            <w14:solidFill>
              <w14:schemeClr w14:val="tx1"/>
            </w14:solidFill>
          </w14:textFill>
        </w:rPr>
        <w:t>第五章  工程量清单</w:t>
      </w:r>
      <w:bookmarkEnd w:id="135"/>
      <w:bookmarkEnd w:id="136"/>
      <w:bookmarkEnd w:id="137"/>
      <w:bookmarkEnd w:id="138"/>
      <w:bookmarkEnd w:id="139"/>
      <w:bookmarkEnd w:id="140"/>
      <w:bookmarkEnd w:id="141"/>
      <w:bookmarkEnd w:id="142"/>
      <w:bookmarkEnd w:id="143"/>
      <w:bookmarkEnd w:id="144"/>
    </w:p>
    <w:tbl>
      <w:tblPr>
        <w:tblStyle w:val="23"/>
        <w:tblW w:w="9493" w:type="dxa"/>
        <w:jc w:val="center"/>
        <w:tblLayout w:type="fixed"/>
        <w:tblCellMar>
          <w:top w:w="0" w:type="dxa"/>
          <w:left w:w="108" w:type="dxa"/>
          <w:bottom w:w="0" w:type="dxa"/>
          <w:right w:w="108" w:type="dxa"/>
        </w:tblCellMar>
      </w:tblPr>
      <w:tblGrid>
        <w:gridCol w:w="846"/>
        <w:gridCol w:w="1417"/>
        <w:gridCol w:w="2103"/>
        <w:gridCol w:w="732"/>
        <w:gridCol w:w="709"/>
        <w:gridCol w:w="1134"/>
        <w:gridCol w:w="1134"/>
        <w:gridCol w:w="1418"/>
      </w:tblGrid>
      <w:tr>
        <w:tblPrEx>
          <w:tblCellMar>
            <w:top w:w="0" w:type="dxa"/>
            <w:left w:w="108" w:type="dxa"/>
            <w:bottom w:w="0" w:type="dxa"/>
            <w:right w:w="108" w:type="dxa"/>
          </w:tblCellMar>
        </w:tblPrEx>
        <w:trPr>
          <w:trHeight w:val="72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auto"/>
                <w:szCs w:val="21"/>
                <w:highlight w:val="none"/>
              </w:rPr>
            </w:pPr>
            <w:bookmarkStart w:id="152" w:name="_Toc152042571"/>
            <w:bookmarkStart w:id="153" w:name="_Toc152045782"/>
            <w:bookmarkStart w:id="154" w:name="_Toc247096438"/>
            <w:bookmarkStart w:id="155" w:name="_Toc179632800"/>
            <w:bookmarkStart w:id="156" w:name="_Toc246996350"/>
            <w:bookmarkStart w:id="157" w:name="_Toc246997093"/>
            <w:bookmarkStart w:id="158" w:name="_Toc144974851"/>
            <w:bookmarkStart w:id="159" w:name="_Toc247085866"/>
            <w:r>
              <w:rPr>
                <w:b/>
                <w:bCs/>
                <w:color w:val="auto"/>
                <w:kern w:val="0"/>
                <w:szCs w:val="21"/>
                <w:highlight w:val="none"/>
                <w:lang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Cs w:val="21"/>
                <w:highlight w:val="none"/>
              </w:rPr>
            </w:pPr>
            <w:r>
              <w:rPr>
                <w:b/>
                <w:bCs/>
                <w:color w:val="auto"/>
                <w:kern w:val="0"/>
                <w:szCs w:val="21"/>
                <w:highlight w:val="none"/>
                <w:lang w:bidi="ar"/>
              </w:rPr>
              <w:t>工作内容</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Cs w:val="21"/>
                <w:highlight w:val="none"/>
              </w:rPr>
            </w:pPr>
            <w:r>
              <w:rPr>
                <w:b/>
                <w:bCs/>
                <w:color w:val="auto"/>
                <w:kern w:val="0"/>
                <w:szCs w:val="21"/>
                <w:highlight w:val="none"/>
                <w:lang w:bidi="ar"/>
              </w:rPr>
              <w:t>服务内容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Cs w:val="21"/>
                <w:highlight w:val="none"/>
                <w:lang w:bidi="ar"/>
              </w:rPr>
            </w:pPr>
            <w:r>
              <w:rPr>
                <w:b/>
                <w:bCs/>
                <w:color w:val="auto"/>
                <w:kern w:val="0"/>
                <w:szCs w:val="21"/>
                <w:highlight w:val="none"/>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Cs w:val="21"/>
                <w:highlight w:val="none"/>
                <w:lang w:bidi="ar"/>
              </w:rPr>
            </w:pPr>
            <w:r>
              <w:rPr>
                <w:b/>
                <w:bCs/>
                <w:color w:val="auto"/>
                <w:kern w:val="0"/>
                <w:szCs w:val="21"/>
                <w:highlight w:val="none"/>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Cs w:val="21"/>
                <w:highlight w:val="none"/>
              </w:rPr>
            </w:pPr>
            <w:r>
              <w:rPr>
                <w:b/>
                <w:bCs/>
                <w:color w:val="auto"/>
                <w:kern w:val="0"/>
                <w:szCs w:val="21"/>
                <w:highlight w:val="none"/>
                <w:lang w:bidi="ar"/>
              </w:rPr>
              <w:t>含税单价（元）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Cs w:val="21"/>
                <w:highlight w:val="none"/>
                <w:lang w:bidi="ar"/>
              </w:rPr>
            </w:pPr>
            <w:r>
              <w:rPr>
                <w:b/>
                <w:bCs/>
                <w:color w:val="auto"/>
                <w:kern w:val="0"/>
                <w:szCs w:val="21"/>
                <w:highlight w:val="none"/>
                <w:lang w:bidi="ar"/>
              </w:rPr>
              <w:t>税率（%）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Cs w:val="21"/>
                <w:highlight w:val="none"/>
              </w:rPr>
            </w:pPr>
            <w:r>
              <w:rPr>
                <w:b/>
                <w:bCs/>
                <w:color w:val="auto"/>
                <w:kern w:val="0"/>
                <w:szCs w:val="21"/>
                <w:highlight w:val="none"/>
                <w:lang w:bidi="ar"/>
              </w:rPr>
              <w:t>小计（元）</w:t>
            </w:r>
          </w:p>
        </w:tc>
      </w:tr>
      <w:tr>
        <w:tblPrEx>
          <w:tblCellMar>
            <w:top w:w="0" w:type="dxa"/>
            <w:left w:w="108" w:type="dxa"/>
            <w:bottom w:w="0" w:type="dxa"/>
            <w:right w:w="108" w:type="dxa"/>
          </w:tblCellMar>
        </w:tblPrEx>
        <w:trPr>
          <w:trHeight w:val="151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topLinePunct/>
              <w:adjustRightInd w:val="0"/>
              <w:snapToGrid w:val="0"/>
              <w:spacing w:line="320" w:lineRule="exact"/>
              <w:jc w:val="center"/>
              <w:rPr>
                <w:rFonts w:ascii="宋体" w:hAnsi="宋体" w:cs="宋体"/>
                <w:color w:val="auto"/>
                <w:szCs w:val="21"/>
                <w:highlight w:val="none"/>
              </w:rPr>
            </w:pPr>
            <w:r>
              <w:rPr>
                <w:rFonts w:ascii="宋体" w:hAnsi="宋体" w:cs="宋体"/>
                <w:color w:val="auto"/>
                <w:szCs w:val="21"/>
                <w:highlight w:val="none"/>
              </w:rPr>
              <w:t>重庆高速公路网</w:t>
            </w:r>
            <w:r>
              <w:rPr>
                <w:rFonts w:hint="eastAsia" w:ascii="宋体" w:hAnsi="宋体" w:cs="宋体"/>
                <w:color w:val="auto"/>
                <w:szCs w:val="21"/>
                <w:highlight w:val="none"/>
              </w:rPr>
              <w:t>公里级交通</w:t>
            </w:r>
            <w:r>
              <w:rPr>
                <w:rFonts w:ascii="宋体" w:hAnsi="宋体" w:cs="宋体"/>
                <w:color w:val="auto"/>
                <w:szCs w:val="21"/>
                <w:highlight w:val="none"/>
              </w:rPr>
              <w:t>流</w:t>
            </w:r>
            <w:r>
              <w:rPr>
                <w:rFonts w:hint="eastAsia" w:ascii="宋体" w:hAnsi="宋体" w:cs="宋体"/>
                <w:color w:val="auto"/>
                <w:szCs w:val="21"/>
                <w:highlight w:val="none"/>
              </w:rPr>
              <w:t>量</w:t>
            </w:r>
            <w:r>
              <w:rPr>
                <w:rFonts w:ascii="宋体" w:hAnsi="宋体" w:cs="宋体"/>
                <w:color w:val="auto"/>
                <w:szCs w:val="21"/>
                <w:highlight w:val="none"/>
              </w:rPr>
              <w:t>时空动态图建模技术</w:t>
            </w:r>
            <w:r>
              <w:rPr>
                <w:rFonts w:hint="eastAsia" w:ascii="宋体" w:hAnsi="宋体" w:cs="宋体"/>
                <w:color w:val="auto"/>
                <w:szCs w:val="21"/>
                <w:highlight w:val="none"/>
              </w:rPr>
              <w:t>开发服务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topLinePunct/>
              <w:adjustRightInd w:val="0"/>
              <w:snapToGrid w:val="0"/>
              <w:spacing w:after="0" w:line="320" w:lineRule="exact"/>
              <w:rPr>
                <w:rFonts w:ascii="宋体" w:hAnsi="宋体" w:cs="宋体"/>
                <w:color w:val="auto"/>
                <w:kern w:val="2"/>
                <w:sz w:val="21"/>
                <w:szCs w:val="21"/>
                <w:highlight w:val="none"/>
              </w:rPr>
            </w:pPr>
            <w:r>
              <w:rPr>
                <w:rFonts w:ascii="宋体" w:hAnsi="宋体" w:cs="宋体"/>
                <w:color w:val="auto"/>
                <w:kern w:val="2"/>
                <w:sz w:val="21"/>
                <w:szCs w:val="21"/>
                <w:highlight w:val="none"/>
              </w:rPr>
              <w:t>重庆高速公路网</w:t>
            </w:r>
            <w:r>
              <w:rPr>
                <w:rFonts w:hint="eastAsia" w:ascii="宋体" w:hAnsi="宋体" w:cs="宋体"/>
                <w:color w:val="auto"/>
                <w:kern w:val="2"/>
                <w:sz w:val="21"/>
                <w:szCs w:val="21"/>
                <w:highlight w:val="none"/>
              </w:rPr>
              <w:t>公里级静态图建模</w:t>
            </w:r>
            <w:r>
              <w:rPr>
                <w:rFonts w:ascii="宋体" w:hAnsi="宋体" w:cs="宋体"/>
                <w:color w:val="auto"/>
                <w:kern w:val="2"/>
                <w:sz w:val="21"/>
                <w:szCs w:val="21"/>
                <w:highlight w:val="none"/>
              </w:rPr>
              <w:t>、重庆高速公路网车辆轨迹公里级估计</w:t>
            </w:r>
            <w:r>
              <w:rPr>
                <w:rFonts w:hint="eastAsia" w:ascii="宋体" w:hAnsi="宋体" w:cs="宋体"/>
                <w:color w:val="auto"/>
                <w:kern w:val="2"/>
                <w:sz w:val="21"/>
                <w:szCs w:val="21"/>
                <w:highlight w:val="none"/>
              </w:rPr>
              <w:t>模型</w:t>
            </w:r>
            <w:r>
              <w:rPr>
                <w:rFonts w:ascii="宋体" w:hAnsi="宋体" w:cs="宋体"/>
                <w:color w:val="auto"/>
                <w:kern w:val="2"/>
                <w:sz w:val="21"/>
                <w:szCs w:val="21"/>
                <w:highlight w:val="none"/>
              </w:rPr>
              <w:t>和重庆高速公路网</w:t>
            </w:r>
            <w:r>
              <w:rPr>
                <w:rFonts w:hint="eastAsia" w:ascii="宋体" w:hAnsi="宋体" w:cs="宋体"/>
                <w:color w:val="auto"/>
                <w:kern w:val="2"/>
                <w:sz w:val="21"/>
                <w:szCs w:val="21"/>
                <w:highlight w:val="none"/>
              </w:rPr>
              <w:t>公里级交通</w:t>
            </w:r>
            <w:r>
              <w:rPr>
                <w:rFonts w:ascii="宋体" w:hAnsi="宋体" w:cs="宋体"/>
                <w:color w:val="auto"/>
                <w:kern w:val="2"/>
                <w:sz w:val="21"/>
                <w:szCs w:val="21"/>
                <w:highlight w:val="none"/>
              </w:rPr>
              <w:t>流</w:t>
            </w:r>
            <w:r>
              <w:rPr>
                <w:rFonts w:hint="eastAsia" w:ascii="宋体" w:hAnsi="宋体" w:cs="宋体"/>
                <w:color w:val="auto"/>
                <w:kern w:val="2"/>
                <w:sz w:val="21"/>
                <w:szCs w:val="21"/>
                <w:highlight w:val="none"/>
              </w:rPr>
              <w:t>量</w:t>
            </w:r>
            <w:r>
              <w:rPr>
                <w:rFonts w:ascii="宋体" w:hAnsi="宋体" w:cs="宋体"/>
                <w:color w:val="auto"/>
                <w:kern w:val="2"/>
                <w:sz w:val="21"/>
                <w:szCs w:val="21"/>
                <w:highlight w:val="none"/>
              </w:rPr>
              <w:t>时空动态图</w:t>
            </w:r>
            <w:r>
              <w:rPr>
                <w:rFonts w:hint="eastAsia" w:ascii="宋体" w:hAnsi="宋体" w:cs="宋体"/>
                <w:color w:val="auto"/>
                <w:kern w:val="2"/>
                <w:sz w:val="21"/>
                <w:szCs w:val="21"/>
                <w:highlight w:val="none"/>
              </w:rPr>
              <w:t>构建；申请中国发明专利1项。</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47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topLinePunct/>
              <w:adjustRightInd w:val="0"/>
              <w:snapToGrid w:val="0"/>
              <w:spacing w:line="320" w:lineRule="exact"/>
              <w:jc w:val="center"/>
              <w:rPr>
                <w:rFonts w:ascii="宋体" w:hAnsi="宋体" w:cs="宋体"/>
                <w:color w:val="auto"/>
                <w:szCs w:val="21"/>
                <w:highlight w:val="none"/>
              </w:rPr>
            </w:pPr>
            <w:r>
              <w:rPr>
                <w:rFonts w:ascii="宋体" w:hAnsi="宋体" w:cs="宋体"/>
                <w:color w:val="auto"/>
                <w:szCs w:val="21"/>
                <w:highlight w:val="none"/>
              </w:rPr>
              <w:t>基于路网拓扑结构的高速公路</w:t>
            </w:r>
            <w:r>
              <w:rPr>
                <w:rFonts w:hint="eastAsia" w:ascii="宋体" w:hAnsi="宋体" w:cs="宋体"/>
                <w:color w:val="auto"/>
                <w:szCs w:val="21"/>
                <w:highlight w:val="none"/>
              </w:rPr>
              <w:t>网公里级交通</w:t>
            </w:r>
            <w:r>
              <w:rPr>
                <w:rFonts w:ascii="宋体" w:hAnsi="宋体" w:cs="宋体"/>
                <w:color w:val="auto"/>
                <w:szCs w:val="21"/>
                <w:highlight w:val="none"/>
              </w:rPr>
              <w:t>流量时空转移模型</w:t>
            </w:r>
            <w:r>
              <w:rPr>
                <w:rFonts w:hint="eastAsia" w:ascii="宋体" w:hAnsi="宋体" w:cs="宋体"/>
                <w:color w:val="auto"/>
                <w:szCs w:val="21"/>
                <w:highlight w:val="none"/>
              </w:rPr>
              <w:t>技术开发</w:t>
            </w:r>
            <w:r>
              <w:rPr>
                <w:rFonts w:ascii="宋体" w:hAnsi="宋体" w:cs="宋体"/>
                <w:color w:val="auto"/>
                <w:szCs w:val="21"/>
                <w:highlight w:val="none"/>
              </w:rPr>
              <w:t>服务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topLinePunct/>
              <w:adjustRightInd w:val="0"/>
              <w:snapToGrid w:val="0"/>
              <w:spacing w:after="0" w:line="320" w:lineRule="exact"/>
              <w:jc w:val="left"/>
              <w:rPr>
                <w:rFonts w:ascii="宋体" w:hAnsi="宋体" w:cs="宋体"/>
                <w:color w:val="auto"/>
                <w:kern w:val="2"/>
                <w:sz w:val="21"/>
                <w:szCs w:val="21"/>
                <w:highlight w:val="none"/>
              </w:rPr>
            </w:pPr>
            <w:r>
              <w:rPr>
                <w:rFonts w:ascii="宋体" w:hAnsi="宋体" w:cs="宋体"/>
                <w:color w:val="auto"/>
                <w:kern w:val="2"/>
                <w:sz w:val="21"/>
                <w:szCs w:val="21"/>
                <w:highlight w:val="none"/>
              </w:rPr>
              <w:t>高速公路</w:t>
            </w:r>
            <w:r>
              <w:rPr>
                <w:rFonts w:hint="eastAsia" w:ascii="宋体" w:hAnsi="宋体" w:cs="宋体"/>
                <w:color w:val="auto"/>
                <w:kern w:val="2"/>
                <w:sz w:val="21"/>
                <w:szCs w:val="21"/>
                <w:highlight w:val="none"/>
              </w:rPr>
              <w:t>网车辆公里级出行模式挖掘技术和高速公路网交通</w:t>
            </w:r>
            <w:r>
              <w:rPr>
                <w:rFonts w:ascii="宋体" w:hAnsi="宋体" w:cs="宋体"/>
                <w:color w:val="auto"/>
                <w:kern w:val="2"/>
                <w:sz w:val="21"/>
                <w:szCs w:val="21"/>
                <w:highlight w:val="none"/>
              </w:rPr>
              <w:t>流量时空转移模式</w:t>
            </w:r>
            <w:r>
              <w:rPr>
                <w:rFonts w:hint="eastAsia" w:ascii="宋体" w:hAnsi="宋体" w:cs="宋体"/>
                <w:color w:val="auto"/>
                <w:kern w:val="2"/>
                <w:sz w:val="21"/>
                <w:szCs w:val="21"/>
                <w:highlight w:val="none"/>
              </w:rPr>
              <w:t>挖掘技术开发；申请中国发明专利1项。</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88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topLinePunct/>
              <w:adjustRightInd w:val="0"/>
              <w:snapToGrid w:val="0"/>
              <w:spacing w:line="320" w:lineRule="exact"/>
              <w:jc w:val="center"/>
              <w:rPr>
                <w:rFonts w:ascii="宋体" w:hAnsi="宋体" w:cs="宋体"/>
                <w:color w:val="auto"/>
                <w:szCs w:val="21"/>
                <w:highlight w:val="none"/>
              </w:rPr>
            </w:pPr>
            <w:r>
              <w:rPr>
                <w:rFonts w:ascii="宋体" w:hAnsi="宋体" w:cs="宋体"/>
                <w:color w:val="auto"/>
                <w:szCs w:val="21"/>
                <w:highlight w:val="none"/>
              </w:rPr>
              <w:t>基于</w:t>
            </w:r>
            <w:r>
              <w:rPr>
                <w:rFonts w:hint="eastAsia" w:ascii="宋体" w:hAnsi="宋体" w:cs="宋体"/>
                <w:color w:val="auto"/>
                <w:szCs w:val="21"/>
                <w:highlight w:val="none"/>
              </w:rPr>
              <w:t>时空图学习的高速公路网公里级交通流量预测技术</w:t>
            </w:r>
            <w:r>
              <w:rPr>
                <w:rFonts w:ascii="宋体" w:hAnsi="宋体" w:cs="宋体"/>
                <w:color w:val="auto"/>
                <w:szCs w:val="21"/>
                <w:highlight w:val="none"/>
              </w:rPr>
              <w:t>开发</w:t>
            </w:r>
            <w:r>
              <w:rPr>
                <w:rFonts w:hint="eastAsia" w:ascii="宋体" w:hAnsi="宋体" w:cs="宋体"/>
                <w:color w:val="auto"/>
                <w:szCs w:val="21"/>
                <w:highlight w:val="none"/>
              </w:rPr>
              <w:t>服务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2"/>
              <w:topLinePunct/>
              <w:adjustRightInd w:val="0"/>
              <w:snapToGrid w:val="0"/>
              <w:spacing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高速公路网车辆公里级</w:t>
            </w:r>
            <w:r>
              <w:rPr>
                <w:rFonts w:ascii="宋体" w:hAnsi="宋体" w:cs="宋体"/>
                <w:color w:val="auto"/>
                <w:szCs w:val="21"/>
                <w:highlight w:val="none"/>
              </w:rPr>
              <w:t>交通流量</w:t>
            </w:r>
            <w:r>
              <w:rPr>
                <w:rFonts w:hint="eastAsia" w:ascii="宋体" w:hAnsi="宋体" w:cs="宋体"/>
                <w:color w:val="auto"/>
                <w:szCs w:val="21"/>
                <w:highlight w:val="none"/>
              </w:rPr>
              <w:t>短时</w:t>
            </w:r>
            <w:r>
              <w:rPr>
                <w:rFonts w:ascii="宋体" w:hAnsi="宋体" w:cs="宋体"/>
                <w:color w:val="auto"/>
                <w:szCs w:val="21"/>
                <w:highlight w:val="none"/>
              </w:rPr>
              <w:t>预测</w:t>
            </w:r>
            <w:r>
              <w:rPr>
                <w:rFonts w:hint="eastAsia" w:ascii="宋体" w:hAnsi="宋体" w:cs="宋体"/>
                <w:color w:val="auto"/>
                <w:szCs w:val="21"/>
                <w:highlight w:val="none"/>
              </w:rPr>
              <w:t>技术、高速公路网车辆公里级</w:t>
            </w:r>
            <w:r>
              <w:rPr>
                <w:rFonts w:ascii="宋体" w:hAnsi="宋体" w:cs="宋体"/>
                <w:color w:val="auto"/>
                <w:szCs w:val="21"/>
                <w:highlight w:val="none"/>
              </w:rPr>
              <w:t>交通流量</w:t>
            </w:r>
            <w:r>
              <w:rPr>
                <w:rFonts w:hint="eastAsia" w:ascii="宋体" w:hAnsi="宋体" w:cs="宋体"/>
                <w:color w:val="auto"/>
                <w:szCs w:val="21"/>
                <w:highlight w:val="none"/>
              </w:rPr>
              <w:t>长时</w:t>
            </w:r>
            <w:r>
              <w:rPr>
                <w:rFonts w:ascii="宋体" w:hAnsi="宋体" w:cs="宋体"/>
                <w:color w:val="auto"/>
                <w:szCs w:val="21"/>
                <w:highlight w:val="none"/>
              </w:rPr>
              <w:t>预测</w:t>
            </w:r>
            <w:r>
              <w:rPr>
                <w:rFonts w:hint="eastAsia" w:ascii="宋体" w:hAnsi="宋体" w:cs="宋体"/>
                <w:color w:val="auto"/>
                <w:szCs w:val="21"/>
                <w:highlight w:val="none"/>
              </w:rPr>
              <w:t>技术和高速公路网节点间</w:t>
            </w:r>
            <w:r>
              <w:rPr>
                <w:rFonts w:ascii="宋体" w:hAnsi="宋体" w:cs="宋体"/>
                <w:color w:val="auto"/>
                <w:szCs w:val="21"/>
                <w:highlight w:val="none"/>
              </w:rPr>
              <w:t>交通流量</w:t>
            </w:r>
            <w:r>
              <w:rPr>
                <w:rFonts w:hint="eastAsia" w:ascii="宋体" w:hAnsi="宋体" w:cs="宋体"/>
                <w:color w:val="auto"/>
                <w:szCs w:val="21"/>
                <w:highlight w:val="none"/>
              </w:rPr>
              <w:t>转移</w:t>
            </w:r>
            <w:r>
              <w:rPr>
                <w:rFonts w:ascii="宋体" w:hAnsi="宋体" w:cs="宋体"/>
                <w:color w:val="auto"/>
                <w:szCs w:val="21"/>
                <w:highlight w:val="none"/>
              </w:rPr>
              <w:t>预测</w:t>
            </w:r>
            <w:r>
              <w:rPr>
                <w:rFonts w:hint="eastAsia" w:ascii="宋体" w:hAnsi="宋体" w:cs="宋体"/>
                <w:color w:val="auto"/>
                <w:szCs w:val="21"/>
                <w:highlight w:val="none"/>
              </w:rPr>
              <w:t>技术开发；申请中国发明专利</w:t>
            </w:r>
            <w:r>
              <w:rPr>
                <w:rFonts w:ascii="宋体" w:hAnsi="宋体" w:cs="宋体"/>
                <w:color w:val="auto"/>
                <w:szCs w:val="21"/>
                <w:highlight w:val="none"/>
              </w:rPr>
              <w:t>3</w:t>
            </w:r>
            <w:r>
              <w:rPr>
                <w:rFonts w:hint="eastAsia" w:ascii="宋体" w:hAnsi="宋体" w:cs="宋体"/>
                <w:color w:val="auto"/>
                <w:szCs w:val="21"/>
                <w:highlight w:val="none"/>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88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topLinePunct/>
              <w:adjustRightInd w:val="0"/>
              <w:snapToGrid w:val="0"/>
              <w:spacing w:line="320" w:lineRule="exact"/>
              <w:jc w:val="center"/>
              <w:rPr>
                <w:rFonts w:ascii="宋体" w:hAnsi="宋体" w:cs="宋体"/>
                <w:color w:val="auto"/>
                <w:szCs w:val="21"/>
                <w:highlight w:val="none"/>
              </w:rPr>
            </w:pPr>
            <w:r>
              <w:rPr>
                <w:rFonts w:ascii="宋体" w:hAnsi="宋体" w:cs="宋体"/>
                <w:color w:val="auto"/>
                <w:szCs w:val="21"/>
                <w:highlight w:val="none"/>
              </w:rPr>
              <w:t>软件集成技术服务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2"/>
              <w:topLinePunct/>
              <w:adjustRightInd w:val="0"/>
              <w:snapToGrid w:val="0"/>
              <w:spacing w:line="320" w:lineRule="exact"/>
              <w:ind w:firstLine="0" w:firstLineChars="0"/>
              <w:jc w:val="left"/>
              <w:rPr>
                <w:rFonts w:ascii="宋体" w:hAnsi="宋体" w:cs="宋体"/>
                <w:color w:val="auto"/>
                <w:szCs w:val="21"/>
                <w:highlight w:val="none"/>
              </w:rPr>
            </w:pPr>
            <w:r>
              <w:rPr>
                <w:rFonts w:ascii="宋体" w:hAnsi="宋体" w:cs="宋体"/>
                <w:color w:val="auto"/>
                <w:szCs w:val="21"/>
                <w:highlight w:val="none"/>
              </w:rPr>
              <w:t>根据基于云原生架构的数据驱动能力体系平台接入要求，将以上软件模块封装成标准组件，并部署到我方指定的运行环境，实现与平台的集成。</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11" w:hRule="atLeast"/>
          <w:jc w:val="center"/>
        </w:trPr>
        <w:tc>
          <w:tcPr>
            <w:tcW w:w="80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总价（元）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r>
    </w:tbl>
    <w:p>
      <w:pP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footerReference r:id="rId10"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60" w:name="_Toc12440"/>
      <w:bookmarkStart w:id="161" w:name="_Toc513633963"/>
      <w:bookmarkStart w:id="162" w:name="_Toc503951042"/>
      <w:bookmarkStart w:id="163" w:name="_Toc514858706"/>
      <w:bookmarkStart w:id="164" w:name="_Toc2000410"/>
      <w:bookmarkStart w:id="165" w:name="_Toc447827048"/>
      <w:r>
        <w:rPr>
          <w:rFonts w:hint="eastAsia" w:ascii="宋体" w:hAnsi="宋体" w:cs="宋体"/>
          <w:color w:val="000000" w:themeColor="text1"/>
          <w14:textFill>
            <w14:solidFill>
              <w14:schemeClr w14:val="tx1"/>
            </w14:solidFill>
          </w14:textFill>
        </w:rPr>
        <w:t>第六章  图  纸</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jc w:val="center"/>
        <w:rPr>
          <w:rFonts w:ascii="宋体" w:hAnsi="宋体" w:cs="宋体"/>
          <w:b/>
          <w:color w:val="000000" w:themeColor="text1"/>
          <w14:textFill>
            <w14:solidFill>
              <w14:schemeClr w14:val="tx1"/>
            </w14:solidFill>
          </w14:textFill>
        </w:rPr>
      </w:pPr>
      <w:r>
        <w:rPr>
          <w:rFonts w:hint="eastAsia" w:ascii="宋体" w:hAnsi="宋体" w:cs="宋体"/>
          <w:b/>
          <w:kern w:val="0"/>
          <w:sz w:val="24"/>
        </w:rPr>
        <w:t>无。</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6" w:name="_Toc152045785"/>
      <w:bookmarkStart w:id="167" w:name="_Toc152042574"/>
      <w:bookmarkStart w:id="168" w:name="_Toc144974854"/>
    </w:p>
    <w:p>
      <w:pPr>
        <w:pStyle w:val="3"/>
        <w:numPr>
          <w:ilvl w:val="0"/>
          <w:numId w:val="2"/>
        </w:numPr>
        <w:spacing w:before="0" w:after="0" w:line="360" w:lineRule="auto"/>
        <w:jc w:val="center"/>
        <w:rPr>
          <w:rFonts w:ascii="宋体" w:hAnsi="宋体" w:cs="宋体"/>
          <w:color w:val="000000" w:themeColor="text1"/>
          <w14:textFill>
            <w14:solidFill>
              <w14:schemeClr w14:val="tx1"/>
            </w14:solidFill>
          </w14:textFill>
        </w:rPr>
      </w:pPr>
      <w:bookmarkStart w:id="169" w:name="_Toc179632804"/>
      <w:bookmarkStart w:id="170" w:name="_Toc514858707"/>
      <w:bookmarkStart w:id="171" w:name="_Toc10887"/>
      <w:bookmarkStart w:id="172" w:name="_Toc447827049"/>
      <w:bookmarkStart w:id="173" w:name="_Toc246996353"/>
      <w:bookmarkStart w:id="174" w:name="_Toc503951043"/>
      <w:bookmarkStart w:id="175" w:name="_Toc247085870"/>
      <w:bookmarkStart w:id="176" w:name="_Toc246997096"/>
      <w:bookmarkStart w:id="177" w:name="_Toc2000411"/>
      <w:bookmarkStart w:id="178" w:name="_Toc513633964"/>
      <w:r>
        <w:rPr>
          <w:rFonts w:hint="eastAsia" w:ascii="宋体" w:hAnsi="宋体" w:cs="宋体"/>
          <w:color w:val="000000" w:themeColor="text1"/>
          <w14:textFill>
            <w14:solidFill>
              <w14:schemeClr w14:val="tx1"/>
            </w14:solidFill>
          </w14:textFill>
        </w:rPr>
        <w:t xml:space="preserve"> 技术标准和工作要求</w:t>
      </w:r>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15"/>
        <w:spacing w:line="380" w:lineRule="exact"/>
        <w:ind w:firstLine="420" w:firstLineChars="200"/>
        <w:rPr>
          <w:rFonts w:ascii="宋体" w:hAnsi="宋体" w:cs="宋体"/>
          <w:b w:val="0"/>
          <w:bCs w:val="0"/>
          <w:sz w:val="21"/>
          <w:szCs w:val="21"/>
        </w:rPr>
      </w:pPr>
    </w:p>
    <w:bookmarkEnd w:id="145"/>
    <w:bookmarkEnd w:id="146"/>
    <w:bookmarkEnd w:id="147"/>
    <w:bookmarkEnd w:id="148"/>
    <w:bookmarkEnd w:id="149"/>
    <w:bookmarkEnd w:id="150"/>
    <w:bookmarkEnd w:id="151"/>
    <w:p>
      <w:pPr>
        <w:tabs>
          <w:tab w:val="left" w:pos="360"/>
        </w:tabs>
        <w:spacing w:line="400" w:lineRule="exact"/>
        <w:ind w:firstLine="482" w:firstLineChars="200"/>
        <w:rPr>
          <w:b/>
          <w:bCs/>
          <w:sz w:val="24"/>
        </w:rPr>
      </w:pPr>
      <w:bookmarkStart w:id="179" w:name="_Toc514858708"/>
      <w:bookmarkStart w:id="180" w:name="_Toc514430114"/>
      <w:bookmarkStart w:id="181" w:name="_Toc12089"/>
      <w:bookmarkStart w:id="182" w:name="_Toc2000412"/>
      <w:bookmarkStart w:id="183" w:name="_Toc507320039"/>
      <w:bookmarkStart w:id="184" w:name="_Toc152045787"/>
      <w:bookmarkStart w:id="185" w:name="_Toc179632807"/>
      <w:bookmarkStart w:id="186" w:name="_Toc247085873"/>
      <w:bookmarkStart w:id="187" w:name="_Toc152042576"/>
      <w:bookmarkStart w:id="188" w:name="_Toc246996355"/>
      <w:bookmarkStart w:id="189" w:name="_Toc144974856"/>
      <w:bookmarkStart w:id="190" w:name="_Toc246997098"/>
      <w:r>
        <w:rPr>
          <w:b/>
          <w:bCs/>
          <w:sz w:val="24"/>
        </w:rPr>
        <w:t>1、重庆高速公路网公里级交通流量时空动态图建模技术开发</w:t>
      </w:r>
    </w:p>
    <w:p>
      <w:pPr>
        <w:tabs>
          <w:tab w:val="left" w:pos="360"/>
        </w:tabs>
        <w:spacing w:line="400" w:lineRule="exact"/>
        <w:ind w:firstLine="420" w:firstLineChars="200"/>
        <w:rPr>
          <w:rFonts w:ascii="宋体" w:hAnsi="宋体" w:cs="宋体"/>
          <w:szCs w:val="21"/>
        </w:rPr>
      </w:pPr>
      <w:r>
        <w:rPr>
          <w:rFonts w:ascii="宋体" w:hAnsi="宋体" w:cs="宋体"/>
          <w:szCs w:val="21"/>
        </w:rPr>
        <w:t>在重庆高速公路网因检测设备较少导致的车辆轨迹稀疏条件下，针对重庆高速公路网公里级交通流量精细化管控需求，以高速公路ETC和门架数据为主，实现路网车辆轨迹</w:t>
      </w:r>
      <w:r>
        <w:rPr>
          <w:rFonts w:hint="eastAsia" w:ascii="宋体" w:hAnsi="宋体" w:cs="宋体"/>
          <w:szCs w:val="21"/>
        </w:rPr>
        <w:t>跟踪</w:t>
      </w:r>
      <w:r>
        <w:rPr>
          <w:rFonts w:ascii="宋体" w:hAnsi="宋体" w:cs="宋体"/>
          <w:szCs w:val="21"/>
        </w:rPr>
        <w:t>。构建重庆高速公路网图结构，并将公里级交通流量数据与路网图进行时空融合，构建重庆高速公路网公里级交通流量时空动态图模型。</w:t>
      </w:r>
    </w:p>
    <w:p>
      <w:pPr>
        <w:tabs>
          <w:tab w:val="left" w:pos="360"/>
        </w:tabs>
        <w:spacing w:line="400" w:lineRule="exact"/>
        <w:ind w:firstLine="422" w:firstLineChars="200"/>
        <w:rPr>
          <w:rFonts w:ascii="宋体" w:hAnsi="宋体" w:cs="宋体"/>
          <w:b/>
          <w:bCs/>
          <w:szCs w:val="21"/>
        </w:rPr>
      </w:pPr>
      <w:r>
        <w:rPr>
          <w:rFonts w:ascii="宋体" w:hAnsi="宋体" w:cs="宋体"/>
          <w:b/>
          <w:bCs/>
          <w:szCs w:val="21"/>
        </w:rPr>
        <w:t>1.1 重庆高速公路网公里级静态图建模</w:t>
      </w:r>
    </w:p>
    <w:p>
      <w:pPr>
        <w:tabs>
          <w:tab w:val="left" w:pos="360"/>
        </w:tabs>
        <w:spacing w:line="400" w:lineRule="exact"/>
        <w:ind w:firstLine="420" w:firstLineChars="200"/>
        <w:rPr>
          <w:rFonts w:ascii="宋体" w:hAnsi="宋体" w:cs="宋体"/>
          <w:szCs w:val="21"/>
        </w:rPr>
      </w:pPr>
      <w:r>
        <w:rPr>
          <w:rFonts w:ascii="宋体" w:hAnsi="宋体" w:cs="宋体"/>
          <w:szCs w:val="21"/>
        </w:rPr>
        <w:t>将收费站、互通、立交、省界等建立为图的主节点，构建路网的主图结构；在此基础上，将主图结构中的路段按照公里级进行划分，</w:t>
      </w:r>
      <w:r>
        <w:rPr>
          <w:rFonts w:hint="eastAsia" w:ascii="宋体" w:hAnsi="宋体" w:cs="宋体"/>
          <w:szCs w:val="21"/>
        </w:rPr>
        <w:t>划</w:t>
      </w:r>
      <w:r>
        <w:rPr>
          <w:rFonts w:ascii="宋体" w:hAnsi="宋体" w:cs="宋体"/>
          <w:szCs w:val="21"/>
        </w:rPr>
        <w:t>分依据为路段门架节点、视频监控点等，并设定为普通节点。节点与节点之间建立边，构建起重庆高速公路网公里级静态图结构。</w:t>
      </w:r>
    </w:p>
    <w:p>
      <w:pPr>
        <w:tabs>
          <w:tab w:val="left" w:pos="360"/>
        </w:tabs>
        <w:spacing w:line="400" w:lineRule="exact"/>
        <w:ind w:firstLine="420" w:firstLineChars="200"/>
        <w:rPr>
          <w:rFonts w:ascii="宋体" w:hAnsi="宋体" w:cs="宋体"/>
          <w:szCs w:val="21"/>
        </w:rPr>
      </w:pPr>
      <w:r>
        <w:rPr>
          <w:rFonts w:ascii="宋体" w:hAnsi="宋体" w:cs="宋体"/>
          <w:szCs w:val="21"/>
        </w:rPr>
        <w:t>（1）需覆盖重庆市管辖范围的所有高速公路路段；</w:t>
      </w:r>
    </w:p>
    <w:p>
      <w:pPr>
        <w:tabs>
          <w:tab w:val="left" w:pos="360"/>
        </w:tabs>
        <w:spacing w:line="400" w:lineRule="exact"/>
        <w:ind w:firstLine="420" w:firstLineChars="200"/>
        <w:rPr>
          <w:rFonts w:ascii="宋体" w:hAnsi="宋体" w:cs="宋体"/>
          <w:szCs w:val="21"/>
        </w:rPr>
      </w:pPr>
      <w:r>
        <w:rPr>
          <w:rFonts w:ascii="宋体" w:hAnsi="宋体" w:cs="宋体"/>
          <w:szCs w:val="21"/>
        </w:rPr>
        <w:t>（2）节点间的最大距离不能大于10公里。</w:t>
      </w:r>
    </w:p>
    <w:p>
      <w:pPr>
        <w:tabs>
          <w:tab w:val="left" w:pos="360"/>
        </w:tabs>
        <w:spacing w:line="400" w:lineRule="exact"/>
        <w:ind w:firstLine="422" w:firstLineChars="200"/>
        <w:rPr>
          <w:rFonts w:ascii="宋体" w:hAnsi="宋体" w:cs="宋体"/>
          <w:b/>
          <w:bCs/>
          <w:szCs w:val="21"/>
        </w:rPr>
      </w:pPr>
      <w:r>
        <w:rPr>
          <w:rFonts w:ascii="宋体" w:hAnsi="宋体" w:cs="宋体"/>
          <w:b/>
          <w:bCs/>
          <w:szCs w:val="21"/>
        </w:rPr>
        <w:t>1.2 重庆高速公路网车辆轨迹公里级估计模型</w:t>
      </w:r>
    </w:p>
    <w:p>
      <w:pPr>
        <w:tabs>
          <w:tab w:val="left" w:pos="360"/>
        </w:tabs>
        <w:spacing w:line="400" w:lineRule="exact"/>
        <w:ind w:firstLine="420" w:firstLineChars="200"/>
        <w:rPr>
          <w:rFonts w:ascii="宋体" w:hAnsi="宋体" w:cs="宋体"/>
          <w:szCs w:val="21"/>
        </w:rPr>
      </w:pPr>
      <w:r>
        <w:rPr>
          <w:rFonts w:ascii="宋体" w:hAnsi="宋体" w:cs="宋体"/>
          <w:szCs w:val="21"/>
        </w:rPr>
        <w:t>针对单个车辆，以高速公路ETC和门架数据为主，融合视频检测等其他车辆数据，实现车辆轨迹的还原；在此基础上，运用深度学习算法，进行车辆轨迹公里级精细化估计。</w:t>
      </w:r>
    </w:p>
    <w:p>
      <w:pPr>
        <w:tabs>
          <w:tab w:val="left" w:pos="360"/>
        </w:tabs>
        <w:spacing w:line="400" w:lineRule="exact"/>
        <w:ind w:firstLine="420" w:firstLineChars="200"/>
        <w:rPr>
          <w:rFonts w:ascii="宋体" w:hAnsi="宋体" w:cs="宋体"/>
          <w:szCs w:val="21"/>
        </w:rPr>
      </w:pPr>
      <w:r>
        <w:rPr>
          <w:rFonts w:ascii="宋体" w:hAnsi="宋体" w:cs="宋体"/>
          <w:szCs w:val="21"/>
        </w:rPr>
        <w:t>（1）基于高速公路ETC和门架数据，并融合其他数据，实现车辆在重庆高速公路网内的轨迹还原；</w:t>
      </w:r>
    </w:p>
    <w:p>
      <w:pPr>
        <w:tabs>
          <w:tab w:val="left" w:pos="360"/>
        </w:tabs>
        <w:spacing w:line="400" w:lineRule="exact"/>
        <w:ind w:firstLine="420" w:firstLineChars="200"/>
        <w:rPr>
          <w:rFonts w:ascii="宋体" w:hAnsi="宋体" w:cs="宋体"/>
          <w:szCs w:val="21"/>
        </w:rPr>
      </w:pPr>
      <w:r>
        <w:rPr>
          <w:rFonts w:ascii="宋体" w:hAnsi="宋体" w:cs="宋体"/>
          <w:szCs w:val="21"/>
        </w:rPr>
        <w:t>（2）可任意根据车辆信息，查询车辆的轨迹；</w:t>
      </w:r>
    </w:p>
    <w:p>
      <w:pPr>
        <w:tabs>
          <w:tab w:val="left" w:pos="360"/>
        </w:tabs>
        <w:spacing w:line="400" w:lineRule="exact"/>
        <w:ind w:firstLine="420" w:firstLineChars="200"/>
        <w:rPr>
          <w:rFonts w:ascii="宋体" w:hAnsi="宋体" w:cs="宋体"/>
          <w:szCs w:val="21"/>
        </w:rPr>
      </w:pPr>
      <w:r>
        <w:rPr>
          <w:rFonts w:ascii="宋体" w:hAnsi="宋体" w:cs="宋体"/>
          <w:szCs w:val="21"/>
        </w:rPr>
        <w:t>（3）运用深度学习算法，进行车辆轨迹的高精度估计，即预测到达轨迹中某点所需时间；</w:t>
      </w:r>
    </w:p>
    <w:p>
      <w:pPr>
        <w:tabs>
          <w:tab w:val="left" w:pos="360"/>
        </w:tabs>
        <w:spacing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常态</w:t>
      </w:r>
      <w:r>
        <w:rPr>
          <w:rFonts w:ascii="宋体" w:hAnsi="宋体" w:cs="宋体"/>
          <w:szCs w:val="21"/>
        </w:rPr>
        <w:t>交通道路状态情况下</w:t>
      </w:r>
      <w:r>
        <w:rPr>
          <w:rFonts w:hint="eastAsia" w:ascii="宋体" w:hAnsi="宋体" w:cs="宋体"/>
          <w:szCs w:val="21"/>
        </w:rPr>
        <w:t>，</w:t>
      </w:r>
      <w:r>
        <w:rPr>
          <w:rFonts w:ascii="宋体" w:hAnsi="宋体" w:cs="宋体"/>
          <w:szCs w:val="21"/>
        </w:rPr>
        <w:t>运用估计算法后还原的车辆轨迹；</w:t>
      </w:r>
    </w:p>
    <w:p>
      <w:pPr>
        <w:tabs>
          <w:tab w:val="left" w:pos="360"/>
        </w:tabs>
        <w:spacing w:line="40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常态</w:t>
      </w:r>
      <w:r>
        <w:rPr>
          <w:rFonts w:ascii="宋体" w:hAnsi="宋体" w:cs="宋体"/>
          <w:szCs w:val="21"/>
        </w:rPr>
        <w:t>交通道路状态情况下</w:t>
      </w:r>
      <w:r>
        <w:rPr>
          <w:rFonts w:hint="eastAsia" w:ascii="宋体" w:hAnsi="宋体" w:cs="宋体"/>
          <w:szCs w:val="21"/>
        </w:rPr>
        <w:t>，</w:t>
      </w:r>
      <w:r>
        <w:rPr>
          <w:rFonts w:ascii="宋体" w:hAnsi="宋体" w:cs="宋体"/>
          <w:szCs w:val="21"/>
        </w:rPr>
        <w:t>车辆轨迹估计算法的准确性达到80%；</w:t>
      </w:r>
    </w:p>
    <w:p>
      <w:pPr>
        <w:tabs>
          <w:tab w:val="left" w:pos="360"/>
        </w:tabs>
        <w:spacing w:line="400" w:lineRule="exact"/>
        <w:ind w:firstLine="420" w:firstLineChars="200"/>
        <w:rPr>
          <w:rFonts w:ascii="宋体" w:hAnsi="宋体" w:cs="宋体"/>
          <w:szCs w:val="21"/>
        </w:rPr>
      </w:pPr>
      <w:r>
        <w:rPr>
          <w:rFonts w:ascii="宋体" w:hAnsi="宋体" w:cs="宋体"/>
          <w:szCs w:val="21"/>
        </w:rPr>
        <w:t>（6）车辆轨迹路网估计结果按照时间序列送至</w:t>
      </w:r>
      <w:r>
        <w:rPr>
          <w:rFonts w:hint="eastAsia" w:ascii="宋体" w:hAnsi="宋体" w:cs="宋体"/>
          <w:szCs w:val="21"/>
        </w:rPr>
        <w:t>甲方</w:t>
      </w:r>
      <w:r>
        <w:rPr>
          <w:rFonts w:ascii="宋体" w:hAnsi="宋体" w:cs="宋体"/>
          <w:szCs w:val="21"/>
        </w:rPr>
        <w:t>指定的平台。</w:t>
      </w:r>
    </w:p>
    <w:p>
      <w:pPr>
        <w:tabs>
          <w:tab w:val="left" w:pos="360"/>
        </w:tabs>
        <w:spacing w:line="400" w:lineRule="exact"/>
        <w:ind w:firstLine="422" w:firstLineChars="200"/>
        <w:rPr>
          <w:rFonts w:ascii="宋体" w:hAnsi="宋体" w:cs="宋体"/>
          <w:b/>
          <w:bCs/>
          <w:szCs w:val="21"/>
        </w:rPr>
      </w:pPr>
      <w:r>
        <w:rPr>
          <w:rFonts w:ascii="宋体" w:hAnsi="宋体" w:cs="宋体"/>
          <w:b/>
          <w:bCs/>
          <w:szCs w:val="21"/>
        </w:rPr>
        <w:t>1.3 重庆高速公路网公里级交通流量时空动态图构建</w:t>
      </w:r>
    </w:p>
    <w:p>
      <w:pPr>
        <w:tabs>
          <w:tab w:val="left" w:pos="360"/>
        </w:tabs>
        <w:spacing w:line="400" w:lineRule="exact"/>
        <w:ind w:firstLine="420" w:firstLineChars="200"/>
        <w:rPr>
          <w:rFonts w:ascii="宋体" w:hAnsi="宋体" w:cs="宋体"/>
          <w:szCs w:val="21"/>
        </w:rPr>
      </w:pPr>
      <w:r>
        <w:rPr>
          <w:rFonts w:ascii="宋体" w:hAnsi="宋体" w:cs="宋体"/>
          <w:szCs w:val="21"/>
        </w:rPr>
        <w:t>基于估计得到的公里级车辆轨迹，将车辆轨迹与路网图进行融合，建立起重庆高速公路网公里级交通流量时空动态图。</w:t>
      </w:r>
    </w:p>
    <w:p>
      <w:pPr>
        <w:tabs>
          <w:tab w:val="left" w:pos="360"/>
        </w:tabs>
        <w:spacing w:line="400" w:lineRule="exact"/>
        <w:ind w:firstLine="420" w:firstLineChars="200"/>
        <w:rPr>
          <w:rFonts w:ascii="宋体" w:hAnsi="宋体" w:cs="宋体"/>
          <w:szCs w:val="21"/>
        </w:rPr>
      </w:pPr>
      <w:r>
        <w:rPr>
          <w:rFonts w:ascii="宋体" w:hAnsi="宋体" w:cs="宋体"/>
          <w:szCs w:val="21"/>
        </w:rPr>
        <w:t>（1）将车辆公里级轨迹数据映射到路网图结构上；</w:t>
      </w:r>
    </w:p>
    <w:p>
      <w:pPr>
        <w:tabs>
          <w:tab w:val="left" w:pos="360"/>
        </w:tabs>
        <w:spacing w:line="400" w:lineRule="exact"/>
        <w:ind w:firstLine="420" w:firstLineChars="200"/>
        <w:rPr>
          <w:rFonts w:ascii="宋体" w:hAnsi="宋体" w:cs="宋体"/>
          <w:szCs w:val="21"/>
        </w:rPr>
      </w:pPr>
      <w:r>
        <w:rPr>
          <w:rFonts w:ascii="宋体" w:hAnsi="宋体" w:cs="宋体"/>
          <w:szCs w:val="21"/>
        </w:rPr>
        <w:t>（2）以节点为对象，将车流量映射到路网图结构上；</w:t>
      </w:r>
    </w:p>
    <w:p>
      <w:pPr>
        <w:tabs>
          <w:tab w:val="left" w:pos="360"/>
        </w:tabs>
        <w:spacing w:line="400" w:lineRule="exact"/>
        <w:ind w:firstLine="420" w:firstLineChars="200"/>
        <w:rPr>
          <w:rFonts w:ascii="宋体" w:hAnsi="宋体" w:cs="宋体"/>
          <w:szCs w:val="21"/>
        </w:rPr>
      </w:pPr>
      <w:r>
        <w:rPr>
          <w:rFonts w:ascii="宋体" w:hAnsi="宋体" w:cs="宋体"/>
          <w:szCs w:val="21"/>
        </w:rPr>
        <w:t>（3）以路段为对象，将车流量映射到路网图结构上；</w:t>
      </w:r>
    </w:p>
    <w:p>
      <w:pPr>
        <w:tabs>
          <w:tab w:val="left" w:pos="360"/>
        </w:tabs>
        <w:spacing w:line="400" w:lineRule="exact"/>
        <w:ind w:firstLine="420" w:firstLineChars="200"/>
        <w:rPr>
          <w:rFonts w:ascii="宋体" w:hAnsi="宋体" w:cs="宋体"/>
          <w:szCs w:val="21"/>
        </w:rPr>
      </w:pPr>
      <w:r>
        <w:rPr>
          <w:rFonts w:ascii="宋体" w:hAnsi="宋体" w:cs="宋体"/>
          <w:szCs w:val="21"/>
        </w:rPr>
        <w:t>（4）按照时间，可查询节点、路段的流量。</w:t>
      </w:r>
    </w:p>
    <w:p>
      <w:pPr>
        <w:tabs>
          <w:tab w:val="left" w:pos="360"/>
        </w:tabs>
        <w:spacing w:line="400" w:lineRule="exact"/>
        <w:ind w:firstLine="482" w:firstLineChars="200"/>
        <w:rPr>
          <w:b/>
          <w:bCs/>
          <w:sz w:val="24"/>
        </w:rPr>
      </w:pPr>
      <w:r>
        <w:rPr>
          <w:b/>
          <w:bCs/>
          <w:sz w:val="24"/>
        </w:rPr>
        <w:t>2、基于路网拓扑结构的高速公路网公里级交通流量时空转移模型技术服务</w:t>
      </w:r>
    </w:p>
    <w:p>
      <w:pPr>
        <w:tabs>
          <w:tab w:val="left" w:pos="360"/>
        </w:tabs>
        <w:spacing w:line="400" w:lineRule="exact"/>
        <w:ind w:firstLine="420" w:firstLineChars="200"/>
        <w:rPr>
          <w:rFonts w:ascii="宋体" w:hAnsi="宋体" w:cs="宋体"/>
          <w:szCs w:val="21"/>
        </w:rPr>
      </w:pPr>
      <w:r>
        <w:rPr>
          <w:rFonts w:ascii="宋体" w:hAnsi="宋体" w:cs="宋体"/>
          <w:szCs w:val="21"/>
        </w:rPr>
        <w:t>基于重庆高速公路网公里级交通流量时空动态图，此技术主要针对节点（收费站、省界、互通等主节点）间流量的时空转移模式进行分析，发现交通流转移特征，为交通流预测提供数据支撑。</w:t>
      </w:r>
    </w:p>
    <w:p>
      <w:pPr>
        <w:tabs>
          <w:tab w:val="left" w:pos="360"/>
        </w:tabs>
        <w:spacing w:line="400" w:lineRule="exact"/>
        <w:ind w:firstLine="422" w:firstLineChars="200"/>
        <w:rPr>
          <w:b/>
          <w:bCs/>
          <w:szCs w:val="21"/>
        </w:rPr>
      </w:pPr>
      <w:r>
        <w:rPr>
          <w:b/>
          <w:bCs/>
          <w:szCs w:val="21"/>
        </w:rPr>
        <w:t>2.1 高速公路网车辆公里级出行模式挖掘技术</w:t>
      </w:r>
    </w:p>
    <w:p>
      <w:pPr>
        <w:tabs>
          <w:tab w:val="left" w:pos="360"/>
        </w:tabs>
        <w:spacing w:line="400" w:lineRule="exact"/>
        <w:ind w:firstLine="420" w:firstLineChars="200"/>
        <w:rPr>
          <w:szCs w:val="21"/>
        </w:rPr>
      </w:pPr>
      <w:r>
        <w:rPr>
          <w:szCs w:val="21"/>
        </w:rPr>
        <w:t>基于重庆高速公路网公里级交通流量时空动态图，针对商用车、乘用车、新能源车、货车等不同车辆标签信息，分区域、分时段进行出行模式分析与挖掘。</w:t>
      </w:r>
    </w:p>
    <w:p>
      <w:pPr>
        <w:tabs>
          <w:tab w:val="left" w:pos="360"/>
        </w:tabs>
        <w:spacing w:line="400" w:lineRule="exact"/>
        <w:ind w:firstLine="420" w:firstLineChars="200"/>
        <w:rPr>
          <w:szCs w:val="21"/>
        </w:rPr>
      </w:pPr>
      <w:r>
        <w:rPr>
          <w:szCs w:val="21"/>
        </w:rPr>
        <w:t>（1）分析不同车型的出行频次、出行时段等。</w:t>
      </w:r>
    </w:p>
    <w:p>
      <w:pPr>
        <w:tabs>
          <w:tab w:val="left" w:pos="360"/>
        </w:tabs>
        <w:spacing w:line="400" w:lineRule="exact"/>
        <w:ind w:firstLine="420" w:firstLineChars="200"/>
        <w:rPr>
          <w:szCs w:val="21"/>
        </w:rPr>
      </w:pPr>
      <w:r>
        <w:rPr>
          <w:szCs w:val="21"/>
        </w:rPr>
        <w:t>（2）比较不同车型的运行模式。</w:t>
      </w:r>
    </w:p>
    <w:p>
      <w:pPr>
        <w:tabs>
          <w:tab w:val="left" w:pos="360"/>
        </w:tabs>
        <w:spacing w:line="400" w:lineRule="exact"/>
        <w:ind w:firstLine="422" w:firstLineChars="200"/>
        <w:rPr>
          <w:b/>
          <w:bCs/>
          <w:szCs w:val="21"/>
        </w:rPr>
      </w:pPr>
      <w:r>
        <w:rPr>
          <w:b/>
          <w:bCs/>
          <w:szCs w:val="21"/>
        </w:rPr>
        <w:t>2.2 高速公路网交通流量时空转移模式挖掘技术</w:t>
      </w:r>
    </w:p>
    <w:p>
      <w:pPr>
        <w:tabs>
          <w:tab w:val="left" w:pos="360"/>
        </w:tabs>
        <w:spacing w:line="400" w:lineRule="exact"/>
        <w:ind w:firstLine="420" w:firstLineChars="200"/>
        <w:rPr>
          <w:szCs w:val="21"/>
        </w:rPr>
      </w:pPr>
      <w:r>
        <w:rPr>
          <w:szCs w:val="21"/>
        </w:rPr>
        <w:t>（1）针对高峰时段，分析高速公路网主节点之间的时空转移流量；</w:t>
      </w:r>
    </w:p>
    <w:p>
      <w:pPr>
        <w:tabs>
          <w:tab w:val="left" w:pos="360"/>
        </w:tabs>
        <w:spacing w:line="400" w:lineRule="exact"/>
        <w:ind w:firstLine="420" w:firstLineChars="200"/>
        <w:rPr>
          <w:szCs w:val="21"/>
        </w:rPr>
      </w:pPr>
      <w:r>
        <w:rPr>
          <w:szCs w:val="21"/>
        </w:rPr>
        <w:t>（2）针对平峰时段，分析高速公路网主节点之间的时空转移流量；</w:t>
      </w:r>
    </w:p>
    <w:p>
      <w:pPr>
        <w:tabs>
          <w:tab w:val="left" w:pos="360"/>
        </w:tabs>
        <w:spacing w:line="400" w:lineRule="exact"/>
        <w:ind w:firstLine="420" w:firstLineChars="200"/>
        <w:rPr>
          <w:szCs w:val="21"/>
        </w:rPr>
      </w:pPr>
      <w:r>
        <w:rPr>
          <w:szCs w:val="21"/>
        </w:rPr>
        <w:t>（3）针对不同车型，分析高速公路网主节点之间的时空转移流量；</w:t>
      </w:r>
    </w:p>
    <w:p>
      <w:pPr>
        <w:tabs>
          <w:tab w:val="left" w:pos="360"/>
        </w:tabs>
        <w:spacing w:line="400" w:lineRule="exact"/>
        <w:ind w:firstLine="420" w:firstLineChars="200"/>
        <w:rPr>
          <w:szCs w:val="21"/>
        </w:rPr>
      </w:pPr>
      <w:r>
        <w:rPr>
          <w:szCs w:val="21"/>
        </w:rPr>
        <w:t>（4）针对某对节点，分析不同时段、不同车型的时空转移流量。</w:t>
      </w:r>
    </w:p>
    <w:p>
      <w:pPr>
        <w:tabs>
          <w:tab w:val="left" w:pos="360"/>
        </w:tabs>
        <w:spacing w:line="400" w:lineRule="exact"/>
        <w:ind w:firstLine="482" w:firstLineChars="200"/>
        <w:rPr>
          <w:b/>
          <w:bCs/>
          <w:sz w:val="24"/>
        </w:rPr>
      </w:pPr>
      <w:r>
        <w:rPr>
          <w:b/>
          <w:bCs/>
          <w:sz w:val="24"/>
        </w:rPr>
        <w:t>3、基于时空图学习的高速公路网公里级交通流量预测技术开发</w:t>
      </w:r>
    </w:p>
    <w:p>
      <w:pPr>
        <w:tabs>
          <w:tab w:val="left" w:pos="360"/>
        </w:tabs>
        <w:spacing w:line="400" w:lineRule="exact"/>
        <w:ind w:firstLine="422" w:firstLineChars="200"/>
        <w:rPr>
          <w:rFonts w:ascii="宋体" w:hAnsi="宋体" w:cs="宋体"/>
          <w:b/>
          <w:bCs/>
          <w:szCs w:val="21"/>
        </w:rPr>
      </w:pPr>
      <w:r>
        <w:rPr>
          <w:rFonts w:ascii="宋体" w:hAnsi="宋体" w:cs="宋体"/>
          <w:b/>
          <w:bCs/>
          <w:szCs w:val="21"/>
        </w:rPr>
        <w:t>3.1 高速公路网车辆公里级交通流量短时预测技术开发</w:t>
      </w:r>
    </w:p>
    <w:p>
      <w:pPr>
        <w:tabs>
          <w:tab w:val="left" w:pos="360"/>
        </w:tabs>
        <w:spacing w:line="400" w:lineRule="exact"/>
        <w:ind w:firstLine="420" w:firstLineChars="200"/>
        <w:rPr>
          <w:rFonts w:ascii="宋体" w:hAnsi="宋体" w:cs="宋体"/>
          <w:szCs w:val="21"/>
        </w:rPr>
      </w:pPr>
      <w:r>
        <w:rPr>
          <w:rFonts w:ascii="宋体" w:hAnsi="宋体" w:cs="宋体"/>
          <w:szCs w:val="21"/>
        </w:rPr>
        <w:t>在分析掌握高速公路网车流量及其转移模型基础上，运用时空图学习方法，进行路网交通流量短时预测算法研发，并实现10分钟、30分钟、1个小时等时间片的短时交通流量预测，为交通流管控提供支撑。</w:t>
      </w:r>
    </w:p>
    <w:p>
      <w:pPr>
        <w:tabs>
          <w:tab w:val="left" w:pos="360"/>
        </w:tabs>
        <w:spacing w:line="400" w:lineRule="exact"/>
        <w:ind w:firstLine="420" w:firstLineChars="200"/>
        <w:rPr>
          <w:rFonts w:ascii="宋体" w:hAnsi="宋体" w:cs="宋体"/>
          <w:szCs w:val="21"/>
        </w:rPr>
      </w:pPr>
      <w:r>
        <w:rPr>
          <w:rFonts w:ascii="宋体" w:hAnsi="宋体" w:cs="宋体"/>
          <w:szCs w:val="21"/>
        </w:rPr>
        <w:t>（1）针对收费站、服务区、路段上某断面等，研发基于人工智能的交通流量短时预测算法，实现10分钟、30分钟、1个小时等时间片的短时交通流量预测。算法进行部署实施，预测准确率达到85%以上；</w:t>
      </w:r>
    </w:p>
    <w:p>
      <w:pPr>
        <w:tabs>
          <w:tab w:val="left" w:pos="360"/>
        </w:tabs>
        <w:spacing w:line="400" w:lineRule="exact"/>
        <w:ind w:firstLine="420" w:firstLineChars="200"/>
        <w:rPr>
          <w:rFonts w:ascii="宋体" w:hAnsi="宋体" w:cs="宋体"/>
          <w:szCs w:val="21"/>
        </w:rPr>
      </w:pPr>
      <w:r>
        <w:rPr>
          <w:rFonts w:ascii="宋体" w:hAnsi="宋体" w:cs="宋体"/>
          <w:szCs w:val="21"/>
        </w:rPr>
        <w:t>（2）针对道路公里级路段，研发基于人工智能的路段交通流量短时预测算法，实现10分钟、30分钟、1个小时等时间片的公里级路段的短时交通流量预测。算法进行部署实施，预测准确率达到85%以上；</w:t>
      </w:r>
    </w:p>
    <w:p>
      <w:pPr>
        <w:tabs>
          <w:tab w:val="left" w:pos="360"/>
        </w:tabs>
        <w:spacing w:line="400" w:lineRule="exact"/>
        <w:ind w:firstLine="420" w:firstLineChars="200"/>
        <w:rPr>
          <w:rFonts w:ascii="宋体" w:hAnsi="宋体" w:cs="宋体"/>
          <w:szCs w:val="21"/>
        </w:rPr>
      </w:pPr>
      <w:r>
        <w:rPr>
          <w:rFonts w:ascii="宋体" w:hAnsi="宋体" w:cs="宋体"/>
          <w:szCs w:val="21"/>
        </w:rPr>
        <w:t>（3）针对货车等特殊车型，在服务区、公里级路段等空间范围，研发基于人工智能的特殊车辆交通流量短时预测算法，实现10分钟、30分钟、1个小时等时间片的节假日短时交通流量预测。算法进行部署实施，预测准确率达到80%以上。</w:t>
      </w:r>
    </w:p>
    <w:p>
      <w:pPr>
        <w:tabs>
          <w:tab w:val="left" w:pos="360"/>
        </w:tabs>
        <w:spacing w:line="400" w:lineRule="exact"/>
        <w:ind w:firstLine="422" w:firstLineChars="200"/>
        <w:rPr>
          <w:rFonts w:ascii="宋体" w:hAnsi="宋体" w:cs="宋体"/>
          <w:b/>
          <w:bCs/>
          <w:szCs w:val="21"/>
        </w:rPr>
      </w:pPr>
      <w:r>
        <w:rPr>
          <w:rFonts w:ascii="宋体" w:hAnsi="宋体" w:cs="宋体"/>
          <w:b/>
          <w:bCs/>
          <w:szCs w:val="21"/>
        </w:rPr>
        <w:t>3.2 高速公路网车辆公里级交通流量长时预测技术开发</w:t>
      </w:r>
    </w:p>
    <w:p>
      <w:pPr>
        <w:tabs>
          <w:tab w:val="left" w:pos="360"/>
        </w:tabs>
        <w:spacing w:line="400" w:lineRule="exact"/>
        <w:ind w:firstLine="420" w:firstLineChars="200"/>
        <w:rPr>
          <w:rFonts w:ascii="宋体" w:hAnsi="宋体" w:cs="宋体"/>
          <w:szCs w:val="21"/>
        </w:rPr>
      </w:pPr>
      <w:r>
        <w:rPr>
          <w:rFonts w:ascii="宋体" w:hAnsi="宋体" w:cs="宋体"/>
          <w:szCs w:val="21"/>
        </w:rPr>
        <w:t>在分析掌握高速公路网车流量及其转移模型基础上，运用时空图学习方法，进行路网交通流量长时预测算法研发，实现2小时、6小时、天、周等时间片的长时交通流量预测，为交通流管控提供支撑。</w:t>
      </w:r>
    </w:p>
    <w:p>
      <w:pPr>
        <w:tabs>
          <w:tab w:val="left" w:pos="360"/>
        </w:tabs>
        <w:spacing w:line="400" w:lineRule="exact"/>
        <w:ind w:firstLine="420" w:firstLineChars="200"/>
        <w:rPr>
          <w:rFonts w:ascii="宋体" w:hAnsi="宋体" w:cs="宋体"/>
          <w:szCs w:val="21"/>
        </w:rPr>
      </w:pPr>
      <w:r>
        <w:rPr>
          <w:rFonts w:ascii="宋体" w:hAnsi="宋体" w:cs="宋体"/>
          <w:szCs w:val="21"/>
        </w:rPr>
        <w:t>（1）针对收费站、服务区、路段上某断面等，研发基于人工智能的交通流量长时预测算法，实现2小时、6小时、天、周等时间片的长时交通流量预测。算法进行部署实施，预测准确率达到80%以上；</w:t>
      </w:r>
    </w:p>
    <w:p>
      <w:pPr>
        <w:tabs>
          <w:tab w:val="left" w:pos="360"/>
        </w:tabs>
        <w:spacing w:line="400" w:lineRule="exact"/>
        <w:ind w:firstLine="420" w:firstLineChars="200"/>
        <w:rPr>
          <w:rFonts w:ascii="宋体" w:hAnsi="宋体" w:cs="宋体"/>
          <w:szCs w:val="21"/>
        </w:rPr>
      </w:pPr>
      <w:r>
        <w:rPr>
          <w:rFonts w:ascii="宋体" w:hAnsi="宋体" w:cs="宋体"/>
          <w:szCs w:val="21"/>
        </w:rPr>
        <w:t>（2）针对节假日等非常规时段，研发基于人工智能的节假日交通流量长时预测算法，实现2小时、6小时、天、周等时间片的节假日长时交通流量预测。算法进行部署实施，预测准确率达到80%以上。</w:t>
      </w:r>
    </w:p>
    <w:p>
      <w:pPr>
        <w:tabs>
          <w:tab w:val="left" w:pos="360"/>
        </w:tabs>
        <w:spacing w:line="400" w:lineRule="exact"/>
        <w:ind w:firstLine="422" w:firstLineChars="200"/>
        <w:rPr>
          <w:rFonts w:ascii="宋体" w:hAnsi="宋体" w:cs="宋体"/>
          <w:b/>
          <w:bCs/>
          <w:szCs w:val="21"/>
        </w:rPr>
      </w:pPr>
      <w:r>
        <w:rPr>
          <w:rFonts w:ascii="宋体" w:hAnsi="宋体" w:cs="宋体"/>
          <w:b/>
          <w:bCs/>
          <w:szCs w:val="21"/>
        </w:rPr>
        <w:t>3.3 高速公路网节点间交通流量转移预测技术开发</w:t>
      </w:r>
    </w:p>
    <w:p>
      <w:pPr>
        <w:tabs>
          <w:tab w:val="left" w:pos="360"/>
        </w:tabs>
        <w:spacing w:line="400" w:lineRule="exact"/>
        <w:ind w:firstLine="420" w:firstLineChars="200"/>
        <w:rPr>
          <w:rFonts w:ascii="宋体" w:hAnsi="宋体" w:cs="宋体"/>
          <w:szCs w:val="21"/>
        </w:rPr>
      </w:pPr>
      <w:r>
        <w:rPr>
          <w:rFonts w:ascii="宋体" w:hAnsi="宋体" w:cs="宋体"/>
          <w:szCs w:val="21"/>
        </w:rPr>
        <w:t>基于高速公路网节点间交通流量转移时空图网络，运用人工智能算法，进行节点间交通流量转移预测算法。</w:t>
      </w:r>
    </w:p>
    <w:p>
      <w:pPr>
        <w:tabs>
          <w:tab w:val="left" w:pos="360"/>
        </w:tabs>
        <w:spacing w:line="400" w:lineRule="exact"/>
        <w:ind w:firstLine="420" w:firstLineChars="200"/>
        <w:rPr>
          <w:rFonts w:ascii="宋体" w:hAnsi="宋体" w:cs="宋体"/>
          <w:szCs w:val="21"/>
        </w:rPr>
      </w:pPr>
      <w:r>
        <w:rPr>
          <w:rFonts w:ascii="宋体" w:hAnsi="宋体" w:cs="宋体"/>
          <w:szCs w:val="21"/>
        </w:rPr>
        <w:t>（1）针对道路节点，如收费站、服务区等，按照小时、天等时间片，研发基于时空图学习的断面车流量转移预测算法，准确率达到85%。</w:t>
      </w:r>
    </w:p>
    <w:p>
      <w:pPr>
        <w:tabs>
          <w:tab w:val="left" w:pos="360"/>
        </w:tabs>
        <w:spacing w:line="400" w:lineRule="exact"/>
        <w:ind w:firstLine="420" w:firstLineChars="200"/>
        <w:rPr>
          <w:rFonts w:ascii="宋体" w:hAnsi="宋体" w:cs="宋体"/>
          <w:szCs w:val="21"/>
        </w:rPr>
      </w:pPr>
      <w:r>
        <w:rPr>
          <w:rFonts w:ascii="宋体" w:hAnsi="宋体" w:cs="宋体"/>
          <w:szCs w:val="21"/>
        </w:rPr>
        <w:t>（2）针对货车等特殊车型，基于路网不同节点间转移流量，研发于时空图学习的特色车型车流量转移预测算法，准确率达到80%。</w:t>
      </w:r>
    </w:p>
    <w:p>
      <w:pPr>
        <w:tabs>
          <w:tab w:val="left" w:pos="360"/>
        </w:tabs>
        <w:spacing w:line="400" w:lineRule="exact"/>
        <w:ind w:firstLine="482" w:firstLineChars="200"/>
        <w:rPr>
          <w:b/>
          <w:bCs/>
          <w:sz w:val="24"/>
        </w:rPr>
      </w:pPr>
      <w:r>
        <w:rPr>
          <w:b/>
          <w:bCs/>
          <w:sz w:val="24"/>
        </w:rPr>
        <w:t>4、软件集成技术服务技术要求</w:t>
      </w:r>
    </w:p>
    <w:p>
      <w:pPr>
        <w:tabs>
          <w:tab w:val="left" w:pos="360"/>
        </w:tabs>
        <w:spacing w:line="400" w:lineRule="exact"/>
        <w:ind w:firstLine="420" w:firstLineChars="200"/>
        <w:rPr>
          <w:rFonts w:ascii="宋体" w:hAnsi="宋体" w:cs="宋体"/>
          <w:szCs w:val="21"/>
        </w:rPr>
      </w:pPr>
      <w:r>
        <w:rPr>
          <w:rFonts w:ascii="宋体" w:hAnsi="宋体" w:cs="宋体"/>
          <w:szCs w:val="21"/>
        </w:rPr>
        <w:t>此技术主要通过对上述算法模型进行封装，并将其集成于基于云原生架构的数据驱动能力体系平台</w:t>
      </w:r>
      <w:r>
        <w:rPr>
          <w:rFonts w:hint="eastAsia" w:ascii="宋体" w:hAnsi="宋体" w:cs="宋体"/>
          <w:szCs w:val="21"/>
        </w:rPr>
        <w:t>（以下简称体系平台）</w:t>
      </w:r>
      <w:r>
        <w:rPr>
          <w:rFonts w:ascii="宋体" w:hAnsi="宋体" w:cs="宋体"/>
          <w:szCs w:val="21"/>
        </w:rPr>
        <w:t>上，使其运行结果通过接口与</w:t>
      </w:r>
      <w:r>
        <w:rPr>
          <w:rFonts w:hint="eastAsia" w:ascii="宋体" w:hAnsi="宋体" w:cs="宋体"/>
          <w:szCs w:val="21"/>
        </w:rPr>
        <w:t>体系平台</w:t>
      </w:r>
      <w:r>
        <w:rPr>
          <w:rFonts w:ascii="宋体" w:hAnsi="宋体" w:cs="宋体"/>
          <w:szCs w:val="21"/>
        </w:rPr>
        <w:t>交互，实现</w:t>
      </w:r>
      <w:r>
        <w:rPr>
          <w:rFonts w:hint="eastAsia" w:ascii="宋体" w:hAnsi="宋体" w:cs="宋体"/>
          <w:szCs w:val="21"/>
        </w:rPr>
        <w:t>体系平台</w:t>
      </w:r>
      <w:r>
        <w:rPr>
          <w:rFonts w:ascii="宋体" w:hAnsi="宋体" w:cs="宋体"/>
          <w:szCs w:val="21"/>
        </w:rPr>
        <w:t>对算法模型的调用。</w:t>
      </w:r>
    </w:p>
    <w:p>
      <w:pPr>
        <w:tabs>
          <w:tab w:val="left" w:pos="360"/>
        </w:tabs>
        <w:spacing w:line="400" w:lineRule="exact"/>
        <w:ind w:firstLine="420" w:firstLineChars="200"/>
        <w:rPr>
          <w:rFonts w:ascii="宋体" w:hAnsi="宋体" w:cs="宋体"/>
          <w:szCs w:val="21"/>
        </w:rPr>
      </w:pPr>
      <w:r>
        <w:rPr>
          <w:rFonts w:ascii="宋体" w:hAnsi="宋体" w:cs="宋体"/>
          <w:szCs w:val="21"/>
        </w:rPr>
        <w:t>（1）数据集成。根据</w:t>
      </w:r>
      <w:r>
        <w:rPr>
          <w:rFonts w:hint="eastAsia" w:ascii="宋体" w:hAnsi="宋体" w:cs="宋体"/>
          <w:szCs w:val="21"/>
        </w:rPr>
        <w:t>体系平台</w:t>
      </w:r>
      <w:r>
        <w:rPr>
          <w:rFonts w:ascii="宋体" w:hAnsi="宋体" w:cs="宋体"/>
          <w:szCs w:val="21"/>
        </w:rPr>
        <w:t>接入要求，获取预留数据接口名称和调用方式，通过编写接口程序，对数据库中的车流量数据进行抽调，把不同来源、格式、特点、性质的数据在逻辑上或物理上集成，从而为上述业务需求提供全面的数据支撑。</w:t>
      </w:r>
    </w:p>
    <w:p>
      <w:pPr>
        <w:tabs>
          <w:tab w:val="left" w:pos="360"/>
        </w:tabs>
        <w:spacing w:line="400" w:lineRule="exact"/>
        <w:ind w:firstLine="420" w:firstLineChars="200"/>
        <w:rPr>
          <w:rFonts w:ascii="宋体" w:hAnsi="宋体" w:cs="宋体"/>
          <w:szCs w:val="21"/>
        </w:rPr>
      </w:pPr>
      <w:r>
        <w:rPr>
          <w:rFonts w:ascii="宋体" w:hAnsi="宋体" w:cs="宋体"/>
          <w:szCs w:val="21"/>
        </w:rPr>
        <w:t>（2）算法封装。将公里级交通流量时空动态图模型、公里级交通流量时空转移模型、道路交通流量预测算法等封装成标准组件，并部署到指定的运行环境中，实现与</w:t>
      </w:r>
      <w:r>
        <w:rPr>
          <w:rFonts w:hint="eastAsia" w:ascii="宋体" w:hAnsi="宋体" w:cs="宋体"/>
          <w:szCs w:val="21"/>
        </w:rPr>
        <w:t>体系平台</w:t>
      </w:r>
      <w:r>
        <w:rPr>
          <w:rFonts w:ascii="宋体" w:hAnsi="宋体" w:cs="宋体"/>
          <w:szCs w:val="21"/>
        </w:rPr>
        <w:t>的集成。</w:t>
      </w:r>
    </w:p>
    <w:p>
      <w:pPr>
        <w:tabs>
          <w:tab w:val="left" w:pos="360"/>
        </w:tabs>
        <w:spacing w:line="400" w:lineRule="exact"/>
        <w:ind w:firstLine="420" w:firstLineChars="200"/>
        <w:rPr>
          <w:rFonts w:ascii="黑体" w:hAnsi="宋体" w:eastAsia="黑体" w:cs="黑体"/>
          <w:sz w:val="30"/>
          <w:szCs w:val="30"/>
        </w:rPr>
      </w:pPr>
      <w:r>
        <w:rPr>
          <w:rFonts w:ascii="宋体" w:hAnsi="宋体" w:cs="宋体"/>
          <w:szCs w:val="21"/>
        </w:rPr>
        <w:t>（3）结果上传。根据算法模型输出的参数字段如车辆轨迹序列、预测车流量等结果，编写与数据库连接程序，将结果数据上传至数据库，再将</w:t>
      </w:r>
      <w:r>
        <w:rPr>
          <w:rFonts w:hint="eastAsia" w:ascii="宋体" w:hAnsi="宋体" w:cs="宋体"/>
          <w:szCs w:val="21"/>
        </w:rPr>
        <w:t>体系平台</w:t>
      </w:r>
      <w:r>
        <w:rPr>
          <w:rFonts w:ascii="宋体" w:hAnsi="宋体" w:cs="宋体"/>
          <w:szCs w:val="21"/>
        </w:rPr>
        <w:t>接口与数据库相连接，通过系统集成，将结果推送至</w:t>
      </w:r>
      <w:r>
        <w:rPr>
          <w:rFonts w:hint="eastAsia" w:ascii="宋体" w:hAnsi="宋体" w:cs="宋体"/>
          <w:szCs w:val="21"/>
        </w:rPr>
        <w:t>体系平台</w:t>
      </w:r>
      <w:r>
        <w:rPr>
          <w:rFonts w:ascii="宋体" w:hAnsi="宋体" w:cs="宋体"/>
          <w:szCs w:val="21"/>
        </w:rPr>
        <w:t>。</w:t>
      </w:r>
    </w:p>
    <w:p>
      <w:pPr>
        <w:pStyle w:val="22"/>
        <w:rPr>
          <w:rFonts w:ascii="宋体" w:hAnsi="宋体" w:cs="宋体"/>
          <w:color w:val="000000" w:themeColor="text1"/>
          <w14:textFill>
            <w14:solidFill>
              <w14:schemeClr w14:val="tx1"/>
            </w14:solidFill>
          </w14:textFill>
        </w:rPr>
      </w:pPr>
    </w:p>
    <w:p>
      <w:pPr>
        <w:pStyle w:val="22"/>
        <w:rPr>
          <w:rFonts w:ascii="宋体" w:hAnsi="宋体" w:cs="宋体"/>
          <w:color w:val="000000" w:themeColor="text1"/>
          <w14:textFill>
            <w14:solidFill>
              <w14:schemeClr w14:val="tx1"/>
            </w14:solidFill>
          </w14:textFill>
        </w:rPr>
      </w:pPr>
    </w:p>
    <w:p>
      <w:pPr>
        <w:pStyle w:val="22"/>
        <w:rPr>
          <w:rFonts w:ascii="宋体" w:hAnsi="宋体" w:cs="宋体"/>
          <w:color w:val="000000" w:themeColor="text1"/>
          <w14:textFill>
            <w14:solidFill>
              <w14:schemeClr w14:val="tx1"/>
            </w14:solidFill>
          </w14:textFill>
        </w:rPr>
      </w:pPr>
    </w:p>
    <w:p>
      <w:pPr>
        <w:pStyle w:val="22"/>
        <w:rPr>
          <w:rFonts w:ascii="宋体" w:hAnsi="宋体" w:cs="宋体"/>
          <w:color w:val="000000" w:themeColor="text1"/>
          <w14:textFill>
            <w14:solidFill>
              <w14:schemeClr w14:val="tx1"/>
            </w14:solidFill>
          </w14:textFill>
        </w:rPr>
      </w:pPr>
    </w:p>
    <w:p>
      <w:pPr>
        <w:pStyle w:val="22"/>
        <w:rPr>
          <w:rFonts w:ascii="宋体" w:hAnsi="宋体" w:cs="宋体"/>
          <w:color w:val="000000" w:themeColor="text1"/>
          <w14:textFill>
            <w14:solidFill>
              <w14:schemeClr w14:val="tx1"/>
            </w14:solidFill>
          </w14:textFill>
        </w:rPr>
      </w:pPr>
    </w:p>
    <w:p>
      <w:pPr>
        <w:pStyle w:val="22"/>
        <w:rPr>
          <w:rFonts w:ascii="宋体" w:hAnsi="宋体" w:cs="宋体"/>
          <w:color w:val="000000" w:themeColor="text1"/>
          <w14:textFill>
            <w14:solidFill>
              <w14:schemeClr w14:val="tx1"/>
            </w14:solidFill>
          </w14:textFill>
        </w:rPr>
      </w:pPr>
    </w:p>
    <w:p>
      <w:pPr>
        <w:pStyle w:val="22"/>
        <w:rPr>
          <w:rFonts w:ascii="宋体" w:hAnsi="宋体" w:cs="宋体"/>
          <w:color w:val="000000" w:themeColor="text1"/>
          <w14:textFill>
            <w14:solidFill>
              <w14:schemeClr w14:val="tx1"/>
            </w14:solidFill>
          </w14:textFill>
        </w:rPr>
      </w:pPr>
    </w:p>
    <w:p>
      <w:pPr>
        <w:pStyle w:val="22"/>
        <w:rPr>
          <w:rFonts w:ascii="宋体" w:hAnsi="宋体" w:cs="宋体"/>
          <w:color w:val="000000" w:themeColor="text1"/>
          <w14:textFill>
            <w14:solidFill>
              <w14:schemeClr w14:val="tx1"/>
            </w14:solidFill>
          </w14:textFill>
        </w:rPr>
      </w:pPr>
    </w:p>
    <w:p>
      <w:pPr>
        <w:widowControl/>
        <w:jc w:val="lef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14:textFill>
            <w14:solidFill>
              <w14:schemeClr w14:val="tx1"/>
            </w14:solidFill>
          </w14:textFill>
        </w:rPr>
        <w:br w:type="page"/>
      </w:r>
    </w:p>
    <w:p>
      <w:pPr>
        <w:pStyle w:val="3"/>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第八章  </w:t>
      </w:r>
      <w:bookmarkEnd w:id="179"/>
      <w:bookmarkEnd w:id="180"/>
      <w:bookmarkEnd w:id="181"/>
      <w:bookmarkEnd w:id="182"/>
      <w:r>
        <w:rPr>
          <w:rFonts w:hint="eastAsia" w:ascii="宋体" w:hAnsi="宋体" w:cs="宋体"/>
          <w:color w:val="000000" w:themeColor="text1"/>
          <w14:textFill>
            <w14:solidFill>
              <w14:schemeClr w14:val="tx1"/>
            </w14:solidFill>
          </w14:textFill>
        </w:rPr>
        <w:t>合同范本</w:t>
      </w:r>
    </w:p>
    <w:p>
      <w:pPr>
        <w:jc w:val="center"/>
        <w:rPr>
          <w:rFonts w:ascii="宋体" w:hAnsi="宋体" w:cs="宋体"/>
          <w:color w:val="000000" w:themeColor="text1"/>
          <w14:textFill>
            <w14:solidFill>
              <w14:schemeClr w14:val="tx1"/>
            </w14:solidFill>
          </w14:textFill>
        </w:rPr>
      </w:pPr>
      <w:r>
        <w:rPr>
          <w:rFonts w:hint="eastAsia" w:ascii="宋体" w:hAnsi="宋体" w:cs="宋体"/>
          <w:b/>
          <w:kern w:val="0"/>
          <w:sz w:val="24"/>
        </w:rPr>
        <w:t>详见竞争性比选文件附件。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91" w:name="_Toc513633965"/>
    </w:p>
    <w:p>
      <w:pPr>
        <w:pStyle w:val="3"/>
        <w:spacing w:before="0" w:after="0" w:line="360" w:lineRule="auto"/>
        <w:jc w:val="center"/>
        <w:rPr>
          <w:rFonts w:ascii="宋体" w:hAnsi="宋体" w:cs="宋体"/>
          <w:color w:val="000000" w:themeColor="text1"/>
          <w14:textFill>
            <w14:solidFill>
              <w14:schemeClr w14:val="tx1"/>
            </w14:solidFill>
          </w14:textFill>
        </w:rPr>
      </w:pPr>
      <w:bookmarkStart w:id="192" w:name="_Toc24853"/>
      <w:bookmarkStart w:id="193" w:name="_Toc2000413"/>
      <w:bookmarkStart w:id="194" w:name="_Toc514858709"/>
      <w:r>
        <w:rPr>
          <w:rFonts w:hint="eastAsia" w:ascii="宋体" w:hAnsi="宋体" w:cs="宋体"/>
          <w:color w:val="000000" w:themeColor="text1"/>
          <w14:textFill>
            <w14:solidFill>
              <w14:schemeClr w14:val="tx1"/>
            </w14:solidFill>
          </w14:textFill>
        </w:rPr>
        <w:t>第九章  竞争性比选响应文件格式</w:t>
      </w:r>
      <w:bookmarkEnd w:id="191"/>
      <w:bookmarkEnd w:id="192"/>
      <w:bookmarkEnd w:id="193"/>
      <w:bookmarkEnd w:id="194"/>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5" w:name="_Toc503951046"/>
      <w:bookmarkStart w:id="196" w:name="_Toc503971829"/>
      <w:bookmarkStart w:id="197" w:name="_Toc513633967"/>
      <w:bookmarkStart w:id="198" w:name="_Toc513646738"/>
      <w:bookmarkStart w:id="199" w:name="_Toc514858710"/>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5"/>
      <w:bookmarkEnd w:id="196"/>
      <w:bookmarkEnd w:id="197"/>
      <w:bookmarkEnd w:id="198"/>
      <w:bookmarkEnd w:id="199"/>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1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5"/>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4"/>
        <w:jc w:val="center"/>
        <w:rPr>
          <w:rFonts w:ascii="宋体" w:hAnsi="宋体" w:eastAsia="宋体" w:cs="宋体"/>
          <w:color w:val="000000" w:themeColor="text1"/>
          <w14:textFill>
            <w14:solidFill>
              <w14:schemeClr w14:val="tx1"/>
            </w14:solidFill>
          </w14:textFill>
        </w:rPr>
      </w:pPr>
      <w:bookmarkStart w:id="200" w:name="_Toc1368"/>
      <w:bookmarkStart w:id="201" w:name="_Toc28780"/>
      <w:bookmarkStart w:id="202" w:name="_Toc5459"/>
      <w:bookmarkStart w:id="203" w:name="_Toc11329273"/>
      <w:r>
        <w:rPr>
          <w:rFonts w:hint="eastAsia" w:ascii="宋体" w:hAnsi="宋体" w:eastAsia="宋体" w:cs="宋体"/>
          <w:color w:val="000000" w:themeColor="text1"/>
          <w14:textFill>
            <w14:solidFill>
              <w14:schemeClr w14:val="tx1"/>
            </w14:solidFill>
          </w14:textFill>
        </w:rPr>
        <w:t>目    录</w:t>
      </w:r>
      <w:bookmarkEnd w:id="183"/>
      <w:bookmarkEnd w:id="184"/>
      <w:bookmarkEnd w:id="185"/>
      <w:bookmarkEnd w:id="186"/>
      <w:bookmarkEnd w:id="187"/>
      <w:bookmarkEnd w:id="188"/>
      <w:bookmarkEnd w:id="189"/>
      <w:bookmarkEnd w:id="190"/>
      <w:bookmarkEnd w:id="200"/>
      <w:bookmarkEnd w:id="201"/>
      <w:bookmarkEnd w:id="202"/>
      <w:bookmarkEnd w:id="203"/>
    </w:p>
    <w:p>
      <w:pPr>
        <w:numPr>
          <w:ilvl w:val="0"/>
          <w:numId w:val="3"/>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3"/>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七、工程量清单</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04" w:name="_Toc8870"/>
      <w:bookmarkStart w:id="205" w:name="_Toc11329274"/>
      <w:bookmarkStart w:id="206" w:name="_Toc15863"/>
      <w:bookmarkStart w:id="207" w:name="_Toc29547"/>
      <w:bookmarkStart w:id="208" w:name="_Toc25874"/>
      <w:bookmarkStart w:id="209" w:name="_Toc503951048"/>
      <w:bookmarkStart w:id="210" w:name="_Toc447827053"/>
      <w:bookmarkStart w:id="211" w:name="_Toc513633969"/>
      <w:r>
        <w:rPr>
          <w:rFonts w:hint="eastAsia" w:ascii="宋体" w:hAnsi="宋体" w:eastAsia="宋体" w:cs="宋体"/>
          <w:color w:val="000000" w:themeColor="text1"/>
          <w:sz w:val="28"/>
          <w14:textFill>
            <w14:solidFill>
              <w14:schemeClr w14:val="tx1"/>
            </w14:solidFill>
          </w14:textFill>
        </w:rPr>
        <w:t>一、</w:t>
      </w:r>
      <w:bookmarkEnd w:id="204"/>
      <w:bookmarkEnd w:id="205"/>
      <w:r>
        <w:rPr>
          <w:rFonts w:hint="eastAsia" w:ascii="宋体" w:hAnsi="宋体" w:eastAsia="宋体" w:cs="宋体"/>
          <w:color w:val="000000" w:themeColor="text1"/>
          <w:sz w:val="28"/>
          <w14:textFill>
            <w14:solidFill>
              <w14:schemeClr w14:val="tx1"/>
            </w14:solidFill>
          </w14:textFill>
        </w:rPr>
        <w:t>竞争比选响应声明书</w:t>
      </w:r>
      <w:bookmarkEnd w:id="206"/>
      <w:bookmarkEnd w:id="207"/>
      <w:bookmarkEnd w:id="208"/>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14:textFill>
            <w14:solidFill>
              <w14:schemeClr w14:val="tx1"/>
            </w14:solidFill>
          </w14:textFill>
        </w:rPr>
        <w:t>基于时空图学习的高速公路网公里级交通流量预测技术开发服务</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元，按照竞争比选文件的要求，承担本次竞争性比选文件要求的任务。</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pStyle w:val="2"/>
      </w:pPr>
    </w:p>
    <w:p/>
    <w:p>
      <w:pPr>
        <w:pStyle w:val="4"/>
        <w:jc w:val="center"/>
        <w:rPr>
          <w:rFonts w:ascii="宋体" w:hAnsi="宋体" w:eastAsia="宋体" w:cs="宋体"/>
          <w:color w:val="000000" w:themeColor="text1"/>
          <w:sz w:val="28"/>
          <w:szCs w:val="28"/>
          <w14:textFill>
            <w14:solidFill>
              <w14:schemeClr w14:val="tx1"/>
            </w14:solidFill>
          </w14:textFill>
        </w:rPr>
      </w:pPr>
      <w:bookmarkStart w:id="212" w:name="_Toc27815"/>
      <w:bookmarkStart w:id="213"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12"/>
    </w:p>
    <w:p>
      <w:pPr>
        <w:pStyle w:val="4"/>
        <w:jc w:val="center"/>
        <w:rPr>
          <w:rFonts w:ascii="宋体" w:hAnsi="宋体" w:eastAsia="宋体" w:cs="宋体"/>
          <w:color w:val="000000" w:themeColor="text1"/>
          <w:sz w:val="24"/>
          <w:szCs w:val="24"/>
          <w14:textFill>
            <w14:solidFill>
              <w14:schemeClr w14:val="tx1"/>
            </w14:solidFill>
          </w14:textFill>
        </w:rPr>
      </w:pPr>
      <w:bookmarkStart w:id="214"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13"/>
      <w:bookmarkEnd w:id="214"/>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5" w:name="_Toc27897"/>
      <w:bookmarkStart w:id="216" w:name="_Toc352691662"/>
      <w:bookmarkStart w:id="217" w:name="_Toc369531698"/>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5"/>
      <w:bookmarkEnd w:id="216"/>
      <w:bookmarkEnd w:id="217"/>
      <w:r>
        <w:rPr>
          <w:rFonts w:ascii="宋体" w:hAnsi="宋体"/>
          <w:color w:val="000000" w:themeColor="text1"/>
          <w14:textFill>
            <w14:solidFill>
              <w14:schemeClr w14:val="tx1"/>
            </w14:solidFill>
          </w14:textFill>
        </w:rPr>
        <w:t>龄</w:t>
      </w:r>
      <w:bookmarkStart w:id="218" w:name="_Toc247527829"/>
      <w:bookmarkStart w:id="219" w:name="_Toc300835211"/>
      <w:bookmarkStart w:id="220" w:name="_Toc144974858"/>
      <w:bookmarkStart w:id="221" w:name="_Toc247514248"/>
      <w:bookmarkStart w:id="222" w:name="_Toc15573"/>
      <w:bookmarkStart w:id="223" w:name="_Toc152042578"/>
      <w:bookmarkStart w:id="224" w:name="_Toc361508754"/>
      <w:bookmarkStart w:id="225" w:name="_Toc352691663"/>
      <w:bookmarkStart w:id="226" w:name="_Toc384308377"/>
      <w:bookmarkStart w:id="227" w:name="_Toc152045789"/>
      <w:bookmarkStart w:id="228" w:name="_Toc369531699"/>
      <w:r>
        <w:rPr>
          <w:rFonts w:ascii="宋体" w:hAnsi="宋体"/>
          <w:color w:val="000000" w:themeColor="text1"/>
          <w14:textFill>
            <w14:solidFill>
              <w14:schemeClr w14:val="tx1"/>
            </w14:solidFill>
          </w14:textFill>
        </w:rPr>
        <w:t>：</w:t>
      </w:r>
      <w:bookmarkEnd w:id="218"/>
      <w:bookmarkEnd w:id="219"/>
      <w:bookmarkEnd w:id="220"/>
      <w:bookmarkEnd w:id="221"/>
      <w:bookmarkEnd w:id="222"/>
      <w:bookmarkEnd w:id="223"/>
      <w:bookmarkEnd w:id="224"/>
      <w:bookmarkEnd w:id="225"/>
      <w:bookmarkEnd w:id="226"/>
      <w:bookmarkEnd w:id="227"/>
      <w:bookmarkEnd w:id="228"/>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4"/>
        <w:jc w:val="center"/>
        <w:rPr>
          <w:rFonts w:ascii="宋体" w:hAnsi="宋体"/>
          <w:color w:val="000000" w:themeColor="text1"/>
          <w:sz w:val="28"/>
          <w:szCs w:val="28"/>
          <w14:textFill>
            <w14:solidFill>
              <w14:schemeClr w14:val="tx1"/>
            </w14:solidFill>
          </w14:textFill>
        </w:rPr>
      </w:pPr>
      <w:bookmarkStart w:id="229" w:name="_Toc491883233"/>
      <w:bookmarkStart w:id="230" w:name="_Toc58"/>
      <w:r>
        <w:rPr>
          <w:rFonts w:hint="eastAsia" w:ascii="宋体" w:hAnsi="宋体" w:eastAsia="宋体" w:cs="宋体"/>
          <w:color w:val="000000" w:themeColor="text1"/>
          <w:sz w:val="24"/>
          <w:szCs w:val="24"/>
          <w14:textFill>
            <w14:solidFill>
              <w14:schemeClr w14:val="tx1"/>
            </w14:solidFill>
          </w14:textFill>
        </w:rPr>
        <w:t>（二）</w:t>
      </w:r>
      <w:bookmarkEnd w:id="229"/>
      <w:r>
        <w:rPr>
          <w:rFonts w:hint="eastAsia" w:ascii="宋体" w:hAnsi="宋体" w:eastAsia="宋体" w:cs="宋体"/>
          <w:color w:val="000000" w:themeColor="text1"/>
          <w:sz w:val="24"/>
          <w:szCs w:val="24"/>
          <w14:textFill>
            <w14:solidFill>
              <w14:schemeClr w14:val="tx1"/>
            </w14:solidFill>
          </w14:textFill>
        </w:rPr>
        <w:t>法定代表人授权委托书</w:t>
      </w:r>
      <w:bookmarkEnd w:id="230"/>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31" w:name="_Toc11329275"/>
      <w:r>
        <w:rPr>
          <w:rFonts w:hint="eastAsia" w:ascii="宋体" w:hAnsi="宋体" w:cs="宋体"/>
          <w:b/>
          <w:bCs/>
          <w:color w:val="000000" w:themeColor="text1"/>
          <w:kern w:val="0"/>
          <w:sz w:val="28"/>
          <w:szCs w:val="32"/>
          <w14:textFill>
            <w14:solidFill>
              <w14:schemeClr w14:val="tx1"/>
            </w14:solidFill>
          </w14:textFill>
        </w:rPr>
        <w:t>三、</w:t>
      </w:r>
      <w:bookmarkEnd w:id="209"/>
      <w:bookmarkEnd w:id="210"/>
      <w:bookmarkEnd w:id="211"/>
      <w:bookmarkEnd w:id="231"/>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19"/>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u w:val="single"/>
          <w14:textFill>
            <w14:solidFill>
              <w14:schemeClr w14:val="tx1"/>
            </w14:solidFill>
          </w14:textFill>
        </w:rPr>
        <w:t>基于时空图学习的高速公路网公里级交通流量预测技术开发服务</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p>
      <w:pPr>
        <w:tabs>
          <w:tab w:val="left" w:pos="1680"/>
          <w:tab w:val="left" w:pos="4215"/>
          <w:tab w:val="left" w:pos="4305"/>
          <w:tab w:val="left" w:pos="8000"/>
        </w:tabs>
        <w:autoSpaceDE w:val="0"/>
        <w:autoSpaceDN w:val="0"/>
        <w:adjustRightInd w:val="0"/>
        <w:snapToGrid w:val="0"/>
        <w:spacing w:line="360" w:lineRule="auto"/>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b/>
          <w:bCs/>
        </w:rPr>
        <w:t>报价采用表格形式，见“工程量清单”。</w:t>
      </w: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32" w:name="_Toc503951050"/>
      <w:bookmarkStart w:id="233" w:name="_Toc11329278"/>
      <w:bookmarkStart w:id="234" w:name="_Toc513633971"/>
      <w:bookmarkStart w:id="235" w:name="_Toc152042592"/>
      <w:bookmarkStart w:id="236" w:name="_Toc179632823"/>
      <w:bookmarkStart w:id="237" w:name="_Toc246997112"/>
      <w:bookmarkStart w:id="238" w:name="_Toc144974871"/>
      <w:bookmarkStart w:id="239" w:name="_Toc152045803"/>
      <w:bookmarkStart w:id="240" w:name="_Toc447827058"/>
      <w:bookmarkStart w:id="241" w:name="_Toc247085887"/>
      <w:bookmarkStart w:id="242" w:name="_Toc246996369"/>
      <w:r>
        <w:rPr>
          <w:rFonts w:hint="eastAsia" w:ascii="宋体" w:hAnsi="宋体" w:eastAsia="宋体" w:cs="宋体"/>
          <w:color w:val="000000" w:themeColor="text1"/>
          <w:sz w:val="28"/>
          <w14:textFill>
            <w14:solidFill>
              <w14:schemeClr w14:val="tx1"/>
            </w14:solidFill>
          </w14:textFill>
        </w:rPr>
        <w:br w:type="page"/>
      </w:r>
      <w:bookmarkStart w:id="243" w:name="_Toc18757"/>
      <w:bookmarkStart w:id="244" w:name="_Toc11961"/>
      <w:bookmarkStart w:id="245" w:name="_Toc12910"/>
      <w:r>
        <w:rPr>
          <w:rFonts w:hint="eastAsia" w:ascii="宋体" w:hAnsi="宋体" w:eastAsia="宋体" w:cs="宋体"/>
          <w:color w:val="000000" w:themeColor="text1"/>
          <w:sz w:val="28"/>
          <w14:textFill>
            <w14:solidFill>
              <w14:schemeClr w14:val="tx1"/>
            </w14:solidFill>
          </w14:textFill>
        </w:rPr>
        <w:t>四、资格审查资料</w:t>
      </w:r>
      <w:bookmarkEnd w:id="232"/>
      <w:bookmarkEnd w:id="233"/>
      <w:bookmarkEnd w:id="234"/>
      <w:bookmarkEnd w:id="243"/>
      <w:bookmarkEnd w:id="244"/>
      <w:bookmarkEnd w:id="245"/>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46" w:name="_Toc17915"/>
      <w:bookmarkStart w:id="247" w:name="_Toc22003"/>
      <w:bookmarkStart w:id="248" w:name="_Toc32456"/>
      <w:r>
        <w:rPr>
          <w:rFonts w:hint="eastAsia" w:ascii="宋体" w:hAnsi="宋体" w:eastAsia="宋体" w:cs="宋体"/>
          <w:color w:val="000000" w:themeColor="text1"/>
          <w:sz w:val="28"/>
          <w14:textFill>
            <w14:solidFill>
              <w14:schemeClr w14:val="tx1"/>
            </w14:solidFill>
          </w14:textFill>
        </w:rPr>
        <w:t>（营业执照、资质证书、项目人员资料等）</w:t>
      </w:r>
      <w:bookmarkEnd w:id="246"/>
      <w:bookmarkEnd w:id="247"/>
      <w:bookmarkEnd w:id="248"/>
    </w:p>
    <w:bookmarkEnd w:id="235"/>
    <w:bookmarkEnd w:id="236"/>
    <w:bookmarkEnd w:id="237"/>
    <w:bookmarkEnd w:id="238"/>
    <w:bookmarkEnd w:id="239"/>
    <w:bookmarkEnd w:id="240"/>
    <w:bookmarkEnd w:id="241"/>
    <w:bookmarkEnd w:id="242"/>
    <w:p>
      <w:pPr>
        <w:pStyle w:val="4"/>
        <w:jc w:val="center"/>
        <w:rPr>
          <w:rFonts w:ascii="宋体" w:hAnsi="宋体" w:eastAsia="宋体" w:cs="宋体"/>
          <w:bCs w:val="0"/>
          <w:sz w:val="28"/>
          <w:szCs w:val="28"/>
        </w:rPr>
      </w:pPr>
      <w:bookmarkStart w:id="249" w:name="_Toc447827068"/>
      <w:bookmarkStart w:id="250" w:name="_Toc513633973"/>
      <w:bookmarkStart w:id="251" w:name="_Toc503951055"/>
      <w:bookmarkStart w:id="252" w:name="_Toc11243"/>
      <w:bookmarkStart w:id="253" w:name="_Toc11672"/>
      <w:bookmarkStart w:id="254" w:name="_Toc29559"/>
      <w:bookmarkStart w:id="255" w:name="_Toc11329281"/>
      <w:r>
        <w:rPr>
          <w:rFonts w:hint="eastAsia" w:ascii="宋体" w:hAnsi="宋体" w:eastAsia="宋体" w:cs="宋体"/>
          <w:sz w:val="28"/>
        </w:rPr>
        <w:t>（一）资格审查资料</w:t>
      </w:r>
      <w:r>
        <w:rPr>
          <w:rFonts w:hint="eastAsia" w:ascii="宋体" w:hAnsi="宋体" w:cs="宋体"/>
          <w:szCs w:val="21"/>
        </w:rPr>
        <w:t xml:space="preserve"> </w:t>
      </w:r>
    </w:p>
    <w:tbl>
      <w:tblPr>
        <w:tblStyle w:val="2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color w:val="000000" w:themeColor="text1"/>
                <w:szCs w:val="21"/>
                <w:shd w:val="clear" w:color="auto" w:fill="FFFFFF"/>
                <w14:textFill>
                  <w14:solidFill>
                    <w14:schemeClr w14:val="tx1"/>
                  </w14:solidFill>
                </w14:textFill>
              </w:rPr>
              <w:t>报价人具有独立法人资格及有效的营业执照；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color w:val="000000" w:themeColor="text1"/>
                <w:szCs w:val="21"/>
                <w:shd w:val="clear" w:color="auto" w:fill="FFFFFF"/>
                <w14:textFill>
                  <w14:solidFill>
                    <w14:schemeClr w14:val="tx1"/>
                  </w14:solidFill>
                </w14:textFill>
              </w:rPr>
              <w:t>2021年1月1日至报价截止日期（以合同签订时间为准）至少独立完成一项合同金额不低于50万元的软件开发或技术服务业绩（提供合同扫描件）</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pPr>
      <w:r>
        <w:rPr>
          <w:rFonts w:hint="eastAsia" w:ascii="宋体" w:hAnsi="宋体" w:cs="宋体"/>
          <w:szCs w:val="21"/>
        </w:rPr>
        <w:t xml:space="preserve">  </w:t>
      </w:r>
      <w:r>
        <w:rPr>
          <w:rFonts w:hint="eastAsia" w:hAnsi="宋体"/>
          <w:kern w:val="0"/>
          <w:szCs w:val="21"/>
        </w:rPr>
        <w:t xml:space="preserve"> 注：1. </w:t>
      </w:r>
      <w:r>
        <w:rPr>
          <w:rFonts w:hint="eastAsia" w:asciiTheme="minorEastAsia" w:hAnsiTheme="minorEastAsia" w:eastAsiaTheme="minorEastAsia" w:cstheme="minorEastAsia"/>
          <w:bCs/>
          <w:szCs w:val="21"/>
        </w:rPr>
        <w:t>提供项目合同书（相关证明材料须能反映出相关数据和内容，否则一律视为未提供）复印件，并加盖投标单位公章。</w:t>
      </w:r>
    </w:p>
    <w:p>
      <w:pPr>
        <w:numPr>
          <w:ilvl w:val="0"/>
          <w:numId w:val="4"/>
        </w:numPr>
        <w:ind w:firstLine="630" w:firstLineChars="300"/>
      </w:pPr>
      <w:r>
        <w:rPr>
          <w:rFonts w:hint="eastAsia"/>
        </w:rPr>
        <w:t xml:space="preserve"> 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49"/>
      <w:bookmarkEnd w:id="250"/>
      <w:bookmarkEnd w:id="251"/>
      <w:r>
        <w:rPr>
          <w:rFonts w:hint="eastAsia" w:ascii="宋体" w:hAnsi="宋体" w:eastAsia="宋体" w:cs="宋体"/>
          <w:color w:val="000000" w:themeColor="text1"/>
          <w:sz w:val="28"/>
          <w14:textFill>
            <w14:solidFill>
              <w14:schemeClr w14:val="tx1"/>
            </w14:solidFill>
          </w14:textFill>
        </w:rPr>
        <w:t>报价人须知前附表规定的材料</w:t>
      </w:r>
      <w:bookmarkEnd w:id="252"/>
      <w:bookmarkEnd w:id="253"/>
      <w:bookmarkEnd w:id="254"/>
      <w:bookmarkEnd w:id="255"/>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56" w:name="_Toc8299"/>
      <w:bookmarkStart w:id="257" w:name="_Toc15805"/>
      <w:bookmarkStart w:id="258" w:name="bookmark81"/>
      <w:bookmarkStart w:id="259" w:name="_Toc513633974"/>
      <w:bookmarkStart w:id="260" w:name="_Toc503951058"/>
      <w:r>
        <w:rPr>
          <w:rFonts w:hint="eastAsia" w:ascii="宋体" w:hAnsi="宋体" w:cs="宋体"/>
          <w:b/>
          <w:bCs/>
          <w:kern w:val="0"/>
          <w:sz w:val="28"/>
          <w:szCs w:val="32"/>
        </w:rPr>
        <w:t>（一）商务评分资料</w:t>
      </w:r>
      <w:bookmarkEnd w:id="256"/>
      <w:bookmarkEnd w:id="257"/>
    </w:p>
    <w:p>
      <w:pPr>
        <w:pStyle w:val="34"/>
        <w:ind w:firstLine="420"/>
        <w:jc w:val="center"/>
        <w:rPr>
          <w:rFonts w:ascii="宋体" w:hAnsi="宋体" w:eastAsia="宋体" w:cs="Times New Roman"/>
          <w:sz w:val="21"/>
          <w:szCs w:val="24"/>
        </w:rPr>
      </w:pPr>
      <w:bookmarkStart w:id="261" w:name="OLE_LINK34"/>
      <w:r>
        <w:rPr>
          <w:rFonts w:hint="eastAsia" w:ascii="宋体" w:hAnsi="宋体" w:eastAsia="宋体" w:cs="Times New Roman"/>
          <w:sz w:val="21"/>
          <w:szCs w:val="24"/>
        </w:rPr>
        <w:t>商务及技术部分</w:t>
      </w:r>
      <w:bookmarkEnd w:id="261"/>
      <w:r>
        <w:rPr>
          <w:rFonts w:hint="eastAsia" w:ascii="宋体" w:hAnsi="宋体" w:eastAsia="宋体" w:cs="Times New Roman"/>
          <w:sz w:val="21"/>
          <w:szCs w:val="24"/>
        </w:rPr>
        <w:t>资料目录</w:t>
      </w:r>
    </w:p>
    <w:tbl>
      <w:tblPr>
        <w:tblStyle w:val="23"/>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029" w:type="dxa"/>
            <w:vAlign w:val="center"/>
          </w:tcPr>
          <w:p>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应加分数</w:t>
            </w:r>
          </w:p>
        </w:tc>
        <w:tc>
          <w:tcPr>
            <w:tcW w:w="1052" w:type="dxa"/>
            <w:vAlign w:val="center"/>
          </w:tcPr>
          <w:p>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029" w:type="dxa"/>
            <w:vAlign w:val="center"/>
          </w:tcPr>
          <w:p>
            <w:pPr>
              <w:spacing w:line="360" w:lineRule="auto"/>
              <w:jc w:val="center"/>
              <w:rPr>
                <w:rFonts w:asciiTheme="minorEastAsia" w:hAnsiTheme="minorEastAsia" w:eastAsiaTheme="minorEastAsia" w:cstheme="minorEastAsia"/>
                <w:b/>
                <w:sz w:val="18"/>
                <w:szCs w:val="18"/>
              </w:rPr>
            </w:pPr>
          </w:p>
        </w:tc>
        <w:tc>
          <w:tcPr>
            <w:tcW w:w="2492" w:type="dxa"/>
            <w:vAlign w:val="center"/>
          </w:tcPr>
          <w:p>
            <w:pPr>
              <w:spacing w:line="360" w:lineRule="auto"/>
              <w:jc w:val="center"/>
              <w:rPr>
                <w:rFonts w:asciiTheme="minorEastAsia" w:hAnsiTheme="minorEastAsia" w:eastAsiaTheme="minorEastAsia" w:cstheme="minorEastAsia"/>
                <w:b/>
                <w:sz w:val="18"/>
                <w:szCs w:val="18"/>
              </w:rPr>
            </w:pPr>
          </w:p>
        </w:tc>
        <w:tc>
          <w:tcPr>
            <w:tcW w:w="1736" w:type="dxa"/>
            <w:vAlign w:val="center"/>
          </w:tcPr>
          <w:p>
            <w:pPr>
              <w:spacing w:line="360" w:lineRule="auto"/>
              <w:jc w:val="center"/>
              <w:rPr>
                <w:rFonts w:asciiTheme="minorEastAsia" w:hAnsiTheme="minorEastAsia" w:eastAsiaTheme="minorEastAsia" w:cstheme="minorEastAsia"/>
                <w:b/>
                <w:sz w:val="18"/>
                <w:szCs w:val="18"/>
              </w:rPr>
            </w:pPr>
          </w:p>
        </w:tc>
        <w:tc>
          <w:tcPr>
            <w:tcW w:w="1395" w:type="dxa"/>
            <w:vAlign w:val="center"/>
          </w:tcPr>
          <w:p>
            <w:pPr>
              <w:spacing w:line="360" w:lineRule="auto"/>
              <w:jc w:val="center"/>
              <w:rPr>
                <w:rFonts w:asciiTheme="minorEastAsia" w:hAnsiTheme="minorEastAsia" w:eastAsiaTheme="minorEastAsia" w:cstheme="minorEastAsia"/>
                <w:b/>
                <w:sz w:val="18"/>
                <w:szCs w:val="18"/>
              </w:rPr>
            </w:pPr>
          </w:p>
        </w:tc>
        <w:tc>
          <w:tcPr>
            <w:tcW w:w="1052" w:type="dxa"/>
            <w:vAlign w:val="center"/>
          </w:tcPr>
          <w:p>
            <w:pPr>
              <w:spacing w:line="360" w:lineRule="auto"/>
              <w:jc w:val="center"/>
              <w:rPr>
                <w:rFonts w:asciiTheme="minorEastAsia" w:hAnsiTheme="minorEastAsia" w:eastAsiaTheme="minorEastAsia" w:cstheme="minorEastAsia"/>
                <w:b/>
                <w:sz w:val="18"/>
                <w:szCs w:val="18"/>
              </w:rPr>
            </w:pPr>
          </w:p>
        </w:tc>
        <w:tc>
          <w:tcPr>
            <w:tcW w:w="998" w:type="dxa"/>
            <w:vAlign w:val="center"/>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证明材料2</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29" w:type="dxa"/>
            <w:vAlign w:val="center"/>
          </w:tcPr>
          <w:p>
            <w:pPr>
              <w:snapToGrid w:val="0"/>
              <w:spacing w:line="400" w:lineRule="exact"/>
              <w:rPr>
                <w:rFonts w:asciiTheme="minorEastAsia" w:hAnsiTheme="minorEastAsia" w:eastAsiaTheme="minorEastAsia" w:cstheme="minorEastAsia"/>
                <w:sz w:val="18"/>
                <w:szCs w:val="18"/>
              </w:rPr>
            </w:pP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XX证书</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证明材料3</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XX年财务审计报告</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证明材料4</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bl>
    <w:p>
      <w:pPr>
        <w:pStyle w:val="22"/>
        <w:ind w:left="0" w:leftChars="0" w:firstLine="0"/>
      </w:pPr>
      <w:bookmarkStart w:id="262" w:name="_Toc30564"/>
    </w:p>
    <w:p>
      <w:pPr>
        <w:spacing w:line="360" w:lineRule="auto"/>
        <w:jc w:val="center"/>
        <w:outlineLvl w:val="1"/>
        <w:rPr>
          <w:rFonts w:ascii="宋体" w:hAnsi="宋体" w:cs="宋体"/>
          <w:b/>
          <w:bCs/>
          <w:kern w:val="0"/>
          <w:sz w:val="28"/>
          <w:szCs w:val="32"/>
        </w:rPr>
      </w:pPr>
    </w:p>
    <w:p>
      <w:pPr>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（二）技术方案</w:t>
      </w:r>
      <w:bookmarkEnd w:id="262"/>
    </w:p>
    <w:p>
      <w:pPr>
        <w:pStyle w:val="5"/>
        <w:jc w:val="center"/>
        <w:rPr>
          <w:rFonts w:ascii="宋体" w:hAnsi="宋体" w:cs="宋体"/>
          <w:color w:val="000000" w:themeColor="text1"/>
          <w:sz w:val="28"/>
          <w14:textFill>
            <w14:solidFill>
              <w14:schemeClr w14:val="tx1"/>
            </w14:solidFill>
          </w14:textFill>
        </w:rPr>
      </w:pPr>
    </w:p>
    <w:p>
      <w:pP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pPr>
        <w:pStyle w:val="5"/>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w:t>
      </w:r>
      <w:bookmarkEnd w:id="258"/>
      <w:bookmarkStart w:id="263" w:name="_Toc507681488"/>
      <w:bookmarkStart w:id="264" w:name="_Toc507681700"/>
      <w:bookmarkStart w:id="265" w:name="_Toc504639215"/>
      <w:r>
        <w:rPr>
          <w:rFonts w:hint="eastAsia" w:ascii="宋体" w:hAnsi="宋体" w:cs="宋体"/>
          <w:color w:val="000000" w:themeColor="text1"/>
          <w:sz w:val="28"/>
          <w14:textFill>
            <w14:solidFill>
              <w14:schemeClr w14:val="tx1"/>
            </w14:solidFill>
          </w14:textFill>
        </w:rPr>
        <w:t>报价人自行承诺部分</w:t>
      </w:r>
      <w:bookmarkEnd w:id="263"/>
      <w:bookmarkEnd w:id="264"/>
      <w:bookmarkEnd w:id="265"/>
    </w:p>
    <w:p>
      <w:pPr>
        <w:pStyle w:val="19"/>
        <w:spacing w:line="480" w:lineRule="auto"/>
        <w:jc w:val="both"/>
        <w:rPr>
          <w:rFonts w:hAnsi="宋体"/>
          <w:color w:val="auto"/>
        </w:rPr>
      </w:pPr>
      <w:r>
        <w:rPr>
          <w:rFonts w:hint="eastAsia" w:hAnsi="宋体"/>
          <w:color w:val="auto"/>
        </w:rPr>
        <w:t>致：</w:t>
      </w:r>
      <w:r>
        <w:rPr>
          <w:rFonts w:hint="eastAsia" w:hAnsi="宋体"/>
          <w:color w:val="auto"/>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rPr>
      </w:pPr>
      <w:r>
        <w:rPr>
          <w:rFonts w:hint="eastAsia" w:ascii="宋体" w:hAnsi="宋体"/>
          <w:sz w:val="24"/>
        </w:rPr>
        <w:t>在研究</w:t>
      </w:r>
      <w:r>
        <w:rPr>
          <w:rFonts w:hint="eastAsia" w:ascii="宋体" w:hAnsi="宋体" w:cs="宋体"/>
          <w:sz w:val="24"/>
          <w:u w:val="single"/>
        </w:rPr>
        <w:t>基于时空图学习的高速公路网公里级交通流量预测技术开发服务</w:t>
      </w:r>
      <w:r>
        <w:rPr>
          <w:rFonts w:hint="eastAsia" w:ascii="宋体" w:hAnsi="宋体"/>
          <w:sz w:val="24"/>
          <w:u w:val="single"/>
        </w:rPr>
        <w:t>项目</w:t>
      </w:r>
      <w:r>
        <w:rPr>
          <w:rFonts w:hint="eastAsia" w:ascii="宋体" w:hAnsi="宋体"/>
          <w:sz w:val="24"/>
        </w:rPr>
        <w:t>竞争比选文件后，在此郑重承诺我司满足本项目一切报价内容、报价、工期要求及质量标准等相关要求，响应比选函的一切内容，同时申明将按照甲方要求组建服务团队、履行服务义务。若我司中标本项目且无法满足业主相关需求，我司愿承担由此给采购人造成的一切损失。</w:t>
      </w:r>
    </w:p>
    <w:p>
      <w:pPr>
        <w:pStyle w:val="2"/>
        <w:spacing w:line="480" w:lineRule="auto"/>
        <w:rPr>
          <w:rFonts w:ascii="宋体" w:hAnsi="宋体"/>
          <w:sz w:val="24"/>
        </w:rPr>
      </w:pPr>
    </w:p>
    <w:p>
      <w:pPr>
        <w:spacing w:line="480" w:lineRule="auto"/>
        <w:rPr>
          <w:rFonts w:ascii="宋体" w:hAnsi="宋体"/>
          <w:sz w:val="24"/>
        </w:rPr>
      </w:pPr>
      <w:r>
        <w:rPr>
          <w:rFonts w:hint="eastAsia" w:ascii="宋体" w:hAnsi="宋体"/>
          <w:sz w:val="24"/>
        </w:rPr>
        <w:t xml:space="preserve">                                        承诺人：XX公司</w:t>
      </w:r>
    </w:p>
    <w:p>
      <w:pPr>
        <w:pStyle w:val="2"/>
        <w:spacing w:line="480" w:lineRule="auto"/>
      </w:pPr>
      <w:r>
        <w:rPr>
          <w:rFonts w:hint="eastAsia" w:ascii="宋体" w:hAnsi="宋体"/>
          <w:sz w:val="24"/>
        </w:rPr>
        <w:t xml:space="preserve">                                        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pStyle w:val="5"/>
        <w:jc w:val="center"/>
        <w:rPr>
          <w:rFonts w:ascii="宋体" w:hAnsi="宋体" w:cs="宋体"/>
          <w:color w:val="000000" w:themeColor="text1"/>
          <w:sz w:val="28"/>
          <w14:textFill>
            <w14:solidFill>
              <w14:schemeClr w14:val="tx1"/>
            </w14:solidFill>
          </w14:textFill>
        </w:rPr>
      </w:pP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pPr>
        <w:pStyle w:val="5"/>
        <w:jc w:val="center"/>
        <w:rPr>
          <w:rFonts w:ascii="宋体" w:hAnsi="宋体" w:cs="宋体"/>
          <w:color w:val="000000" w:themeColor="text1"/>
          <w:sz w:val="28"/>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5"/>
        <w:spacing w:before="0" w:after="0" w:line="360" w:lineRule="auto"/>
        <w:jc w:val="center"/>
        <w:rPr>
          <w:color w:val="000000" w:themeColor="text1"/>
          <w:sz w:val="28"/>
          <w:szCs w:val="28"/>
          <w14:textFill>
            <w14:solidFill>
              <w14:schemeClr w14:val="tx1"/>
            </w14:solidFill>
          </w14:textFill>
        </w:rPr>
      </w:pPr>
      <w:bookmarkStart w:id="266" w:name="_Toc508110857"/>
      <w:bookmarkStart w:id="267" w:name="_Toc452107137"/>
      <w:bookmarkStart w:id="268" w:name="_Toc4375"/>
      <w:r>
        <w:rPr>
          <w:rFonts w:hint="eastAsia"/>
          <w:color w:val="000000" w:themeColor="text1"/>
          <w:sz w:val="28"/>
          <w:szCs w:val="28"/>
          <w14:textFill>
            <w14:solidFill>
              <w14:schemeClr w14:val="tx1"/>
            </w14:solidFill>
          </w14:textFill>
        </w:rPr>
        <w:t>（一）报价人基本信息表</w:t>
      </w:r>
      <w:bookmarkEnd w:id="266"/>
      <w:bookmarkEnd w:id="267"/>
      <w:bookmarkEnd w:id="268"/>
    </w:p>
    <w:p>
      <w:pPr>
        <w:pStyle w:val="13"/>
        <w:rPr>
          <w:color w:val="000000" w:themeColor="text1"/>
          <w14:textFill>
            <w14:solidFill>
              <w14:schemeClr w14:val="tx1"/>
            </w14:solidFill>
          </w14:textFill>
        </w:rPr>
      </w:pPr>
    </w:p>
    <w:tbl>
      <w:tblPr>
        <w:tblStyle w:val="2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bl>
    <w:p>
      <w:pPr>
        <w:pStyle w:val="5"/>
        <w:rPr>
          <w:rFonts w:ascii="宋体" w:hAnsi="宋体" w:cs="宋体"/>
          <w:color w:val="000000" w:themeColor="text1"/>
          <w:sz w:val="28"/>
          <w14:textFill>
            <w14:solidFill>
              <w14:schemeClr w14:val="tx1"/>
            </w14:solidFill>
          </w14:textFill>
        </w:rPr>
      </w:pPr>
    </w:p>
    <w:p>
      <w:pPr>
        <w:pStyle w:val="5"/>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1、投标保证金银行回执等附件。</w:t>
      </w:r>
    </w:p>
    <w:bookmarkEnd w:id="259"/>
    <w:bookmarkEnd w:id="260"/>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2、其他内容。</w:t>
      </w: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outlineLvl w:val="1"/>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center"/>
        <w:rPr>
          <w:rFonts w:ascii="宋体" w:hAnsi="宋体" w:cs="宋体"/>
          <w:b/>
          <w:bCs/>
          <w:color w:val="auto"/>
          <w:kern w:val="0"/>
          <w:sz w:val="28"/>
          <w:szCs w:val="32"/>
          <w:highlight w:val="none"/>
        </w:rPr>
      </w:pPr>
      <w:r>
        <w:rPr>
          <w:rFonts w:hint="eastAsia" w:ascii="宋体" w:hAnsi="宋体" w:cs="宋体"/>
          <w:b/>
          <w:bCs/>
          <w:color w:val="auto"/>
          <w:kern w:val="0"/>
          <w:sz w:val="28"/>
          <w:szCs w:val="32"/>
          <w:highlight w:val="none"/>
        </w:rPr>
        <w:t>七、工程量清单</w:t>
      </w:r>
    </w:p>
    <w:tbl>
      <w:tblPr>
        <w:tblStyle w:val="23"/>
        <w:tblW w:w="9493" w:type="dxa"/>
        <w:jc w:val="center"/>
        <w:tblLayout w:type="fixed"/>
        <w:tblCellMar>
          <w:top w:w="0" w:type="dxa"/>
          <w:left w:w="108" w:type="dxa"/>
          <w:bottom w:w="0" w:type="dxa"/>
          <w:right w:w="108" w:type="dxa"/>
        </w:tblCellMar>
      </w:tblPr>
      <w:tblGrid>
        <w:gridCol w:w="846"/>
        <w:gridCol w:w="1417"/>
        <w:gridCol w:w="2103"/>
        <w:gridCol w:w="732"/>
        <w:gridCol w:w="709"/>
        <w:gridCol w:w="1134"/>
        <w:gridCol w:w="1134"/>
        <w:gridCol w:w="1418"/>
      </w:tblGrid>
      <w:tr>
        <w:tblPrEx>
          <w:tblCellMar>
            <w:top w:w="0" w:type="dxa"/>
            <w:left w:w="108" w:type="dxa"/>
            <w:bottom w:w="0" w:type="dxa"/>
            <w:right w:w="108" w:type="dxa"/>
          </w:tblCellMar>
        </w:tblPrEx>
        <w:trPr>
          <w:trHeight w:val="724"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工作内容</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服务内容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含税单价（元）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税率（%）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小计（元）</w:t>
            </w:r>
          </w:p>
        </w:tc>
      </w:tr>
      <w:tr>
        <w:tblPrEx>
          <w:tblCellMar>
            <w:top w:w="0" w:type="dxa"/>
            <w:left w:w="108" w:type="dxa"/>
            <w:bottom w:w="0" w:type="dxa"/>
            <w:right w:w="108" w:type="dxa"/>
          </w:tblCellMar>
        </w:tblPrEx>
        <w:trPr>
          <w:trHeight w:val="151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topLinePunct/>
              <w:adjustRightInd w:val="0"/>
              <w:snapToGrid w:val="0"/>
              <w:spacing w:line="320" w:lineRule="exact"/>
              <w:jc w:val="center"/>
              <w:rPr>
                <w:rFonts w:ascii="宋体" w:hAnsi="宋体" w:cs="宋体"/>
                <w:color w:val="auto"/>
                <w:szCs w:val="21"/>
                <w:highlight w:val="none"/>
              </w:rPr>
            </w:pPr>
            <w:r>
              <w:rPr>
                <w:rFonts w:ascii="宋体" w:hAnsi="宋体" w:cs="宋体"/>
                <w:color w:val="auto"/>
                <w:szCs w:val="21"/>
                <w:highlight w:val="none"/>
              </w:rPr>
              <w:t>重庆高速公路网</w:t>
            </w:r>
            <w:r>
              <w:rPr>
                <w:rFonts w:hint="eastAsia" w:ascii="宋体" w:hAnsi="宋体" w:cs="宋体"/>
                <w:color w:val="auto"/>
                <w:szCs w:val="21"/>
                <w:highlight w:val="none"/>
              </w:rPr>
              <w:t>公里级交通</w:t>
            </w:r>
            <w:r>
              <w:rPr>
                <w:rFonts w:ascii="宋体" w:hAnsi="宋体" w:cs="宋体"/>
                <w:color w:val="auto"/>
                <w:szCs w:val="21"/>
                <w:highlight w:val="none"/>
              </w:rPr>
              <w:t>流</w:t>
            </w:r>
            <w:r>
              <w:rPr>
                <w:rFonts w:hint="eastAsia" w:ascii="宋体" w:hAnsi="宋体" w:cs="宋体"/>
                <w:color w:val="auto"/>
                <w:szCs w:val="21"/>
                <w:highlight w:val="none"/>
              </w:rPr>
              <w:t>量</w:t>
            </w:r>
            <w:r>
              <w:rPr>
                <w:rFonts w:ascii="宋体" w:hAnsi="宋体" w:cs="宋体"/>
                <w:color w:val="auto"/>
                <w:szCs w:val="21"/>
                <w:highlight w:val="none"/>
              </w:rPr>
              <w:t>时空动态图建模技术</w:t>
            </w:r>
            <w:r>
              <w:rPr>
                <w:rFonts w:hint="eastAsia" w:ascii="宋体" w:hAnsi="宋体" w:cs="宋体"/>
                <w:color w:val="auto"/>
                <w:szCs w:val="21"/>
                <w:highlight w:val="none"/>
              </w:rPr>
              <w:t>开发服务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topLinePunct/>
              <w:adjustRightInd w:val="0"/>
              <w:snapToGrid w:val="0"/>
              <w:spacing w:after="0" w:line="320" w:lineRule="exact"/>
              <w:rPr>
                <w:rFonts w:ascii="宋体" w:hAnsi="宋体" w:cs="宋体"/>
                <w:color w:val="auto"/>
                <w:kern w:val="2"/>
                <w:sz w:val="21"/>
                <w:szCs w:val="21"/>
                <w:highlight w:val="none"/>
              </w:rPr>
            </w:pPr>
            <w:r>
              <w:rPr>
                <w:rFonts w:ascii="宋体" w:hAnsi="宋体" w:cs="宋体"/>
                <w:color w:val="auto"/>
                <w:kern w:val="2"/>
                <w:sz w:val="21"/>
                <w:szCs w:val="21"/>
                <w:highlight w:val="none"/>
              </w:rPr>
              <w:t>重庆高速公路网</w:t>
            </w:r>
            <w:r>
              <w:rPr>
                <w:rFonts w:hint="eastAsia" w:ascii="宋体" w:hAnsi="宋体" w:cs="宋体"/>
                <w:color w:val="auto"/>
                <w:kern w:val="2"/>
                <w:sz w:val="21"/>
                <w:szCs w:val="21"/>
                <w:highlight w:val="none"/>
              </w:rPr>
              <w:t>公里级静态图建模</w:t>
            </w:r>
            <w:r>
              <w:rPr>
                <w:rFonts w:ascii="宋体" w:hAnsi="宋体" w:cs="宋体"/>
                <w:color w:val="auto"/>
                <w:kern w:val="2"/>
                <w:sz w:val="21"/>
                <w:szCs w:val="21"/>
                <w:highlight w:val="none"/>
              </w:rPr>
              <w:t>、重庆高速公路网车辆轨迹公里级估计</w:t>
            </w:r>
            <w:r>
              <w:rPr>
                <w:rFonts w:hint="eastAsia" w:ascii="宋体" w:hAnsi="宋体" w:cs="宋体"/>
                <w:color w:val="auto"/>
                <w:kern w:val="2"/>
                <w:sz w:val="21"/>
                <w:szCs w:val="21"/>
                <w:highlight w:val="none"/>
              </w:rPr>
              <w:t>模型</w:t>
            </w:r>
            <w:r>
              <w:rPr>
                <w:rFonts w:ascii="宋体" w:hAnsi="宋体" w:cs="宋体"/>
                <w:color w:val="auto"/>
                <w:kern w:val="2"/>
                <w:sz w:val="21"/>
                <w:szCs w:val="21"/>
                <w:highlight w:val="none"/>
              </w:rPr>
              <w:t>和重庆高速公路网</w:t>
            </w:r>
            <w:r>
              <w:rPr>
                <w:rFonts w:hint="eastAsia" w:ascii="宋体" w:hAnsi="宋体" w:cs="宋体"/>
                <w:color w:val="auto"/>
                <w:kern w:val="2"/>
                <w:sz w:val="21"/>
                <w:szCs w:val="21"/>
                <w:highlight w:val="none"/>
              </w:rPr>
              <w:t>公里级交通</w:t>
            </w:r>
            <w:r>
              <w:rPr>
                <w:rFonts w:ascii="宋体" w:hAnsi="宋体" w:cs="宋体"/>
                <w:color w:val="auto"/>
                <w:kern w:val="2"/>
                <w:sz w:val="21"/>
                <w:szCs w:val="21"/>
                <w:highlight w:val="none"/>
              </w:rPr>
              <w:t>流</w:t>
            </w:r>
            <w:r>
              <w:rPr>
                <w:rFonts w:hint="eastAsia" w:ascii="宋体" w:hAnsi="宋体" w:cs="宋体"/>
                <w:color w:val="auto"/>
                <w:kern w:val="2"/>
                <w:sz w:val="21"/>
                <w:szCs w:val="21"/>
                <w:highlight w:val="none"/>
              </w:rPr>
              <w:t>量</w:t>
            </w:r>
            <w:r>
              <w:rPr>
                <w:rFonts w:ascii="宋体" w:hAnsi="宋体" w:cs="宋体"/>
                <w:color w:val="auto"/>
                <w:kern w:val="2"/>
                <w:sz w:val="21"/>
                <w:szCs w:val="21"/>
                <w:highlight w:val="none"/>
              </w:rPr>
              <w:t>时空动态图</w:t>
            </w:r>
            <w:r>
              <w:rPr>
                <w:rFonts w:hint="eastAsia" w:ascii="宋体" w:hAnsi="宋体" w:cs="宋体"/>
                <w:color w:val="auto"/>
                <w:kern w:val="2"/>
                <w:sz w:val="21"/>
                <w:szCs w:val="21"/>
                <w:highlight w:val="none"/>
              </w:rPr>
              <w:t>构建；申请中国发明专利1项。</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47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topLinePunct/>
              <w:adjustRightInd w:val="0"/>
              <w:snapToGrid w:val="0"/>
              <w:spacing w:line="320" w:lineRule="exact"/>
              <w:jc w:val="center"/>
              <w:rPr>
                <w:rFonts w:ascii="宋体" w:hAnsi="宋体" w:cs="宋体"/>
                <w:color w:val="auto"/>
                <w:szCs w:val="21"/>
                <w:highlight w:val="none"/>
              </w:rPr>
            </w:pPr>
            <w:r>
              <w:rPr>
                <w:rFonts w:ascii="宋体" w:hAnsi="宋体" w:cs="宋体"/>
                <w:color w:val="auto"/>
                <w:szCs w:val="21"/>
                <w:highlight w:val="none"/>
              </w:rPr>
              <w:t>基于路网拓扑结构的高速公路</w:t>
            </w:r>
            <w:r>
              <w:rPr>
                <w:rFonts w:hint="eastAsia" w:ascii="宋体" w:hAnsi="宋体" w:cs="宋体"/>
                <w:color w:val="auto"/>
                <w:szCs w:val="21"/>
                <w:highlight w:val="none"/>
              </w:rPr>
              <w:t>网公里级交通</w:t>
            </w:r>
            <w:r>
              <w:rPr>
                <w:rFonts w:ascii="宋体" w:hAnsi="宋体" w:cs="宋体"/>
                <w:color w:val="auto"/>
                <w:szCs w:val="21"/>
                <w:highlight w:val="none"/>
              </w:rPr>
              <w:t>流量时空转移模型</w:t>
            </w:r>
            <w:r>
              <w:rPr>
                <w:rFonts w:hint="eastAsia" w:ascii="宋体" w:hAnsi="宋体" w:cs="宋体"/>
                <w:color w:val="auto"/>
                <w:szCs w:val="21"/>
                <w:highlight w:val="none"/>
              </w:rPr>
              <w:t>技术开发</w:t>
            </w:r>
            <w:r>
              <w:rPr>
                <w:rFonts w:ascii="宋体" w:hAnsi="宋体" w:cs="宋体"/>
                <w:color w:val="auto"/>
                <w:szCs w:val="21"/>
                <w:highlight w:val="none"/>
              </w:rPr>
              <w:t>服务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topLinePunct/>
              <w:adjustRightInd w:val="0"/>
              <w:snapToGrid w:val="0"/>
              <w:spacing w:after="0" w:line="320" w:lineRule="exact"/>
              <w:jc w:val="left"/>
              <w:rPr>
                <w:rFonts w:ascii="宋体" w:hAnsi="宋体" w:cs="宋体"/>
                <w:color w:val="auto"/>
                <w:kern w:val="2"/>
                <w:sz w:val="21"/>
                <w:szCs w:val="21"/>
                <w:highlight w:val="none"/>
              </w:rPr>
            </w:pPr>
            <w:r>
              <w:rPr>
                <w:rFonts w:ascii="宋体" w:hAnsi="宋体" w:cs="宋体"/>
                <w:color w:val="auto"/>
                <w:kern w:val="2"/>
                <w:sz w:val="21"/>
                <w:szCs w:val="21"/>
                <w:highlight w:val="none"/>
              </w:rPr>
              <w:t>高速公路</w:t>
            </w:r>
            <w:r>
              <w:rPr>
                <w:rFonts w:hint="eastAsia" w:ascii="宋体" w:hAnsi="宋体" w:cs="宋体"/>
                <w:color w:val="auto"/>
                <w:kern w:val="2"/>
                <w:sz w:val="21"/>
                <w:szCs w:val="21"/>
                <w:highlight w:val="none"/>
              </w:rPr>
              <w:t>网车辆公里级出行模式挖掘技术和高速公路网交通</w:t>
            </w:r>
            <w:r>
              <w:rPr>
                <w:rFonts w:ascii="宋体" w:hAnsi="宋体" w:cs="宋体"/>
                <w:color w:val="auto"/>
                <w:kern w:val="2"/>
                <w:sz w:val="21"/>
                <w:szCs w:val="21"/>
                <w:highlight w:val="none"/>
              </w:rPr>
              <w:t>流量时空转移模式</w:t>
            </w:r>
            <w:r>
              <w:rPr>
                <w:rFonts w:hint="eastAsia" w:ascii="宋体" w:hAnsi="宋体" w:cs="宋体"/>
                <w:color w:val="auto"/>
                <w:kern w:val="2"/>
                <w:sz w:val="21"/>
                <w:szCs w:val="21"/>
                <w:highlight w:val="none"/>
              </w:rPr>
              <w:t>挖掘技术开发；申请中国发明专利1项。</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88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topLinePunct/>
              <w:adjustRightInd w:val="0"/>
              <w:snapToGrid w:val="0"/>
              <w:spacing w:line="320" w:lineRule="exact"/>
              <w:jc w:val="center"/>
              <w:rPr>
                <w:rFonts w:ascii="宋体" w:hAnsi="宋体" w:cs="宋体"/>
                <w:color w:val="auto"/>
                <w:szCs w:val="21"/>
                <w:highlight w:val="none"/>
              </w:rPr>
            </w:pPr>
            <w:r>
              <w:rPr>
                <w:rFonts w:ascii="宋体" w:hAnsi="宋体" w:cs="宋体"/>
                <w:color w:val="auto"/>
                <w:szCs w:val="21"/>
                <w:highlight w:val="none"/>
              </w:rPr>
              <w:t>基于</w:t>
            </w:r>
            <w:r>
              <w:rPr>
                <w:rFonts w:hint="eastAsia" w:ascii="宋体" w:hAnsi="宋体" w:cs="宋体"/>
                <w:color w:val="auto"/>
                <w:szCs w:val="21"/>
                <w:highlight w:val="none"/>
              </w:rPr>
              <w:t>时空图学习的高速公路网公里级交通流量预测技术</w:t>
            </w:r>
            <w:r>
              <w:rPr>
                <w:rFonts w:ascii="宋体" w:hAnsi="宋体" w:cs="宋体"/>
                <w:color w:val="auto"/>
                <w:szCs w:val="21"/>
                <w:highlight w:val="none"/>
              </w:rPr>
              <w:t>开发</w:t>
            </w:r>
            <w:r>
              <w:rPr>
                <w:rFonts w:hint="eastAsia" w:ascii="宋体" w:hAnsi="宋体" w:cs="宋体"/>
                <w:color w:val="auto"/>
                <w:szCs w:val="21"/>
                <w:highlight w:val="none"/>
              </w:rPr>
              <w:t>服务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2"/>
              <w:topLinePunct/>
              <w:adjustRightInd w:val="0"/>
              <w:snapToGrid w:val="0"/>
              <w:spacing w:line="32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高速公路网车辆公里级</w:t>
            </w:r>
            <w:r>
              <w:rPr>
                <w:rFonts w:ascii="宋体" w:hAnsi="宋体" w:cs="宋体"/>
                <w:color w:val="auto"/>
                <w:szCs w:val="21"/>
                <w:highlight w:val="none"/>
              </w:rPr>
              <w:t>交通流量</w:t>
            </w:r>
            <w:r>
              <w:rPr>
                <w:rFonts w:hint="eastAsia" w:ascii="宋体" w:hAnsi="宋体" w:cs="宋体"/>
                <w:color w:val="auto"/>
                <w:szCs w:val="21"/>
                <w:highlight w:val="none"/>
              </w:rPr>
              <w:t>短时</w:t>
            </w:r>
            <w:r>
              <w:rPr>
                <w:rFonts w:ascii="宋体" w:hAnsi="宋体" w:cs="宋体"/>
                <w:color w:val="auto"/>
                <w:szCs w:val="21"/>
                <w:highlight w:val="none"/>
              </w:rPr>
              <w:t>预测</w:t>
            </w:r>
            <w:r>
              <w:rPr>
                <w:rFonts w:hint="eastAsia" w:ascii="宋体" w:hAnsi="宋体" w:cs="宋体"/>
                <w:color w:val="auto"/>
                <w:szCs w:val="21"/>
                <w:highlight w:val="none"/>
              </w:rPr>
              <w:t>技术、高速公路网车辆公里级</w:t>
            </w:r>
            <w:r>
              <w:rPr>
                <w:rFonts w:ascii="宋体" w:hAnsi="宋体" w:cs="宋体"/>
                <w:color w:val="auto"/>
                <w:szCs w:val="21"/>
                <w:highlight w:val="none"/>
              </w:rPr>
              <w:t>交通流量</w:t>
            </w:r>
            <w:r>
              <w:rPr>
                <w:rFonts w:hint="eastAsia" w:ascii="宋体" w:hAnsi="宋体" w:cs="宋体"/>
                <w:color w:val="auto"/>
                <w:szCs w:val="21"/>
                <w:highlight w:val="none"/>
              </w:rPr>
              <w:t>长时</w:t>
            </w:r>
            <w:r>
              <w:rPr>
                <w:rFonts w:ascii="宋体" w:hAnsi="宋体" w:cs="宋体"/>
                <w:color w:val="auto"/>
                <w:szCs w:val="21"/>
                <w:highlight w:val="none"/>
              </w:rPr>
              <w:t>预测</w:t>
            </w:r>
            <w:r>
              <w:rPr>
                <w:rFonts w:hint="eastAsia" w:ascii="宋体" w:hAnsi="宋体" w:cs="宋体"/>
                <w:color w:val="auto"/>
                <w:szCs w:val="21"/>
                <w:highlight w:val="none"/>
              </w:rPr>
              <w:t>技术和高速公路网节点间</w:t>
            </w:r>
            <w:r>
              <w:rPr>
                <w:rFonts w:ascii="宋体" w:hAnsi="宋体" w:cs="宋体"/>
                <w:color w:val="auto"/>
                <w:szCs w:val="21"/>
                <w:highlight w:val="none"/>
              </w:rPr>
              <w:t>交通流量</w:t>
            </w:r>
            <w:r>
              <w:rPr>
                <w:rFonts w:hint="eastAsia" w:ascii="宋体" w:hAnsi="宋体" w:cs="宋体"/>
                <w:color w:val="auto"/>
                <w:szCs w:val="21"/>
                <w:highlight w:val="none"/>
              </w:rPr>
              <w:t>转移</w:t>
            </w:r>
            <w:r>
              <w:rPr>
                <w:rFonts w:ascii="宋体" w:hAnsi="宋体" w:cs="宋体"/>
                <w:color w:val="auto"/>
                <w:szCs w:val="21"/>
                <w:highlight w:val="none"/>
              </w:rPr>
              <w:t>预测</w:t>
            </w:r>
            <w:r>
              <w:rPr>
                <w:rFonts w:hint="eastAsia" w:ascii="宋体" w:hAnsi="宋体" w:cs="宋体"/>
                <w:color w:val="auto"/>
                <w:szCs w:val="21"/>
                <w:highlight w:val="none"/>
              </w:rPr>
              <w:t>技术开发；申请中国发明专利</w:t>
            </w:r>
            <w:r>
              <w:rPr>
                <w:rFonts w:ascii="宋体" w:hAnsi="宋体" w:cs="宋体"/>
                <w:color w:val="auto"/>
                <w:szCs w:val="21"/>
                <w:highlight w:val="none"/>
              </w:rPr>
              <w:t>3</w:t>
            </w:r>
            <w:r>
              <w:rPr>
                <w:rFonts w:hint="eastAsia" w:ascii="宋体" w:hAnsi="宋体" w:cs="宋体"/>
                <w:color w:val="auto"/>
                <w:szCs w:val="21"/>
                <w:highlight w:val="none"/>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88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topLinePunct/>
              <w:adjustRightInd w:val="0"/>
              <w:snapToGrid w:val="0"/>
              <w:spacing w:line="320" w:lineRule="exact"/>
              <w:jc w:val="center"/>
              <w:rPr>
                <w:rFonts w:ascii="宋体" w:hAnsi="宋体" w:cs="宋体"/>
                <w:color w:val="auto"/>
                <w:szCs w:val="21"/>
                <w:highlight w:val="none"/>
              </w:rPr>
            </w:pPr>
            <w:r>
              <w:rPr>
                <w:rFonts w:ascii="宋体" w:hAnsi="宋体" w:cs="宋体"/>
                <w:color w:val="auto"/>
                <w:szCs w:val="21"/>
                <w:highlight w:val="none"/>
              </w:rPr>
              <w:t>软件集成技术服务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2"/>
              <w:topLinePunct/>
              <w:adjustRightInd w:val="0"/>
              <w:snapToGrid w:val="0"/>
              <w:spacing w:line="320" w:lineRule="exact"/>
              <w:ind w:firstLine="0" w:firstLineChars="0"/>
              <w:jc w:val="left"/>
              <w:rPr>
                <w:rFonts w:ascii="宋体" w:hAnsi="宋体" w:cs="宋体"/>
                <w:color w:val="auto"/>
                <w:szCs w:val="21"/>
                <w:highlight w:val="none"/>
              </w:rPr>
            </w:pPr>
            <w:r>
              <w:rPr>
                <w:rFonts w:ascii="宋体" w:hAnsi="宋体" w:cs="宋体"/>
                <w:color w:val="auto"/>
                <w:szCs w:val="21"/>
                <w:highlight w:val="none"/>
              </w:rPr>
              <w:t>根据基于云原生架构的数据驱动能力体系平台接入要求，将以上软件模块封装成标准组件，并部署到我方指定的运行环境，实现与平台的集成。</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opLinePunct/>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611" w:hRule="atLeast"/>
          <w:jc w:val="center"/>
        </w:trPr>
        <w:tc>
          <w:tcPr>
            <w:tcW w:w="80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总价（元）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p>
        </w:tc>
      </w:tr>
    </w:tbl>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00"/>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21</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10</w: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520" w:h="235" w:hRule="exact" w:wrap="around" w:vAnchor="text" w:hAnchor="page" w:x="6073" w:y="-2"/>
      <w:rPr>
        <w:rStyle w:val="26"/>
      </w:rPr>
    </w:pPr>
    <w:r>
      <w:fldChar w:fldCharType="begin"/>
    </w:r>
    <w:r>
      <w:rPr>
        <w:rStyle w:val="26"/>
      </w:rPr>
      <w:instrText xml:space="preserve">PAGE  </w:instrText>
    </w:r>
    <w:r>
      <w:fldChar w:fldCharType="separate"/>
    </w:r>
    <w:r>
      <w:rPr>
        <w:rStyle w:val="26"/>
      </w:rPr>
      <w:t>73</w:t>
    </w:r>
    <w:r>
      <w:fldChar w:fldCharType="end"/>
    </w:r>
  </w:p>
  <w:p>
    <w:pPr>
      <w:pStyle w:val="13"/>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520" w:h="235" w:hRule="exact" w:wrap="around" w:vAnchor="text" w:hAnchor="page" w:x="6073" w:y="-2"/>
      <w:rPr>
        <w:rStyle w:val="26"/>
      </w:rPr>
    </w:pPr>
    <w:r>
      <w:fldChar w:fldCharType="begin"/>
    </w:r>
    <w:r>
      <w:rPr>
        <w:rStyle w:val="26"/>
      </w:rPr>
      <w:instrText xml:space="preserve">PAGE  </w:instrText>
    </w:r>
    <w:r>
      <w:fldChar w:fldCharType="separate"/>
    </w:r>
    <w:r>
      <w:rPr>
        <w:rStyle w:val="26"/>
      </w:rPr>
      <w:t>19</w:t>
    </w:r>
    <w:r>
      <w:fldChar w:fldCharType="end"/>
    </w:r>
  </w:p>
  <w:p>
    <w:pPr>
      <w:pStyle w:val="13"/>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520" w:h="235" w:hRule="exact" w:wrap="around" w:vAnchor="text" w:hAnchor="page" w:x="6073" w:y="-2"/>
      <w:rPr>
        <w:rStyle w:val="26"/>
      </w:rPr>
    </w:pPr>
    <w:r>
      <w:fldChar w:fldCharType="begin"/>
    </w:r>
    <w:r>
      <w:rPr>
        <w:rStyle w:val="26"/>
      </w:rPr>
      <w:instrText xml:space="preserve">PAGE  </w:instrText>
    </w:r>
    <w:r>
      <w:fldChar w:fldCharType="separate"/>
    </w:r>
    <w:r>
      <w:rPr>
        <w:rStyle w:val="26"/>
      </w:rPr>
      <w:t>23</w:t>
    </w:r>
    <w:r>
      <w:fldChar w:fldCharType="end"/>
    </w:r>
  </w:p>
  <w:p>
    <w:pPr>
      <w:pStyle w:val="13"/>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6"/>
                            </w:rPr>
                          </w:pPr>
                          <w:r>
                            <w:fldChar w:fldCharType="begin"/>
                          </w:r>
                          <w:r>
                            <w:rPr>
                              <w:rStyle w:val="26"/>
                            </w:rPr>
                            <w:instrText xml:space="preserve">PAGE  </w:instrText>
                          </w:r>
                          <w:r>
                            <w:fldChar w:fldCharType="separate"/>
                          </w:r>
                          <w:r>
                            <w:rPr>
                              <w:rStyle w:val="26"/>
                            </w:rPr>
                            <w:t>35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3"/>
                      <w:rPr>
                        <w:rStyle w:val="26"/>
                      </w:rPr>
                    </w:pPr>
                    <w:r>
                      <w:fldChar w:fldCharType="begin"/>
                    </w:r>
                    <w:r>
                      <w:rPr>
                        <w:rStyle w:val="26"/>
                      </w:rPr>
                      <w:instrText xml:space="preserve">PAGE  </w:instrText>
                    </w:r>
                    <w:r>
                      <w:fldChar w:fldCharType="separate"/>
                    </w:r>
                    <w:r>
                      <w:rPr>
                        <w:rStyle w:val="26"/>
                      </w:rP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FEA34"/>
    <w:multiLevelType w:val="singleLevel"/>
    <w:tmpl w:val="9EDFEA34"/>
    <w:lvl w:ilvl="0" w:tentative="0">
      <w:start w:val="2"/>
      <w:numFmt w:val="decimal"/>
      <w:suff w:val="space"/>
      <w:lvlText w:val="%1."/>
      <w:lvlJc w:val="left"/>
    </w:lvl>
  </w:abstractNum>
  <w:abstractNum w:abstractNumId="1">
    <w:nsid w:val="C43A48B3"/>
    <w:multiLevelType w:val="singleLevel"/>
    <w:tmpl w:val="C43A48B3"/>
    <w:lvl w:ilvl="0" w:tentative="0">
      <w:start w:val="7"/>
      <w:numFmt w:val="chineseCounting"/>
      <w:suff w:val="space"/>
      <w:lvlText w:val="第%1章"/>
      <w:lvlJc w:val="left"/>
      <w:rPr>
        <w:rFonts w:hint="eastAsia"/>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abstractNum w:abstractNumId="3">
    <w:nsid w:val="4EF2F49F"/>
    <w:multiLevelType w:val="singleLevel"/>
    <w:tmpl w:val="4EF2F49F"/>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YTFmMzM1NDdmMjIxY2Q3N2M0YzM5MGY4MzIxODAifQ=="/>
  </w:docVars>
  <w:rsids>
    <w:rsidRoot w:val="40562453"/>
    <w:rsid w:val="0006302A"/>
    <w:rsid w:val="000707AD"/>
    <w:rsid w:val="000A4785"/>
    <w:rsid w:val="000A7F99"/>
    <w:rsid w:val="000D047B"/>
    <w:rsid w:val="000F11E1"/>
    <w:rsid w:val="000F3CE7"/>
    <w:rsid w:val="001117C3"/>
    <w:rsid w:val="001170F1"/>
    <w:rsid w:val="001327EE"/>
    <w:rsid w:val="00132EB6"/>
    <w:rsid w:val="00157CEF"/>
    <w:rsid w:val="00170D68"/>
    <w:rsid w:val="00196BF4"/>
    <w:rsid w:val="001E0094"/>
    <w:rsid w:val="001F0BCD"/>
    <w:rsid w:val="00201334"/>
    <w:rsid w:val="00244E1D"/>
    <w:rsid w:val="00264ECC"/>
    <w:rsid w:val="002677EA"/>
    <w:rsid w:val="00290864"/>
    <w:rsid w:val="00293656"/>
    <w:rsid w:val="002B3CB1"/>
    <w:rsid w:val="002C63A7"/>
    <w:rsid w:val="002D10AF"/>
    <w:rsid w:val="002E23F1"/>
    <w:rsid w:val="00356592"/>
    <w:rsid w:val="003851E2"/>
    <w:rsid w:val="00385CCD"/>
    <w:rsid w:val="003B0884"/>
    <w:rsid w:val="003C196B"/>
    <w:rsid w:val="003D09CF"/>
    <w:rsid w:val="00427223"/>
    <w:rsid w:val="004303C0"/>
    <w:rsid w:val="00432083"/>
    <w:rsid w:val="00437B5F"/>
    <w:rsid w:val="0045037C"/>
    <w:rsid w:val="00457105"/>
    <w:rsid w:val="00474916"/>
    <w:rsid w:val="0048764D"/>
    <w:rsid w:val="00490C75"/>
    <w:rsid w:val="004E49A0"/>
    <w:rsid w:val="005107EC"/>
    <w:rsid w:val="005141EE"/>
    <w:rsid w:val="005216E6"/>
    <w:rsid w:val="00534428"/>
    <w:rsid w:val="0054033C"/>
    <w:rsid w:val="00543A9A"/>
    <w:rsid w:val="00562C5A"/>
    <w:rsid w:val="00584E38"/>
    <w:rsid w:val="005C71D5"/>
    <w:rsid w:val="006102C8"/>
    <w:rsid w:val="00615033"/>
    <w:rsid w:val="00631609"/>
    <w:rsid w:val="00640C08"/>
    <w:rsid w:val="006636CA"/>
    <w:rsid w:val="00667F71"/>
    <w:rsid w:val="00680DDD"/>
    <w:rsid w:val="00694F70"/>
    <w:rsid w:val="006A785B"/>
    <w:rsid w:val="006B3521"/>
    <w:rsid w:val="006C5AFA"/>
    <w:rsid w:val="006E2739"/>
    <w:rsid w:val="006E3B8D"/>
    <w:rsid w:val="006E716C"/>
    <w:rsid w:val="007060F8"/>
    <w:rsid w:val="007354ED"/>
    <w:rsid w:val="00777309"/>
    <w:rsid w:val="007A23C3"/>
    <w:rsid w:val="007A697B"/>
    <w:rsid w:val="007B2542"/>
    <w:rsid w:val="007D1FA3"/>
    <w:rsid w:val="00801AA2"/>
    <w:rsid w:val="00814193"/>
    <w:rsid w:val="00840D25"/>
    <w:rsid w:val="00862BD3"/>
    <w:rsid w:val="00873C51"/>
    <w:rsid w:val="00874518"/>
    <w:rsid w:val="00875A86"/>
    <w:rsid w:val="008B06D4"/>
    <w:rsid w:val="008B4DDC"/>
    <w:rsid w:val="008C6773"/>
    <w:rsid w:val="008D26CC"/>
    <w:rsid w:val="00907853"/>
    <w:rsid w:val="009321C3"/>
    <w:rsid w:val="0093364F"/>
    <w:rsid w:val="009377AC"/>
    <w:rsid w:val="009418DA"/>
    <w:rsid w:val="00965004"/>
    <w:rsid w:val="00965520"/>
    <w:rsid w:val="009740D1"/>
    <w:rsid w:val="009928FB"/>
    <w:rsid w:val="009E22EB"/>
    <w:rsid w:val="00A05A36"/>
    <w:rsid w:val="00A4080C"/>
    <w:rsid w:val="00A65E99"/>
    <w:rsid w:val="00A71246"/>
    <w:rsid w:val="00A73546"/>
    <w:rsid w:val="00A85C6F"/>
    <w:rsid w:val="00AB4795"/>
    <w:rsid w:val="00AD0ACC"/>
    <w:rsid w:val="00AD528A"/>
    <w:rsid w:val="00AD5DF3"/>
    <w:rsid w:val="00AD71F2"/>
    <w:rsid w:val="00AE187B"/>
    <w:rsid w:val="00AF3FF0"/>
    <w:rsid w:val="00B24B3C"/>
    <w:rsid w:val="00B256D6"/>
    <w:rsid w:val="00B478E4"/>
    <w:rsid w:val="00B51AC6"/>
    <w:rsid w:val="00B61E22"/>
    <w:rsid w:val="00B70984"/>
    <w:rsid w:val="00BA6335"/>
    <w:rsid w:val="00BD02FF"/>
    <w:rsid w:val="00BD0BC0"/>
    <w:rsid w:val="00BD4DC4"/>
    <w:rsid w:val="00BD6DB8"/>
    <w:rsid w:val="00C11C55"/>
    <w:rsid w:val="00C23C76"/>
    <w:rsid w:val="00C4588D"/>
    <w:rsid w:val="00C5061E"/>
    <w:rsid w:val="00C64455"/>
    <w:rsid w:val="00C67E77"/>
    <w:rsid w:val="00C67F76"/>
    <w:rsid w:val="00C7139F"/>
    <w:rsid w:val="00C85330"/>
    <w:rsid w:val="00D3747E"/>
    <w:rsid w:val="00D46C59"/>
    <w:rsid w:val="00D51A9A"/>
    <w:rsid w:val="00D57E21"/>
    <w:rsid w:val="00D70EC9"/>
    <w:rsid w:val="00D713E0"/>
    <w:rsid w:val="00D82C75"/>
    <w:rsid w:val="00DA0864"/>
    <w:rsid w:val="00E001F0"/>
    <w:rsid w:val="00E16697"/>
    <w:rsid w:val="00E3403F"/>
    <w:rsid w:val="00E36015"/>
    <w:rsid w:val="00E37D8E"/>
    <w:rsid w:val="00E47480"/>
    <w:rsid w:val="00E50046"/>
    <w:rsid w:val="00E67ED5"/>
    <w:rsid w:val="00E71557"/>
    <w:rsid w:val="00E72B7E"/>
    <w:rsid w:val="00E94C90"/>
    <w:rsid w:val="00EA6B66"/>
    <w:rsid w:val="00EB7B0D"/>
    <w:rsid w:val="00EC7509"/>
    <w:rsid w:val="00ED2D7F"/>
    <w:rsid w:val="00ED3DFF"/>
    <w:rsid w:val="00EF0FD9"/>
    <w:rsid w:val="00EF234C"/>
    <w:rsid w:val="00EF6E1E"/>
    <w:rsid w:val="00F01130"/>
    <w:rsid w:val="00F24B5B"/>
    <w:rsid w:val="00F44F5F"/>
    <w:rsid w:val="00F464C3"/>
    <w:rsid w:val="00F546A3"/>
    <w:rsid w:val="00F70D30"/>
    <w:rsid w:val="00F838DB"/>
    <w:rsid w:val="00FC17A1"/>
    <w:rsid w:val="00FC408A"/>
    <w:rsid w:val="00FD6D9B"/>
    <w:rsid w:val="00FE0EE1"/>
    <w:rsid w:val="00FF1183"/>
    <w:rsid w:val="01103368"/>
    <w:rsid w:val="01B74972"/>
    <w:rsid w:val="02FA0434"/>
    <w:rsid w:val="033216A2"/>
    <w:rsid w:val="048F2C39"/>
    <w:rsid w:val="05506B2F"/>
    <w:rsid w:val="055C337C"/>
    <w:rsid w:val="060D37AF"/>
    <w:rsid w:val="077D719C"/>
    <w:rsid w:val="07C52E34"/>
    <w:rsid w:val="07E5409F"/>
    <w:rsid w:val="08C663D4"/>
    <w:rsid w:val="090977DD"/>
    <w:rsid w:val="09447A34"/>
    <w:rsid w:val="0A1E5C91"/>
    <w:rsid w:val="0A693330"/>
    <w:rsid w:val="0A7D16CE"/>
    <w:rsid w:val="0B1A4809"/>
    <w:rsid w:val="0B602F55"/>
    <w:rsid w:val="0C132AFC"/>
    <w:rsid w:val="0CCE6579"/>
    <w:rsid w:val="0D8F61CA"/>
    <w:rsid w:val="0D964FF2"/>
    <w:rsid w:val="0D993FB0"/>
    <w:rsid w:val="0DE07B59"/>
    <w:rsid w:val="0E393859"/>
    <w:rsid w:val="0E3B58C3"/>
    <w:rsid w:val="0EA57CDD"/>
    <w:rsid w:val="0EC73541"/>
    <w:rsid w:val="10343BF8"/>
    <w:rsid w:val="10A44CAE"/>
    <w:rsid w:val="10E943BC"/>
    <w:rsid w:val="1250098C"/>
    <w:rsid w:val="125C66E7"/>
    <w:rsid w:val="13223B44"/>
    <w:rsid w:val="13573D7A"/>
    <w:rsid w:val="141A6BA3"/>
    <w:rsid w:val="1433393F"/>
    <w:rsid w:val="14896D52"/>
    <w:rsid w:val="15EA5356"/>
    <w:rsid w:val="16A73CEF"/>
    <w:rsid w:val="17AC5EFC"/>
    <w:rsid w:val="18331236"/>
    <w:rsid w:val="187C5B16"/>
    <w:rsid w:val="18A35434"/>
    <w:rsid w:val="18C96881"/>
    <w:rsid w:val="18FB3376"/>
    <w:rsid w:val="197E141A"/>
    <w:rsid w:val="19C679E0"/>
    <w:rsid w:val="1A1717FA"/>
    <w:rsid w:val="1A3299E7"/>
    <w:rsid w:val="1A8C400A"/>
    <w:rsid w:val="1AFD0644"/>
    <w:rsid w:val="1CAB253E"/>
    <w:rsid w:val="1CB25FAA"/>
    <w:rsid w:val="1CBE3220"/>
    <w:rsid w:val="1CEE24ED"/>
    <w:rsid w:val="1CFD7C36"/>
    <w:rsid w:val="1D8B5B65"/>
    <w:rsid w:val="1DAF6D5D"/>
    <w:rsid w:val="1DBB4B97"/>
    <w:rsid w:val="1F0614F2"/>
    <w:rsid w:val="1F4934E4"/>
    <w:rsid w:val="1F6752DC"/>
    <w:rsid w:val="1F7C313E"/>
    <w:rsid w:val="1FBF03F0"/>
    <w:rsid w:val="1FCB7587"/>
    <w:rsid w:val="20031B05"/>
    <w:rsid w:val="216D4BF6"/>
    <w:rsid w:val="218C0355"/>
    <w:rsid w:val="21D97A24"/>
    <w:rsid w:val="221B2A67"/>
    <w:rsid w:val="22A86A88"/>
    <w:rsid w:val="22BC4191"/>
    <w:rsid w:val="22E44999"/>
    <w:rsid w:val="22E87B5F"/>
    <w:rsid w:val="23805560"/>
    <w:rsid w:val="23F67C94"/>
    <w:rsid w:val="243B2F6E"/>
    <w:rsid w:val="2641214D"/>
    <w:rsid w:val="268C6184"/>
    <w:rsid w:val="26D63897"/>
    <w:rsid w:val="272F1925"/>
    <w:rsid w:val="27814E36"/>
    <w:rsid w:val="28845C8E"/>
    <w:rsid w:val="289861F3"/>
    <w:rsid w:val="299C149B"/>
    <w:rsid w:val="29C42E79"/>
    <w:rsid w:val="29D51C23"/>
    <w:rsid w:val="29D62BAC"/>
    <w:rsid w:val="29D873B1"/>
    <w:rsid w:val="29FF9F1D"/>
    <w:rsid w:val="2A103287"/>
    <w:rsid w:val="2A9144DF"/>
    <w:rsid w:val="2AC50370"/>
    <w:rsid w:val="2AF05EFB"/>
    <w:rsid w:val="2B013C59"/>
    <w:rsid w:val="2B7F1563"/>
    <w:rsid w:val="2BA8559F"/>
    <w:rsid w:val="2C552E35"/>
    <w:rsid w:val="2CBD83B1"/>
    <w:rsid w:val="2DF53829"/>
    <w:rsid w:val="2E463ABE"/>
    <w:rsid w:val="2F072CF9"/>
    <w:rsid w:val="2F927AAF"/>
    <w:rsid w:val="302047D7"/>
    <w:rsid w:val="30815042"/>
    <w:rsid w:val="318206FC"/>
    <w:rsid w:val="31C64AB1"/>
    <w:rsid w:val="31FB7654"/>
    <w:rsid w:val="325356E2"/>
    <w:rsid w:val="32CB318E"/>
    <w:rsid w:val="33182487"/>
    <w:rsid w:val="338C1033"/>
    <w:rsid w:val="339441CF"/>
    <w:rsid w:val="33AF0723"/>
    <w:rsid w:val="33C6271F"/>
    <w:rsid w:val="33FB61D0"/>
    <w:rsid w:val="343E5272"/>
    <w:rsid w:val="34473D81"/>
    <w:rsid w:val="345179FF"/>
    <w:rsid w:val="35472BB0"/>
    <w:rsid w:val="35705DCF"/>
    <w:rsid w:val="360B60DB"/>
    <w:rsid w:val="369C3A80"/>
    <w:rsid w:val="371116F1"/>
    <w:rsid w:val="377313B5"/>
    <w:rsid w:val="37A14E61"/>
    <w:rsid w:val="37D026C8"/>
    <w:rsid w:val="37F214F9"/>
    <w:rsid w:val="382805C6"/>
    <w:rsid w:val="38727317"/>
    <w:rsid w:val="38EB5754"/>
    <w:rsid w:val="38FD0B34"/>
    <w:rsid w:val="3911775D"/>
    <w:rsid w:val="39277C8A"/>
    <w:rsid w:val="392A1279"/>
    <w:rsid w:val="39952550"/>
    <w:rsid w:val="3B1E244D"/>
    <w:rsid w:val="3BA2510C"/>
    <w:rsid w:val="3BAE2F93"/>
    <w:rsid w:val="3BCE533C"/>
    <w:rsid w:val="3C065E33"/>
    <w:rsid w:val="3C3145CE"/>
    <w:rsid w:val="3C443027"/>
    <w:rsid w:val="3D686E3F"/>
    <w:rsid w:val="3E8679F3"/>
    <w:rsid w:val="3EB82ED9"/>
    <w:rsid w:val="3F640884"/>
    <w:rsid w:val="3FED6E84"/>
    <w:rsid w:val="40207DC4"/>
    <w:rsid w:val="40562453"/>
    <w:rsid w:val="40582115"/>
    <w:rsid w:val="40606BAD"/>
    <w:rsid w:val="40FD668D"/>
    <w:rsid w:val="410E3E10"/>
    <w:rsid w:val="41317ABC"/>
    <w:rsid w:val="4153517C"/>
    <w:rsid w:val="41632342"/>
    <w:rsid w:val="41C841CE"/>
    <w:rsid w:val="42095CD1"/>
    <w:rsid w:val="421D53C4"/>
    <w:rsid w:val="42FA0482"/>
    <w:rsid w:val="431D401F"/>
    <w:rsid w:val="43F87E97"/>
    <w:rsid w:val="444C419C"/>
    <w:rsid w:val="44845974"/>
    <w:rsid w:val="449D5083"/>
    <w:rsid w:val="44AB792B"/>
    <w:rsid w:val="45913036"/>
    <w:rsid w:val="46C2478C"/>
    <w:rsid w:val="47371FC7"/>
    <w:rsid w:val="478A6F17"/>
    <w:rsid w:val="47F5DAEB"/>
    <w:rsid w:val="48123D9C"/>
    <w:rsid w:val="48307A3B"/>
    <w:rsid w:val="483D78A3"/>
    <w:rsid w:val="486B440C"/>
    <w:rsid w:val="498034A5"/>
    <w:rsid w:val="4A5219AA"/>
    <w:rsid w:val="4A6D0E1C"/>
    <w:rsid w:val="4A77137D"/>
    <w:rsid w:val="4ADF47D6"/>
    <w:rsid w:val="4B717EB6"/>
    <w:rsid w:val="4C074E5C"/>
    <w:rsid w:val="4C373098"/>
    <w:rsid w:val="4C8524E4"/>
    <w:rsid w:val="4D2C5ABB"/>
    <w:rsid w:val="4D317F76"/>
    <w:rsid w:val="4DEC0901"/>
    <w:rsid w:val="4DF51D19"/>
    <w:rsid w:val="4E01203E"/>
    <w:rsid w:val="4EBE2B69"/>
    <w:rsid w:val="4F2A68EE"/>
    <w:rsid w:val="4F2F3164"/>
    <w:rsid w:val="4F9E1ABE"/>
    <w:rsid w:val="4FAE3D60"/>
    <w:rsid w:val="500135C9"/>
    <w:rsid w:val="501A21FF"/>
    <w:rsid w:val="509E4783"/>
    <w:rsid w:val="50EA0B67"/>
    <w:rsid w:val="51244DF0"/>
    <w:rsid w:val="51765DA8"/>
    <w:rsid w:val="51A23DC6"/>
    <w:rsid w:val="51AE63EB"/>
    <w:rsid w:val="51BA67E3"/>
    <w:rsid w:val="51D51818"/>
    <w:rsid w:val="52DC6B37"/>
    <w:rsid w:val="53861634"/>
    <w:rsid w:val="54D636F5"/>
    <w:rsid w:val="55261643"/>
    <w:rsid w:val="559FFFEA"/>
    <w:rsid w:val="55B26AC6"/>
    <w:rsid w:val="55B65E31"/>
    <w:rsid w:val="56233576"/>
    <w:rsid w:val="565A6E77"/>
    <w:rsid w:val="569A4274"/>
    <w:rsid w:val="58424522"/>
    <w:rsid w:val="587A1119"/>
    <w:rsid w:val="595606C3"/>
    <w:rsid w:val="5964211A"/>
    <w:rsid w:val="598C3505"/>
    <w:rsid w:val="5A5C300D"/>
    <w:rsid w:val="5A5E54E9"/>
    <w:rsid w:val="5A623871"/>
    <w:rsid w:val="5AB056BB"/>
    <w:rsid w:val="5B0A122A"/>
    <w:rsid w:val="5B696055"/>
    <w:rsid w:val="5B9625EC"/>
    <w:rsid w:val="5BD11749"/>
    <w:rsid w:val="5C1472E8"/>
    <w:rsid w:val="5CEC43FE"/>
    <w:rsid w:val="5D693538"/>
    <w:rsid w:val="5D8F03E6"/>
    <w:rsid w:val="5DC21A60"/>
    <w:rsid w:val="5E3E0745"/>
    <w:rsid w:val="5F497D13"/>
    <w:rsid w:val="5F667D46"/>
    <w:rsid w:val="5FCC661E"/>
    <w:rsid w:val="5FD650D9"/>
    <w:rsid w:val="5FF27AE1"/>
    <w:rsid w:val="5FFA6573"/>
    <w:rsid w:val="5FFF12BD"/>
    <w:rsid w:val="607B064C"/>
    <w:rsid w:val="60DE22A3"/>
    <w:rsid w:val="613735AE"/>
    <w:rsid w:val="61542052"/>
    <w:rsid w:val="61C62EC2"/>
    <w:rsid w:val="6245633B"/>
    <w:rsid w:val="627D665A"/>
    <w:rsid w:val="62AF64DB"/>
    <w:rsid w:val="62DD22DA"/>
    <w:rsid w:val="62FD557A"/>
    <w:rsid w:val="634548A5"/>
    <w:rsid w:val="63485E56"/>
    <w:rsid w:val="63D95197"/>
    <w:rsid w:val="64671A02"/>
    <w:rsid w:val="64FC134F"/>
    <w:rsid w:val="65BA194B"/>
    <w:rsid w:val="66091FA1"/>
    <w:rsid w:val="661D040C"/>
    <w:rsid w:val="67E1553D"/>
    <w:rsid w:val="67F9CB8C"/>
    <w:rsid w:val="68ED60B6"/>
    <w:rsid w:val="690E546B"/>
    <w:rsid w:val="6AB53B3C"/>
    <w:rsid w:val="6AEF1CE7"/>
    <w:rsid w:val="6AF66C20"/>
    <w:rsid w:val="6B867CDB"/>
    <w:rsid w:val="6C172D01"/>
    <w:rsid w:val="6CAD1C5A"/>
    <w:rsid w:val="6CE73B06"/>
    <w:rsid w:val="6E382763"/>
    <w:rsid w:val="6E6A7525"/>
    <w:rsid w:val="6EB7B25B"/>
    <w:rsid w:val="6F35282D"/>
    <w:rsid w:val="6F971891"/>
    <w:rsid w:val="6FD76303"/>
    <w:rsid w:val="700417EE"/>
    <w:rsid w:val="703E64E3"/>
    <w:rsid w:val="707929C1"/>
    <w:rsid w:val="70BD7F95"/>
    <w:rsid w:val="70CE474E"/>
    <w:rsid w:val="7139707D"/>
    <w:rsid w:val="719A09DE"/>
    <w:rsid w:val="72170CD9"/>
    <w:rsid w:val="730C0A49"/>
    <w:rsid w:val="73A81DB5"/>
    <w:rsid w:val="73CB47CA"/>
    <w:rsid w:val="742B542B"/>
    <w:rsid w:val="744675ED"/>
    <w:rsid w:val="74733A52"/>
    <w:rsid w:val="755748DA"/>
    <w:rsid w:val="755D644F"/>
    <w:rsid w:val="76467211"/>
    <w:rsid w:val="76770A05"/>
    <w:rsid w:val="767A0FBD"/>
    <w:rsid w:val="773504DF"/>
    <w:rsid w:val="77400C32"/>
    <w:rsid w:val="775A0916"/>
    <w:rsid w:val="780515CF"/>
    <w:rsid w:val="780C30AD"/>
    <w:rsid w:val="78182ECC"/>
    <w:rsid w:val="782B4CE1"/>
    <w:rsid w:val="783D79DF"/>
    <w:rsid w:val="788D289B"/>
    <w:rsid w:val="789B398A"/>
    <w:rsid w:val="78D43970"/>
    <w:rsid w:val="78E1748A"/>
    <w:rsid w:val="793F2C89"/>
    <w:rsid w:val="79A24936"/>
    <w:rsid w:val="79BE4DC5"/>
    <w:rsid w:val="79D6185E"/>
    <w:rsid w:val="79F4531C"/>
    <w:rsid w:val="7A716688"/>
    <w:rsid w:val="7AB6702C"/>
    <w:rsid w:val="7AC44CB6"/>
    <w:rsid w:val="7B875081"/>
    <w:rsid w:val="7BFDCC28"/>
    <w:rsid w:val="7C36570A"/>
    <w:rsid w:val="7C3A66A0"/>
    <w:rsid w:val="7C4D5F14"/>
    <w:rsid w:val="7C8B0BA1"/>
    <w:rsid w:val="7CDC4FC8"/>
    <w:rsid w:val="7CF20F04"/>
    <w:rsid w:val="7D051F47"/>
    <w:rsid w:val="7DC72008"/>
    <w:rsid w:val="7E1965C9"/>
    <w:rsid w:val="7E484F9C"/>
    <w:rsid w:val="7E83682B"/>
    <w:rsid w:val="7EEA0494"/>
    <w:rsid w:val="7F604826"/>
    <w:rsid w:val="7FB7532B"/>
    <w:rsid w:val="7FEF52F1"/>
    <w:rsid w:val="96E76D70"/>
    <w:rsid w:val="9EBFC078"/>
    <w:rsid w:val="B79C441C"/>
    <w:rsid w:val="BDFBE00E"/>
    <w:rsid w:val="DBBB183E"/>
    <w:rsid w:val="DDBB2049"/>
    <w:rsid w:val="DEBFBDC4"/>
    <w:rsid w:val="DEF742C1"/>
    <w:rsid w:val="DF87F0D3"/>
    <w:rsid w:val="DFB74473"/>
    <w:rsid w:val="E77EE9E0"/>
    <w:rsid w:val="EADB70BD"/>
    <w:rsid w:val="EBFC7FCD"/>
    <w:rsid w:val="EEDD159D"/>
    <w:rsid w:val="EFB75A37"/>
    <w:rsid w:val="EFDDEDB7"/>
    <w:rsid w:val="F3DE7D07"/>
    <w:rsid w:val="F5F76682"/>
    <w:rsid w:val="F7F5207B"/>
    <w:rsid w:val="FA2F0A56"/>
    <w:rsid w:val="FB37CDEE"/>
    <w:rsid w:val="FB3E8DDF"/>
    <w:rsid w:val="FBFF393D"/>
    <w:rsid w:val="FE4FB172"/>
    <w:rsid w:val="FFC38E11"/>
    <w:rsid w:val="FFEEC754"/>
    <w:rsid w:val="FFF7A8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8">
    <w:name w:val="Normal Indent"/>
    <w:basedOn w:val="1"/>
    <w:qFormat/>
    <w:uiPriority w:val="0"/>
    <w:pPr>
      <w:ind w:firstLine="420" w:firstLineChars="200"/>
    </w:pPr>
  </w:style>
  <w:style w:type="paragraph" w:styleId="9">
    <w:name w:val="annotation text"/>
    <w:basedOn w:val="1"/>
    <w:link w:val="38"/>
    <w:qFormat/>
    <w:uiPriority w:val="0"/>
    <w:pPr>
      <w:jc w:val="left"/>
    </w:pPr>
  </w:style>
  <w:style w:type="paragraph" w:styleId="10">
    <w:name w:val="Body Text Indent"/>
    <w:basedOn w:val="1"/>
    <w:next w:val="11"/>
    <w:qFormat/>
    <w:uiPriority w:val="0"/>
    <w:pPr>
      <w:spacing w:after="120"/>
      <w:ind w:left="420" w:leftChars="200"/>
    </w:pPr>
    <w:rPr>
      <w:kern w:val="0"/>
      <w:sz w:val="20"/>
    </w:rPr>
  </w:style>
  <w:style w:type="paragraph" w:styleId="11">
    <w:name w:val="envelope return"/>
    <w:basedOn w:val="1"/>
    <w:unhideWhenUsed/>
    <w:qFormat/>
    <w:uiPriority w:val="99"/>
    <w:pPr>
      <w:snapToGrid w:val="0"/>
    </w:pPr>
    <w:rPr>
      <w:rFonts w:ascii="Arial" w:hAnsi="Arial" w:cs="Arial"/>
    </w:rPr>
  </w:style>
  <w:style w:type="paragraph" w:styleId="12">
    <w:name w:val="Balloon Text"/>
    <w:basedOn w:val="1"/>
    <w:link w:val="37"/>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spacing w:before="120" w:after="120"/>
      <w:jc w:val="left"/>
    </w:pPr>
    <w:rPr>
      <w:rFonts w:ascii="Calibri" w:hAnsi="Calibri"/>
      <w:b/>
      <w:bCs/>
      <w:caps/>
      <w:sz w:val="20"/>
      <w:szCs w:val="20"/>
    </w:rPr>
  </w:style>
  <w:style w:type="paragraph" w:styleId="16">
    <w:name w:val="toc 2"/>
    <w:basedOn w:val="1"/>
    <w:next w:val="1"/>
    <w:qFormat/>
    <w:uiPriority w:val="39"/>
    <w:pPr>
      <w:ind w:left="210"/>
      <w:jc w:val="left"/>
    </w:pPr>
    <w:rPr>
      <w:rFonts w:ascii="Calibri" w:hAnsi="Calibri"/>
      <w:smallCaps/>
      <w:sz w:val="20"/>
      <w:szCs w:val="20"/>
    </w:rPr>
  </w:style>
  <w:style w:type="paragraph" w:styleId="17">
    <w:name w:val="Body Text 2"/>
    <w:basedOn w:val="1"/>
    <w:unhideWhenUsed/>
    <w:qFormat/>
    <w:uiPriority w:val="99"/>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pPr>
      <w:spacing w:line="360" w:lineRule="auto"/>
      <w:jc w:val="center"/>
    </w:pPr>
    <w:rPr>
      <w:rFonts w:ascii="宋体" w:hAnsi="Arial" w:cs="Arial"/>
      <w:b/>
      <w:color w:val="000000"/>
      <w:sz w:val="24"/>
    </w:rPr>
  </w:style>
  <w:style w:type="paragraph" w:styleId="20">
    <w:name w:val="annotation subject"/>
    <w:basedOn w:val="9"/>
    <w:next w:val="9"/>
    <w:link w:val="39"/>
    <w:qFormat/>
    <w:uiPriority w:val="0"/>
    <w:rPr>
      <w:b/>
      <w:bCs/>
    </w:rPr>
  </w:style>
  <w:style w:type="paragraph" w:styleId="21">
    <w:name w:val="Body Text First Indent"/>
    <w:basedOn w:val="2"/>
    <w:qFormat/>
    <w:uiPriority w:val="0"/>
    <w:pPr>
      <w:ind w:firstLine="420" w:firstLineChars="100"/>
    </w:pPr>
    <w:rPr>
      <w:rFonts w:ascii="Calibri" w:hAnsi="Calibri" w:eastAsia="方正仿宋_GBK"/>
      <w:sz w:val="32"/>
      <w:szCs w:val="20"/>
    </w:rPr>
  </w:style>
  <w:style w:type="paragraph" w:styleId="22">
    <w:name w:val="Body Text First Indent 2"/>
    <w:basedOn w:val="10"/>
    <w:next w:val="1"/>
    <w:unhideWhenUsed/>
    <w:qFormat/>
    <w:uiPriority w:val="0"/>
    <w:pPr>
      <w:ind w:firstLine="420"/>
    </w:pPr>
  </w:style>
  <w:style w:type="table" w:styleId="24">
    <w:name w:val="Table Grid"/>
    <w:basedOn w:val="2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annotation reference"/>
    <w:basedOn w:val="25"/>
    <w:qFormat/>
    <w:uiPriority w:val="0"/>
    <w:rPr>
      <w:sz w:val="21"/>
      <w:szCs w:val="21"/>
    </w:rPr>
  </w:style>
  <w:style w:type="paragraph" w:customStyle="1" w:styleId="28">
    <w:name w:val="font10"/>
    <w:basedOn w:val="1"/>
    <w:qFormat/>
    <w:uiPriority w:val="0"/>
    <w:pPr>
      <w:widowControl/>
      <w:spacing w:before="100" w:beforeAutospacing="1" w:after="100" w:afterAutospacing="1"/>
      <w:jc w:val="left"/>
    </w:pPr>
    <w:rPr>
      <w:kern w:val="0"/>
      <w:sz w:val="28"/>
      <w:szCs w:val="28"/>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标题 2 字符"/>
    <w:link w:val="4"/>
    <w:qFormat/>
    <w:uiPriority w:val="0"/>
    <w:rPr>
      <w:rFonts w:ascii="Arial" w:hAnsi="Arial" w:eastAsia="黑体"/>
      <w:b/>
      <w:bCs/>
      <w:kern w:val="0"/>
      <w:sz w:val="32"/>
      <w:szCs w:val="32"/>
    </w:rPr>
  </w:style>
  <w:style w:type="character" w:customStyle="1" w:styleId="31">
    <w:name w:val="标题 1 字符"/>
    <w:link w:val="3"/>
    <w:qFormat/>
    <w:uiPriority w:val="0"/>
    <w:rPr>
      <w:b/>
      <w:bCs/>
      <w:kern w:val="44"/>
      <w:sz w:val="44"/>
      <w:szCs w:val="44"/>
    </w:rPr>
  </w:style>
  <w:style w:type="paragraph" w:styleId="32">
    <w:name w:val="List Paragraph"/>
    <w:basedOn w:val="1"/>
    <w:qFormat/>
    <w:uiPriority w:val="99"/>
    <w:pPr>
      <w:ind w:firstLine="420" w:firstLineChars="200"/>
    </w:pPr>
  </w:style>
  <w:style w:type="paragraph" w:customStyle="1" w:styleId="33">
    <w:name w:val="Table Paragraph"/>
    <w:basedOn w:val="1"/>
    <w:qFormat/>
    <w:uiPriority w:val="1"/>
  </w:style>
  <w:style w:type="paragraph" w:customStyle="1" w:styleId="34">
    <w:name w:val="*正文"/>
    <w:basedOn w:val="1"/>
    <w:qFormat/>
    <w:uiPriority w:val="0"/>
    <w:pPr>
      <w:widowControl/>
      <w:ind w:firstLine="200" w:firstLineChars="200"/>
    </w:pPr>
    <w:rPr>
      <w:rFonts w:ascii="仿宋_GB2312" w:eastAsia="仿宋_GB2312" w:cstheme="minorBidi"/>
      <w:sz w:val="24"/>
      <w:szCs w:val="28"/>
    </w:rPr>
  </w:style>
  <w:style w:type="paragraph" w:customStyle="1" w:styleId="35">
    <w:name w:val="表体"/>
    <w:basedOn w:val="1"/>
    <w:next w:val="1"/>
    <w:qFormat/>
    <w:uiPriority w:val="0"/>
    <w:pPr>
      <w:snapToGrid w:val="0"/>
      <w:spacing w:line="0" w:lineRule="atLeast"/>
    </w:pPr>
    <w:rPr>
      <w:b/>
      <w:szCs w:val="20"/>
    </w:rPr>
  </w:style>
  <w:style w:type="paragraph" w:customStyle="1" w:styleId="36">
    <w:name w:val="文档正文"/>
    <w:basedOn w:val="1"/>
    <w:qFormat/>
    <w:uiPriority w:val="0"/>
    <w:pPr>
      <w:adjustRightInd w:val="0"/>
      <w:spacing w:line="480" w:lineRule="atLeast"/>
      <w:ind w:firstLine="567"/>
    </w:pPr>
    <w:rPr>
      <w:rFonts w:ascii="长城仿宋"/>
      <w:kern w:val="0"/>
      <w:sz w:val="24"/>
      <w:szCs w:val="20"/>
    </w:rPr>
  </w:style>
  <w:style w:type="character" w:customStyle="1" w:styleId="37">
    <w:name w:val="批注框文本 字符"/>
    <w:basedOn w:val="25"/>
    <w:link w:val="12"/>
    <w:qFormat/>
    <w:uiPriority w:val="0"/>
    <w:rPr>
      <w:kern w:val="2"/>
      <w:sz w:val="18"/>
      <w:szCs w:val="18"/>
    </w:rPr>
  </w:style>
  <w:style w:type="character" w:customStyle="1" w:styleId="38">
    <w:name w:val="批注文字 字符"/>
    <w:basedOn w:val="25"/>
    <w:link w:val="9"/>
    <w:qFormat/>
    <w:uiPriority w:val="0"/>
    <w:rPr>
      <w:kern w:val="2"/>
      <w:sz w:val="21"/>
      <w:szCs w:val="24"/>
    </w:rPr>
  </w:style>
  <w:style w:type="character" w:customStyle="1" w:styleId="39">
    <w:name w:val="批注主题 字符"/>
    <w:basedOn w:val="38"/>
    <w:link w:val="20"/>
    <w:qFormat/>
    <w:uiPriority w:val="0"/>
    <w:rPr>
      <w:b/>
      <w:bCs/>
      <w:kern w:val="2"/>
      <w:sz w:val="21"/>
      <w:szCs w:val="24"/>
    </w:rPr>
  </w:style>
  <w:style w:type="paragraph" w:customStyle="1" w:styleId="40">
    <w:name w:val="msolistparagraph"/>
    <w:basedOn w:val="1"/>
    <w:qFormat/>
    <w:uiPriority w:val="0"/>
    <w:pPr>
      <w:ind w:firstLine="420" w:firstLineChars="200"/>
    </w:pPr>
    <w:rPr>
      <w:rFonts w:hint="eastAsia"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E827D-D81D-4042-8C49-A372EF826A79}">
  <ds:schemaRefs/>
</ds:datastoreItem>
</file>

<file path=docProps/app.xml><?xml version="1.0" encoding="utf-8"?>
<Properties xmlns="http://schemas.openxmlformats.org/officeDocument/2006/extended-properties" xmlns:vt="http://schemas.openxmlformats.org/officeDocument/2006/docPropsVTypes">
  <Pages>39</Pages>
  <Words>16180</Words>
  <Characters>3102</Characters>
  <Lines>25</Lines>
  <Paragraphs>38</Paragraphs>
  <TotalTime>74</TotalTime>
  <ScaleCrop>false</ScaleCrop>
  <LinksUpToDate>false</LinksUpToDate>
  <CharactersWithSpaces>19244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2024-11-03T11:27:00Z</dcterms:created>
  <dc:creator>Kevin</dc:creator>
  <cp:lastModifiedBy>Kevin</cp:lastModifiedBy>
  <dcterms:modified xsi:type="dcterms:W3CDTF">2024-12-19T09:19:47Z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7ECF29CE477142FF810CD3E5C6CDE642_13</vt:lpwstr>
  </property>
</Properties>
</file>