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48"/>
          <w:szCs w:val="48"/>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2025年2月-12月总中心UPS电源及相关配套基础设施维护采购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246996898"/>
      <w:bookmarkStart w:id="2" w:name="_Toc296602400"/>
      <w:bookmarkStart w:id="3" w:name="_Toc247085669"/>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7085671"/>
      <w:bookmarkStart w:id="6" w:name="_Toc2000404"/>
      <w:bookmarkStart w:id="7" w:name="_Toc246996900"/>
      <w:bookmarkStart w:id="8" w:name="_Toc152042287"/>
      <w:bookmarkStart w:id="9" w:name="_Toc152045511"/>
      <w:bookmarkStart w:id="10" w:name="_Toc507319890"/>
      <w:bookmarkStart w:id="11" w:name="_Toc144974479"/>
      <w:bookmarkStart w:id="12" w:name="_Toc246996157"/>
      <w:bookmarkStart w:id="13" w:name="_Toc247096243"/>
      <w:bookmarkStart w:id="14" w:name="_Toc17963252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1329213"/>
      <w:bookmarkStart w:id="19" w:name="_Toc152045512"/>
      <w:bookmarkStart w:id="20" w:name="_Toc246996158"/>
      <w:bookmarkStart w:id="21" w:name="_Toc247085672"/>
      <w:bookmarkStart w:id="22" w:name="_Toc246996901"/>
      <w:bookmarkStart w:id="23" w:name="_Toc6549"/>
      <w:bookmarkStart w:id="24" w:name="_Toc144974480"/>
      <w:bookmarkStart w:id="25" w:name="_Toc10076"/>
      <w:bookmarkStart w:id="26" w:name="_Toc179632528"/>
      <w:bookmarkStart w:id="27" w:name="_Toc24874"/>
      <w:bookmarkStart w:id="28" w:name="_Toc507319891"/>
      <w:bookmarkStart w:id="29" w:name="_Toc15204228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2025年2月-12月总中心UPS电源及相关配套基础设施维护采购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159"/>
      <w:bookmarkStart w:id="31" w:name="_Toc246996902"/>
      <w:bookmarkStart w:id="32" w:name="_Toc144974481"/>
      <w:bookmarkStart w:id="33" w:name="_Toc11329214"/>
      <w:bookmarkStart w:id="34" w:name="_Toc507319892"/>
      <w:bookmarkStart w:id="35" w:name="_Toc152045513"/>
      <w:bookmarkStart w:id="36" w:name="_Toc18109"/>
      <w:bookmarkStart w:id="37" w:name="_Toc152042289"/>
      <w:bookmarkStart w:id="38" w:name="_Toc21343"/>
      <w:bookmarkStart w:id="39" w:name="_Toc10952"/>
      <w:bookmarkStart w:id="40" w:name="_Toc179632529"/>
      <w:bookmarkStart w:id="41" w:name="_Toc247085673"/>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对重庆高速集团112机房、监控总中心所涉精密空调、UPS电源及相关配套基础设施进行维修维护。</w:t>
      </w:r>
    </w:p>
    <w:p>
      <w:pPr>
        <w:spacing w:line="400" w:lineRule="exact"/>
        <w:ind w:firstLine="420" w:firstLineChars="200"/>
        <w:rPr>
          <w:rFonts w:hint="default"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对重庆高速集团112机房、监控总中心机房UPS电源、通信电源、机房精密空调、配电柜、空调柜机等相关基础配套设施专项维护；故障维修、应急检修等相关工作。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7065"/>
      <w:bookmarkStart w:id="44" w:name="_Toc247085674"/>
      <w:bookmarkStart w:id="45" w:name="_Toc11329215"/>
      <w:bookmarkStart w:id="46" w:name="_Toc507319893"/>
      <w:bookmarkStart w:id="47" w:name="_Toc30356"/>
      <w:bookmarkStart w:id="48" w:name="_Toc144974482"/>
      <w:bookmarkStart w:id="49" w:name="_Toc10171"/>
      <w:bookmarkStart w:id="50" w:name="_Toc179632530"/>
      <w:bookmarkStart w:id="51" w:name="_Toc246996160"/>
      <w:bookmarkStart w:id="52" w:name="_Toc152045514"/>
      <w:bookmarkStart w:id="53" w:name="_Toc246996903"/>
      <w:bookmarkStart w:id="54" w:name="_Toc15204229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7085675"/>
      <w:bookmarkStart w:id="56" w:name="_Toc152042291"/>
      <w:bookmarkStart w:id="57" w:name="_Toc246996904"/>
      <w:bookmarkStart w:id="58" w:name="_Toc246996161"/>
      <w:bookmarkStart w:id="59" w:name="_Toc144974483"/>
      <w:bookmarkStart w:id="60" w:name="_Toc179632531"/>
      <w:bookmarkStart w:id="61" w:name="_Toc152045515"/>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具有独立法人资格，具有有效的营业执照；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需为具有维谛技术生产厂家出具项目授权的代理商。</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业绩要求：2022年1月1日至报价截止日期（以合同签订时间为准）至少承担一项UPS设备维护或销售业绩。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25619"/>
      <w:bookmarkStart w:id="63" w:name="_Toc14361"/>
      <w:bookmarkStart w:id="64" w:name="_Toc12460"/>
      <w:bookmarkStart w:id="65" w:name="_Toc507319894"/>
      <w:bookmarkStart w:id="66" w:name="_Toc11329216"/>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44974484"/>
      <w:bookmarkStart w:id="68" w:name="_Toc246996905"/>
      <w:bookmarkStart w:id="69" w:name="_Toc179632532"/>
      <w:bookmarkStart w:id="70" w:name="_Toc152045516"/>
      <w:bookmarkStart w:id="71" w:name="_Toc11329217"/>
      <w:bookmarkStart w:id="72" w:name="_Toc246996162"/>
      <w:bookmarkStart w:id="73" w:name="_Toc152042292"/>
      <w:bookmarkStart w:id="74" w:name="_Toc507319895"/>
      <w:bookmarkStart w:id="75" w:name="_Toc247085676"/>
      <w:bookmarkStart w:id="76" w:name="_Toc9131"/>
      <w:bookmarkStart w:id="77" w:name="_Toc16686"/>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393"/>
      <w:bookmarkStart w:id="80" w:name="_Toc144974485"/>
      <w:bookmarkStart w:id="81" w:name="_Toc246996907"/>
      <w:bookmarkStart w:id="82" w:name="_Toc152042293"/>
      <w:bookmarkStart w:id="83" w:name="_Toc246996164"/>
      <w:bookmarkStart w:id="84" w:name="_Toc18402"/>
      <w:bookmarkStart w:id="85" w:name="_Toc21615"/>
      <w:bookmarkStart w:id="86" w:name="_Toc507319897"/>
      <w:bookmarkStart w:id="87" w:name="_Toc152045517"/>
      <w:bookmarkStart w:id="88" w:name="_Toc11329219"/>
      <w:bookmarkStart w:id="89" w:name="_Toc179632534"/>
      <w:bookmarkStart w:id="90" w:name="_Toc247085678"/>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22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507319898"/>
      <w:bookmarkStart w:id="93" w:name="_Toc21719"/>
      <w:bookmarkStart w:id="94" w:name="_Toc247085687"/>
      <w:bookmarkStart w:id="95" w:name="_Toc179632544"/>
      <w:bookmarkStart w:id="96" w:name="_Toc152045527"/>
      <w:bookmarkStart w:id="97" w:name="_Toc152042303"/>
      <w:bookmarkStart w:id="98" w:name="_Toc144974495"/>
      <w:bookmarkStart w:id="99" w:name="_Toc246996173"/>
      <w:bookmarkStart w:id="100" w:name="_Toc246996916"/>
      <w:bookmarkStart w:id="101" w:name="_Toc2000405"/>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2025年2月-12月总中心UPS电源及相关配套基础设施维护采购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szCs w:val="21"/>
                <w:highlight w:val="none"/>
                <w:u w:val="none"/>
                <w:lang w:val="en-US" w:eastAsia="zh-CN"/>
              </w:rPr>
            </w:pPr>
            <w:r>
              <w:rPr>
                <w:rFonts w:hint="eastAsia" w:ascii="宋体" w:hAnsi="宋体" w:cs="宋体"/>
                <w:b/>
                <w:bCs/>
                <w:szCs w:val="21"/>
                <w:highlight w:val="none"/>
                <w:u w:val="none"/>
                <w:lang w:val="en-US" w:eastAsia="zh-CN"/>
              </w:rPr>
              <w:t>2025年2月-12月总中心UPS电源及相关配套基础设施维护采购限价为</w:t>
            </w:r>
          </w:p>
          <w:p>
            <w:pPr>
              <w:spacing w:line="400" w:lineRule="exact"/>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117700.00元，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22</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四、采购人指定的开户银行及账号如下：</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账户名称：重庆首讯科技股份有限公司</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开户银行：兴业银行重庆分行营业部</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b/>
                <w:bCs/>
                <w:color w:val="auto"/>
                <w:kern w:val="2"/>
                <w:sz w:val="21"/>
                <w:szCs w:val="21"/>
                <w:highlight w:val="none"/>
                <w:lang w:val="en-US" w:eastAsia="zh-CN"/>
              </w:rPr>
            </w:pPr>
            <w:r>
              <w:rPr>
                <w:rFonts w:hint="eastAsia" w:ascii="宋体" w:hAnsi="宋体" w:eastAsia="宋体" w:cs="宋体"/>
                <w:sz w:val="21"/>
                <w:szCs w:val="21"/>
              </w:rPr>
              <w:t>帐    号：3460 1010 0100 4791 14</w:t>
            </w:r>
            <w:bookmarkStart w:id="268" w:name="_GoBack"/>
            <w:bookmarkEnd w:id="268"/>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30198"/>
      <w:bookmarkStart w:id="106" w:name="_Toc11329222"/>
      <w:bookmarkStart w:id="107" w:name="_Toc11284"/>
      <w:bookmarkStart w:id="108" w:name="_Toc17532"/>
      <w:r>
        <w:rPr>
          <w:rFonts w:hint="eastAsia" w:ascii="宋体" w:hAnsi="宋体" w:eastAsia="宋体" w:cs="宋体"/>
          <w:sz w:val="28"/>
          <w:szCs w:val="28"/>
          <w:highlight w:val="none"/>
        </w:rPr>
        <w:t xml:space="preserve">附录1  </w:t>
      </w:r>
      <w:bookmarkEnd w:id="105"/>
      <w:bookmarkEnd w:id="106"/>
      <w:bookmarkEnd w:id="107"/>
      <w:bookmarkEnd w:id="108"/>
      <w:bookmarkStart w:id="109" w:name="_Toc25591"/>
      <w:bookmarkStart w:id="110" w:name="_Toc11329226"/>
      <w:bookmarkStart w:id="111" w:name="_Toc27096"/>
      <w:bookmarkStart w:id="112" w:name="_Toc12773"/>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7234996"/>
            <w:bookmarkStart w:id="114"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维修时至少2名维护工程师。</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1487"/>
      <w:bookmarkStart w:id="116" w:name="_Toc27148"/>
      <w:bookmarkStart w:id="117" w:name="_Toc11329227"/>
      <w:bookmarkStart w:id="118"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23696"/>
            <w:bookmarkStart w:id="121" w:name="_Toc413241584"/>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17384"/>
      <w:bookmarkStart w:id="123" w:name="_Toc6096"/>
      <w:bookmarkStart w:id="124"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152042364"/>
      <w:bookmarkStart w:id="126" w:name="_Toc247085745"/>
      <w:bookmarkStart w:id="127" w:name="_Toc246996230"/>
      <w:bookmarkStart w:id="128" w:name="_Toc246996973"/>
      <w:bookmarkStart w:id="129" w:name="_Toc179632605"/>
      <w:bookmarkStart w:id="130" w:name="_Toc144974554"/>
      <w:bookmarkStart w:id="131" w:name="_Toc152045587"/>
      <w:bookmarkStart w:id="132" w:name="_Toc2000406"/>
      <w:bookmarkStart w:id="133" w:name="_Toc7682"/>
      <w:bookmarkStart w:id="134" w:name="_Toc507319957"/>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6578"/>
      <w:bookmarkStart w:id="136" w:name="_Toc57795918"/>
      <w:bookmarkStart w:id="137" w:name="_Toc33106441"/>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33106442"/>
      <w:bookmarkStart w:id="139" w:name="_Toc57795919"/>
      <w:bookmarkStart w:id="140" w:name="_Toc2783"/>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57795922"/>
      <w:bookmarkStart w:id="146" w:name="_Toc8634"/>
      <w:bookmarkStart w:id="147" w:name="_Toc33106445"/>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33106446"/>
      <w:bookmarkStart w:id="149" w:name="_Toc57795923"/>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33106447"/>
      <w:bookmarkStart w:id="151" w:name="_Toc57795924"/>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57795926"/>
      <w:bookmarkStart w:id="155" w:name="_Toc484465184"/>
      <w:bookmarkStart w:id="156" w:name="_Toc33106449"/>
      <w:bookmarkStart w:id="157" w:name="_Toc479262406"/>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246997097"/>
      <w:bookmarkStart w:id="160" w:name="_Toc247085872"/>
      <w:bookmarkStart w:id="161" w:name="_Toc179632806"/>
      <w:bookmarkStart w:id="162" w:name="_Toc152045786"/>
      <w:bookmarkStart w:id="163" w:name="_Toc144974855"/>
      <w:bookmarkStart w:id="164" w:name="_Toc152042575"/>
      <w:bookmarkStart w:id="165" w:name="_Toc246996354"/>
    </w:p>
    <w:p>
      <w:pPr>
        <w:pStyle w:val="3"/>
        <w:numPr>
          <w:ilvl w:val="0"/>
          <w:numId w:val="2"/>
        </w:numPr>
        <w:spacing w:before="0" w:after="0" w:line="360" w:lineRule="auto"/>
        <w:jc w:val="center"/>
        <w:rPr>
          <w:rFonts w:hint="eastAsia" w:eastAsia="宋体"/>
          <w:lang w:eastAsia="zh-CN"/>
        </w:rPr>
      </w:pPr>
      <w:bookmarkStart w:id="166" w:name="_Toc247085855"/>
      <w:bookmarkStart w:id="167" w:name="_Toc179632789"/>
      <w:bookmarkStart w:id="168" w:name="_Toc2000409"/>
      <w:bookmarkStart w:id="169" w:name="_Toc152045772"/>
      <w:bookmarkStart w:id="170" w:name="_Toc246996340"/>
      <w:bookmarkStart w:id="171" w:name="_Toc246997083"/>
      <w:bookmarkStart w:id="172" w:name="_Toc24503"/>
      <w:bookmarkStart w:id="173" w:name="_Toc514858705"/>
      <w:bookmarkStart w:id="174" w:name="_Toc144974834"/>
      <w:bookmarkStart w:id="175" w:name="_Toc152042554"/>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tbl>
      <w:tblPr>
        <w:tblStyle w:val="42"/>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095"/>
        <w:gridCol w:w="1535"/>
        <w:gridCol w:w="1468"/>
        <w:gridCol w:w="1577"/>
        <w:gridCol w:w="645"/>
        <w:gridCol w:w="825"/>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4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总中心网络交换、网管软件、服务器与虚拟化集群维护清单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业务系统名称</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Hipulse 300KVA</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负一楼UPS机房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Hipulse 300KVA</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负一楼UPS机房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通信电源</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南都 GMF 300E</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供配电室通信电源电池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通信电源</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南都 GMF 400E</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供配电室通信电源电池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通信电源</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艾默生</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供配电室通信电源柜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通信电源</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艾默生</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供配电室通信电源柜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负一楼UPS机房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新机房精密空调</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新机房精密空调</w:t>
            </w: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新机房精密空调</w:t>
            </w: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旧中心机房精密空调</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旧中心机房精密空调</w:t>
            </w: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通信机房精密空调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VERTIV PEX1020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UPS机房精密空调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负一楼UPS机房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 KFR-72LW(72591)NhAa-3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监控大厅空调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监控大厅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 KFR-72LW(72591)NhAa-3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监控大厅空调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监控大厅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 KFR-72LW/E1(72520L1)A-N2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机房管理室空调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机房管理室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柜机空调</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 KF-72LW/23XDA32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供配电室机房空调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供配电室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总价（元），税率6%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p>
      <w:pPr>
        <w:rPr>
          <w:rFonts w:hint="eastAsia"/>
          <w:lang w:eastAsia="zh-CN"/>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bookmarkStart w:id="176" w:name="_Toc179632800"/>
      <w:bookmarkStart w:id="177" w:name="_Toc152042571"/>
      <w:bookmarkStart w:id="178" w:name="_Toc246996350"/>
      <w:bookmarkStart w:id="179" w:name="_Toc144974851"/>
      <w:bookmarkStart w:id="180" w:name="_Toc247096438"/>
      <w:bookmarkStart w:id="181" w:name="_Toc247085866"/>
      <w:bookmarkStart w:id="182" w:name="_Toc152045782"/>
      <w:bookmarkStart w:id="183" w:name="_Toc246997093"/>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5785"/>
      <w:bookmarkStart w:id="185" w:name="_Toc144974854"/>
      <w:bookmarkStart w:id="186" w:name="_Toc152042574"/>
    </w:p>
    <w:p>
      <w:pPr>
        <w:pStyle w:val="3"/>
        <w:spacing w:before="0" w:after="0" w:line="360" w:lineRule="auto"/>
        <w:jc w:val="center"/>
        <w:rPr>
          <w:rFonts w:hint="eastAsia" w:ascii="宋体" w:hAnsi="宋体" w:cs="宋体"/>
          <w:highlight w:val="none"/>
        </w:rPr>
      </w:pPr>
      <w:bookmarkStart w:id="187" w:name="_Toc503951043"/>
      <w:bookmarkStart w:id="188" w:name="_Toc246996353"/>
      <w:bookmarkStart w:id="189" w:name="_Toc10887"/>
      <w:bookmarkStart w:id="190" w:name="_Toc247085870"/>
      <w:bookmarkStart w:id="191" w:name="_Toc246997096"/>
      <w:bookmarkStart w:id="192" w:name="_Toc179632804"/>
      <w:bookmarkStart w:id="193" w:name="_Toc2000411"/>
      <w:bookmarkStart w:id="194" w:name="_Toc514858707"/>
      <w:bookmarkStart w:id="195" w:name="_Toc447827049"/>
      <w:bookmarkStart w:id="196" w:name="_Toc513633964"/>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514858708"/>
      <w:bookmarkStart w:id="198" w:name="_Toc12089"/>
      <w:bookmarkStart w:id="199" w:name="_Toc514430114"/>
      <w:bookmarkStart w:id="200" w:name="_Toc2000412"/>
      <w:bookmarkStart w:id="201" w:name="_Toc246996355"/>
      <w:bookmarkStart w:id="202" w:name="_Toc144974856"/>
      <w:bookmarkStart w:id="203" w:name="_Toc247085873"/>
      <w:bookmarkStart w:id="204" w:name="_Toc246997098"/>
      <w:bookmarkStart w:id="205" w:name="_Toc152045787"/>
      <w:bookmarkStart w:id="206" w:name="_Toc507320039"/>
      <w:bookmarkStart w:id="207" w:name="_Toc179632807"/>
      <w:bookmarkStart w:id="208" w:name="_Toc152042576"/>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eastAsia"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对重庆高速集团112机房、监控总中心所涉精密空调、UPS电源及相关配套基础设施进行维修维护。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服务内容：对重庆高速集团112机房、监控总中心机房UPS电源、通信电源、机房精密空调、配电柜、空调柜机等相关基础配套设施专项维护；故障维修、应急检修等相关工作。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4"/>
        </w:numPr>
        <w:adjustRightInd w:val="0"/>
        <w:spacing w:line="400" w:lineRule="exact"/>
        <w:ind w:left="420" w:leftChars="20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每季度例行对精密空调、UPS电源及相关配套基础设施进行专项巡检、维护、保养；</w:t>
      </w:r>
      <w:r>
        <w:rPr>
          <w:rFonts w:hint="eastAsia" w:ascii="宋体" w:hAnsi="宋体" w:eastAsia="宋体" w:cs="宋体"/>
          <w:szCs w:val="21"/>
          <w:highlight w:val="none"/>
        </w:rPr>
        <w:br w:type="textWrapping"/>
      </w:r>
      <w:r>
        <w:rPr>
          <w:rFonts w:hint="eastAsia" w:ascii="宋体" w:hAnsi="宋体" w:eastAsia="宋体" w:cs="宋体"/>
          <w:szCs w:val="21"/>
          <w:highlight w:val="none"/>
        </w:rPr>
        <w:t>2、故障设备需两小时到达现场进行维修处理；</w:t>
      </w:r>
      <w:r>
        <w:rPr>
          <w:rFonts w:hint="eastAsia" w:ascii="宋体" w:hAnsi="宋体" w:eastAsia="宋体" w:cs="宋体"/>
          <w:szCs w:val="21"/>
          <w:highlight w:val="none"/>
        </w:rPr>
        <w:br w:type="textWrapping"/>
      </w:r>
      <w:r>
        <w:rPr>
          <w:rFonts w:hint="eastAsia" w:ascii="宋体" w:hAnsi="宋体" w:eastAsia="宋体" w:cs="宋体"/>
          <w:szCs w:val="21"/>
          <w:highlight w:val="none"/>
        </w:rPr>
        <w:t>3、重大节假日节前巡检；</w:t>
      </w:r>
      <w:r>
        <w:rPr>
          <w:rFonts w:hint="eastAsia" w:ascii="宋体" w:hAnsi="宋体" w:eastAsia="宋体" w:cs="宋体"/>
          <w:szCs w:val="21"/>
          <w:highlight w:val="none"/>
        </w:rPr>
        <w:br w:type="textWrapping"/>
      </w:r>
      <w:r>
        <w:rPr>
          <w:rFonts w:hint="eastAsia" w:ascii="宋体" w:hAnsi="宋体" w:eastAsia="宋体" w:cs="宋体"/>
          <w:szCs w:val="21"/>
          <w:highlight w:val="none"/>
        </w:rPr>
        <w:t>4、每季度按时完整提交维护计划、维护资料</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r>
        <w:rPr>
          <w:rFonts w:hint="eastAsia" w:ascii="宋体" w:hAnsi="宋体" w:eastAsia="宋体" w:cs="宋体"/>
          <w:szCs w:val="21"/>
          <w:highlight w:val="none"/>
          <w:lang w:val="en-US" w:eastAsia="zh-CN"/>
        </w:rPr>
        <w:t>5、详细要求详见合同</w:t>
      </w:r>
      <w:r>
        <w:rPr>
          <w:rFonts w:hint="eastAsia" w:ascii="宋体" w:hAnsi="宋体" w:eastAsia="宋体" w:cs="宋体"/>
          <w:szCs w:val="21"/>
          <w:highlight w:val="none"/>
        </w:rPr>
        <w:t>。</w:t>
      </w:r>
    </w:p>
    <w:p>
      <w:pPr>
        <w:pStyle w:val="13"/>
        <w:numPr>
          <w:ilvl w:val="0"/>
          <w:numId w:val="0"/>
        </w:numPr>
        <w:adjustRightInd w:val="0"/>
        <w:spacing w:line="400" w:lineRule="exact"/>
        <w:ind w:leftChars="200"/>
        <w:jc w:val="both"/>
        <w:rPr>
          <w:rFonts w:hint="eastAsia" w:ascii="宋体" w:hAnsi="宋体" w:eastAsia="宋体" w:cs="宋体"/>
          <w:szCs w:val="21"/>
          <w:highlight w:val="none"/>
          <w:lang w:val="en-US" w:eastAsia="zh-CN"/>
        </w:rPr>
      </w:pPr>
    </w:p>
    <w:p>
      <w:pPr>
        <w:pStyle w:val="13"/>
        <w:widowControl w:val="0"/>
        <w:numPr>
          <w:ilvl w:val="0"/>
          <w:numId w:val="0"/>
        </w:numPr>
        <w:adjustRightInd w:val="0"/>
        <w:spacing w:line="400" w:lineRule="exact"/>
        <w:jc w:val="both"/>
        <w:rPr>
          <w:rFonts w:hint="eastAsia" w:ascii="宋体" w:hAnsi="宋体" w:cs="宋体"/>
          <w:b/>
          <w:bCs/>
          <w:szCs w:val="21"/>
          <w:highlight w:val="none"/>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514858709"/>
      <w:bookmarkStart w:id="211" w:name="_Toc24853"/>
      <w:bookmarkStart w:id="212"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13633967"/>
      <w:bookmarkStart w:id="214" w:name="_Toc514858710"/>
      <w:bookmarkStart w:id="215" w:name="_Toc513646738"/>
      <w:bookmarkStart w:id="216" w:name="_Toc503971829"/>
      <w:bookmarkStart w:id="217" w:name="_Toc503951046"/>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28780"/>
      <w:bookmarkStart w:id="219" w:name="_Toc5459"/>
      <w:bookmarkStart w:id="220" w:name="_Toc11329273"/>
      <w:bookmarkStart w:id="221" w:name="_Toc1368"/>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8870"/>
      <w:bookmarkStart w:id="223" w:name="_Toc11329274"/>
      <w:bookmarkStart w:id="224" w:name="_Toc15863"/>
      <w:bookmarkStart w:id="225" w:name="_Toc29547"/>
      <w:bookmarkStart w:id="226" w:name="_Toc25874"/>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352691662"/>
      <w:bookmarkStart w:id="234" w:name="_Toc369531698"/>
      <w:bookmarkStart w:id="235" w:name="_Toc27897"/>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15573"/>
      <w:bookmarkStart w:id="237" w:name="_Toc152042578"/>
      <w:bookmarkStart w:id="238" w:name="_Toc361508754"/>
      <w:bookmarkStart w:id="239" w:name="_Toc144974858"/>
      <w:bookmarkStart w:id="240" w:name="_Toc369531699"/>
      <w:bookmarkStart w:id="241" w:name="_Toc352691663"/>
      <w:bookmarkStart w:id="242" w:name="_Toc384308377"/>
      <w:bookmarkStart w:id="243" w:name="_Toc300835211"/>
      <w:bookmarkStart w:id="244" w:name="_Toc247527829"/>
      <w:bookmarkStart w:id="245" w:name="_Toc152045789"/>
      <w:bookmarkStart w:id="246" w:name="_Toc247514248"/>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2025年2月-12月总中心UPS电源及相关配套基础设施维护采购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513633971"/>
      <w:bookmarkStart w:id="251" w:name="_Toc503951050"/>
      <w:bookmarkStart w:id="252" w:name="_Toc11329278"/>
      <w:bookmarkStart w:id="253" w:name="_Toc152045803"/>
      <w:bookmarkStart w:id="254" w:name="_Toc247085887"/>
      <w:bookmarkStart w:id="255" w:name="_Toc152042592"/>
      <w:bookmarkStart w:id="256" w:name="_Toc246996369"/>
      <w:bookmarkStart w:id="257" w:name="_Toc447827058"/>
      <w:bookmarkStart w:id="258" w:name="_Toc179632823"/>
      <w:bookmarkStart w:id="259" w:name="_Toc144974871"/>
      <w:bookmarkStart w:id="260" w:name="_Toc246997112"/>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7"/>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报价人需为具有维谛技术生产厂家出具项目授权的代理商</w:t>
      </w:r>
      <w:r>
        <w:rPr>
          <w:rFonts w:hint="eastAsia" w:ascii="宋体" w:hAnsi="宋体" w:cs="宋体"/>
          <w:b w:val="0"/>
          <w:bCs w:val="0"/>
          <w:kern w:val="0"/>
          <w:sz w:val="24"/>
          <w:szCs w:val="24"/>
          <w:highlight w:val="none"/>
          <w:lang w:val="en-US" w:eastAsia="zh-CN" w:bidi="ar-SA"/>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维谛技术生产厂家出具的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3"/>
    <w:bookmarkEnd w:id="254"/>
    <w:bookmarkEnd w:id="255"/>
    <w:bookmarkEnd w:id="256"/>
    <w:bookmarkEnd w:id="257"/>
    <w:bookmarkEnd w:id="258"/>
    <w:bookmarkEnd w:id="259"/>
    <w:bookmarkEnd w:id="260"/>
    <w:tbl>
      <w:tblPr>
        <w:tblStyle w:val="42"/>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97"/>
        <w:gridCol w:w="1191"/>
        <w:gridCol w:w="280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1" w:name="_Toc447827068"/>
            <w:bookmarkStart w:id="262" w:name="_Toc513633973"/>
            <w:bookmarkStart w:id="263" w:name="_Toc503951055"/>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bookmarkStart w:id="264" w:name="_Toc11329281"/>
            <w:bookmarkStart w:id="265" w:name="_Toc11672"/>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需提供项目主要管理人员名单（表格形式），以上人员身份证复印件及由社保局出具的报价人为以上人员缴纳近三个月的养老保险证明（2024年9月至2024年11月带有社保部门公章或社保部门的有效电子印章），并加盖单位鲜公章。</w:t>
      </w:r>
    </w:p>
    <w:p>
      <w:pPr>
        <w:pStyle w:val="5"/>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1"/>
      <w:bookmarkEnd w:id="262"/>
      <w:bookmarkEnd w:id="263"/>
      <w:bookmarkEnd w:id="264"/>
      <w:bookmarkEnd w:id="265"/>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2022年1月1日至报价截止日期（以合同签订时间为准）至少承担一项UPS设备维护或销售业绩。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pStyle w:val="29"/>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6" w:name="_Toc513633974"/>
      <w:bookmarkStart w:id="267"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2025年2月-12月总中心UPS电源及相关配套基础设施维护采购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承诺提供维修至少提供2名维护人员、提供配备满足项目所需辅助人员，</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6"/>
    <w:bookmarkEnd w:id="267"/>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CBF1CB-08E6-4020-A6A4-692DF6849C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E15CD91C-A0FE-4513-AEE2-83D2A5E8567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0653"/>
    <w:multiLevelType w:val="singleLevel"/>
    <w:tmpl w:val="D71B0653"/>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CCDB24E"/>
    <w:multiLevelType w:val="singleLevel"/>
    <w:tmpl w:val="0CCDB24E"/>
    <w:lvl w:ilvl="0" w:tentative="0">
      <w:start w:val="2"/>
      <w:numFmt w:val="chineseCounting"/>
      <w:suff w:val="nothing"/>
      <w:lvlText w:val="%1、"/>
      <w:lvlJc w:val="left"/>
      <w:rPr>
        <w:rFonts w:hint="eastAsia"/>
      </w:rPr>
    </w:lvl>
  </w:abstractNum>
  <w:abstractNum w:abstractNumId="3">
    <w:nsid w:val="0DD75B47"/>
    <w:multiLevelType w:val="singleLevel"/>
    <w:tmpl w:val="0DD75B47"/>
    <w:lvl w:ilvl="0" w:tentative="0">
      <w:start w:val="5"/>
      <w:numFmt w:val="chineseCounting"/>
      <w:suff w:val="space"/>
      <w:lvlText w:val="第%1章"/>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88F96AE"/>
    <w:multiLevelType w:val="singleLevel"/>
    <w:tmpl w:val="388F96AE"/>
    <w:lvl w:ilvl="0" w:tentative="0">
      <w:start w:val="2"/>
      <w:numFmt w:val="decimal"/>
      <w:lvlText w:val="%1."/>
      <w:lvlJc w:val="left"/>
      <w:pPr>
        <w:tabs>
          <w:tab w:val="left" w:pos="312"/>
        </w:tabs>
      </w:p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8574C"/>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8389A"/>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6848D7"/>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1F3BC5"/>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463EED"/>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0</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2025-01-16T02:20:52Z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