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jc w:val="center"/>
        <w:rPr>
          <w:rFonts w:hint="eastAsia" w:ascii="宋体" w:hAnsi="宋体" w:cs="宋体"/>
          <w:b/>
          <w:sz w:val="32"/>
          <w:szCs w:val="32"/>
          <w:highlight w:val="none"/>
          <w:lang w:val="en-US" w:eastAsia="zh-CN"/>
        </w:rPr>
      </w:pPr>
      <w:r>
        <w:rPr>
          <w:rFonts w:hint="eastAsia" w:ascii="宋体" w:hAnsi="宋体" w:cs="宋体"/>
          <w:b/>
          <w:sz w:val="32"/>
          <w:szCs w:val="32"/>
          <w:highlight w:val="none"/>
        </w:rPr>
        <w:t>项目名称：</w:t>
      </w:r>
      <w:r>
        <w:rPr>
          <w:rFonts w:hint="eastAsia" w:ascii="宋体" w:hAnsi="宋体" w:cs="宋体"/>
          <w:b/>
          <w:sz w:val="32"/>
          <w:szCs w:val="32"/>
          <w:highlight w:val="none"/>
          <w:lang w:val="en-US" w:eastAsia="zh-CN"/>
        </w:rPr>
        <w:t>2025年2月-12月总中心华为交换机及网络安全设备维护采购</w:t>
      </w:r>
    </w:p>
    <w:p>
      <w:pPr>
        <w:jc w:val="center"/>
        <w:rPr>
          <w:rFonts w:hint="eastAsia" w:ascii="宋体" w:hAnsi="宋体" w:cs="宋体"/>
          <w:b/>
          <w:sz w:val="32"/>
          <w:szCs w:val="32"/>
          <w:highlight w:val="none"/>
          <w:lang w:val="en-US" w:eastAsia="zh-CN"/>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5</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1</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246996898"/>
      <w:bookmarkStart w:id="1" w:name="_Toc507319889"/>
      <w:bookmarkStart w:id="2" w:name="_Toc247085669"/>
      <w:bookmarkStart w:id="3" w:name="_Toc507428442"/>
      <w:bookmarkStart w:id="4" w:name="_Toc296602400"/>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_Toc12089 </w:instrText>
      </w:r>
      <w:r>
        <w:rPr>
          <w:rFonts w:hint="eastAsia" w:ascii="宋体" w:hAnsi="宋体" w:cs="宋体"/>
          <w:bCs/>
          <w:caps/>
          <w:highlight w:val="none"/>
        </w:rPr>
        <w:fldChar w:fldCharType="separate"/>
      </w:r>
      <w:r>
        <w:rPr>
          <w:rFonts w:hint="eastAsia" w:ascii="宋体" w:hAnsi="宋体" w:cs="宋体"/>
          <w:highlight w:val="none"/>
        </w:rPr>
        <w:t xml:space="preserve">第八章  </w:t>
      </w:r>
      <w:r>
        <w:rPr>
          <w:rFonts w:hint="eastAsia" w:ascii="宋体" w:hAnsi="宋体" w:cs="宋体"/>
          <w:highlight w:val="none"/>
          <w:lang w:val="en-US" w:eastAsia="zh-CN"/>
        </w:rPr>
        <w:t>合同范本</w:t>
      </w:r>
      <w:r>
        <w:rPr>
          <w:highlight w:val="none"/>
        </w:rPr>
        <w:tab/>
      </w:r>
      <w:r>
        <w:rPr>
          <w:highlight w:val="none"/>
        </w:rPr>
        <w:fldChar w:fldCharType="begin"/>
      </w:r>
      <w:r>
        <w:rPr>
          <w:highlight w:val="none"/>
        </w:rPr>
        <w:instrText xml:space="preserve"> PAGEREF _Toc12089 </w:instrText>
      </w:r>
      <w:r>
        <w:rPr>
          <w:highlight w:val="none"/>
        </w:rPr>
        <w:fldChar w:fldCharType="separate"/>
      </w:r>
      <w:r>
        <w:rPr>
          <w:highlight w:val="none"/>
        </w:rPr>
        <w:t>16</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18</w:t>
      </w:r>
      <w:r>
        <w:rPr>
          <w:highlight w:val="none"/>
        </w:rPr>
        <w:fldChar w:fldCharType="end"/>
      </w:r>
      <w:r>
        <w:rPr>
          <w:rFonts w:hint="eastAsia" w:ascii="宋体" w:hAnsi="宋体" w:cs="宋体"/>
          <w:bCs/>
          <w:caps/>
          <w:highlight w:val="none"/>
        </w:rPr>
        <w:fldChar w:fldCharType="end"/>
      </w:r>
    </w:p>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3"/>
        <w:spacing w:before="0" w:after="0" w:line="360" w:lineRule="auto"/>
        <w:jc w:val="center"/>
        <w:rPr>
          <w:rFonts w:hint="eastAsia" w:ascii="宋体" w:hAnsi="宋体" w:cs="宋体"/>
          <w:highlight w:val="none"/>
        </w:rPr>
      </w:pPr>
      <w:bookmarkStart w:id="5" w:name="_Toc246996900"/>
      <w:bookmarkStart w:id="6" w:name="_Toc152045511"/>
      <w:bookmarkStart w:id="7" w:name="_Toc2000404"/>
      <w:bookmarkStart w:id="8" w:name="_Toc144974479"/>
      <w:bookmarkStart w:id="9" w:name="_Toc247096243"/>
      <w:bookmarkStart w:id="10" w:name="_Toc507319890"/>
      <w:bookmarkStart w:id="11" w:name="_Toc179632527"/>
      <w:bookmarkStart w:id="12" w:name="_Toc247085671"/>
      <w:bookmarkStart w:id="13" w:name="_Toc246996157"/>
      <w:bookmarkStart w:id="14" w:name="_Toc152042287"/>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3"/>
      <w:bookmarkStart w:id="17" w:name="OLE_LINK2"/>
    </w:p>
    <w:p>
      <w:pPr>
        <w:pStyle w:val="4"/>
        <w:spacing w:before="0" w:after="0" w:line="360" w:lineRule="auto"/>
        <w:rPr>
          <w:rFonts w:hint="eastAsia" w:ascii="宋体" w:hAnsi="宋体" w:eastAsia="宋体" w:cs="宋体"/>
          <w:highlight w:val="none"/>
        </w:rPr>
      </w:pPr>
      <w:bookmarkStart w:id="18" w:name="_Toc152045512"/>
      <w:bookmarkStart w:id="19" w:name="_Toc6549"/>
      <w:bookmarkStart w:id="20" w:name="_Toc507319891"/>
      <w:bookmarkStart w:id="21" w:name="_Toc24874"/>
      <w:bookmarkStart w:id="22" w:name="_Toc246996158"/>
      <w:bookmarkStart w:id="23" w:name="_Toc247085672"/>
      <w:bookmarkStart w:id="24" w:name="_Toc144974480"/>
      <w:bookmarkStart w:id="25" w:name="_Toc11329213"/>
      <w:bookmarkStart w:id="26" w:name="_Toc10076"/>
      <w:bookmarkStart w:id="27" w:name="_Toc152042288"/>
      <w:bookmarkStart w:id="28" w:name="_Toc246996901"/>
      <w:bookmarkStart w:id="29" w:name="_Toc179632528"/>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本竞争性比选项目</w:t>
      </w:r>
      <w:r>
        <w:rPr>
          <w:rFonts w:hint="eastAsia" w:ascii="宋体" w:hAnsi="宋体" w:cs="宋体"/>
          <w:szCs w:val="21"/>
          <w:highlight w:val="none"/>
          <w:u w:val="single"/>
          <w:lang w:val="en-US" w:eastAsia="zh-CN"/>
        </w:rPr>
        <w:t>2025年2月-12月总中心华为交换机及网络安全设备维护采购</w:t>
      </w:r>
      <w:r>
        <w:rPr>
          <w:rFonts w:hint="eastAsia" w:ascii="宋体" w:hAnsi="宋体" w:cs="宋体"/>
          <w:szCs w:val="21"/>
          <w:highlight w:val="none"/>
        </w:rPr>
        <w:t>，采购人为</w:t>
      </w:r>
      <w:r>
        <w:rPr>
          <w:rFonts w:hint="eastAsia" w:ascii="宋体" w:hAnsi="宋体" w:cs="宋体"/>
          <w:szCs w:val="21"/>
          <w:highlight w:val="none"/>
          <w:u w:val="single"/>
        </w:rPr>
        <w:t xml:space="preserve"> 重庆首讯科技股份有限公司 </w:t>
      </w:r>
      <w:r>
        <w:rPr>
          <w:rFonts w:hint="eastAsia" w:ascii="宋体" w:hAnsi="宋体" w:cs="宋体"/>
          <w:szCs w:val="21"/>
          <w:highlight w:val="none"/>
        </w:rPr>
        <w:t>，该项目已具备比选条件，现对该项目进行竞争性比选。</w:t>
      </w:r>
    </w:p>
    <w:p>
      <w:pPr>
        <w:pStyle w:val="4"/>
        <w:spacing w:before="120" w:after="0" w:line="360" w:lineRule="auto"/>
        <w:rPr>
          <w:rFonts w:hint="eastAsia" w:ascii="宋体" w:hAnsi="宋体" w:eastAsia="宋体" w:cs="宋体"/>
          <w:highlight w:val="none"/>
        </w:rPr>
      </w:pPr>
      <w:bookmarkStart w:id="30" w:name="_Toc10952"/>
      <w:bookmarkStart w:id="31" w:name="_Toc179632529"/>
      <w:bookmarkStart w:id="32" w:name="_Toc507319892"/>
      <w:bookmarkStart w:id="33" w:name="_Toc21343"/>
      <w:bookmarkStart w:id="34" w:name="_Toc247085673"/>
      <w:bookmarkStart w:id="35" w:name="_Toc246996902"/>
      <w:bookmarkStart w:id="36" w:name="_Toc152045513"/>
      <w:bookmarkStart w:id="37" w:name="_Toc18109"/>
      <w:bookmarkStart w:id="38" w:name="_Toc246996159"/>
      <w:bookmarkStart w:id="39" w:name="_Toc152042289"/>
      <w:bookmarkStart w:id="40" w:name="_Toc11329214"/>
      <w:bookmarkStart w:id="41" w:name="_Toc144974481"/>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lang w:val="en-US" w:eastAsia="zh-CN"/>
        </w:rPr>
      </w:pPr>
      <w:bookmarkStart w:id="42" w:name="_Toc446247226"/>
      <w:r>
        <w:rPr>
          <w:rFonts w:hint="eastAsia" w:ascii="宋体" w:hAnsi="宋体" w:cs="宋体"/>
          <w:highlight w:val="none"/>
        </w:rPr>
        <w:t xml:space="preserve">2.1 </w:t>
      </w:r>
      <w:r>
        <w:rPr>
          <w:rFonts w:hint="eastAsia" w:ascii="宋体" w:hAnsi="宋体" w:cs="宋体"/>
          <w:highlight w:val="none"/>
          <w:lang w:val="en-US" w:eastAsia="zh-CN"/>
        </w:rPr>
        <w:t>服务</w:t>
      </w:r>
      <w:r>
        <w:rPr>
          <w:rFonts w:hint="eastAsia" w:ascii="宋体" w:hAnsi="宋体" w:cs="宋体"/>
          <w:highlight w:val="none"/>
        </w:rPr>
        <w:t>地点：</w:t>
      </w:r>
      <w:bookmarkEnd w:id="42"/>
      <w:r>
        <w:rPr>
          <w:rFonts w:hint="eastAsia" w:ascii="宋体" w:hAnsi="宋体" w:cs="宋体"/>
          <w:highlight w:val="none"/>
          <w:lang w:val="en-US" w:eastAsia="zh-CN"/>
        </w:rPr>
        <w:t>重庆市渝北区</w:t>
      </w:r>
      <w:r>
        <w:rPr>
          <w:rFonts w:hint="eastAsia" w:ascii="宋体" w:hAnsi="宋体" w:cs="宋体"/>
          <w:highlight w:val="none"/>
          <w:lang w:eastAsia="zh-CN"/>
        </w:rPr>
        <w:t>。</w:t>
      </w:r>
    </w:p>
    <w:p>
      <w:pPr>
        <w:spacing w:line="360" w:lineRule="auto"/>
        <w:ind w:firstLine="420" w:firstLineChars="200"/>
        <w:rPr>
          <w:rFonts w:hint="default" w:ascii="宋体" w:hAnsi="宋体" w:cs="宋体"/>
          <w:highlight w:val="none"/>
          <w:lang w:val="en-US" w:eastAsia="zh-CN"/>
        </w:rPr>
      </w:pPr>
      <w:r>
        <w:rPr>
          <w:rFonts w:hint="eastAsia" w:ascii="宋体" w:hAnsi="宋体" w:cs="宋体"/>
          <w:highlight w:val="none"/>
          <w:lang w:val="en-US" w:eastAsia="zh-CN"/>
        </w:rPr>
        <w:t>2.2 项目概况：</w:t>
      </w:r>
      <w:r>
        <w:rPr>
          <w:rFonts w:hint="eastAsia" w:ascii="宋体" w:hAnsi="宋体" w:cs="宋体"/>
          <w:highlight w:val="none"/>
          <w:lang w:val="en-US" w:eastAsia="zh-CN"/>
        </w:rPr>
        <w:tab/>
      </w:r>
      <w:r>
        <w:rPr>
          <w:rFonts w:hint="eastAsia" w:ascii="宋体" w:hAnsi="宋体" w:cs="宋体"/>
          <w:highlight w:val="none"/>
          <w:lang w:val="en-US" w:eastAsia="zh-CN"/>
        </w:rPr>
        <w:tab/>
      </w:r>
      <w:r>
        <w:rPr>
          <w:rFonts w:hint="eastAsia" w:ascii="宋体" w:hAnsi="宋体" w:cs="宋体"/>
          <w:highlight w:val="none"/>
          <w:lang w:val="en-US" w:eastAsia="zh-CN"/>
        </w:rPr>
        <w:t>对重庆高速集团112机房、监控总中心所涉华为交换机及网络安全设备进行维护。</w:t>
      </w:r>
    </w:p>
    <w:p>
      <w:pPr>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rPr>
        <w:t xml:space="preserve">2.3 </w:t>
      </w:r>
      <w:r>
        <w:rPr>
          <w:rFonts w:hint="eastAsia" w:ascii="宋体" w:hAnsi="宋体" w:cs="宋体"/>
          <w:highlight w:val="none"/>
          <w:lang w:val="en-US" w:eastAsia="zh-CN"/>
        </w:rPr>
        <w:t>服务内容</w:t>
      </w:r>
      <w:r>
        <w:rPr>
          <w:rFonts w:hint="eastAsia" w:ascii="宋体" w:hAnsi="宋体" w:cs="宋体"/>
          <w:highlight w:val="none"/>
        </w:rPr>
        <w:t>：</w:t>
      </w:r>
      <w:r>
        <w:rPr>
          <w:rFonts w:hint="eastAsia" w:ascii="宋体" w:hAnsi="宋体" w:cs="宋体"/>
          <w:highlight w:val="none"/>
          <w:lang w:val="en-US" w:eastAsia="zh-CN"/>
        </w:rPr>
        <w:t>对重庆高速集团112机房、监控总中心机房涉华为交换机及网络安全设备</w:t>
      </w:r>
      <w:r>
        <w:rPr>
          <w:rFonts w:hint="eastAsia" w:ascii="宋体" w:hAnsi="宋体" w:cs="宋体"/>
          <w:highlight w:val="none"/>
          <w:lang w:val="en-US" w:eastAsia="zh-CN"/>
        </w:rPr>
        <w:t>例行保养、维护、维修；对路段华为设备接入需求进行配合调试；完成日常巡检、季度巡检；定期软件版本更新及授权定期系统漏洞检查及修复；重保期间应急处置保障。</w:t>
      </w:r>
    </w:p>
    <w:p>
      <w:pPr>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rPr>
        <w:t>2.4</w:t>
      </w:r>
      <w:r>
        <w:rPr>
          <w:rFonts w:hint="eastAsia" w:ascii="宋体" w:hAnsi="宋体" w:cs="宋体"/>
          <w:highlight w:val="none"/>
          <w:lang w:val="en-US" w:eastAsia="zh-CN"/>
        </w:rPr>
        <w:t xml:space="preserve"> 服务期限：</w:t>
      </w:r>
      <w:r>
        <w:rPr>
          <w:rFonts w:hint="eastAsia" w:ascii="宋体" w:hAnsi="宋体" w:cs="宋体"/>
          <w:highlight w:val="none"/>
          <w:lang w:val="en-US" w:eastAsia="zh-CN"/>
        </w:rPr>
        <w:tab/>
      </w:r>
      <w:r>
        <w:rPr>
          <w:rFonts w:hint="eastAsia" w:ascii="宋体" w:hAnsi="宋体" w:cs="宋体"/>
          <w:highlight w:val="none"/>
          <w:lang w:val="en-US" w:eastAsia="zh-CN"/>
        </w:rPr>
        <w:t>2025年2月1日至2025年12月31日。</w:t>
      </w:r>
    </w:p>
    <w:p>
      <w:pPr>
        <w:spacing w:line="360" w:lineRule="auto"/>
        <w:ind w:firstLine="420" w:firstLineChars="200"/>
        <w:rPr>
          <w:rFonts w:hint="default" w:ascii="宋体" w:hAnsi="宋体" w:cs="宋体"/>
          <w:highlight w:val="none"/>
          <w:lang w:val="en-US" w:eastAsia="zh-CN"/>
        </w:rPr>
      </w:pPr>
      <w:r>
        <w:rPr>
          <w:rFonts w:hint="eastAsia" w:ascii="宋体" w:hAnsi="宋体" w:cs="宋体"/>
          <w:highlight w:val="none"/>
          <w:lang w:val="en-US" w:eastAsia="zh-CN"/>
        </w:rPr>
        <w:t>2.5 标段划分：本项目划分为一个标段。</w:t>
      </w:r>
    </w:p>
    <w:p>
      <w:pPr>
        <w:pStyle w:val="4"/>
        <w:spacing w:before="120" w:after="0" w:line="360" w:lineRule="auto"/>
        <w:rPr>
          <w:rFonts w:hint="eastAsia" w:ascii="宋体" w:hAnsi="宋体" w:eastAsia="宋体" w:cs="宋体"/>
          <w:highlight w:val="none"/>
        </w:rPr>
      </w:pPr>
      <w:bookmarkStart w:id="43" w:name="_Toc7065"/>
      <w:bookmarkStart w:id="44" w:name="_Toc179632530"/>
      <w:bookmarkStart w:id="45" w:name="_Toc144974482"/>
      <w:bookmarkStart w:id="46" w:name="_Toc30356"/>
      <w:bookmarkStart w:id="47" w:name="_Toc246996903"/>
      <w:bookmarkStart w:id="48" w:name="_Toc11329215"/>
      <w:bookmarkStart w:id="49" w:name="_Toc10171"/>
      <w:bookmarkStart w:id="50" w:name="_Toc246996160"/>
      <w:bookmarkStart w:id="51" w:name="_Toc247085674"/>
      <w:bookmarkStart w:id="52" w:name="_Toc152042290"/>
      <w:bookmarkStart w:id="53" w:name="_Toc507319893"/>
      <w:bookmarkStart w:id="54" w:name="_Toc152045514"/>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360" w:lineRule="auto"/>
        <w:ind w:firstLine="420" w:firstLineChars="200"/>
        <w:rPr>
          <w:rFonts w:hint="eastAsia" w:ascii="宋体" w:hAnsi="宋体" w:cs="宋体"/>
          <w:highlight w:val="none"/>
        </w:rPr>
      </w:pPr>
      <w:bookmarkStart w:id="55" w:name="_Toc152042291"/>
      <w:bookmarkStart w:id="56" w:name="_Toc246996904"/>
      <w:bookmarkStart w:id="57" w:name="_Toc246996161"/>
      <w:bookmarkStart w:id="58" w:name="_Toc179632531"/>
      <w:bookmarkStart w:id="59" w:name="_Toc144974483"/>
      <w:bookmarkStart w:id="60" w:name="_Toc247085675"/>
      <w:bookmarkStart w:id="61" w:name="_Toc152045515"/>
      <w:r>
        <w:rPr>
          <w:rFonts w:hint="eastAsia" w:ascii="宋体" w:hAnsi="宋体" w:cs="宋体"/>
          <w:highlight w:val="none"/>
        </w:rPr>
        <w:t>3.1 资质要求：</w:t>
      </w:r>
    </w:p>
    <w:p>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报价人</w:t>
      </w:r>
      <w:r>
        <w:rPr>
          <w:rFonts w:hint="eastAsia" w:ascii="宋体" w:hAnsi="宋体" w:cs="宋体"/>
          <w:highlight w:val="none"/>
        </w:rPr>
        <w:t>具有独立法人资格，具有有效的营业执照；</w:t>
      </w:r>
    </w:p>
    <w:p>
      <w:pPr>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报价人具有需为具有华为生产厂家出具项目授权的代理商。</w:t>
      </w:r>
    </w:p>
    <w:p>
      <w:pPr>
        <w:spacing w:line="360" w:lineRule="auto"/>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3.2 业绩要求：</w:t>
      </w:r>
      <w:r>
        <w:rPr>
          <w:rFonts w:hint="eastAsia" w:ascii="宋体" w:hAnsi="宋体" w:cs="宋体"/>
          <w:highlight w:val="none"/>
          <w:lang w:val="en-US" w:eastAsia="zh-CN"/>
        </w:rPr>
        <w:tab/>
      </w:r>
      <w:r>
        <w:rPr>
          <w:rFonts w:hint="eastAsia" w:ascii="宋体" w:hAnsi="宋体" w:cs="宋体"/>
          <w:highlight w:val="none"/>
          <w:lang w:val="en-US" w:eastAsia="zh-CN"/>
        </w:rPr>
        <w:tab/>
      </w:r>
      <w:r>
        <w:rPr>
          <w:rFonts w:hint="eastAsia" w:ascii="宋体" w:hAnsi="宋体" w:cs="宋体"/>
          <w:highlight w:val="none"/>
          <w:lang w:val="en-US" w:eastAsia="zh-CN"/>
        </w:rPr>
        <w:t>2022年1月1日至报价截止日期（以合同签订时间为准）至少承担一项交换机或网络安全设备维护或销售业绩。</w:t>
      </w:r>
    </w:p>
    <w:p>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 xml:space="preserve">3.3 </w:t>
      </w:r>
      <w:r>
        <w:rPr>
          <w:rFonts w:hint="eastAsia" w:ascii="宋体" w:hAnsi="宋体" w:cs="宋体"/>
          <w:highlight w:val="none"/>
        </w:rPr>
        <w:t>信誉</w:t>
      </w:r>
      <w:r>
        <w:rPr>
          <w:rFonts w:hint="eastAsia" w:ascii="宋体" w:hAnsi="宋体" w:cs="宋体"/>
          <w:highlight w:val="none"/>
          <w:lang w:val="en-US" w:eastAsia="zh-CN"/>
        </w:rPr>
        <w:t>要求</w:t>
      </w:r>
      <w:r>
        <w:rPr>
          <w:rFonts w:hint="eastAsia" w:ascii="宋体" w:hAnsi="宋体" w:cs="宋体"/>
          <w:highlight w:val="none"/>
        </w:rPr>
        <w:t>：在国家企业信用信息公示系统（http://www.gsxt.gov.cn/）中未被列入严重违法失信企业名单（黑名单）信息；在“信用中国”网站（http://www.creditchina.gov.cn/）中未被列入失信惩戒执行人名单。</w:t>
      </w:r>
    </w:p>
    <w:p>
      <w:pPr>
        <w:spacing w:line="360" w:lineRule="auto"/>
        <w:ind w:firstLine="420" w:firstLineChars="200"/>
        <w:rPr>
          <w:rFonts w:hint="default" w:ascii="宋体" w:hAnsi="宋体" w:cs="宋体"/>
          <w:highlight w:val="none"/>
          <w:lang w:val="en-US" w:eastAsia="zh-CN"/>
        </w:rPr>
      </w:pPr>
      <w:r>
        <w:rPr>
          <w:rFonts w:hint="eastAsia" w:ascii="宋体" w:hAnsi="宋体" w:cs="宋体"/>
          <w:highlight w:val="none"/>
          <w:lang w:val="en-US" w:eastAsia="zh-CN"/>
        </w:rPr>
        <w:t>3.4 报价人须提供采购人要求的所有资质要求、业绩要求、信誉要求的复印件并加盖单位鲜公章。</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5</w:t>
      </w:r>
      <w:r>
        <w:rPr>
          <w:rFonts w:hint="eastAsia" w:ascii="宋体" w:hAnsi="宋体" w:cs="宋体"/>
          <w:highlight w:val="none"/>
        </w:rPr>
        <w:t xml:space="preserve"> 本次比选不接受联合体报价。</w:t>
      </w:r>
    </w:p>
    <w:p>
      <w:pPr>
        <w:spacing w:line="360" w:lineRule="auto"/>
        <w:ind w:firstLine="420" w:firstLineChars="200"/>
        <w:rPr>
          <w:rFonts w:hint="eastAsia" w:ascii="宋体" w:hAnsi="宋体" w:cs="宋体"/>
          <w:highlight w:val="none"/>
        </w:rPr>
      </w:pPr>
      <w:r>
        <w:rPr>
          <w:rFonts w:hint="eastAsia" w:ascii="宋体" w:hAnsi="宋体" w:cs="宋体"/>
          <w:highlight w:val="none"/>
        </w:rPr>
        <w:t>3.</w:t>
      </w:r>
      <w:r>
        <w:rPr>
          <w:rFonts w:hint="eastAsia" w:ascii="宋体" w:hAnsi="宋体" w:cs="宋体"/>
          <w:highlight w:val="none"/>
          <w:lang w:val="en-US" w:eastAsia="zh-CN"/>
        </w:rPr>
        <w:t>6</w:t>
      </w:r>
      <w:r>
        <w:rPr>
          <w:rFonts w:hint="eastAsia" w:ascii="宋体" w:hAnsi="宋体" w:cs="宋体"/>
          <w:highlight w:val="none"/>
        </w:rPr>
        <w:t xml:space="preserve"> 单位负责人为同一人或者存在控股、管理关系的不同单位，不得同时参加本项目报价，否则均按无效报价处理。</w:t>
      </w:r>
    </w:p>
    <w:p>
      <w:pPr>
        <w:pStyle w:val="4"/>
        <w:spacing w:before="120" w:after="0" w:line="400" w:lineRule="exact"/>
        <w:rPr>
          <w:rFonts w:hint="eastAsia" w:ascii="宋体" w:hAnsi="宋体" w:eastAsia="宋体" w:cs="宋体"/>
          <w:highlight w:val="none"/>
        </w:rPr>
      </w:pPr>
      <w:bookmarkStart w:id="62" w:name="_Toc11329216"/>
      <w:bookmarkStart w:id="63" w:name="_Toc507319894"/>
      <w:bookmarkStart w:id="64" w:name="_Toc25619"/>
      <w:bookmarkStart w:id="65" w:name="_Toc14361"/>
      <w:bookmarkStart w:id="66" w:name="_Toc12460"/>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hint="eastAsia" w:ascii="宋体" w:hAnsi="宋体"/>
          <w:szCs w:val="21"/>
          <w:highlight w:val="none"/>
        </w:rPr>
      </w:pPr>
      <w:bookmarkStart w:id="67" w:name="_Toc246996905"/>
      <w:bookmarkStart w:id="68" w:name="_Toc179632532"/>
      <w:bookmarkStart w:id="69" w:name="_Toc247085676"/>
      <w:bookmarkStart w:id="70" w:name="_Toc507319895"/>
      <w:bookmarkStart w:id="71" w:name="_Toc152042292"/>
      <w:bookmarkStart w:id="72" w:name="_Toc144974484"/>
      <w:bookmarkStart w:id="73" w:name="_Toc152045516"/>
      <w:bookmarkStart w:id="74" w:name="_Toc246996162"/>
      <w:bookmarkStart w:id="75" w:name="_Toc11329217"/>
      <w:bookmarkStart w:id="76" w:name="_Toc16686"/>
      <w:bookmarkStart w:id="77" w:name="_Toc9131"/>
      <w:bookmarkStart w:id="78" w:name="_Toc31493"/>
      <w:r>
        <w:rPr>
          <w:rFonts w:hint="eastAsia" w:ascii="宋体" w:hAnsi="宋体"/>
          <w:szCs w:val="21"/>
          <w:highlight w:val="none"/>
        </w:rPr>
        <w:t>凡愿意参加的潜在报价人，在</w:t>
      </w:r>
      <w:r>
        <w:rPr>
          <w:rFonts w:hint="eastAsia" w:ascii="宋体" w:hAnsi="宋体"/>
          <w:szCs w:val="21"/>
          <w:highlight w:val="none"/>
          <w:u w:val="single"/>
        </w:rPr>
        <w:t>202</w:t>
      </w:r>
      <w:r>
        <w:rPr>
          <w:rFonts w:hint="eastAsia" w:ascii="宋体" w:hAnsi="宋体"/>
          <w:szCs w:val="21"/>
          <w:highlight w:val="none"/>
          <w:u w:val="single"/>
          <w:lang w:val="en-US" w:eastAsia="zh-CN"/>
        </w:rPr>
        <w:t>5</w:t>
      </w:r>
      <w:r>
        <w:rPr>
          <w:rFonts w:hint="eastAsia" w:ascii="宋体" w:hAnsi="宋体"/>
          <w:szCs w:val="21"/>
          <w:highlight w:val="none"/>
        </w:rPr>
        <w:t>年</w:t>
      </w:r>
      <w:r>
        <w:rPr>
          <w:rFonts w:hint="eastAsia" w:ascii="宋体" w:hAnsi="宋体"/>
          <w:szCs w:val="21"/>
          <w:highlight w:val="none"/>
          <w:u w:val="single"/>
          <w:lang w:val="en-US" w:eastAsia="zh-CN"/>
        </w:rPr>
        <w:t>1</w:t>
      </w:r>
      <w:r>
        <w:rPr>
          <w:rFonts w:hint="eastAsia" w:ascii="宋体" w:hAnsi="宋体"/>
          <w:szCs w:val="21"/>
          <w:highlight w:val="none"/>
        </w:rPr>
        <w:t>月</w:t>
      </w:r>
      <w:r>
        <w:rPr>
          <w:rFonts w:hint="eastAsia" w:ascii="宋体" w:hAnsi="宋体"/>
          <w:szCs w:val="21"/>
          <w:highlight w:val="none"/>
          <w:u w:val="single"/>
          <w:lang w:val="en-US" w:eastAsia="zh-CN"/>
        </w:rPr>
        <w:t>23</w:t>
      </w:r>
      <w:r>
        <w:rPr>
          <w:rFonts w:hint="eastAsia" w:ascii="宋体" w:hAnsi="宋体"/>
          <w:szCs w:val="21"/>
          <w:highlight w:val="none"/>
        </w:rPr>
        <w:t>日</w:t>
      </w:r>
      <w:r>
        <w:rPr>
          <w:rFonts w:hint="eastAsia" w:ascii="宋体" w:hAnsi="宋体"/>
          <w:szCs w:val="21"/>
          <w:highlight w:val="none"/>
          <w:lang w:val="en-US" w:eastAsia="zh-CN"/>
        </w:rPr>
        <w:t>上</w:t>
      </w:r>
      <w:r>
        <w:rPr>
          <w:rFonts w:hint="eastAsia" w:ascii="宋体" w:hAnsi="宋体"/>
          <w:szCs w:val="21"/>
          <w:highlight w:val="none"/>
        </w:rPr>
        <w:t>午</w:t>
      </w:r>
      <w:r>
        <w:rPr>
          <w:rFonts w:hint="eastAsia" w:ascii="宋体" w:hAnsi="宋体"/>
          <w:szCs w:val="21"/>
          <w:highlight w:val="none"/>
          <w:u w:val="single"/>
          <w:lang w:val="en-US" w:eastAsia="zh-CN"/>
        </w:rPr>
        <w:t>10</w:t>
      </w:r>
      <w:r>
        <w:rPr>
          <w:rFonts w:hint="eastAsia" w:ascii="宋体" w:hAnsi="宋体"/>
          <w:szCs w:val="21"/>
          <w:highlight w:val="none"/>
          <w:u w:val="single"/>
        </w:rPr>
        <w:t>:</w:t>
      </w:r>
      <w:r>
        <w:rPr>
          <w:rFonts w:hint="eastAsia" w:ascii="宋体" w:hAnsi="宋体"/>
          <w:szCs w:val="21"/>
          <w:highlight w:val="none"/>
          <w:u w:val="single"/>
          <w:lang w:val="en-US" w:eastAsia="zh-CN"/>
        </w:rPr>
        <w:t>0</w:t>
      </w:r>
      <w:r>
        <w:rPr>
          <w:rFonts w:hint="eastAsia" w:ascii="宋体" w:hAnsi="宋体"/>
          <w:szCs w:val="21"/>
          <w:highlight w:val="none"/>
          <w:u w:val="single"/>
        </w:rPr>
        <w:t>0</w:t>
      </w:r>
      <w:r>
        <w:rPr>
          <w:rFonts w:hint="eastAsia" w:ascii="宋体" w:hAnsi="宋体"/>
          <w:szCs w:val="21"/>
          <w:highlight w:val="none"/>
        </w:rPr>
        <w:t>前在</w:t>
      </w:r>
      <w:r>
        <w:rPr>
          <w:rFonts w:hint="eastAsia" w:ascii="宋体" w:hAnsi="宋体"/>
          <w:szCs w:val="21"/>
          <w:highlight w:val="none"/>
          <w:lang w:val="en-US" w:eastAsia="zh-CN"/>
        </w:rPr>
        <w:t>将响应性文件递交至</w:t>
      </w:r>
      <w:r>
        <w:rPr>
          <w:rFonts w:hint="eastAsia" w:ascii="宋体" w:hAnsi="宋体" w:cs="宋体"/>
          <w:szCs w:val="21"/>
          <w:highlight w:val="none"/>
          <w:lang w:val="en-US" w:eastAsia="zh-CN"/>
        </w:rPr>
        <w:t>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szCs w:val="21"/>
          <w:highlight w:val="none"/>
        </w:rPr>
        <w:t>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hint="eastAsia" w:ascii="宋体" w:hAnsi="宋体" w:eastAsia="宋体" w:cs="宋体"/>
          <w:highlight w:val="none"/>
        </w:rPr>
      </w:pPr>
      <w:r>
        <w:rPr>
          <w:rFonts w:hint="eastAsia" w:ascii="宋体" w:hAnsi="宋体" w:eastAsia="宋体" w:cs="宋体"/>
          <w:highlight w:val="none"/>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highlight w:val="none"/>
        </w:rPr>
        <w:t>及相关事宜</w:t>
      </w:r>
      <w:bookmarkEnd w:id="76"/>
      <w:bookmarkEnd w:id="77"/>
      <w:bookmarkEnd w:id="78"/>
    </w:p>
    <w:p>
      <w:pPr>
        <w:tabs>
          <w:tab w:val="left" w:pos="360"/>
        </w:tabs>
        <w:spacing w:line="400" w:lineRule="exact"/>
        <w:ind w:firstLine="420" w:firstLineChars="200"/>
        <w:rPr>
          <w:rFonts w:hint="eastAsia" w:ascii="宋体" w:hAnsi="宋体" w:cs="宋体"/>
          <w:szCs w:val="21"/>
          <w:highlight w:val="none"/>
        </w:rPr>
      </w:pPr>
      <w:bookmarkStart w:id="79" w:name="_Toc21615"/>
      <w:bookmarkStart w:id="80" w:name="_Toc152042293"/>
      <w:bookmarkStart w:id="81" w:name="_Toc152045517"/>
      <w:bookmarkStart w:id="82" w:name="_Toc247085678"/>
      <w:bookmarkStart w:id="83" w:name="_Toc144974485"/>
      <w:bookmarkStart w:id="84" w:name="_Toc393"/>
      <w:bookmarkStart w:id="85" w:name="_Toc246996907"/>
      <w:bookmarkStart w:id="86" w:name="_Toc11329219"/>
      <w:bookmarkStart w:id="87" w:name="_Toc18402"/>
      <w:bookmarkStart w:id="88" w:name="_Toc246996164"/>
      <w:bookmarkStart w:id="89" w:name="_Toc179632534"/>
      <w:bookmarkStart w:id="90" w:name="_Toc507319897"/>
      <w:r>
        <w:rPr>
          <w:rFonts w:hint="eastAsia" w:ascii="宋体" w:hAnsi="宋体" w:cs="宋体"/>
          <w:szCs w:val="21"/>
          <w:highlight w:val="none"/>
        </w:rPr>
        <w:t>5.1报价截止时间和开标时间</w:t>
      </w:r>
      <w:r>
        <w:rPr>
          <w:rFonts w:hint="eastAsia" w:ascii="宋体" w:hAnsi="宋体" w:cs="宋体"/>
          <w:color w:val="auto"/>
          <w:szCs w:val="21"/>
          <w:highlight w:val="none"/>
        </w:rPr>
        <w:t>：</w:t>
      </w:r>
      <w:r>
        <w:rPr>
          <w:rFonts w:hint="eastAsia" w:ascii="宋体" w:hAnsi="宋体" w:cs="Times New Roman"/>
          <w:szCs w:val="21"/>
          <w:highlight w:val="none"/>
          <w:u w:val="single"/>
        </w:rPr>
        <w:t>20</w:t>
      </w:r>
      <w:r>
        <w:rPr>
          <w:rFonts w:hint="eastAsia" w:ascii="宋体" w:hAnsi="宋体" w:cs="Times New Roman"/>
          <w:szCs w:val="21"/>
          <w:highlight w:val="none"/>
          <w:u w:val="single"/>
          <w:lang w:val="en-US" w:eastAsia="zh-CN"/>
        </w:rPr>
        <w:t>25</w:t>
      </w:r>
      <w:r>
        <w:rPr>
          <w:rFonts w:hint="eastAsia" w:ascii="宋体" w:hAnsi="宋体" w:cs="Times New Roman"/>
          <w:szCs w:val="21"/>
          <w:highlight w:val="none"/>
        </w:rPr>
        <w:t>年</w:t>
      </w:r>
      <w:r>
        <w:rPr>
          <w:rFonts w:hint="eastAsia" w:ascii="宋体" w:hAnsi="宋体" w:cs="Times New Roman"/>
          <w:szCs w:val="21"/>
          <w:highlight w:val="none"/>
          <w:u w:val="single"/>
          <w:lang w:val="en-US" w:eastAsia="zh-CN"/>
        </w:rPr>
        <w:t>1</w:t>
      </w:r>
      <w:r>
        <w:rPr>
          <w:rFonts w:hint="eastAsia" w:ascii="宋体" w:hAnsi="宋体" w:cs="Times New Roman"/>
          <w:szCs w:val="21"/>
          <w:highlight w:val="none"/>
        </w:rPr>
        <w:t>月</w:t>
      </w:r>
      <w:r>
        <w:rPr>
          <w:rFonts w:hint="eastAsia" w:ascii="宋体" w:hAnsi="宋体" w:cs="Times New Roman"/>
          <w:szCs w:val="21"/>
          <w:highlight w:val="none"/>
          <w:u w:val="single"/>
          <w:lang w:val="en-US" w:eastAsia="zh-CN"/>
        </w:rPr>
        <w:t xml:space="preserve"> 23 </w:t>
      </w:r>
      <w:r>
        <w:rPr>
          <w:rFonts w:hint="eastAsia" w:ascii="宋体" w:hAnsi="宋体" w:cs="Times New Roman"/>
          <w:szCs w:val="21"/>
          <w:highlight w:val="none"/>
        </w:rPr>
        <w:t>日</w:t>
      </w:r>
      <w:r>
        <w:rPr>
          <w:rFonts w:hint="eastAsia" w:ascii="宋体" w:hAnsi="宋体" w:cs="Times New Roman"/>
          <w:szCs w:val="21"/>
          <w:highlight w:val="none"/>
          <w:lang w:val="en-US" w:eastAsia="zh-CN"/>
        </w:rPr>
        <w:t>上午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分（北京时间）</w:t>
      </w:r>
      <w:r>
        <w:rPr>
          <w:rFonts w:hint="eastAsia" w:ascii="宋体" w:hAnsi="宋体" w:cs="宋体"/>
          <w:szCs w:val="21"/>
          <w:highlight w:val="none"/>
        </w:rPr>
        <w:t>。</w:t>
      </w:r>
    </w:p>
    <w:p>
      <w:pPr>
        <w:tabs>
          <w:tab w:val="left" w:pos="360"/>
        </w:tabs>
        <w:spacing w:line="400" w:lineRule="exact"/>
        <w:ind w:firstLine="420" w:firstLineChars="200"/>
        <w:rPr>
          <w:rFonts w:hint="default" w:ascii="宋体" w:hAnsi="宋体" w:eastAsia="宋体" w:cs="宋体"/>
          <w:color w:val="FF0000"/>
          <w:szCs w:val="21"/>
          <w:highlight w:val="none"/>
          <w:lang w:val="en-US" w:eastAsia="zh-CN"/>
        </w:rPr>
      </w:pPr>
      <w:r>
        <w:rPr>
          <w:rFonts w:hint="eastAsia" w:ascii="宋体" w:hAnsi="宋体" w:cs="宋体"/>
          <w:szCs w:val="21"/>
          <w:highlight w:val="none"/>
        </w:rPr>
        <w:t>5.2报价</w:t>
      </w:r>
      <w:r>
        <w:rPr>
          <w:rFonts w:hint="eastAsia" w:ascii="宋体" w:hAnsi="宋体" w:cs="宋体"/>
          <w:szCs w:val="21"/>
          <w:highlight w:val="none"/>
          <w:lang w:val="en-US" w:eastAsia="zh-CN"/>
        </w:rPr>
        <w:t>的递交</w:t>
      </w:r>
      <w:r>
        <w:rPr>
          <w:rFonts w:hint="eastAsia" w:ascii="宋体" w:hAnsi="宋体" w:cs="宋体"/>
          <w:szCs w:val="21"/>
          <w:highlight w:val="none"/>
        </w:rPr>
        <w:t>：</w:t>
      </w:r>
      <w:r>
        <w:rPr>
          <w:rFonts w:hint="eastAsia" w:ascii="宋体" w:hAnsi="宋体" w:cs="宋体"/>
          <w:szCs w:val="21"/>
          <w:highlight w:val="none"/>
          <w:lang w:val="en-US" w:eastAsia="zh-CN"/>
        </w:rPr>
        <w:t>报价人将完整的密封的报价资料递交</w:t>
      </w:r>
      <w:bookmarkStart w:id="263" w:name="_GoBack"/>
      <w:bookmarkEnd w:id="263"/>
      <w:r>
        <w:rPr>
          <w:rFonts w:hint="eastAsia" w:ascii="宋体" w:hAnsi="宋体" w:cs="宋体"/>
          <w:szCs w:val="21"/>
          <w:highlight w:val="none"/>
          <w:lang w:val="en-US" w:eastAsia="zh-CN"/>
        </w:rPr>
        <w:t>至重庆市渝北区新南路52号东界龙湖一楼</w:t>
      </w:r>
      <w:r>
        <w:rPr>
          <w:rFonts w:hint="eastAsia" w:ascii="宋体" w:hAnsi="宋体" w:cs="宋体"/>
          <w:kern w:val="2"/>
          <w:sz w:val="21"/>
          <w:szCs w:val="21"/>
          <w:highlight w:val="none"/>
        </w:rPr>
        <w:t>重庆首讯科技股份有限公司</w:t>
      </w:r>
      <w:r>
        <w:rPr>
          <w:rFonts w:hint="eastAsia" w:ascii="宋体" w:hAnsi="宋体" w:cs="宋体"/>
          <w:kern w:val="2"/>
          <w:sz w:val="21"/>
          <w:szCs w:val="21"/>
          <w:highlight w:val="none"/>
          <w:lang w:val="en-US" w:eastAsia="zh-CN"/>
        </w:rPr>
        <w:t>东界龙湖办公区</w:t>
      </w:r>
      <w:r>
        <w:rPr>
          <w:rFonts w:hint="eastAsia" w:ascii="宋体" w:hAnsi="宋体" w:cs="Times New Roman"/>
          <w:color w:val="auto"/>
          <w:szCs w:val="21"/>
          <w:highlight w:val="none"/>
          <w:lang w:val="en-US" w:eastAsia="zh-CN"/>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hint="eastAsia" w:ascii="宋体" w:hAnsi="宋体" w:eastAsia="宋体" w:cs="宋体"/>
          <w:highlight w:val="none"/>
        </w:rPr>
      </w:pPr>
      <w:bookmarkStart w:id="91" w:name="_Toc20048"/>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79"/>
      <w:bookmarkEnd w:id="80"/>
      <w:bookmarkEnd w:id="81"/>
      <w:bookmarkEnd w:id="82"/>
      <w:bookmarkEnd w:id="83"/>
      <w:bookmarkEnd w:id="84"/>
      <w:bookmarkEnd w:id="85"/>
      <w:bookmarkEnd w:id="86"/>
      <w:bookmarkEnd w:id="87"/>
      <w:bookmarkEnd w:id="88"/>
      <w:bookmarkEnd w:id="89"/>
      <w:bookmarkEnd w:id="90"/>
      <w:bookmarkEnd w:id="91"/>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hint="eastAsia" w:ascii="宋体" w:hAnsi="宋体" w:cs="宋体"/>
                <w:szCs w:val="21"/>
                <w:highlight w:val="none"/>
              </w:rPr>
            </w:pPr>
            <w:r>
              <w:rPr>
                <w:rFonts w:hint="eastAsia" w:ascii="宋体" w:hAnsi="宋体" w:cs="宋体"/>
                <w:szCs w:val="21"/>
                <w:highlight w:val="none"/>
              </w:rPr>
              <w:t>地址：</w:t>
            </w:r>
            <w:r>
              <w:rPr>
                <w:rFonts w:hint="eastAsia" w:ascii="宋体" w:hAnsi="宋体" w:cs="宋体"/>
                <w:szCs w:val="21"/>
                <w:lang w:val="en-US" w:eastAsia="zh-CN"/>
              </w:rPr>
              <w:t>重庆市渝北区新南路52号东界龙湖一楼</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topLinePunct/>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 xml:space="preserve">余  工  </w:t>
            </w:r>
            <w:r>
              <w:rPr>
                <w:rFonts w:hint="eastAsia" w:ascii="宋体" w:hAnsi="宋体" w:cs="宋体"/>
                <w:szCs w:val="21"/>
                <w:highlight w:val="none"/>
              </w:rPr>
              <w:t>电 话：</w:t>
            </w:r>
            <w:r>
              <w:rPr>
                <w:rFonts w:hint="eastAsia" w:ascii="宋体" w:hAnsi="宋体" w:cs="宋体"/>
                <w:szCs w:val="21"/>
                <w:highlight w:val="none"/>
                <w:lang w:val="en-US" w:eastAsia="zh-CN"/>
              </w:rPr>
              <w:t>17723894158</w:t>
            </w:r>
          </w:p>
        </w:tc>
        <w:tc>
          <w:tcPr>
            <w:tcW w:w="1415" w:type="dxa"/>
            <w:vAlign w:val="center"/>
          </w:tcPr>
          <w:p>
            <w:pPr>
              <w:spacing w:line="400" w:lineRule="exact"/>
              <w:ind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蒋老师  </w:t>
            </w:r>
            <w:r>
              <w:rPr>
                <w:rFonts w:hint="eastAsia" w:ascii="宋体" w:hAnsi="宋体" w:cs="宋体"/>
                <w:szCs w:val="21"/>
                <w:highlight w:val="none"/>
              </w:rPr>
              <w:t>电 话：</w:t>
            </w:r>
            <w:r>
              <w:rPr>
                <w:rFonts w:hint="eastAsia" w:ascii="宋体" w:hAnsi="宋体" w:cs="宋体"/>
                <w:szCs w:val="21"/>
                <w:highlight w:val="none"/>
                <w:lang w:val="en-US" w:eastAsia="zh-CN"/>
              </w:rPr>
              <w:t>17783017837</w:t>
            </w:r>
          </w:p>
        </w:tc>
        <w:tc>
          <w:tcPr>
            <w:tcW w:w="1415" w:type="dxa"/>
            <w:vAlign w:val="center"/>
          </w:tcPr>
          <w:p>
            <w:pPr>
              <w:spacing w:line="400" w:lineRule="exact"/>
              <w:ind w:firstLine="420" w:firstLineChars="200"/>
              <w:rPr>
                <w:rFonts w:hint="eastAsia" w:ascii="宋体" w:hAnsi="宋体" w:cs="宋体"/>
                <w:szCs w:val="21"/>
                <w:highlight w:val="none"/>
              </w:rPr>
            </w:pPr>
          </w:p>
        </w:tc>
      </w:tr>
    </w:tbl>
    <w:p>
      <w:pPr>
        <w:rPr>
          <w:highlight w:val="none"/>
        </w:rPr>
      </w:pPr>
    </w:p>
    <w:p>
      <w:pPr>
        <w:pStyle w:val="29"/>
        <w:rPr>
          <w:highlight w:val="none"/>
        </w:rPr>
      </w:pPr>
    </w:p>
    <w:p>
      <w:pPr>
        <w:pStyle w:val="29"/>
        <w:rPr>
          <w:highlight w:val="none"/>
        </w:rPr>
      </w:pPr>
    </w:p>
    <w:bookmarkEnd w:id="16"/>
    <w:bookmarkEnd w:id="17"/>
    <w:p>
      <w:pPr>
        <w:pStyle w:val="3"/>
        <w:spacing w:before="0" w:after="0" w:line="360" w:lineRule="auto"/>
        <w:jc w:val="center"/>
        <w:rPr>
          <w:rFonts w:hint="eastAsia" w:ascii="宋体" w:hAnsi="宋体" w:cs="宋体"/>
          <w:highlight w:val="none"/>
        </w:rPr>
      </w:pPr>
      <w:bookmarkStart w:id="92" w:name="_Toc246996173"/>
      <w:bookmarkStart w:id="93" w:name="_Toc21719"/>
      <w:bookmarkStart w:id="94" w:name="_Toc246996916"/>
      <w:bookmarkStart w:id="95" w:name="_Toc247085687"/>
      <w:bookmarkStart w:id="96" w:name="_Toc144974495"/>
      <w:bookmarkStart w:id="97" w:name="_Toc152042303"/>
      <w:bookmarkStart w:id="98" w:name="_Toc179632544"/>
      <w:bookmarkStart w:id="99" w:name="_Toc2000405"/>
      <w:bookmarkStart w:id="100" w:name="_Toc507319898"/>
      <w:bookmarkStart w:id="101" w:name="_Toc152045527"/>
      <w:r>
        <w:rPr>
          <w:rFonts w:hint="eastAsia" w:ascii="宋体" w:hAnsi="宋体" w:cs="宋体"/>
          <w:highlight w:val="none"/>
        </w:rPr>
        <w:br w:type="page"/>
      </w:r>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spacing w:line="400" w:lineRule="exact"/>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spacing w:line="400" w:lineRule="exact"/>
              <w:ind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w:t>
            </w:r>
            <w:r>
              <w:rPr>
                <w:rFonts w:hint="eastAsia" w:ascii="宋体" w:hAnsi="宋体" w:cs="宋体"/>
                <w:szCs w:val="21"/>
                <w:highlight w:val="none"/>
                <w:lang w:val="en-US" w:eastAsia="zh-CN"/>
              </w:rPr>
              <w:t>渝北区新南路52号重庆首讯科技有限公司</w:t>
            </w:r>
          </w:p>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蒋老师</w:t>
            </w:r>
          </w:p>
          <w:p>
            <w:pPr>
              <w:topLinePunct/>
              <w:spacing w:line="420" w:lineRule="exact"/>
              <w:ind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17783017837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u w:val="none"/>
                <w:lang w:val="en-US" w:eastAsia="zh-CN"/>
              </w:rPr>
              <w:t>2025年2月-12月总中心华为交换机及网络安全设备维护采购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lang w:val="en-US" w:eastAsia="zh-CN"/>
              </w:rPr>
              <w:t>服务</w:t>
            </w:r>
            <w:r>
              <w:rPr>
                <w:rFonts w:hint="eastAsia" w:ascii="宋体" w:hAnsi="宋体" w:cs="宋体"/>
                <w:kern w:val="0"/>
                <w:szCs w:val="21"/>
                <w:highlight w:val="none"/>
              </w:rPr>
              <w:t>地点</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项目概况及服务内容</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kern w:val="0"/>
                <w:szCs w:val="21"/>
                <w:highlight w:val="none"/>
                <w:lang w:val="en-US" w:eastAsia="zh-CN"/>
              </w:rPr>
              <w:t>服务期限</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服务要求</w:t>
            </w:r>
          </w:p>
        </w:tc>
        <w:tc>
          <w:tcPr>
            <w:tcW w:w="7104" w:type="dxa"/>
          </w:tcPr>
          <w:p>
            <w:pPr>
              <w:spacing w:line="400" w:lineRule="exact"/>
              <w:ind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w:t>
            </w:r>
            <w:r>
              <w:rPr>
                <w:rFonts w:hint="eastAsia" w:ascii="宋体" w:hAnsi="宋体" w:cs="宋体"/>
                <w:szCs w:val="21"/>
                <w:highlight w:val="none"/>
                <w:lang w:val="en-US" w:eastAsia="zh-CN"/>
              </w:rPr>
              <w:t>六</w:t>
            </w:r>
            <w:r>
              <w:rPr>
                <w:rFonts w:hint="eastAsia" w:ascii="宋体" w:hAnsi="宋体" w:cs="宋体"/>
                <w:szCs w:val="21"/>
                <w:highlight w:val="none"/>
              </w:rPr>
              <w:t>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spacing w:line="40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spacing w:line="400"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spacing w:line="400" w:lineRule="exact"/>
              <w:ind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spacing w:line="440" w:lineRule="exact"/>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spacing w:line="440" w:lineRule="exact"/>
              <w:ind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8"/>
              <w:spacing w:before="72" w:line="400" w:lineRule="exact"/>
              <w:ind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spacing w:line="400" w:lineRule="exact"/>
              <w:ind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spacing w:line="400" w:lineRule="exact"/>
              <w:ind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spacing w:line="400" w:lineRule="exact"/>
              <w:ind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697"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spacing w:line="400" w:lineRule="exact"/>
              <w:ind w:firstLine="422" w:firstLineChars="200"/>
              <w:rPr>
                <w:rFonts w:hint="eastAsia" w:ascii="宋体" w:hAnsi="宋体" w:cs="宋体"/>
                <w:b/>
                <w:bCs/>
                <w:szCs w:val="21"/>
                <w:highlight w:val="none"/>
                <w:u w:val="none"/>
                <w:lang w:val="en-US" w:eastAsia="zh-CN"/>
              </w:rPr>
            </w:pPr>
            <w:r>
              <w:rPr>
                <w:rFonts w:hint="eastAsia" w:ascii="宋体" w:hAnsi="宋体" w:cs="宋体"/>
                <w:b/>
                <w:bCs/>
                <w:szCs w:val="21"/>
                <w:highlight w:val="none"/>
                <w:u w:val="none"/>
                <w:lang w:val="en-US" w:eastAsia="zh-CN"/>
              </w:rPr>
              <w:t>2025年2月-12月总中心华为交换机及网络安全设备维护采购限价为</w:t>
            </w:r>
            <w:r>
              <w:rPr>
                <w:rFonts w:hint="eastAsia" w:ascii="宋体" w:hAnsi="宋体" w:cs="宋体"/>
                <w:b/>
                <w:bCs/>
                <w:szCs w:val="21"/>
                <w:highlight w:val="none"/>
                <w:u w:val="none"/>
                <w:lang w:val="en-US" w:eastAsia="zh-CN"/>
              </w:rPr>
              <w:tab/>
            </w:r>
          </w:p>
          <w:p>
            <w:pPr>
              <w:spacing w:line="400" w:lineRule="exact"/>
              <w:rPr>
                <w:rFonts w:hint="eastAsia" w:ascii="宋体" w:hAnsi="宋体" w:cs="宋体"/>
                <w:b/>
                <w:bCs/>
                <w:kern w:val="0"/>
                <w:szCs w:val="21"/>
                <w:highlight w:val="none"/>
              </w:rPr>
            </w:pPr>
            <w:r>
              <w:rPr>
                <w:rFonts w:hint="eastAsia" w:ascii="宋体" w:hAnsi="宋体" w:cs="宋体"/>
                <w:b/>
                <w:bCs/>
                <w:szCs w:val="21"/>
                <w:highlight w:val="none"/>
                <w:u w:val="none"/>
                <w:lang w:val="en-US" w:eastAsia="zh-CN"/>
              </w:rPr>
              <w:t>117700.00元，</w:t>
            </w:r>
            <w:r>
              <w:rPr>
                <w:rFonts w:hint="eastAsia" w:ascii="宋体" w:hAnsi="宋体"/>
                <w:b/>
                <w:bCs/>
                <w:szCs w:val="21"/>
                <w:highlight w:val="none"/>
                <w:lang w:val="en-US" w:eastAsia="zh-CN"/>
              </w:rPr>
              <w:t>报价人所报价格不得超过采购人发布的限价，若有报价高于采购人发布的限价，</w:t>
            </w:r>
            <w:r>
              <w:rPr>
                <w:rFonts w:hint="eastAsia" w:ascii="宋体" w:hAnsi="宋体" w:cs="宋体"/>
                <w:b/>
                <w:szCs w:val="21"/>
                <w:highlight w:val="none"/>
              </w:rPr>
              <w:t>其竞争性比选响应文件视为重大偏差，竞争性比选响应文件将按否决报价处理</w:t>
            </w:r>
            <w:r>
              <w:rPr>
                <w:rFonts w:hint="eastAsia" w:ascii="宋体" w:hAnsi="宋体" w:cs="宋体"/>
                <w:b/>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spacing w:line="400" w:lineRule="exact"/>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pStyle w:val="41"/>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服务期满后根据合同据实计量乙方实施的维护工作，由乙方提交书面支付申请、相关证明材料以及对应增值税专用发票经甲方审核无误后20日内支付至结算金额的100%。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spacing w:line="400" w:lineRule="exact"/>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spacing w:line="400" w:lineRule="exact"/>
              <w:ind w:firstLine="420" w:firstLineChars="200"/>
              <w:rPr>
                <w:rFonts w:hint="default"/>
                <w:highlight w:val="yellow"/>
                <w:lang w:val="en-US" w:eastAsia="zh-CN"/>
              </w:rPr>
            </w:pPr>
            <w:r>
              <w:rPr>
                <w:rFonts w:hint="eastAsia" w:ascii="Times New Roman" w:hAnsi="Times New Roman" w:eastAsia="宋体" w:cs="Times New Roman"/>
                <w:kern w:val="2"/>
                <w:sz w:val="21"/>
                <w:szCs w:val="24"/>
                <w:highlight w:val="none"/>
                <w:lang w:val="en-US" w:eastAsia="zh-CN" w:bidi="ar-SA"/>
              </w:rPr>
              <w:t>乙方无正当理由未按本合同约定按时完成维护、保养、维修义务的，每延迟一天，应按照当期结算维护费用的1%支付违约金，累计不超过合同暂定总金额的30%。</w:t>
            </w:r>
            <w:r>
              <w:rPr>
                <w:rFonts w:hint="eastAsia" w:cs="Times New Roman"/>
                <w:kern w:val="2"/>
                <w:sz w:val="21"/>
                <w:szCs w:val="24"/>
                <w:highlight w:val="none"/>
                <w:lang w:val="en-US" w:eastAsia="zh-CN" w:bidi="ar-SA"/>
              </w:rPr>
              <w:t>其他违约条款详见合同。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97" w:type="dxa"/>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spacing w:line="400" w:lineRule="exact"/>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spacing w:line="400" w:lineRule="exact"/>
              <w:ind w:firstLine="420" w:firstLineChars="200"/>
              <w:rPr>
                <w:rFonts w:hint="eastAsia" w:ascii="宋体" w:hAnsi="宋体" w:cs="宋体"/>
                <w:highlight w:val="none"/>
              </w:rPr>
            </w:pPr>
            <w:r>
              <w:rPr>
                <w:rFonts w:hint="eastAsia" w:ascii="宋体" w:hAnsi="宋体" w:cs="宋体"/>
                <w:highlight w:val="none"/>
                <w:lang w:val="en-US" w:eastAsia="zh-CN"/>
              </w:rPr>
              <w:t>每个标段</w:t>
            </w: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snapToGrid w:val="0"/>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一、投标保证金</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highlight w:val="none"/>
              </w:rPr>
              <w:t>、报价人须缴纳投标保证金</w:t>
            </w:r>
            <w:r>
              <w:rPr>
                <w:rFonts w:hint="eastAsia" w:hAnsi="宋体" w:cs="宋体"/>
                <w:sz w:val="21"/>
                <w:szCs w:val="21"/>
                <w:highlight w:val="none"/>
                <w:lang w:val="en-US" w:eastAsia="zh-CN"/>
              </w:rPr>
              <w:t>2000</w:t>
            </w:r>
            <w:r>
              <w:rPr>
                <w:rFonts w:hint="eastAsia" w:ascii="宋体" w:hAnsi="宋体" w:cs="宋体"/>
                <w:sz w:val="21"/>
                <w:szCs w:val="21"/>
                <w:highlight w:val="none"/>
              </w:rPr>
              <w:t>元，由报价人从公司基本账户将投标保证金汇至以下指定账户：</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保证金到账截止时间：202</w:t>
            </w:r>
            <w:r>
              <w:rPr>
                <w:rFonts w:hint="eastAsia" w:hAnsi="宋体" w:cs="宋体"/>
                <w:sz w:val="21"/>
                <w:szCs w:val="21"/>
                <w:lang w:val="en-US" w:eastAsia="zh-CN"/>
              </w:rPr>
              <w:t>5</w:t>
            </w:r>
            <w:r>
              <w:rPr>
                <w:rFonts w:hint="eastAsia" w:ascii="宋体" w:hAnsi="宋体" w:cs="宋体"/>
                <w:sz w:val="21"/>
                <w:szCs w:val="21"/>
              </w:rPr>
              <w:t>年</w:t>
            </w:r>
            <w:r>
              <w:rPr>
                <w:rFonts w:hint="eastAsia" w:hAnsi="宋体" w:cs="宋体"/>
                <w:sz w:val="21"/>
                <w:szCs w:val="21"/>
                <w:lang w:val="en-US" w:eastAsia="zh-CN"/>
              </w:rPr>
              <w:t>1</w:t>
            </w:r>
            <w:r>
              <w:rPr>
                <w:rFonts w:hint="eastAsia" w:ascii="宋体" w:hAnsi="宋体" w:cs="宋体"/>
                <w:sz w:val="21"/>
                <w:szCs w:val="21"/>
              </w:rPr>
              <w:t>月</w:t>
            </w:r>
            <w:r>
              <w:rPr>
                <w:rFonts w:hint="eastAsia" w:hAnsi="宋体" w:cs="宋体"/>
                <w:sz w:val="21"/>
                <w:szCs w:val="21"/>
                <w:lang w:val="en-US" w:eastAsia="zh-CN"/>
              </w:rPr>
              <w:t>23</w:t>
            </w:r>
            <w:r>
              <w:rPr>
                <w:rFonts w:hint="eastAsia" w:ascii="宋体" w:hAnsi="宋体" w:cs="宋体"/>
                <w:sz w:val="21"/>
                <w:szCs w:val="21"/>
              </w:rPr>
              <w:t>日</w:t>
            </w:r>
            <w:r>
              <w:rPr>
                <w:rFonts w:hint="eastAsia" w:hAnsi="宋体" w:cs="宋体"/>
                <w:sz w:val="21"/>
                <w:szCs w:val="21"/>
                <w:lang w:val="en-US" w:eastAsia="zh-CN"/>
              </w:rPr>
              <w:t>10</w:t>
            </w:r>
            <w:r>
              <w:rPr>
                <w:rFonts w:hint="eastAsia" w:ascii="宋体" w:hAnsi="宋体" w:cs="宋体"/>
                <w:sz w:val="21"/>
                <w:szCs w:val="21"/>
              </w:rPr>
              <w:t>时</w:t>
            </w:r>
            <w:r>
              <w:rPr>
                <w:rFonts w:hint="eastAsia" w:hAnsi="宋体" w:cs="宋体"/>
                <w:sz w:val="21"/>
                <w:szCs w:val="21"/>
                <w:lang w:val="en-US" w:eastAsia="zh-CN"/>
              </w:rPr>
              <w:t>0</w:t>
            </w:r>
            <w:r>
              <w:rPr>
                <w:rFonts w:hint="eastAsia" w:ascii="宋体" w:hAnsi="宋体" w:cs="宋体"/>
                <w:sz w:val="21"/>
                <w:szCs w:val="21"/>
              </w:rPr>
              <w:t>0分前；</w:t>
            </w:r>
          </w:p>
          <w:p>
            <w:pPr>
              <w:pStyle w:val="148"/>
              <w:spacing w:line="400" w:lineRule="exact"/>
              <w:ind w:firstLine="420" w:firstLineChars="200"/>
              <w:rPr>
                <w:rFonts w:hint="eastAsia" w:ascii="宋体" w:hAnsi="宋体" w:cs="宋体"/>
                <w:sz w:val="21"/>
                <w:szCs w:val="21"/>
              </w:rPr>
            </w:pPr>
            <w:r>
              <w:rPr>
                <w:rFonts w:hint="eastAsia" w:ascii="宋体" w:hAnsi="宋体" w:cs="宋体"/>
                <w:sz w:val="21"/>
                <w:szCs w:val="21"/>
              </w:rPr>
              <w:t>若竞争性比选响应文件内无投标保证金缴纳凭证，采购人有权作废标处理，若投标保证金存在虚假不实情况，采购人有权作废标处理。</w:t>
            </w:r>
          </w:p>
          <w:p>
            <w:pPr>
              <w:pStyle w:val="148"/>
              <w:spacing w:line="400" w:lineRule="exact"/>
              <w:ind w:firstLine="420" w:firstLineChars="200"/>
              <w:rPr>
                <w:rFonts w:hint="default" w:ascii="宋体" w:hAnsi="宋体" w:eastAsia="宋体" w:cs="宋体"/>
                <w:sz w:val="21"/>
                <w:szCs w:val="21"/>
                <w:lang w:val="en-US" w:eastAsia="zh-CN"/>
              </w:rPr>
            </w:pPr>
            <w:r>
              <w:rPr>
                <w:rFonts w:hint="eastAsia" w:hAnsi="宋体" w:cs="宋体"/>
                <w:sz w:val="21"/>
                <w:szCs w:val="21"/>
                <w:lang w:val="en-US" w:eastAsia="zh-CN"/>
              </w:rPr>
              <w:t>此前参与本项目竞争性比选并缴纳投标保证金的，可使用此前缴纳的投标保证金。</w:t>
            </w:r>
          </w:p>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二、履约保证金</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color w:val="auto"/>
                <w:kern w:val="2"/>
                <w:sz w:val="21"/>
                <w:szCs w:val="21"/>
                <w:highlight w:val="none"/>
                <w:lang w:val="en-US" w:eastAsia="zh-CN"/>
              </w:rPr>
            </w:pPr>
            <w:r>
              <w:rPr>
                <w:rFonts w:hint="eastAsia" w:hAnsi="宋体"/>
                <w:color w:val="auto"/>
                <w:kern w:val="2"/>
                <w:sz w:val="21"/>
                <w:szCs w:val="21"/>
                <w:highlight w:val="none"/>
                <w:lang w:val="en-US" w:eastAsia="zh-CN"/>
              </w:rPr>
              <w:t>无</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cs="宋体"/>
                <w:sz w:val="21"/>
                <w:szCs w:val="21"/>
              </w:rPr>
            </w:pPr>
            <w:r>
              <w:rPr>
                <w:rFonts w:hint="eastAsia" w:ascii="宋体" w:hAnsi="宋体" w:cs="宋体"/>
                <w:sz w:val="21"/>
                <w:szCs w:val="21"/>
                <w:lang w:val="en-US" w:eastAsia="zh-CN"/>
              </w:rPr>
              <w:t>三</w:t>
            </w:r>
            <w:r>
              <w:rPr>
                <w:rFonts w:hint="eastAsia" w:ascii="宋体" w:hAnsi="宋体" w:cs="宋体"/>
                <w:sz w:val="21"/>
                <w:szCs w:val="21"/>
              </w:rPr>
              <w:t>、</w:t>
            </w:r>
            <w:r>
              <w:rPr>
                <w:rFonts w:hint="eastAsia" w:ascii="宋体" w:hAnsi="宋体" w:cs="宋体"/>
                <w:sz w:val="21"/>
                <w:szCs w:val="21"/>
                <w:lang w:val="en-US" w:eastAsia="zh-CN"/>
              </w:rPr>
              <w:t>低价</w:t>
            </w:r>
            <w:r>
              <w:rPr>
                <w:rFonts w:hint="eastAsia" w:ascii="宋体" w:hAnsi="宋体" w:cs="宋体"/>
                <w:sz w:val="21"/>
                <w:szCs w:val="21"/>
              </w:rPr>
              <w:t>保证金</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1．低价风险担保：中标价低于最高限价的85%时提供，如不按时足额提供，视为</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有权不退还其投标保证金</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提供低价风险担保的形式、金额及期限：</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（1）低价风险担保的形式：</w:t>
            </w:r>
            <w:bookmarkStart w:id="104" w:name="_Hlk58857485"/>
            <w:r>
              <w:rPr>
                <w:rFonts w:hint="eastAsia" w:ascii="宋体" w:hAnsi="宋体" w:eastAsia="宋体" w:cs="宋体"/>
                <w:color w:val="auto"/>
                <w:kern w:val="0"/>
                <w:sz w:val="21"/>
                <w:szCs w:val="21"/>
                <w:highlight w:val="none"/>
              </w:rPr>
              <w:t>现金或银行保函或现金+银行保函的组合；采用银行保函形式的，保函必须为不可撤销、不可转让且见索即付的独立保函，保函格式详见第</w:t>
            </w:r>
            <w:r>
              <w:rPr>
                <w:rFonts w:hint="eastAsia" w:ascii="宋体" w:hAnsi="宋体" w:cs="宋体"/>
                <w:color w:val="auto"/>
                <w:kern w:val="0"/>
                <w:sz w:val="21"/>
                <w:szCs w:val="21"/>
                <w:highlight w:val="none"/>
                <w:lang w:val="en-US" w:eastAsia="zh-CN"/>
              </w:rPr>
              <w:t>七</w:t>
            </w:r>
            <w:r>
              <w:rPr>
                <w:rFonts w:hint="eastAsia" w:ascii="宋体" w:hAnsi="宋体" w:eastAsia="宋体" w:cs="宋体"/>
                <w:color w:val="auto"/>
                <w:kern w:val="0"/>
                <w:sz w:val="21"/>
                <w:szCs w:val="21"/>
                <w:highlight w:val="none"/>
              </w:rPr>
              <w:t>章合同条款及格式附件，</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出具保函时，不得修改“低价风险担保保函”名称，也不得对低价风险担保保函示范文本中付款条件等实质性内容进行修改，否则视为不符合招标文件规定。</w:t>
            </w:r>
            <w:bookmarkEnd w:id="104"/>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（2）低价风险担保的金额：（最高限价×85%-中标价）×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，且最高不超过最高限价的85%。</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（3）低价风险担保送达</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的时间：从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中标通知书送达拟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之日起</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u w:val="none"/>
                <w:lang w:val="en-US" w:eastAsia="zh-CN"/>
              </w:rPr>
              <w:t>20</w:t>
            </w:r>
            <w:r>
              <w:rPr>
                <w:rFonts w:hint="eastAsia" w:ascii="宋体" w:hAnsi="宋体" w:eastAsia="宋体" w:cs="宋体"/>
                <w:color w:val="auto"/>
                <w:kern w:val="0"/>
                <w:sz w:val="21"/>
                <w:szCs w:val="21"/>
                <w:highlight w:val="none"/>
                <w:u w:val="none"/>
              </w:rPr>
              <w:t xml:space="preserve"> </w:t>
            </w:r>
            <w:r>
              <w:rPr>
                <w:rFonts w:hint="eastAsia" w:ascii="宋体" w:hAnsi="宋体" w:eastAsia="宋体" w:cs="宋体"/>
                <w:color w:val="auto"/>
                <w:kern w:val="0"/>
                <w:sz w:val="21"/>
                <w:szCs w:val="21"/>
                <w:highlight w:val="none"/>
              </w:rPr>
              <w:t>工作日内。</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（4）</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签订合同的，其以现金形式提交低价风险担保的，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有权扣除其低价风险担保</w:t>
            </w:r>
            <w:r>
              <w:rPr>
                <w:rFonts w:hint="eastAsia" w:ascii="宋体" w:hAnsi="宋体" w:eastAsia="宋体" w:cs="宋体"/>
                <w:color w:val="auto"/>
                <w:kern w:val="0"/>
                <w:sz w:val="21"/>
                <w:szCs w:val="21"/>
                <w:highlight w:val="none"/>
                <w:lang w:val="en-US" w:eastAsia="zh-CN"/>
              </w:rPr>
              <w:t>金</w:t>
            </w:r>
            <w:r>
              <w:rPr>
                <w:rFonts w:hint="eastAsia" w:ascii="宋体" w:hAnsi="宋体" w:eastAsia="宋体" w:cs="宋体"/>
                <w:color w:val="auto"/>
                <w:kern w:val="0"/>
                <w:sz w:val="21"/>
                <w:szCs w:val="21"/>
                <w:highlight w:val="none"/>
              </w:rPr>
              <w:t>并取消</w:t>
            </w:r>
            <w:r>
              <w:rPr>
                <w:rFonts w:hint="eastAsia" w:ascii="宋体" w:hAnsi="宋体" w:eastAsia="宋体" w:cs="宋体"/>
                <w:color w:val="auto"/>
                <w:kern w:val="0"/>
                <w:sz w:val="21"/>
                <w:szCs w:val="21"/>
                <w:highlight w:val="none"/>
                <w:lang w:val="en-US" w:eastAsia="zh-CN"/>
              </w:rPr>
              <w:t>其</w:t>
            </w:r>
            <w:r>
              <w:rPr>
                <w:rFonts w:hint="eastAsia" w:ascii="宋体" w:hAnsi="宋体" w:eastAsia="宋体" w:cs="宋体"/>
                <w:color w:val="auto"/>
                <w:kern w:val="0"/>
                <w:sz w:val="21"/>
                <w:szCs w:val="21"/>
                <w:highlight w:val="none"/>
              </w:rPr>
              <w:t>中标资格</w:t>
            </w:r>
            <w:r>
              <w:rPr>
                <w:rFonts w:hint="eastAsia" w:ascii="宋体" w:hAnsi="宋体" w:eastAsia="宋体" w:cs="宋体"/>
                <w:color w:val="auto"/>
                <w:kern w:val="0"/>
                <w:sz w:val="21"/>
                <w:szCs w:val="21"/>
                <w:highlight w:val="none"/>
                <w:lang w:eastAsia="zh-CN"/>
              </w:rPr>
              <w:t>；以保函形式提交低价风险担保的，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有权要求保函开立人支付保函担保的与低价风险担保金额等额的款项并取消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中标资格；</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因自身原因未按中标通知书规定的时限与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签订合同，且未提交低价风险担保金或低价风险保函的，</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lang w:eastAsia="zh-CN"/>
              </w:rPr>
              <w:t>有权要求</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承担低价风险担保金等额的损失并取消</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lang w:eastAsia="zh-CN"/>
              </w:rPr>
              <w:t>资格。</w:t>
            </w:r>
          </w:p>
          <w:p>
            <w:pPr>
              <w:keepNext w:val="0"/>
              <w:keepLines w:val="0"/>
              <w:pageBreakBefore w:val="0"/>
              <w:kinsoku/>
              <w:wordWrap/>
              <w:overflowPunct/>
              <w:topLinePunct w:val="0"/>
              <w:autoSpaceDE/>
              <w:autoSpaceDN/>
              <w:bidi w:val="0"/>
              <w:adjustRightInd/>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（5）低价风险担保的期限：自低价风险担保生效之日起至合同设备验收证书或验收款支付函签署之日止。</w:t>
            </w:r>
          </w:p>
          <w:p>
            <w:pPr>
              <w:keepNext w:val="0"/>
              <w:keepLines w:val="0"/>
              <w:pageBreakBefore w:val="0"/>
              <w:widowControl/>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低价风险担保的退还时间：采用现金担保的，在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退还，合同履行期间允许卖方用符合要求的银行保函进行置换；</w:t>
            </w:r>
            <w:r>
              <w:rPr>
                <w:rFonts w:hint="eastAsia" w:ascii="宋体" w:hAnsi="宋体" w:eastAsia="宋体" w:cs="宋体"/>
                <w:color w:val="auto"/>
                <w:kern w:val="0"/>
                <w:sz w:val="21"/>
                <w:szCs w:val="21"/>
                <w:highlight w:val="none"/>
                <w:lang w:val="en-US" w:eastAsia="zh-CN"/>
              </w:rPr>
              <w:t>若所供货物完全满足要求，经现场工程师确认后可在供货金额达到合同金额的一半时，可申请退还一半的低价风险担保金，剩余部分在</w:t>
            </w: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0"/>
                <w:sz w:val="21"/>
                <w:szCs w:val="21"/>
                <w:highlight w:val="none"/>
                <w:lang w:val="en-US" w:eastAsia="zh-CN"/>
              </w:rPr>
              <w:t>现场工程师确认供货完成</w:t>
            </w:r>
            <w:r>
              <w:rPr>
                <w:rFonts w:hint="eastAsia" w:ascii="宋体" w:hAnsi="宋体" w:eastAsia="宋体" w:cs="宋体"/>
                <w:color w:val="auto"/>
                <w:kern w:val="0"/>
                <w:sz w:val="21"/>
                <w:szCs w:val="21"/>
                <w:highlight w:val="none"/>
              </w:rPr>
              <w:t>后28天内</w:t>
            </w:r>
            <w:r>
              <w:rPr>
                <w:rFonts w:hint="eastAsia" w:ascii="宋体" w:hAnsi="宋体" w:eastAsia="宋体" w:cs="宋体"/>
                <w:color w:val="auto"/>
                <w:kern w:val="0"/>
                <w:sz w:val="21"/>
                <w:szCs w:val="21"/>
                <w:highlight w:val="none"/>
                <w:lang w:val="en-US" w:eastAsia="zh-CN"/>
              </w:rPr>
              <w:t>全额</w:t>
            </w:r>
            <w:r>
              <w:rPr>
                <w:rFonts w:hint="eastAsia" w:ascii="宋体" w:hAnsi="宋体" w:eastAsia="宋体" w:cs="宋体"/>
                <w:color w:val="auto"/>
                <w:kern w:val="0"/>
                <w:sz w:val="21"/>
                <w:szCs w:val="21"/>
                <w:highlight w:val="none"/>
              </w:rPr>
              <w:t>退还</w:t>
            </w:r>
            <w:r>
              <w:rPr>
                <w:rFonts w:hint="eastAsia" w:ascii="宋体" w:hAnsi="宋体" w:eastAsia="宋体" w:cs="宋体"/>
                <w:color w:val="auto"/>
                <w:kern w:val="0"/>
                <w:sz w:val="21"/>
                <w:szCs w:val="21"/>
                <w:highlight w:val="none"/>
                <w:lang w:eastAsia="zh-CN"/>
              </w:rPr>
              <w:t>。</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（5）低价风险担保的扣减：</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①卖方在合同履行期间，以其投标时填报的</w:t>
            </w:r>
            <w:r>
              <w:rPr>
                <w:rFonts w:hint="eastAsia" w:ascii="宋体" w:hAnsi="宋体" w:eastAsia="宋体" w:cs="宋体"/>
                <w:color w:val="auto"/>
                <w:kern w:val="0"/>
                <w:sz w:val="21"/>
                <w:szCs w:val="21"/>
                <w:highlight w:val="none"/>
                <w:lang w:val="en-US" w:eastAsia="zh-CN"/>
              </w:rPr>
              <w:t>材料</w:t>
            </w:r>
            <w:r>
              <w:rPr>
                <w:rFonts w:hint="eastAsia" w:ascii="宋体" w:hAnsi="宋体" w:eastAsia="宋体" w:cs="宋体"/>
                <w:color w:val="auto"/>
                <w:kern w:val="0"/>
                <w:sz w:val="21"/>
                <w:szCs w:val="21"/>
                <w:highlight w:val="none"/>
              </w:rPr>
              <w:t>价格过低为由拒绝供货；或因其自身其他原因导致项目暂停等，给买方造成直接经济损失且拒绝承担的，按低价风险担保金额的50～100%扣减，直至解除合同；</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②因卖方违约被解除合同的，低价风险担保将全额扣除；</w:t>
            </w:r>
          </w:p>
          <w:p>
            <w:pPr>
              <w:keepNext w:val="0"/>
              <w:keepLines w:val="0"/>
              <w:pageBreakBefore w:val="0"/>
              <w:kinsoku/>
              <w:wordWrap/>
              <w:overflowPunct/>
              <w:topLinePunct w:val="0"/>
              <w:bidi w:val="0"/>
              <w:snapToGrid w:val="0"/>
              <w:spacing w:afterLines="0" w:line="360" w:lineRule="auto"/>
              <w:ind w:firstLine="42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③因卖方原因导致的其他情形：               。</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4．采用经评审最低投标价法的项目，拟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或者</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放弃中标项目，无正当理由不与</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签订合同，在签订合同时向</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提出附加条件或者更改合同实质性内容，或者拒不按照招标文件规定提交低价风险担保或履约担保的，取消其中标资格，投标保证金以现金形式交纳的不予退还，以保函形式递交的由保函开立人支付保函担保的与投标保证金等额的款项，给</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造成的损失超过投标保证金数额的，拟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应对超过部分予以赔偿。</w:t>
            </w:r>
          </w:p>
          <w:p>
            <w:pPr>
              <w:keepNext w:val="0"/>
              <w:keepLines w:val="0"/>
              <w:pageBreakBefore w:val="0"/>
              <w:kinsoku/>
              <w:wordWrap/>
              <w:overflowPunct/>
              <w:topLinePunct w:val="0"/>
              <w:bidi w:val="0"/>
              <w:snapToGrid w:val="0"/>
              <w:spacing w:beforeAutospacing="0" w:afterLines="0" w:after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备注：当</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或拟</w:t>
            </w:r>
            <w:r>
              <w:rPr>
                <w:rFonts w:hint="eastAsia" w:ascii="宋体" w:hAnsi="宋体" w:cs="宋体"/>
                <w:color w:val="auto"/>
                <w:kern w:val="0"/>
                <w:sz w:val="21"/>
                <w:szCs w:val="21"/>
                <w:highlight w:val="none"/>
                <w:lang w:eastAsia="zh-CN"/>
              </w:rPr>
              <w:t>中选人</w:t>
            </w:r>
            <w:r>
              <w:rPr>
                <w:rFonts w:hint="eastAsia" w:ascii="宋体" w:hAnsi="宋体" w:eastAsia="宋体" w:cs="宋体"/>
                <w:color w:val="auto"/>
                <w:kern w:val="0"/>
                <w:sz w:val="21"/>
                <w:szCs w:val="21"/>
                <w:highlight w:val="none"/>
              </w:rPr>
              <w:t>未按时提交低价风险担保，且属于可以延长低价风险担保提交期限的特殊情形时，经</w:t>
            </w:r>
            <w:r>
              <w:rPr>
                <w:rFonts w:hint="eastAsia" w:ascii="宋体" w:hAnsi="宋体" w:cs="宋体"/>
                <w:color w:val="auto"/>
                <w:kern w:val="0"/>
                <w:sz w:val="21"/>
                <w:szCs w:val="21"/>
                <w:highlight w:val="none"/>
                <w:lang w:eastAsia="zh-CN"/>
              </w:rPr>
              <w:t>采购人</w:t>
            </w:r>
            <w:r>
              <w:rPr>
                <w:rFonts w:hint="eastAsia" w:ascii="宋体" w:hAnsi="宋体" w:eastAsia="宋体" w:cs="宋体"/>
                <w:color w:val="auto"/>
                <w:kern w:val="0"/>
                <w:sz w:val="21"/>
                <w:szCs w:val="21"/>
                <w:highlight w:val="none"/>
              </w:rPr>
              <w:t>同意，可适当延长低价风险担保的提交期限。</w:t>
            </w:r>
          </w:p>
          <w:p>
            <w:pPr>
              <w:pStyle w:val="148"/>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投标总报价低于最高限价85%的，投标人应在编制投标文件时，在投标函部分中递交低价风险担保提交承诺书。承诺书格式详见第</w:t>
            </w:r>
            <w:r>
              <w:rPr>
                <w:rFonts w:hint="eastAsia" w:hAnsi="宋体" w:cs="宋体"/>
                <w:b w:val="0"/>
                <w:bCs w:val="0"/>
                <w:color w:val="auto"/>
                <w:kern w:val="0"/>
                <w:sz w:val="21"/>
                <w:szCs w:val="21"/>
                <w:highlight w:val="none"/>
                <w:lang w:val="en-US" w:eastAsia="zh-CN"/>
              </w:rPr>
              <w:t>八</w:t>
            </w:r>
            <w:r>
              <w:rPr>
                <w:rFonts w:hint="eastAsia" w:ascii="宋体" w:hAnsi="宋体" w:eastAsia="宋体" w:cs="宋体"/>
                <w:b w:val="0"/>
                <w:bCs w:val="0"/>
                <w:color w:val="auto"/>
                <w:kern w:val="0"/>
                <w:sz w:val="21"/>
                <w:szCs w:val="21"/>
                <w:highlight w:val="none"/>
              </w:rPr>
              <w:t>章投标文件格式</w:t>
            </w:r>
            <w:r>
              <w:rPr>
                <w:rFonts w:hint="eastAsia" w:ascii="宋体" w:hAnsi="宋体" w:eastAsia="宋体" w:cs="宋体"/>
                <w:b w:val="0"/>
                <w:bCs w:val="0"/>
                <w:color w:val="auto"/>
                <w:kern w:val="0"/>
                <w:sz w:val="21"/>
                <w:szCs w:val="21"/>
                <w:highlight w:val="none"/>
                <w:lang w:eastAsia="zh-CN"/>
              </w:rPr>
              <w:t>。</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四、采购人指定的开户银行及账号如下：</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账户名称：重庆首讯科技股份有限公司</w:t>
            </w:r>
          </w:p>
          <w:p>
            <w:pPr>
              <w:pStyle w:val="148"/>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开户银行：兴业银行重庆分行营业部</w:t>
            </w:r>
          </w:p>
          <w:p>
            <w:pPr>
              <w:pStyle w:val="148"/>
              <w:keepNext w:val="0"/>
              <w:keepLines w:val="0"/>
              <w:pageBreakBefore w:val="0"/>
              <w:kinsoku/>
              <w:wordWrap/>
              <w:overflowPunct/>
              <w:topLinePunct w:val="0"/>
              <w:bidi w:val="0"/>
              <w:snapToGrid/>
              <w:spacing w:beforeAutospacing="0" w:afterAutospacing="0" w:line="360" w:lineRule="auto"/>
              <w:ind w:firstLine="420" w:firstLineChars="200"/>
              <w:textAlignment w:val="auto"/>
              <w:rPr>
                <w:rFonts w:hint="eastAsia" w:hAnsi="宋体"/>
                <w:b/>
                <w:bCs/>
                <w:color w:val="auto"/>
                <w:kern w:val="2"/>
                <w:sz w:val="21"/>
                <w:szCs w:val="21"/>
                <w:highlight w:val="none"/>
                <w:lang w:val="en-US" w:eastAsia="zh-CN"/>
              </w:rPr>
            </w:pPr>
            <w:r>
              <w:rPr>
                <w:rFonts w:hint="eastAsia" w:ascii="宋体" w:hAnsi="宋体" w:eastAsia="宋体" w:cs="宋体"/>
                <w:sz w:val="21"/>
                <w:szCs w:val="21"/>
              </w:rPr>
              <w:t>帐    号：3460 1010 0100 4791 14</w:t>
            </w:r>
          </w:p>
          <w:p>
            <w:pPr>
              <w:pStyle w:val="148"/>
              <w:keepNext w:val="0"/>
              <w:keepLines w:val="0"/>
              <w:pageBreakBefore w:val="0"/>
              <w:kinsoku/>
              <w:wordWrap/>
              <w:overflowPunct/>
              <w:topLinePunct w:val="0"/>
              <w:bidi w:val="0"/>
              <w:snapToGrid/>
              <w:spacing w:beforeAutospacing="0" w:afterAutospacing="0" w:line="360" w:lineRule="auto"/>
              <w:ind w:firstLine="422" w:firstLineChars="200"/>
              <w:textAlignment w:val="auto"/>
              <w:rPr>
                <w:rFonts w:hint="default" w:ascii="宋体" w:hAnsi="宋体" w:eastAsia="宋体" w:cs="宋体"/>
                <w:b w:val="0"/>
                <w:bCs w:val="0"/>
                <w:color w:val="auto"/>
                <w:kern w:val="0"/>
                <w:sz w:val="21"/>
                <w:szCs w:val="21"/>
                <w:highlight w:val="none"/>
                <w:lang w:val="en-US" w:eastAsia="zh-CN"/>
              </w:rPr>
            </w:pPr>
            <w:r>
              <w:rPr>
                <w:rFonts w:hint="eastAsia" w:hAnsi="宋体"/>
                <w:b/>
                <w:bCs/>
                <w:color w:val="auto"/>
                <w:kern w:val="2"/>
                <w:sz w:val="21"/>
                <w:szCs w:val="21"/>
                <w:highlight w:val="none"/>
                <w:lang w:val="en-US" w:eastAsia="zh-CN"/>
              </w:rPr>
              <w:t>注：根据采购人《合格供方库管理办法》，符合免交投标保证金及履约保证金资格的投标人，可提交经采购人审批通过并加盖采购人单位公章的《免交投标担保及履约担保审批表》代替相关投标（或履约）保证金凭证。《免交投标担保及履约担保审批表》须在有效期内，资料复印件加盖投标单位法人章并装入投标文件中</w:t>
            </w:r>
            <w:r>
              <w:rPr>
                <w:rFonts w:hint="eastAsia" w:hAnsi="宋体"/>
                <w:color w:val="auto"/>
                <w:kern w:val="2"/>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8"/>
              <w:spacing w:line="400" w:lineRule="exact"/>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8"/>
              <w:spacing w:line="400" w:lineRule="exact"/>
              <w:ind w:firstLine="420" w:firstLineChars="200"/>
              <w:rPr>
                <w:rFonts w:hint="eastAsia" w:hAnsi="宋体"/>
                <w:color w:val="auto"/>
                <w:kern w:val="2"/>
                <w:sz w:val="21"/>
                <w:szCs w:val="21"/>
                <w:highlight w:val="none"/>
                <w:lang w:val="en-US" w:eastAsia="zh-CN"/>
              </w:rPr>
            </w:pPr>
            <w:r>
              <w:rPr>
                <w:rFonts w:hint="eastAsia" w:hAnsi="宋体"/>
                <w:color w:val="auto"/>
                <w:kern w:val="2"/>
                <w:sz w:val="21"/>
                <w:szCs w:val="21"/>
                <w:highlight w:val="none"/>
              </w:rPr>
              <w:t>监督部门：</w:t>
            </w:r>
            <w:r>
              <w:rPr>
                <w:rFonts w:hint="eastAsia" w:hAnsi="宋体"/>
                <w:color w:val="auto"/>
                <w:kern w:val="2"/>
                <w:sz w:val="21"/>
                <w:szCs w:val="21"/>
                <w:highlight w:val="none"/>
                <w:lang w:val="en-US" w:eastAsia="zh-CN"/>
              </w:rPr>
              <w:t>重庆首讯科技股份有限公司合规监管部</w:t>
            </w:r>
          </w:p>
          <w:p>
            <w:pPr>
              <w:pStyle w:val="148"/>
              <w:spacing w:line="400" w:lineRule="exact"/>
              <w:ind w:firstLine="420" w:firstLineChars="200"/>
              <w:rPr>
                <w:rFonts w:hint="default" w:hAnsi="宋体"/>
                <w:color w:val="auto"/>
                <w:kern w:val="2"/>
                <w:sz w:val="21"/>
                <w:szCs w:val="21"/>
                <w:highlight w:val="none"/>
                <w:lang w:val="en-US"/>
              </w:rPr>
            </w:pPr>
            <w:r>
              <w:rPr>
                <w:rFonts w:hint="eastAsia" w:hAnsi="宋体"/>
                <w:color w:val="auto"/>
                <w:kern w:val="2"/>
                <w:sz w:val="21"/>
                <w:szCs w:val="21"/>
                <w:highlight w:val="none"/>
              </w:rPr>
              <w:t>地    址：</w:t>
            </w:r>
            <w:r>
              <w:rPr>
                <w:rFonts w:hint="eastAsia" w:hAnsi="宋体"/>
                <w:color w:val="auto"/>
                <w:kern w:val="2"/>
                <w:sz w:val="21"/>
                <w:szCs w:val="21"/>
                <w:highlight w:val="none"/>
                <w:lang w:val="en-US" w:eastAsia="zh-CN"/>
              </w:rPr>
              <w:t>重庆市南岸区新南路52号重庆首讯科技有限公司</w:t>
            </w:r>
          </w:p>
          <w:p>
            <w:pPr>
              <w:pStyle w:val="148"/>
              <w:spacing w:line="400" w:lineRule="exact"/>
              <w:ind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电    话：</w:t>
            </w:r>
            <w:r>
              <w:rPr>
                <w:rFonts w:hint="eastAsia" w:hAnsi="宋体"/>
                <w:color w:val="auto"/>
                <w:kern w:val="2"/>
                <w:sz w:val="21"/>
                <w:szCs w:val="21"/>
                <w:highlight w:val="none"/>
                <w:lang w:val="en-US" w:eastAsia="zh-CN"/>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8"/>
              <w:spacing w:line="400" w:lineRule="exact"/>
              <w:ind w:firstLine="482" w:firstLineChars="200"/>
              <w:jc w:val="center"/>
              <w:rPr>
                <w:rFonts w:hint="eastAsia" w:hAnsi="宋体"/>
                <w:color w:val="auto"/>
                <w:kern w:val="2"/>
                <w:sz w:val="21"/>
                <w:szCs w:val="21"/>
                <w:highlight w:val="none"/>
              </w:rPr>
            </w:pPr>
            <w:r>
              <w:rPr>
                <w:rFonts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8"/>
              <w:spacing w:line="400" w:lineRule="exact"/>
              <w:ind w:firstLine="420" w:firstLineChars="200"/>
              <w:rPr>
                <w:rFonts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w:t>
            </w:r>
            <w:r>
              <w:rPr>
                <w:rFonts w:hint="eastAsia" w:hAnsi="宋体"/>
                <w:sz w:val="21"/>
                <w:szCs w:val="21"/>
                <w:highlight w:val="none"/>
                <w:lang w:eastAsia="zh-CN"/>
              </w:rPr>
              <w:t>中选人</w:t>
            </w:r>
            <w:r>
              <w:rPr>
                <w:rFonts w:hint="eastAsia" w:hAnsi="宋体"/>
                <w:sz w:val="21"/>
                <w:szCs w:val="21"/>
                <w:highlight w:val="none"/>
              </w:rPr>
              <w:t>。</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05" w:name="_Toc17532"/>
      <w:bookmarkStart w:id="106" w:name="_Toc11329222"/>
      <w:bookmarkStart w:id="107" w:name="_Toc30198"/>
      <w:bookmarkStart w:id="108" w:name="_Toc11284"/>
      <w:r>
        <w:rPr>
          <w:rFonts w:hint="eastAsia" w:ascii="宋体" w:hAnsi="宋体" w:eastAsia="宋体" w:cs="宋体"/>
          <w:sz w:val="28"/>
          <w:szCs w:val="28"/>
          <w:highlight w:val="none"/>
        </w:rPr>
        <w:t xml:space="preserve">附录1  </w:t>
      </w:r>
      <w:bookmarkEnd w:id="105"/>
      <w:bookmarkEnd w:id="106"/>
      <w:bookmarkEnd w:id="107"/>
      <w:bookmarkEnd w:id="108"/>
      <w:bookmarkStart w:id="109" w:name="_Toc12773"/>
      <w:bookmarkStart w:id="110" w:name="_Toc11329226"/>
      <w:bookmarkStart w:id="111" w:name="_Toc25591"/>
      <w:bookmarkStart w:id="112" w:name="_Toc27096"/>
      <w:r>
        <w:rPr>
          <w:rFonts w:hint="eastAsia" w:ascii="宋体" w:hAnsi="宋体" w:eastAsia="宋体" w:cs="宋体"/>
          <w:bCs w:val="0"/>
          <w:sz w:val="28"/>
          <w:szCs w:val="28"/>
          <w:highlight w:val="none"/>
        </w:rPr>
        <w:t>资格审查文件（项目主要管理人员最低要求）</w:t>
      </w:r>
      <w:bookmarkEnd w:id="109"/>
      <w:bookmarkEnd w:id="110"/>
      <w:bookmarkEnd w:id="111"/>
      <w:bookmarkEnd w:id="112"/>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2"/>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65"/>
        <w:gridCol w:w="733"/>
        <w:gridCol w:w="6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bookmarkStart w:id="113" w:name="_Toc387234996"/>
            <w:bookmarkStart w:id="114" w:name="_Toc388534043"/>
            <w:r>
              <w:rPr>
                <w:rFonts w:hint="eastAsia" w:ascii="宋体" w:hAnsi="宋体" w:cs="宋体"/>
                <w:szCs w:val="21"/>
                <w:highlight w:val="none"/>
              </w:rPr>
              <w:t>序号</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人  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46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维护人员</w:t>
            </w:r>
          </w:p>
        </w:tc>
        <w:tc>
          <w:tcPr>
            <w:tcW w:w="73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3</w:t>
            </w:r>
          </w:p>
        </w:tc>
        <w:tc>
          <w:tcPr>
            <w:tcW w:w="678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lang w:val="en-US" w:eastAsia="zh-CN"/>
              </w:rPr>
            </w:pPr>
            <w:r>
              <w:rPr>
                <w:rFonts w:hint="eastAsia" w:hAnsi="宋体"/>
                <w:b w:val="0"/>
                <w:bCs w:val="0"/>
                <w:color w:val="auto"/>
                <w:sz w:val="21"/>
                <w:szCs w:val="21"/>
                <w:highlight w:val="none"/>
              </w:rPr>
              <w:t>1名驻场维护人员，2名远程维护人员。</w:t>
            </w:r>
          </w:p>
        </w:tc>
      </w:tr>
    </w:tbl>
    <w:p>
      <w:pPr>
        <w:spacing w:line="400" w:lineRule="exact"/>
        <w:jc w:val="left"/>
        <w:rPr>
          <w:rFonts w:hint="eastAsia" w:hAnsi="宋体"/>
          <w:b w:val="0"/>
          <w:bCs w:val="0"/>
          <w:color w:val="auto"/>
          <w:sz w:val="21"/>
          <w:szCs w:val="21"/>
          <w:highlight w:val="none"/>
        </w:rPr>
      </w:pPr>
      <w:r>
        <w:rPr>
          <w:rFonts w:hint="eastAsia" w:ascii="宋体" w:hAnsi="宋体" w:cs="宋体"/>
          <w:szCs w:val="21"/>
          <w:highlight w:val="none"/>
        </w:rPr>
        <w:t xml:space="preserve">   </w:t>
      </w:r>
      <w:r>
        <w:rPr>
          <w:rFonts w:hint="eastAsia" w:ascii="Times New Roman" w:hAnsi="宋体" w:cs="Times New Roman"/>
          <w:b w:val="0"/>
          <w:bCs w:val="0"/>
          <w:color w:val="auto"/>
          <w:sz w:val="21"/>
          <w:szCs w:val="21"/>
          <w:highlight w:val="none"/>
          <w:lang w:val="en-US" w:eastAsia="zh-CN"/>
        </w:rPr>
        <w:t>注：需提供项目主要管理人员名单（表格形式），以上人员身份证复印件及由社保局出具的报价人为以上人员缴纳近三个月的养老保险证明（202</w:t>
      </w:r>
      <w:r>
        <w:rPr>
          <w:rFonts w:hint="eastAsia" w:hAnsi="宋体" w:cs="Times New Roman"/>
          <w:b w:val="0"/>
          <w:bCs w:val="0"/>
          <w:color w:val="auto"/>
          <w:sz w:val="21"/>
          <w:szCs w:val="21"/>
          <w:highlight w:val="none"/>
          <w:lang w:val="en-US" w:eastAsia="zh-CN"/>
        </w:rPr>
        <w:t>4</w:t>
      </w:r>
      <w:r>
        <w:rPr>
          <w:rFonts w:hint="eastAsia" w:ascii="Times New Roman" w:hAnsi="宋体" w:cs="Times New Roman"/>
          <w:b w:val="0"/>
          <w:bCs w:val="0"/>
          <w:color w:val="auto"/>
          <w:sz w:val="21"/>
          <w:szCs w:val="21"/>
          <w:highlight w:val="none"/>
          <w:lang w:val="en-US" w:eastAsia="zh-CN"/>
        </w:rPr>
        <w:t>年</w:t>
      </w:r>
      <w:r>
        <w:rPr>
          <w:rFonts w:hint="eastAsia" w:hAnsi="宋体" w:cs="Times New Roman"/>
          <w:b w:val="0"/>
          <w:bCs w:val="0"/>
          <w:color w:val="auto"/>
          <w:sz w:val="21"/>
          <w:szCs w:val="21"/>
          <w:highlight w:val="none"/>
          <w:lang w:val="en-US" w:eastAsia="zh-CN"/>
        </w:rPr>
        <w:t>9</w:t>
      </w:r>
      <w:r>
        <w:rPr>
          <w:rFonts w:hint="eastAsia" w:ascii="Times New Roman" w:hAnsi="宋体" w:cs="Times New Roman"/>
          <w:b w:val="0"/>
          <w:bCs w:val="0"/>
          <w:color w:val="auto"/>
          <w:sz w:val="21"/>
          <w:szCs w:val="21"/>
          <w:highlight w:val="none"/>
          <w:lang w:val="en-US" w:eastAsia="zh-CN"/>
        </w:rPr>
        <w:t>月至2024年</w:t>
      </w:r>
      <w:r>
        <w:rPr>
          <w:rFonts w:hint="eastAsia" w:hAnsi="宋体" w:cs="Times New Roman"/>
          <w:b w:val="0"/>
          <w:bCs w:val="0"/>
          <w:color w:val="auto"/>
          <w:sz w:val="21"/>
          <w:szCs w:val="21"/>
          <w:highlight w:val="none"/>
          <w:lang w:val="en-US" w:eastAsia="zh-CN"/>
        </w:rPr>
        <w:t>11</w:t>
      </w:r>
      <w:r>
        <w:rPr>
          <w:rFonts w:hint="eastAsia" w:ascii="Times New Roman" w:hAnsi="宋体" w:cs="Times New Roman"/>
          <w:b w:val="0"/>
          <w:bCs w:val="0"/>
          <w:color w:val="auto"/>
          <w:sz w:val="21"/>
          <w:szCs w:val="21"/>
          <w:highlight w:val="none"/>
          <w:lang w:val="en-US" w:eastAsia="zh-CN"/>
        </w:rPr>
        <w:t>月带有社保部门公章或社保部门的有效电子印章）</w:t>
      </w:r>
      <w:r>
        <w:rPr>
          <w:rFonts w:hint="eastAsia" w:hAnsi="宋体" w:cs="Times New Roman"/>
          <w:b w:val="0"/>
          <w:bCs w:val="0"/>
          <w:color w:val="auto"/>
          <w:sz w:val="21"/>
          <w:szCs w:val="21"/>
          <w:highlight w:val="none"/>
          <w:lang w:val="en-US" w:eastAsia="zh-CN"/>
        </w:rPr>
        <w:t>，</w:t>
      </w:r>
      <w:r>
        <w:rPr>
          <w:rFonts w:hint="eastAsia" w:hAnsi="宋体"/>
          <w:b w:val="0"/>
          <w:bCs w:val="0"/>
          <w:color w:val="auto"/>
          <w:sz w:val="21"/>
          <w:szCs w:val="21"/>
          <w:highlight w:val="none"/>
          <w:lang w:val="en-US" w:eastAsia="zh-CN"/>
        </w:rPr>
        <w:t>并</w:t>
      </w:r>
      <w:r>
        <w:rPr>
          <w:rFonts w:hint="eastAsia" w:hAnsi="宋体"/>
          <w:b w:val="0"/>
          <w:bCs w:val="0"/>
          <w:color w:val="auto"/>
          <w:sz w:val="21"/>
          <w:szCs w:val="21"/>
          <w:highlight w:val="none"/>
        </w:rPr>
        <w:t>加盖单位鲜公章。</w:t>
      </w:r>
      <w:r>
        <w:rPr>
          <w:rFonts w:hint="eastAsia" w:hAnsi="宋体"/>
          <w:b w:val="0"/>
          <w:bCs w:val="0"/>
          <w:color w:val="auto"/>
          <w:sz w:val="21"/>
          <w:szCs w:val="21"/>
          <w:highlight w:val="none"/>
        </w:rPr>
        <w:tab/>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4"/>
        <w:jc w:val="center"/>
        <w:rPr>
          <w:rFonts w:hint="eastAsia" w:ascii="宋体" w:hAnsi="宋体" w:eastAsia="宋体" w:cs="宋体"/>
          <w:bCs w:val="0"/>
          <w:sz w:val="28"/>
          <w:szCs w:val="28"/>
          <w:highlight w:val="none"/>
        </w:rPr>
      </w:pPr>
      <w:bookmarkStart w:id="115" w:name="_Toc27148"/>
      <w:bookmarkStart w:id="116" w:name="_Toc21487"/>
      <w:bookmarkStart w:id="117" w:name="_Toc11329227"/>
      <w:bookmarkStart w:id="118" w:name="_Toc8293"/>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5"/>
      <w:bookmarkEnd w:id="116"/>
      <w:bookmarkEnd w:id="117"/>
      <w:bookmarkEnd w:id="118"/>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bookmarkStart w:id="119" w:name="_Toc23696"/>
            <w:bookmarkStart w:id="120" w:name="_Toc507319900"/>
            <w:bookmarkStart w:id="121" w:name="_Toc413241584"/>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jc w:val="center"/>
        </w:trPr>
        <w:tc>
          <w:tcPr>
            <w:tcW w:w="9160" w:type="dxa"/>
          </w:tcPr>
          <w:p>
            <w:pPr>
              <w:ind w:firstLine="420" w:firstLineChars="200"/>
              <w:rPr>
                <w:rFonts w:hint="eastAsia" w:eastAsia="宋体"/>
                <w:highlight w:val="none"/>
                <w:lang w:val="en-US" w:eastAsia="zh-CN"/>
              </w:rPr>
            </w:pPr>
            <w:r>
              <w:rPr>
                <w:rFonts w:hint="eastAsia"/>
                <w:lang w:val="en-US" w:eastAsia="zh-CN"/>
              </w:rPr>
              <w:t>无。</w:t>
            </w:r>
          </w:p>
        </w:tc>
      </w:tr>
      <w:bookmarkEnd w:id="119"/>
      <w:bookmarkEnd w:id="120"/>
      <w:bookmarkEnd w:id="121"/>
    </w:tbl>
    <w:p>
      <w:pPr>
        <w:pStyle w:val="4"/>
        <w:rPr>
          <w:rFonts w:hint="eastAsia" w:hAnsi="宋体"/>
          <w:b w:val="0"/>
          <w:sz w:val="28"/>
          <w:szCs w:val="28"/>
          <w:highlight w:val="none"/>
        </w:rPr>
      </w:pPr>
      <w:bookmarkStart w:id="122" w:name="_Toc17384"/>
      <w:bookmarkStart w:id="123" w:name="_Toc6096"/>
      <w:bookmarkStart w:id="124" w:name="_Toc4169"/>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2"/>
      <w:bookmarkEnd w:id="123"/>
      <w:bookmarkEnd w:id="124"/>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9160" w:type="dxa"/>
            <w:vAlign w:val="center"/>
          </w:tcPr>
          <w:p>
            <w:pPr>
              <w:spacing w:line="400" w:lineRule="exact"/>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9160" w:type="dxa"/>
          </w:tcPr>
          <w:p>
            <w:pPr>
              <w:rPr>
                <w:rFonts w:hint="default"/>
                <w:highlight w:val="none"/>
                <w:lang w:val="en-US"/>
              </w:rPr>
            </w:pPr>
            <w:r>
              <w:rPr>
                <w:rFonts w:hint="eastAsia" w:ascii="宋体" w:hAnsi="宋体" w:cs="宋体"/>
                <w:caps/>
                <w:szCs w:val="21"/>
                <w:highlight w:val="none"/>
                <w:lang w:val="en-US" w:eastAsia="zh-CN"/>
              </w:rPr>
              <w:t xml:space="preserve"> 无</w:t>
            </w:r>
          </w:p>
        </w:tc>
      </w:tr>
      <w:bookmarkEnd w:id="113"/>
      <w:bookmarkEnd w:id="114"/>
    </w:tbl>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3"/>
        <w:spacing w:before="0" w:after="0" w:line="360" w:lineRule="auto"/>
        <w:jc w:val="center"/>
        <w:rPr>
          <w:rFonts w:hint="eastAsia" w:ascii="宋体" w:hAnsi="宋体" w:cs="宋体"/>
          <w:highlight w:val="none"/>
        </w:rPr>
      </w:pPr>
      <w:bookmarkStart w:id="125" w:name="_Toc152042364"/>
      <w:bookmarkStart w:id="126" w:name="_Toc152045587"/>
      <w:bookmarkStart w:id="127" w:name="_Toc507319957"/>
      <w:bookmarkStart w:id="128" w:name="_Toc246996973"/>
      <w:bookmarkStart w:id="129" w:name="_Toc144974554"/>
      <w:bookmarkStart w:id="130" w:name="_Toc179632605"/>
      <w:bookmarkStart w:id="131" w:name="_Toc2000406"/>
      <w:bookmarkStart w:id="132" w:name="_Toc246996230"/>
      <w:bookmarkStart w:id="133" w:name="_Toc7682"/>
      <w:bookmarkStart w:id="134" w:name="_Toc247085745"/>
      <w:r>
        <w:rPr>
          <w:rFonts w:hint="eastAsia" w:ascii="宋体" w:hAnsi="宋体" w:cs="宋体"/>
          <w:highlight w:val="none"/>
        </w:rPr>
        <w:t>第三章 评标办法（经评审的最低投标价法）</w:t>
      </w:r>
      <w:bookmarkEnd w:id="125"/>
      <w:bookmarkEnd w:id="126"/>
      <w:bookmarkEnd w:id="127"/>
      <w:bookmarkEnd w:id="128"/>
      <w:bookmarkEnd w:id="129"/>
      <w:bookmarkEnd w:id="130"/>
      <w:bookmarkEnd w:id="131"/>
      <w:bookmarkEnd w:id="132"/>
      <w:bookmarkEnd w:id="133"/>
      <w:bookmarkEnd w:id="134"/>
    </w:p>
    <w:p>
      <w:pPr>
        <w:rPr>
          <w:rFonts w:hint="eastAsia"/>
          <w:highlight w:val="none"/>
        </w:rPr>
      </w:pPr>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highlight w:val="none"/>
              </w:rPr>
            </w:pPr>
            <w:r>
              <w:rPr>
                <w:b/>
                <w:highlight w:val="none"/>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highlight w:val="none"/>
              </w:rPr>
            </w:pPr>
            <w:r>
              <w:rPr>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highlight w:val="none"/>
              </w:rPr>
              <w:t>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中标候选人排序方法</w:t>
            </w:r>
          </w:p>
        </w:tc>
        <w:tc>
          <w:tcPr>
            <w:tcW w:w="5004" w:type="dxa"/>
            <w:tcBorders>
              <w:top w:val="single" w:color="auto" w:sz="4" w:space="0"/>
              <w:left w:val="single" w:color="auto" w:sz="4" w:space="0"/>
              <w:bottom w:val="single" w:color="auto" w:sz="4" w:space="0"/>
            </w:tcBorders>
          </w:tcPr>
          <w:p>
            <w:pPr>
              <w:spacing w:line="360" w:lineRule="auto"/>
              <w:ind w:firstLine="210" w:firstLineChars="100"/>
              <w:rPr>
                <w:highlight w:val="none"/>
              </w:rPr>
            </w:pPr>
            <w:r>
              <w:rPr>
                <w:highlight w:val="none"/>
              </w:rPr>
              <w:t>如出现报价相等时，评审小组按以下原则确定第一中标候选人：</w:t>
            </w:r>
          </w:p>
          <w:p>
            <w:pPr>
              <w:spacing w:line="360" w:lineRule="auto"/>
              <w:ind w:firstLine="218" w:firstLineChars="100"/>
              <w:rPr>
                <w:highlight w:val="none"/>
              </w:rPr>
            </w:pPr>
            <w:r>
              <w:rPr>
                <w:rFonts w:hint="eastAsia" w:ascii="宋体" w:hAnsi="宋体"/>
                <w:color w:val="auto"/>
                <w:spacing w:val="4"/>
                <w:kern w:val="0"/>
                <w:szCs w:val="21"/>
                <w:highlight w:val="none"/>
              </w:rPr>
              <w:t>若出现</w:t>
            </w:r>
            <w:r>
              <w:rPr>
                <w:rFonts w:hint="eastAsia" w:ascii="宋体" w:hAnsi="宋体"/>
                <w:color w:val="auto"/>
                <w:spacing w:val="4"/>
                <w:kern w:val="0"/>
                <w:szCs w:val="21"/>
                <w:highlight w:val="none"/>
                <w:lang w:eastAsia="zh-CN"/>
              </w:rPr>
              <w:t>报价人</w:t>
            </w:r>
            <w:r>
              <w:rPr>
                <w:rFonts w:hint="eastAsia" w:ascii="宋体" w:hAnsi="宋体"/>
                <w:color w:val="auto"/>
                <w:spacing w:val="4"/>
                <w:kern w:val="0"/>
                <w:szCs w:val="21"/>
                <w:highlight w:val="none"/>
              </w:rPr>
              <w:t>投标报价相同的，由评标委员会按照由评标委员会按照</w:t>
            </w:r>
            <w:r>
              <w:rPr>
                <w:rFonts w:hint="eastAsia" w:ascii="宋体" w:hAnsi="宋体"/>
                <w:color w:val="auto"/>
                <w:spacing w:val="4"/>
                <w:kern w:val="0"/>
                <w:szCs w:val="21"/>
                <w:highlight w:val="none"/>
                <w:lang w:val="en-US" w:eastAsia="zh-CN"/>
              </w:rPr>
              <w:t>优先免缴投标担保和履约担保单位的</w:t>
            </w:r>
            <w:r>
              <w:rPr>
                <w:rFonts w:hint="eastAsia" w:ascii="宋体" w:hAnsi="宋体"/>
                <w:color w:val="auto"/>
                <w:spacing w:val="4"/>
                <w:kern w:val="0"/>
                <w:szCs w:val="21"/>
                <w:highlight w:val="none"/>
              </w:rPr>
              <w:t>原则排序</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若均为免缴单位，则以递交投标文件先后顺序，若均不为免缴单位，则以缴纳投标保证金的先后顺序排列</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2.1</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ind w:firstLine="420" w:firstLineChars="200"/>
              <w:jc w:val="left"/>
              <w:rPr>
                <w:highlight w:val="none"/>
              </w:rPr>
            </w:pPr>
            <w:r>
              <w:rPr>
                <w:rFonts w:ascii="宋体" w:hAnsi="宋体"/>
                <w:color w:val="auto"/>
                <w:kern w:val="0"/>
                <w:highlight w:val="none"/>
              </w:rPr>
              <w:t>报价</w:t>
            </w:r>
            <w:r>
              <w:rPr>
                <w:rFonts w:hint="eastAsia" w:ascii="宋体" w:hAnsi="宋体"/>
                <w:color w:val="auto"/>
                <w:kern w:val="0"/>
                <w:highlight w:val="none"/>
              </w:rPr>
              <w:t>排序</w:t>
            </w:r>
          </w:p>
        </w:tc>
        <w:tc>
          <w:tcPr>
            <w:tcW w:w="5004"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highlight w:val="none"/>
              </w:rPr>
            </w:pPr>
            <w:r>
              <w:rPr>
                <w:rFonts w:hint="eastAsia" w:ascii="宋体" w:hAnsi="宋体"/>
                <w:color w:val="auto"/>
                <w:kern w:val="0"/>
                <w:highlight w:val="none"/>
              </w:rPr>
              <w:t>对报价不高于最高限价的所有投标人的投标文件，按照报价由低到高的顺序排序。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lang w:val="en-US" w:eastAsia="zh-CN"/>
              </w:rPr>
              <w:t>2.2</w:t>
            </w:r>
          </w:p>
        </w:tc>
        <w:tc>
          <w:tcPr>
            <w:tcW w:w="1124"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olor w:val="auto"/>
                <w:kern w:val="0"/>
                <w:highlight w:val="none"/>
              </w:rPr>
              <w:t>符合性审查</w:t>
            </w:r>
          </w:p>
        </w:tc>
        <w:tc>
          <w:tcPr>
            <w:tcW w:w="5004" w:type="dxa"/>
            <w:tcBorders>
              <w:top w:val="single" w:color="auto" w:sz="4" w:space="0"/>
              <w:left w:val="single" w:color="auto" w:sz="4" w:space="0"/>
              <w:bottom w:val="single" w:color="auto" w:sz="4" w:space="0"/>
            </w:tcBorders>
            <w:vAlign w:val="center"/>
          </w:tcPr>
          <w:p>
            <w:pPr>
              <w:spacing w:line="400" w:lineRule="exact"/>
              <w:ind w:firstLine="420" w:firstLineChars="200"/>
              <w:jc w:val="left"/>
              <w:rPr>
                <w:rFonts w:hint="eastAsia"/>
                <w:highlight w:val="none"/>
              </w:rPr>
            </w:pPr>
            <w:r>
              <w:rPr>
                <w:rFonts w:hint="eastAsia" w:ascii="宋体" w:hAnsi="宋体"/>
                <w:color w:val="auto"/>
                <w:kern w:val="0"/>
                <w:highlight w:val="none"/>
              </w:rPr>
              <w:t>取报价排序前</w:t>
            </w:r>
            <w:r>
              <w:rPr>
                <w:rFonts w:hint="eastAsia" w:ascii="宋体" w:hAnsi="宋体"/>
                <w:color w:val="auto"/>
                <w:kern w:val="0"/>
                <w:highlight w:val="none"/>
              </w:rPr>
              <w:sym w:font="Wingdings 2" w:char="0052"/>
            </w:r>
            <w:r>
              <w:rPr>
                <w:rFonts w:hint="eastAsia" w:ascii="宋体" w:hAnsi="宋体"/>
                <w:color w:val="auto"/>
                <w:kern w:val="0"/>
                <w:highlight w:val="none"/>
              </w:rPr>
              <w:t>5</w:t>
            </w:r>
            <w:r>
              <w:rPr>
                <w:rFonts w:hint="eastAsia" w:ascii="宋体" w:hAnsi="宋体"/>
                <w:color w:val="auto"/>
                <w:kern w:val="0"/>
                <w:highlight w:val="none"/>
              </w:rPr>
              <w:sym w:font="Wingdings 2" w:char="00A3"/>
            </w:r>
            <w:r>
              <w:rPr>
                <w:rFonts w:hint="eastAsia" w:ascii="宋体" w:hAnsi="宋体"/>
                <w:color w:val="auto"/>
                <w:kern w:val="0"/>
                <w:highlight w:val="none"/>
              </w:rPr>
              <w:t>6□7名（若实际投标人数量小于勾选数量，</w:t>
            </w:r>
            <w:r>
              <w:rPr>
                <w:rFonts w:hint="eastAsia" w:ascii="宋体" w:hAnsi="宋体"/>
                <w:color w:val="auto"/>
                <w:spacing w:val="4"/>
                <w:kern w:val="0"/>
                <w:szCs w:val="21"/>
                <w:highlight w:val="none"/>
              </w:rPr>
              <w:t>则全部纳入）进行符合性审查。符合性审查内容：</w:t>
            </w:r>
            <w:r>
              <w:rPr>
                <w:rFonts w:hint="eastAsia" w:ascii="宋体" w:hAnsi="宋体"/>
                <w:color w:val="auto"/>
                <w:spacing w:val="4"/>
                <w:kern w:val="0"/>
                <w:szCs w:val="21"/>
                <w:highlight w:val="none"/>
              </w:rPr>
              <w:sym w:font="Wingdings 2" w:char="0052"/>
            </w:r>
            <w:r>
              <w:rPr>
                <w:rFonts w:hint="eastAsia" w:ascii="宋体" w:hAnsi="宋体"/>
                <w:color w:val="auto"/>
                <w:spacing w:val="4"/>
                <w:kern w:val="0"/>
                <w:szCs w:val="21"/>
                <w:highlight w:val="none"/>
              </w:rPr>
              <w:t>资格评审、形式评审、响应性评审、投标函部分及经济部分评审。符合性审查</w:t>
            </w:r>
            <w:r>
              <w:rPr>
                <w:rFonts w:hint="eastAsia" w:ascii="宋体" w:hAnsi="宋体"/>
                <w:color w:val="auto"/>
                <w:kern w:val="0"/>
                <w:highlight w:val="none"/>
              </w:rPr>
              <w:t>合格的投标人中，报价最低的成为第一中标候选人，报价次低的成为第二中标候选人，依次类推。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人名称</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报价</w:t>
            </w:r>
            <w:r>
              <w:rPr>
                <w:highlight w:val="none"/>
              </w:rPr>
              <w:t>函签字盖章</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符合第九章“</w:t>
            </w:r>
            <w:r>
              <w:rPr>
                <w:rFonts w:hint="eastAsia"/>
                <w:highlight w:val="none"/>
              </w:rPr>
              <w:t>竞争性</w:t>
            </w:r>
            <w:r>
              <w:rPr>
                <w:highlight w:val="none"/>
              </w:rPr>
              <w:t>比选响应文件格式”的要求，字迹清晰可辨。</w:t>
            </w:r>
          </w:p>
          <w:p>
            <w:pPr>
              <w:spacing w:line="400" w:lineRule="exact"/>
              <w:rPr>
                <w:highlight w:val="none"/>
              </w:rPr>
            </w:pPr>
            <w:r>
              <w:rPr>
                <w:highlight w:val="none"/>
              </w:rPr>
              <w:t>1.</w:t>
            </w:r>
            <w:r>
              <w:rPr>
                <w:rFonts w:hint="eastAsia"/>
                <w:highlight w:val="none"/>
              </w:rPr>
              <w:t>报价</w:t>
            </w:r>
            <w:r>
              <w:rPr>
                <w:highlight w:val="none"/>
              </w:rPr>
              <w:t>函的所有数据均符合</w:t>
            </w:r>
            <w:r>
              <w:rPr>
                <w:rFonts w:hint="eastAsia"/>
                <w:highlight w:val="none"/>
              </w:rPr>
              <w:t>比选</w:t>
            </w:r>
            <w:r>
              <w:rPr>
                <w:highlight w:val="none"/>
              </w:rPr>
              <w:t>文件的规定；</w:t>
            </w:r>
          </w:p>
          <w:p>
            <w:pPr>
              <w:spacing w:line="400" w:lineRule="exact"/>
              <w:rPr>
                <w:highlight w:val="none"/>
              </w:rPr>
            </w:pPr>
            <w:r>
              <w:rPr>
                <w:highlight w:val="none"/>
              </w:rPr>
              <w:t>2.</w:t>
            </w:r>
            <w:r>
              <w:rPr>
                <w:rFonts w:hint="eastAsia"/>
                <w:highlight w:val="none"/>
              </w:rPr>
              <w:t>竞争性</w:t>
            </w:r>
            <w:r>
              <w:rPr>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rPr>
                <w:rFonts w:hint="eastAsia"/>
                <w:highlight w:val="none"/>
              </w:rPr>
            </w:pPr>
            <w:r>
              <w:rPr>
                <w:highlight w:val="none"/>
              </w:rPr>
              <w:t>符合第</w:t>
            </w:r>
            <w:r>
              <w:rPr>
                <w:rFonts w:hint="eastAsia"/>
                <w:highlight w:val="none"/>
                <w:lang w:val="en-US" w:eastAsia="zh-CN"/>
              </w:rPr>
              <w:t>八</w:t>
            </w:r>
            <w:r>
              <w:rPr>
                <w:highlight w:val="none"/>
              </w:rPr>
              <w:t>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highlight w:val="none"/>
              </w:rPr>
            </w:pPr>
            <w:r>
              <w:rPr>
                <w:highlight w:val="none"/>
              </w:rPr>
              <w:t>报价其它要求</w:t>
            </w:r>
          </w:p>
        </w:tc>
        <w:tc>
          <w:tcPr>
            <w:tcW w:w="5004" w:type="dxa"/>
            <w:tcBorders>
              <w:top w:val="single" w:color="auto" w:sz="4" w:space="0"/>
              <w:left w:val="single" w:color="auto" w:sz="4" w:space="0"/>
              <w:bottom w:val="single" w:color="auto" w:sz="4" w:space="0"/>
            </w:tcBorders>
            <w:vAlign w:val="center"/>
          </w:tcPr>
          <w:p>
            <w:pPr>
              <w:spacing w:line="440" w:lineRule="exact"/>
              <w:rPr>
                <w:highlight w:val="none"/>
              </w:rPr>
            </w:pPr>
            <w:r>
              <w:rPr>
                <w:rFonts w:hint="eastAsia"/>
                <w:highlight w:val="none"/>
              </w:rPr>
              <w:t>竞争性</w:t>
            </w:r>
            <w:r>
              <w:rPr>
                <w:highlight w:val="none"/>
              </w:rPr>
              <w:t>比选响应文件报价表中的报价与</w:t>
            </w:r>
            <w:r>
              <w:rPr>
                <w:rFonts w:hint="eastAsia"/>
                <w:highlight w:val="none"/>
              </w:rPr>
              <w:t>报价</w:t>
            </w:r>
            <w:r>
              <w:rPr>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rFonts w:hint="eastAsia"/>
                <w:highlight w:val="none"/>
              </w:rPr>
              <w:t>竞争性</w:t>
            </w:r>
            <w:r>
              <w:rPr>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rFonts w:hint="eastAsia"/>
                <w:highlight w:val="none"/>
              </w:rPr>
              <w:t>竞争性</w:t>
            </w:r>
            <w:r>
              <w:rPr>
                <w:highlight w:val="none"/>
              </w:rPr>
              <w:t>比选响应文件正本中法定代表人或授权代理人签署姓名齐全，符合</w:t>
            </w:r>
            <w:r>
              <w:rPr>
                <w:rFonts w:hint="eastAsia"/>
                <w:highlight w:val="none"/>
              </w:rPr>
              <w:t>比选</w:t>
            </w:r>
            <w:r>
              <w:rPr>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9"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right w:val="single" w:color="auto" w:sz="4" w:space="0"/>
            </w:tcBorders>
            <w:vAlign w:val="center"/>
          </w:tcPr>
          <w:p>
            <w:pPr>
              <w:spacing w:line="400" w:lineRule="exact"/>
              <w:jc w:val="center"/>
              <w:rPr>
                <w:highlight w:val="none"/>
              </w:rPr>
            </w:pPr>
            <w:r>
              <w:rPr>
                <w:highlight w:val="none"/>
              </w:rPr>
              <w:t>其它材料</w:t>
            </w:r>
          </w:p>
        </w:tc>
        <w:tc>
          <w:tcPr>
            <w:tcW w:w="5004" w:type="dxa"/>
            <w:tcBorders>
              <w:top w:val="single" w:color="auto" w:sz="4" w:space="0"/>
              <w:left w:val="single" w:color="auto" w:sz="4" w:space="0"/>
            </w:tcBorders>
            <w:vAlign w:val="center"/>
          </w:tcPr>
          <w:p>
            <w:pPr>
              <w:spacing w:line="400" w:lineRule="exact"/>
              <w:rPr>
                <w:highlight w:val="none"/>
              </w:rPr>
            </w:pPr>
            <w:r>
              <w:rPr>
                <w:highlight w:val="none"/>
              </w:rPr>
              <w:t>单位负责人为同一人或者存在控股、管理关系的不同单位，不得同时参加</w:t>
            </w:r>
            <w:r>
              <w:rPr>
                <w:rFonts w:hint="eastAsia"/>
                <w:highlight w:val="none"/>
              </w:rPr>
              <w:t>报价</w:t>
            </w:r>
            <w:r>
              <w:rPr>
                <w:highlight w:val="none"/>
              </w:rPr>
              <w:t>，否则相关</w:t>
            </w:r>
            <w:r>
              <w:rPr>
                <w:rFonts w:hint="eastAsia"/>
                <w:highlight w:val="none"/>
              </w:rPr>
              <w:t>报价</w:t>
            </w:r>
            <w:r>
              <w:rPr>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营业执照</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业绩要求</w:t>
            </w:r>
          </w:p>
        </w:tc>
        <w:tc>
          <w:tcPr>
            <w:tcW w:w="5004" w:type="dxa"/>
            <w:tcBorders>
              <w:top w:val="single" w:color="auto" w:sz="4" w:space="0"/>
              <w:left w:val="single" w:color="auto" w:sz="4" w:space="0"/>
              <w:bottom w:val="single" w:color="auto" w:sz="4" w:space="0"/>
            </w:tcBorders>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信誉要求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8</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项目主要管理人员</w:t>
            </w:r>
            <w:r>
              <w:rPr>
                <w:highlight w:val="none"/>
              </w:rPr>
              <w:t>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1</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2</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highlight w:val="none"/>
              </w:rPr>
            </w:pPr>
            <w:r>
              <w:rPr>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人须知”前附表附录</w:t>
            </w:r>
            <w:r>
              <w:rPr>
                <w:rFonts w:hint="eastAsia"/>
                <w:highlight w:val="none"/>
                <w:lang w:val="en-US" w:eastAsia="zh-CN"/>
              </w:rPr>
              <w:t>3</w:t>
            </w:r>
            <w:r>
              <w:rPr>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2.2.4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投标内容</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4</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65" w:hRule="atLeast"/>
          <w:jc w:val="center"/>
        </w:trPr>
        <w:tc>
          <w:tcPr>
            <w:tcW w:w="900" w:type="dxa"/>
            <w:vMerge w:val="continue"/>
            <w:tcBorders>
              <w:right w:val="single" w:color="auto" w:sz="4" w:space="0"/>
            </w:tcBorders>
            <w:vAlign w:val="center"/>
          </w:tcPr>
          <w:p>
            <w:pPr>
              <w:spacing w:line="400" w:lineRule="exact"/>
              <w:jc w:val="center"/>
              <w:rPr>
                <w:highlight w:val="none"/>
              </w:rPr>
            </w:pPr>
          </w:p>
        </w:tc>
        <w:tc>
          <w:tcPr>
            <w:tcW w:w="1124" w:type="dxa"/>
            <w:vMerge w:val="continue"/>
            <w:tcBorders>
              <w:left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报价</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符合比选文件给出的范围及数量，且报价不得超过</w:t>
            </w:r>
            <w:r>
              <w:rPr>
                <w:rFonts w:hint="eastAsia"/>
                <w:highlight w:val="none"/>
              </w:rPr>
              <w:t>采购人</w:t>
            </w:r>
            <w:r>
              <w:rPr>
                <w:highlight w:val="none"/>
              </w:rPr>
              <w:t>公布的最高限价，但也不得低于</w:t>
            </w:r>
            <w:r>
              <w:rPr>
                <w:rFonts w:hint="eastAsia"/>
                <w:highlight w:val="none"/>
              </w:rPr>
              <w:t>报价</w:t>
            </w:r>
            <w:r>
              <w:rPr>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highlight w:val="none"/>
                <w:lang w:val="en-US" w:eastAsia="zh-CN"/>
              </w:rPr>
            </w:pPr>
            <w:r>
              <w:rPr>
                <w:rFonts w:hint="eastAsia"/>
                <w:highlight w:val="none"/>
                <w:lang w:val="en-US" w:eastAsia="zh-CN"/>
              </w:rPr>
              <w:t>服务期限</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5</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质量标准</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6</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rPr>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安全目标</w:t>
            </w:r>
          </w:p>
        </w:tc>
        <w:tc>
          <w:tcPr>
            <w:tcW w:w="5004" w:type="dxa"/>
            <w:tcBorders>
              <w:top w:val="single" w:color="auto" w:sz="4" w:space="0"/>
              <w:left w:val="single" w:color="auto" w:sz="4" w:space="0"/>
              <w:bottom w:val="single" w:color="auto" w:sz="4" w:space="0"/>
            </w:tcBorders>
            <w:vAlign w:val="center"/>
          </w:tcPr>
          <w:p>
            <w:pPr>
              <w:spacing w:line="400" w:lineRule="exact"/>
              <w:rPr>
                <w:highlight w:val="none"/>
              </w:rPr>
            </w:pPr>
            <w:r>
              <w:rPr>
                <w:highlight w:val="none"/>
              </w:rPr>
              <w:t>符合第二章“</w:t>
            </w:r>
            <w:r>
              <w:rPr>
                <w:rFonts w:hint="eastAsia"/>
                <w:highlight w:val="none"/>
              </w:rPr>
              <w:t>报价</w:t>
            </w:r>
            <w:r>
              <w:rPr>
                <w:highlight w:val="none"/>
              </w:rPr>
              <w:t>人须知”第</w:t>
            </w:r>
            <w:r>
              <w:rPr>
                <w:rFonts w:hint="eastAsia"/>
                <w:highlight w:val="none"/>
                <w:lang w:val="en-US" w:eastAsia="zh-CN"/>
              </w:rPr>
              <w:t>7</w:t>
            </w:r>
            <w:r>
              <w:rPr>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hint="eastAsia" w:eastAsia="宋体"/>
                <w:highlight w:val="none"/>
                <w:lang w:eastAsia="zh-CN"/>
              </w:rPr>
            </w:pPr>
            <w:r>
              <w:rPr>
                <w:rFonts w:hint="eastAsia"/>
                <w:highlight w:val="none"/>
                <w:lang w:val="en-US" w:eastAsia="zh-CN"/>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highlight w:val="none"/>
              </w:rPr>
            </w:pPr>
            <w:r>
              <w:rPr>
                <w:highlight w:val="none"/>
              </w:rP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rPr>
                <w:highlight w:val="none"/>
              </w:rPr>
            </w:pPr>
            <w:r>
              <w:rPr>
                <w:highlight w:val="none"/>
              </w:rPr>
              <w:t>补充细化：</w:t>
            </w:r>
          </w:p>
          <w:p>
            <w:pPr>
              <w:spacing w:line="400" w:lineRule="exact"/>
              <w:ind w:firstLine="420" w:firstLineChars="200"/>
              <w:rPr>
                <w:highlight w:val="none"/>
              </w:rPr>
            </w:pPr>
            <w:r>
              <w:rPr>
                <w:highlight w:val="none"/>
              </w:rPr>
              <w:t>本项目评标采用经评审的最低投标价法，对通过初步评审、详细评审的</w:t>
            </w:r>
            <w:r>
              <w:rPr>
                <w:rFonts w:hint="eastAsia"/>
                <w:highlight w:val="none"/>
              </w:rPr>
              <w:t>报价</w:t>
            </w:r>
            <w:r>
              <w:rPr>
                <w:highlight w:val="none"/>
              </w:rPr>
              <w:t>人按照</w:t>
            </w:r>
            <w:r>
              <w:rPr>
                <w:rFonts w:hint="eastAsia"/>
                <w:highlight w:val="none"/>
              </w:rPr>
              <w:t>报</w:t>
            </w:r>
            <w:r>
              <w:rPr>
                <w:highlight w:val="none"/>
              </w:rPr>
              <w:t>价从低到高的先后顺序，</w:t>
            </w:r>
            <w:r>
              <w:rPr>
                <w:rFonts w:hint="eastAsia"/>
                <w:highlight w:val="none"/>
                <w:lang w:val="en-US" w:eastAsia="zh-CN"/>
              </w:rPr>
              <w:t>每个标段</w:t>
            </w:r>
            <w:r>
              <w:rPr>
                <w:highlight w:val="none"/>
              </w:rPr>
              <w:t>推荐</w:t>
            </w:r>
            <w:r>
              <w:rPr>
                <w:rFonts w:hint="eastAsia"/>
                <w:highlight w:val="none"/>
                <w:lang w:val="en-US" w:eastAsia="zh-CN"/>
              </w:rPr>
              <w:t>2</w:t>
            </w:r>
            <w:r>
              <w:rPr>
                <w:highlight w:val="none"/>
              </w:rPr>
              <w:t>名中标候选人。</w:t>
            </w:r>
          </w:p>
        </w:tc>
      </w:tr>
    </w:tbl>
    <w:p>
      <w:pPr>
        <w:pStyle w:val="4"/>
        <w:spacing w:before="0" w:after="0" w:line="360" w:lineRule="auto"/>
        <w:rPr>
          <w:rFonts w:hint="eastAsia" w:ascii="宋体" w:hAnsi="宋体" w:cs="宋体"/>
          <w:color w:val="auto"/>
          <w:sz w:val="28"/>
          <w:szCs w:val="28"/>
          <w:highlight w:val="none"/>
        </w:rPr>
      </w:pPr>
      <w:bookmarkStart w:id="135" w:name="_Toc33106441"/>
      <w:bookmarkStart w:id="136" w:name="_Toc6578"/>
      <w:bookmarkStart w:id="137" w:name="_Toc57795918"/>
      <w:r>
        <w:rPr>
          <w:rFonts w:hint="eastAsia" w:ascii="宋体" w:hAnsi="宋体" w:cs="宋体"/>
          <w:color w:val="auto"/>
          <w:sz w:val="28"/>
          <w:szCs w:val="28"/>
          <w:highlight w:val="none"/>
        </w:rPr>
        <w:t>1. 评标方法</w:t>
      </w:r>
      <w:bookmarkEnd w:id="135"/>
      <w:bookmarkEnd w:id="136"/>
      <w:bookmarkEnd w:id="137"/>
    </w:p>
    <w:p>
      <w:pPr>
        <w:spacing w:line="360" w:lineRule="auto"/>
        <w:ind w:firstLine="420" w:firstLineChars="200"/>
        <w:rPr>
          <w:rFonts w:ascii="宋体" w:hAnsi="宋体"/>
          <w:color w:val="auto"/>
          <w:highlight w:val="none"/>
        </w:rPr>
      </w:pPr>
      <w:r>
        <w:rPr>
          <w:rFonts w:hint="eastAsia" w:ascii="宋体" w:hAnsi="宋体"/>
          <w:color w:val="auto"/>
          <w:highlight w:val="none"/>
        </w:rPr>
        <w:t>本次评标采用经评审的最低投标价法，评标委员会按照本章第2.1款进行报价排序，按照本章第2.2款进行符合性审查，符合性审查合格的投标人中按报价由低到高推荐中标候选人，或根据</w:t>
      </w:r>
      <w:r>
        <w:rPr>
          <w:rFonts w:hint="eastAsia" w:ascii="宋体" w:hAnsi="宋体"/>
          <w:color w:val="auto"/>
          <w:highlight w:val="none"/>
          <w:lang w:eastAsia="zh-CN"/>
        </w:rPr>
        <w:t>采购人</w:t>
      </w:r>
      <w:r>
        <w:rPr>
          <w:rFonts w:hint="eastAsia" w:ascii="宋体" w:hAnsi="宋体"/>
          <w:color w:val="auto"/>
          <w:highlight w:val="none"/>
        </w:rPr>
        <w:t>授权直接确定</w:t>
      </w:r>
      <w:r>
        <w:rPr>
          <w:rFonts w:hint="eastAsia" w:ascii="宋体" w:hAnsi="宋体"/>
          <w:color w:val="auto"/>
          <w:highlight w:val="none"/>
          <w:lang w:eastAsia="zh-CN"/>
        </w:rPr>
        <w:t>中选人</w:t>
      </w:r>
      <w:r>
        <w:rPr>
          <w:rFonts w:hint="eastAsia" w:ascii="宋体" w:hAnsi="宋体"/>
          <w:color w:val="auto"/>
          <w:highlight w:val="none"/>
        </w:rPr>
        <w:t>。若出现投标人投标报价相同的，以评标办法前附表约定的原则确定排序。</w:t>
      </w:r>
    </w:p>
    <w:p>
      <w:pPr>
        <w:pStyle w:val="4"/>
        <w:spacing w:before="0" w:after="0" w:line="360" w:lineRule="auto"/>
        <w:rPr>
          <w:rFonts w:hint="eastAsia" w:ascii="宋体" w:hAnsi="宋体" w:cs="宋体"/>
          <w:color w:val="auto"/>
          <w:sz w:val="28"/>
          <w:szCs w:val="28"/>
          <w:highlight w:val="none"/>
        </w:rPr>
      </w:pPr>
      <w:bookmarkStart w:id="138" w:name="_Toc2783"/>
      <w:bookmarkStart w:id="139" w:name="_Toc57795919"/>
      <w:bookmarkStart w:id="140" w:name="_Toc33106442"/>
      <w:r>
        <w:rPr>
          <w:rFonts w:hint="eastAsia" w:ascii="宋体" w:hAnsi="宋体" w:cs="宋体"/>
          <w:color w:val="auto"/>
          <w:sz w:val="28"/>
          <w:szCs w:val="28"/>
          <w:highlight w:val="none"/>
        </w:rPr>
        <w:t>2. 评审标准</w:t>
      </w:r>
      <w:bookmarkEnd w:id="138"/>
      <w:bookmarkEnd w:id="139"/>
      <w:bookmarkEnd w:id="140"/>
    </w:p>
    <w:p>
      <w:pPr>
        <w:pStyle w:val="5"/>
        <w:spacing w:before="0" w:after="0" w:line="360" w:lineRule="auto"/>
        <w:rPr>
          <w:rFonts w:hint="eastAsia" w:ascii="宋体" w:hAnsi="宋体" w:cs="宋体"/>
          <w:color w:val="auto"/>
          <w:sz w:val="21"/>
          <w:szCs w:val="21"/>
          <w:highlight w:val="none"/>
        </w:rPr>
      </w:pPr>
      <w:bookmarkStart w:id="141" w:name="_Toc33106443"/>
      <w:bookmarkStart w:id="142" w:name="_Toc57795920"/>
      <w:r>
        <w:rPr>
          <w:rFonts w:hint="eastAsia" w:ascii="宋体" w:hAnsi="宋体" w:cs="宋体"/>
          <w:color w:val="auto"/>
          <w:sz w:val="21"/>
          <w:szCs w:val="21"/>
          <w:highlight w:val="none"/>
        </w:rPr>
        <w:t>2.1报价排序</w:t>
      </w:r>
      <w:bookmarkEnd w:id="141"/>
      <w:r>
        <w:rPr>
          <w:rFonts w:hint="eastAsia" w:ascii="宋体" w:hAnsi="宋体" w:cs="宋体"/>
          <w:color w:val="auto"/>
          <w:sz w:val="21"/>
          <w:szCs w:val="21"/>
          <w:highlight w:val="none"/>
        </w:rPr>
        <w:t>标准</w:t>
      </w:r>
      <w:bookmarkEnd w:id="142"/>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见评标办法前附表。</w:t>
      </w:r>
    </w:p>
    <w:p>
      <w:pPr>
        <w:pStyle w:val="5"/>
        <w:spacing w:before="0" w:after="0" w:line="360" w:lineRule="auto"/>
        <w:rPr>
          <w:rFonts w:ascii="宋体" w:hAnsi="宋体" w:cs="宋体"/>
          <w:color w:val="auto"/>
          <w:sz w:val="21"/>
          <w:szCs w:val="21"/>
          <w:highlight w:val="none"/>
        </w:rPr>
      </w:pPr>
      <w:bookmarkStart w:id="143" w:name="_Toc33106444"/>
      <w:bookmarkStart w:id="144" w:name="_Toc57795921"/>
      <w:r>
        <w:rPr>
          <w:rFonts w:ascii="宋体" w:hAnsi="宋体" w:cs="宋体"/>
          <w:color w:val="auto"/>
          <w:sz w:val="21"/>
          <w:szCs w:val="21"/>
          <w:highlight w:val="none"/>
        </w:rPr>
        <w:t>2.</w:t>
      </w:r>
      <w:r>
        <w:rPr>
          <w:rFonts w:hint="eastAsia" w:ascii="宋体" w:hAnsi="宋体" w:cs="宋体"/>
          <w:color w:val="auto"/>
          <w:sz w:val="21"/>
          <w:szCs w:val="21"/>
          <w:highlight w:val="none"/>
        </w:rPr>
        <w:t>2符合性审查</w:t>
      </w:r>
      <w:bookmarkEnd w:id="143"/>
      <w:r>
        <w:rPr>
          <w:rFonts w:hint="eastAsia" w:ascii="宋体" w:hAnsi="宋体" w:cs="宋体"/>
          <w:color w:val="auto"/>
          <w:sz w:val="21"/>
          <w:szCs w:val="21"/>
          <w:highlight w:val="none"/>
        </w:rPr>
        <w:t>标准</w:t>
      </w:r>
      <w:bookmarkEnd w:id="144"/>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按评标办法前附表约定的投标单位报价排序数量进行符合性审查</w:t>
      </w:r>
      <w:r>
        <w:rPr>
          <w:rFonts w:hint="eastAsia" w:ascii="宋体" w:hAnsi="宋体"/>
          <w:color w:val="auto"/>
          <w:spacing w:val="4"/>
          <w:kern w:val="0"/>
          <w:szCs w:val="21"/>
          <w:highlight w:val="none"/>
        </w:rPr>
        <w:t>。符合性审查内容：技术方案评审（如有）、资格评审、形式评审、响应性、</w:t>
      </w:r>
      <w:r>
        <w:rPr>
          <w:rFonts w:hint="eastAsia" w:ascii="宋体" w:hAnsi="宋体"/>
          <w:color w:val="auto"/>
          <w:spacing w:val="4"/>
          <w:kern w:val="0"/>
          <w:szCs w:val="21"/>
          <w:highlight w:val="none"/>
          <w:lang w:val="en-US" w:eastAsia="zh-CN"/>
        </w:rPr>
        <w:t>响应声明书</w:t>
      </w:r>
      <w:r>
        <w:rPr>
          <w:rFonts w:hint="eastAsia" w:ascii="宋体" w:hAnsi="宋体"/>
          <w:color w:val="auto"/>
          <w:spacing w:val="4"/>
          <w:kern w:val="0"/>
          <w:szCs w:val="21"/>
          <w:highlight w:val="none"/>
        </w:rPr>
        <w:t>部分及经济部分</w:t>
      </w:r>
      <w:r>
        <w:rPr>
          <w:rFonts w:hint="eastAsia" w:ascii="宋体" w:hAnsi="宋体"/>
          <w:color w:val="auto"/>
          <w:spacing w:val="4"/>
          <w:kern w:val="0"/>
          <w:szCs w:val="21"/>
          <w:highlight w:val="none"/>
          <w:lang w:eastAsia="zh-CN"/>
        </w:rPr>
        <w:t>（</w:t>
      </w:r>
      <w:r>
        <w:rPr>
          <w:rFonts w:hint="eastAsia" w:ascii="宋体" w:hAnsi="宋体"/>
          <w:color w:val="auto"/>
          <w:spacing w:val="4"/>
          <w:kern w:val="0"/>
          <w:szCs w:val="21"/>
          <w:highlight w:val="none"/>
          <w:lang w:val="en-US" w:eastAsia="zh-CN"/>
        </w:rPr>
        <w:t>如有）</w:t>
      </w:r>
      <w:r>
        <w:rPr>
          <w:rFonts w:hint="eastAsia" w:ascii="宋体" w:hAnsi="宋体"/>
          <w:color w:val="auto"/>
          <w:spacing w:val="4"/>
          <w:kern w:val="0"/>
          <w:szCs w:val="21"/>
          <w:highlight w:val="none"/>
        </w:rPr>
        <w:t>评审</w:t>
      </w:r>
      <w:r>
        <w:rPr>
          <w:rFonts w:hint="eastAsia" w:ascii="宋体" w:hAnsi="宋体" w:cs="宋体"/>
          <w:color w:val="auto"/>
          <w:szCs w:val="21"/>
          <w:highlight w:val="none"/>
        </w:rPr>
        <w:t>。</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2.2.1  技术方案评审标准：见评标办法前附表。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2A  资格评审标准：见资格预审文件第三章“资格审查办法”详细审查标准（适用于已进行资格预审的）。</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2B  资格评审标准：见评标办法前附表（适用于未进行资格预审的）。</w:t>
      </w:r>
    </w:p>
    <w:p>
      <w:pPr>
        <w:autoSpaceDE w:val="0"/>
        <w:autoSpaceDN w:val="0"/>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3  形式评审标准：见评标办法前附表。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2</w:t>
      </w:r>
      <w:r>
        <w:rPr>
          <w:rFonts w:ascii="宋体" w:hAnsi="宋体" w:cs="宋体"/>
          <w:color w:val="auto"/>
          <w:szCs w:val="21"/>
          <w:highlight w:val="none"/>
        </w:rPr>
        <w:t>.</w:t>
      </w:r>
      <w:r>
        <w:rPr>
          <w:rFonts w:hint="eastAsia" w:ascii="宋体" w:hAnsi="宋体" w:cs="宋体"/>
          <w:color w:val="auto"/>
          <w:szCs w:val="21"/>
          <w:highlight w:val="none"/>
        </w:rPr>
        <w:t>4  响应性评审标准：见评标办法前附表。</w:t>
      </w:r>
    </w:p>
    <w:p>
      <w:pPr>
        <w:autoSpaceDE w:val="0"/>
        <w:autoSpaceDN w:val="0"/>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2.2.5  投标函部分及经济部分评审标准：见评标办法前附表。</w:t>
      </w:r>
    </w:p>
    <w:p>
      <w:pPr>
        <w:pStyle w:val="4"/>
        <w:spacing w:before="0" w:after="0" w:line="360" w:lineRule="auto"/>
        <w:rPr>
          <w:rFonts w:hint="eastAsia" w:ascii="宋体" w:hAnsi="宋体" w:cs="宋体"/>
          <w:color w:val="auto"/>
          <w:sz w:val="28"/>
          <w:szCs w:val="28"/>
          <w:highlight w:val="none"/>
        </w:rPr>
      </w:pPr>
      <w:bookmarkStart w:id="145" w:name="_Toc33106445"/>
      <w:bookmarkStart w:id="146" w:name="_Toc57795922"/>
      <w:bookmarkStart w:id="147" w:name="_Toc8634"/>
      <w:r>
        <w:rPr>
          <w:rFonts w:hint="eastAsia" w:ascii="宋体" w:hAnsi="宋体" w:cs="宋体"/>
          <w:color w:val="auto"/>
          <w:sz w:val="28"/>
          <w:szCs w:val="28"/>
          <w:highlight w:val="none"/>
        </w:rPr>
        <w:t>3. 评标程序</w:t>
      </w:r>
      <w:bookmarkEnd w:id="145"/>
      <w:bookmarkEnd w:id="146"/>
      <w:bookmarkEnd w:id="147"/>
    </w:p>
    <w:p>
      <w:pPr>
        <w:pStyle w:val="5"/>
        <w:spacing w:before="0" w:after="0" w:line="360" w:lineRule="auto"/>
        <w:rPr>
          <w:rFonts w:hint="eastAsia" w:ascii="宋体" w:hAnsi="宋体" w:cs="宋体"/>
          <w:color w:val="auto"/>
          <w:sz w:val="21"/>
          <w:szCs w:val="21"/>
          <w:highlight w:val="none"/>
        </w:rPr>
      </w:pPr>
      <w:bookmarkStart w:id="148" w:name="_Toc57795923"/>
      <w:bookmarkStart w:id="149" w:name="_Toc33106446"/>
      <w:r>
        <w:rPr>
          <w:rFonts w:hint="eastAsia" w:ascii="宋体" w:hAnsi="宋体" w:cs="宋体"/>
          <w:color w:val="auto"/>
          <w:sz w:val="21"/>
          <w:szCs w:val="21"/>
          <w:highlight w:val="none"/>
        </w:rPr>
        <w:t>3.1报价排序</w:t>
      </w:r>
      <w:bookmarkEnd w:id="148"/>
      <w:bookmarkEnd w:id="149"/>
    </w:p>
    <w:p>
      <w:pPr>
        <w:spacing w:line="360" w:lineRule="auto"/>
        <w:ind w:firstLine="413" w:firstLineChars="197"/>
        <w:rPr>
          <w:rFonts w:ascii="宋体" w:hAnsi="宋体" w:cs="宋体"/>
          <w:color w:val="auto"/>
          <w:szCs w:val="21"/>
          <w:highlight w:val="none"/>
        </w:rPr>
      </w:pPr>
      <w:r>
        <w:rPr>
          <w:rFonts w:hint="eastAsia" w:ascii="宋体" w:hAnsi="宋体" w:cs="宋体"/>
          <w:color w:val="auto"/>
          <w:szCs w:val="21"/>
          <w:highlight w:val="none"/>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pPr>
        <w:pStyle w:val="5"/>
        <w:spacing w:before="0" w:after="0" w:line="360" w:lineRule="auto"/>
        <w:rPr>
          <w:rFonts w:hint="eastAsia" w:ascii="宋体" w:hAnsi="宋体" w:cs="宋体"/>
          <w:color w:val="auto"/>
          <w:sz w:val="21"/>
          <w:szCs w:val="21"/>
          <w:highlight w:val="none"/>
        </w:rPr>
      </w:pPr>
      <w:bookmarkStart w:id="150" w:name="_Toc33106447"/>
      <w:bookmarkStart w:id="151" w:name="_Toc57795924"/>
      <w:r>
        <w:rPr>
          <w:rFonts w:hint="eastAsia" w:ascii="宋体" w:hAnsi="宋体" w:cs="宋体"/>
          <w:color w:val="auto"/>
          <w:sz w:val="21"/>
          <w:szCs w:val="21"/>
          <w:highlight w:val="none"/>
        </w:rPr>
        <w:t>3.2符合性审查</w:t>
      </w:r>
      <w:bookmarkEnd w:id="150"/>
      <w:bookmarkEnd w:id="151"/>
    </w:p>
    <w:p>
      <w:pPr>
        <w:spacing w:line="360" w:lineRule="auto"/>
        <w:ind w:firstLine="413" w:firstLineChars="197"/>
        <w:rPr>
          <w:rFonts w:hint="eastAsia"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.1评标委员会依据本章第2.</w:t>
      </w:r>
      <w:r>
        <w:rPr>
          <w:rFonts w:hint="eastAsia" w:ascii="宋体" w:hAnsi="宋体" w:cs="宋体"/>
          <w:color w:val="auto"/>
          <w:szCs w:val="21"/>
          <w:highlight w:val="none"/>
        </w:rPr>
        <w:t>2</w:t>
      </w:r>
      <w:r>
        <w:rPr>
          <w:rFonts w:ascii="宋体" w:hAnsi="宋体" w:cs="宋体"/>
          <w:color w:val="auto"/>
          <w:szCs w:val="21"/>
          <w:highlight w:val="none"/>
        </w:rPr>
        <w:t xml:space="preserve"> </w:t>
      </w:r>
      <w:r>
        <w:rPr>
          <w:rFonts w:hint="eastAsia" w:ascii="宋体" w:hAnsi="宋体" w:cs="宋体"/>
          <w:color w:val="auto"/>
          <w:szCs w:val="21"/>
          <w:highlight w:val="none"/>
        </w:rPr>
        <w:t>款规定的标准对投标文件进行符合性审查。符合性审查顺序：资格评审、形式评审、响应性</w:t>
      </w:r>
      <w:r>
        <w:rPr>
          <w:rFonts w:hint="eastAsia" w:ascii="宋体" w:hAnsi="宋体" w:cs="宋体"/>
          <w:color w:val="auto"/>
          <w:szCs w:val="21"/>
          <w:highlight w:val="none"/>
          <w:lang w:val="en-US" w:eastAsia="zh-CN"/>
        </w:rPr>
        <w:t>评审</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2</w:t>
      </w:r>
      <w:r>
        <w:rPr>
          <w:rFonts w:ascii="宋体" w:hAnsi="宋体" w:cs="宋体"/>
          <w:color w:val="auto"/>
          <w:szCs w:val="21"/>
          <w:highlight w:val="none"/>
        </w:rPr>
        <w:t>.2 投标人有以下情形之一的，</w:t>
      </w:r>
      <w:r>
        <w:rPr>
          <w:rFonts w:hint="eastAsia" w:ascii="宋体" w:hAnsi="宋体" w:cs="宋体"/>
          <w:color w:val="auto"/>
          <w:szCs w:val="21"/>
          <w:highlight w:val="none"/>
        </w:rPr>
        <w:t>其投标文件将被否决：</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w:t>
      </w:r>
      <w:r>
        <w:rPr>
          <w:rFonts w:ascii="宋体" w:hAnsi="宋体" w:cs="宋体"/>
          <w:color w:val="auto"/>
          <w:szCs w:val="21"/>
          <w:highlight w:val="none"/>
        </w:rPr>
        <w:t>）</w:t>
      </w:r>
      <w:r>
        <w:rPr>
          <w:rFonts w:hint="eastAsia" w:ascii="宋体" w:hAnsi="宋体" w:cs="宋体"/>
          <w:color w:val="auto"/>
          <w:szCs w:val="21"/>
          <w:highlight w:val="none"/>
        </w:rPr>
        <w:t>本次投标有串通投标、弄虚作假等其他违反招投标相关法律、法规行为的；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）拒绝按评标委员会要求澄清、说明或补正的。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3.2.3 投标报价有算术错误的，评标委员会按以下原则对投标报价进行修正，修正的价格经投标人书面确认后具有约束力，修正原则如下：</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（1）投标文件中的大写金额与小写金额不一致的，以大写金额为准；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响应声明书</w:t>
      </w:r>
      <w:r>
        <w:rPr>
          <w:rFonts w:hint="eastAsia" w:ascii="宋体" w:hAnsi="宋体" w:cs="宋体"/>
          <w:color w:val="auto"/>
          <w:szCs w:val="21"/>
          <w:highlight w:val="none"/>
        </w:rPr>
        <w:t>中的总报价与已标价</w:t>
      </w:r>
      <w:r>
        <w:rPr>
          <w:rFonts w:hint="eastAsia" w:ascii="宋体" w:hAnsi="宋体" w:cs="宋体"/>
          <w:color w:val="auto"/>
          <w:szCs w:val="21"/>
          <w:highlight w:val="none"/>
          <w:lang w:eastAsia="zh-CN"/>
        </w:rPr>
        <w:t>采购清单</w:t>
      </w:r>
      <w:r>
        <w:rPr>
          <w:rFonts w:hint="eastAsia" w:ascii="宋体" w:hAnsi="宋体" w:cs="宋体"/>
          <w:color w:val="auto"/>
          <w:szCs w:val="21"/>
          <w:highlight w:val="none"/>
        </w:rPr>
        <w:t>总报价不一致的，由评标委员会作否决投标处理。</w:t>
      </w:r>
    </w:p>
    <w:p>
      <w:pPr>
        <w:pStyle w:val="5"/>
        <w:spacing w:before="0" w:after="0" w:line="360" w:lineRule="auto"/>
        <w:rPr>
          <w:rFonts w:hint="eastAsia" w:ascii="宋体" w:hAnsi="宋体" w:cs="宋体"/>
          <w:color w:val="auto"/>
          <w:sz w:val="21"/>
          <w:szCs w:val="21"/>
          <w:highlight w:val="none"/>
        </w:rPr>
      </w:pPr>
      <w:bookmarkStart w:id="152" w:name="_Toc57795925"/>
      <w:bookmarkStart w:id="153" w:name="_Toc33106448"/>
      <w:r>
        <w:rPr>
          <w:rFonts w:hint="eastAsia" w:ascii="宋体" w:hAnsi="宋体" w:cs="宋体"/>
          <w:color w:val="auto"/>
          <w:sz w:val="21"/>
          <w:szCs w:val="21"/>
          <w:highlight w:val="none"/>
        </w:rPr>
        <w:t>3.3 投标文件的澄清和补正</w:t>
      </w:r>
      <w:bookmarkEnd w:id="152"/>
      <w:bookmarkEnd w:id="153"/>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.1 </w:t>
      </w:r>
      <w:r>
        <w:rPr>
          <w:rFonts w:hint="eastAsia" w:ascii="宋体" w:hAnsi="宋体" w:cs="宋体"/>
          <w:color w:val="auto"/>
          <w:szCs w:val="21"/>
          <w:highlight w:val="none"/>
        </w:rPr>
        <w:t>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.2 </w:t>
      </w:r>
      <w:r>
        <w:rPr>
          <w:rFonts w:hint="eastAsia" w:ascii="宋体" w:hAnsi="宋体" w:cs="宋体"/>
          <w:color w:val="auto"/>
          <w:szCs w:val="21"/>
          <w:highlight w:val="none"/>
        </w:rPr>
        <w:t>澄清、说明和补正不得改变投标文件的实质性内容（算术性错误修正的除外）。投标人的书面澄清、说明和补正属于投标文件的组成部分。</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3</w:t>
      </w:r>
      <w:r>
        <w:rPr>
          <w:rFonts w:ascii="宋体" w:hAnsi="宋体" w:cs="宋体"/>
          <w:color w:val="auto"/>
          <w:szCs w:val="21"/>
          <w:highlight w:val="none"/>
        </w:rPr>
        <w:t xml:space="preserve">.3 </w:t>
      </w:r>
      <w:r>
        <w:rPr>
          <w:rFonts w:hint="eastAsia" w:ascii="宋体" w:hAnsi="宋体" w:cs="宋体"/>
          <w:color w:val="auto"/>
          <w:szCs w:val="21"/>
          <w:highlight w:val="none"/>
        </w:rPr>
        <w:t>评标委员会对投标人提交的澄清、说明或补正有疑问的，可以要求投标人进一步澄清、说明或补正，直至满足评标委员会的要求。</w:t>
      </w:r>
    </w:p>
    <w:p>
      <w:pPr>
        <w:pStyle w:val="5"/>
        <w:spacing w:before="0" w:after="0" w:line="360" w:lineRule="auto"/>
        <w:rPr>
          <w:rFonts w:hint="eastAsia" w:ascii="宋体" w:hAnsi="宋体" w:cs="宋体"/>
          <w:color w:val="auto"/>
          <w:sz w:val="21"/>
          <w:szCs w:val="21"/>
          <w:highlight w:val="none"/>
        </w:rPr>
      </w:pPr>
      <w:bookmarkStart w:id="154" w:name="_Toc57795926"/>
      <w:bookmarkStart w:id="155" w:name="_Toc484465184"/>
      <w:bookmarkStart w:id="156" w:name="_Toc479262406"/>
      <w:bookmarkStart w:id="157" w:name="_Toc33106449"/>
      <w:r>
        <w:rPr>
          <w:rFonts w:hint="eastAsia" w:ascii="宋体" w:hAnsi="宋体" w:cs="宋体"/>
          <w:color w:val="auto"/>
          <w:sz w:val="21"/>
          <w:szCs w:val="21"/>
          <w:highlight w:val="none"/>
        </w:rPr>
        <w:t>3.4 评标结果</w:t>
      </w:r>
      <w:bookmarkEnd w:id="154"/>
      <w:bookmarkEnd w:id="155"/>
      <w:bookmarkEnd w:id="156"/>
      <w:bookmarkEnd w:id="157"/>
    </w:p>
    <w:p>
      <w:pPr>
        <w:autoSpaceDE w:val="0"/>
        <w:autoSpaceDN w:val="0"/>
        <w:adjustRightIn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4</w:t>
      </w:r>
      <w:r>
        <w:rPr>
          <w:rFonts w:ascii="宋体" w:hAnsi="宋体" w:cs="宋体"/>
          <w:color w:val="auto"/>
          <w:szCs w:val="21"/>
          <w:highlight w:val="none"/>
        </w:rPr>
        <w:t>.1</w:t>
      </w:r>
      <w:r>
        <w:rPr>
          <w:rFonts w:hint="eastAsia" w:ascii="宋体" w:hAnsi="宋体" w:cs="宋体"/>
          <w:color w:val="auto"/>
          <w:szCs w:val="21"/>
          <w:highlight w:val="none"/>
        </w:rPr>
        <w:t xml:space="preserve"> 除第二章“投标人须知”前附表授权直接确定</w:t>
      </w:r>
      <w:r>
        <w:rPr>
          <w:rFonts w:hint="eastAsia" w:ascii="宋体" w:hAnsi="宋体" w:cs="宋体"/>
          <w:color w:val="auto"/>
          <w:szCs w:val="21"/>
          <w:highlight w:val="none"/>
          <w:lang w:eastAsia="zh-CN"/>
        </w:rPr>
        <w:t>中选人</w:t>
      </w:r>
      <w:r>
        <w:rPr>
          <w:rFonts w:hint="eastAsia" w:ascii="宋体" w:hAnsi="宋体" w:cs="宋体"/>
          <w:color w:val="auto"/>
          <w:szCs w:val="21"/>
          <w:highlight w:val="none"/>
        </w:rPr>
        <w:t>外，评标委员会按经评审的最低投标价法推荐中标候选人。</w:t>
      </w:r>
    </w:p>
    <w:p>
      <w:pPr>
        <w:pStyle w:val="3"/>
        <w:spacing w:before="0" w:after="0" w:line="360" w:lineRule="auto"/>
        <w:jc w:val="center"/>
        <w:rPr>
          <w:rFonts w:hint="default" w:ascii="宋体" w:hAnsi="宋体" w:cs="宋体"/>
          <w:highlight w:val="none"/>
          <w:lang w:val="en-US" w:eastAsia="zh-CN"/>
        </w:rPr>
      </w:pPr>
      <w:r>
        <w:rPr>
          <w:rFonts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US" w:eastAsia="zh-CN" w:bidi="ar-SA"/>
        </w:rPr>
        <w:t>4</w:t>
      </w:r>
      <w:r>
        <w:rPr>
          <w:rFonts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US" w:eastAsia="zh-CN" w:bidi="ar-SA"/>
        </w:rPr>
        <w:t xml:space="preserve"> 评标委员会完成评标后，应当向采购人提交书面评标报告和中标候选人名单。</w:t>
      </w:r>
      <w:r>
        <w:rPr>
          <w:rFonts w:hint="eastAsia"/>
          <w:highlight w:val="none"/>
        </w:rPr>
        <w:br w:type="page"/>
      </w:r>
      <w:bookmarkStart w:id="158" w:name="_Toc13787"/>
      <w:r>
        <w:rPr>
          <w:rFonts w:hint="eastAsia" w:ascii="宋体" w:hAnsi="宋体" w:cs="宋体"/>
          <w:highlight w:val="none"/>
          <w:lang w:val="en-US" w:eastAsia="zh-CN"/>
        </w:rPr>
        <w:t>第四章 报价说明</w:t>
      </w:r>
      <w:bookmarkEnd w:id="158"/>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1、工程量清单应与本工程竞争性比选文件、技术标准和要求等文件结合起来查阅与理解。</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2</w:t>
      </w:r>
      <w:r>
        <w:rPr>
          <w:rFonts w:hint="eastAsia" w:ascii="宋体" w:hAnsi="宋体" w:eastAsia="宋体" w:cs="宋体"/>
          <w:b w:val="0"/>
          <w:bCs w:val="0"/>
          <w:sz w:val="21"/>
          <w:szCs w:val="21"/>
          <w:highlight w:val="none"/>
          <w:lang w:val="en-US" w:eastAsia="zh-CN"/>
        </w:rPr>
        <w:t>、报价人应结合施工现场实际和现在的市场情况、自身技术及管理水平、经营状况、制定的</w:t>
      </w:r>
      <w:r>
        <w:rPr>
          <w:rFonts w:hint="eastAsia" w:ascii="宋体" w:hAnsi="宋体" w:cs="宋体"/>
          <w:b w:val="0"/>
          <w:bCs w:val="0"/>
          <w:sz w:val="21"/>
          <w:szCs w:val="21"/>
          <w:highlight w:val="none"/>
          <w:lang w:val="en-US" w:eastAsia="zh-CN"/>
        </w:rPr>
        <w:t>服务</w:t>
      </w:r>
      <w:r>
        <w:rPr>
          <w:rFonts w:hint="eastAsia" w:ascii="宋体" w:hAnsi="宋体" w:eastAsia="宋体" w:cs="宋体"/>
          <w:b w:val="0"/>
          <w:bCs w:val="0"/>
          <w:sz w:val="21"/>
          <w:szCs w:val="21"/>
          <w:highlight w:val="none"/>
          <w:lang w:val="en-US" w:eastAsia="zh-CN"/>
        </w:rPr>
        <w:t>方案</w:t>
      </w:r>
      <w:r>
        <w:rPr>
          <w:rFonts w:hint="eastAsia" w:ascii="宋体" w:hAnsi="宋体" w:cs="宋体"/>
          <w:b w:val="0"/>
          <w:bCs w:val="0"/>
          <w:sz w:val="21"/>
          <w:szCs w:val="21"/>
          <w:highlight w:val="none"/>
          <w:lang w:val="en-US" w:eastAsia="zh-CN"/>
        </w:rPr>
        <w:t>制定报价</w:t>
      </w:r>
      <w:r>
        <w:rPr>
          <w:rFonts w:hint="eastAsia" w:ascii="宋体" w:hAnsi="宋体" w:eastAsia="宋体" w:cs="宋体"/>
          <w:b w:val="0"/>
          <w:bCs w:val="0"/>
          <w:sz w:val="21"/>
          <w:szCs w:val="21"/>
          <w:highlight w:val="none"/>
          <w:lang w:val="en-US" w:eastAsia="zh-CN"/>
        </w:rPr>
        <w:t>，该报价不低于报价人完成该项目的成本。</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3</w:t>
      </w:r>
      <w:r>
        <w:rPr>
          <w:rFonts w:hint="eastAsia" w:ascii="宋体" w:hAnsi="宋体" w:eastAsia="宋体" w:cs="宋体"/>
          <w:b w:val="0"/>
          <w:bCs w:val="0"/>
          <w:sz w:val="21"/>
          <w:szCs w:val="21"/>
          <w:highlight w:val="none"/>
          <w:lang w:val="en-US" w:eastAsia="zh-CN"/>
        </w:rPr>
        <w:t>、报价中的单价和合价全部以人民币（元）表示。</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4</w:t>
      </w:r>
      <w:r>
        <w:rPr>
          <w:rFonts w:hint="eastAsia" w:ascii="宋体" w:hAnsi="宋体" w:eastAsia="宋体" w:cs="宋体"/>
          <w:b w:val="0"/>
          <w:bCs w:val="0"/>
          <w:sz w:val="21"/>
          <w:szCs w:val="21"/>
          <w:highlight w:val="none"/>
          <w:lang w:val="en-US" w:eastAsia="zh-CN"/>
        </w:rPr>
        <w:t>、合同为</w:t>
      </w:r>
      <w:r>
        <w:rPr>
          <w:rFonts w:hint="eastAsia" w:ascii="宋体" w:hAnsi="宋体" w:cs="宋体"/>
          <w:b w:val="0"/>
          <w:bCs w:val="0"/>
          <w:sz w:val="21"/>
          <w:szCs w:val="21"/>
          <w:highlight w:val="none"/>
          <w:lang w:val="en-US" w:eastAsia="zh-CN"/>
        </w:rPr>
        <w:t>固定单价</w:t>
      </w:r>
      <w:r>
        <w:rPr>
          <w:rFonts w:hint="eastAsia" w:ascii="宋体" w:hAnsi="宋体" w:eastAsia="宋体" w:cs="宋体"/>
          <w:b w:val="0"/>
          <w:bCs w:val="0"/>
          <w:sz w:val="21"/>
          <w:szCs w:val="21"/>
          <w:highlight w:val="none"/>
          <w:lang w:val="en-US" w:eastAsia="zh-CN"/>
        </w:rPr>
        <w:t>合同，合同期间不予调价。</w:t>
      </w:r>
    </w:p>
    <w:p>
      <w:pPr>
        <w:pStyle w:val="29"/>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 xml:space="preserve"> </w:t>
      </w:r>
    </w:p>
    <w:p>
      <w:pPr>
        <w:pStyle w:val="29"/>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hint="eastAsia" w:ascii="宋体" w:hAnsi="宋体" w:cs="宋体"/>
          <w:szCs w:val="21"/>
          <w:highlight w:val="none"/>
        </w:rPr>
      </w:pPr>
      <w:bookmarkStart w:id="159" w:name="_Toc179632806"/>
      <w:bookmarkStart w:id="160" w:name="_Toc144974855"/>
      <w:bookmarkStart w:id="161" w:name="_Toc247085872"/>
      <w:bookmarkStart w:id="162" w:name="_Toc246997097"/>
      <w:bookmarkStart w:id="163" w:name="_Toc152045786"/>
      <w:bookmarkStart w:id="164" w:name="_Toc152042575"/>
      <w:bookmarkStart w:id="165" w:name="_Toc246996354"/>
    </w:p>
    <w:p>
      <w:pPr>
        <w:pStyle w:val="3"/>
        <w:numPr>
          <w:ilvl w:val="0"/>
          <w:numId w:val="2"/>
        </w:numPr>
        <w:spacing w:before="0" w:after="0" w:line="360" w:lineRule="auto"/>
        <w:jc w:val="center"/>
        <w:rPr>
          <w:rFonts w:hint="eastAsia" w:eastAsia="宋体"/>
          <w:lang w:eastAsia="zh-CN"/>
        </w:rPr>
      </w:pPr>
      <w:bookmarkStart w:id="166" w:name="_Toc144974834"/>
      <w:bookmarkStart w:id="167" w:name="_Toc152045772"/>
      <w:bookmarkStart w:id="168" w:name="_Toc2000409"/>
      <w:bookmarkStart w:id="169" w:name="_Toc24503"/>
      <w:bookmarkStart w:id="170" w:name="_Toc247085855"/>
      <w:bookmarkStart w:id="171" w:name="_Toc246996340"/>
      <w:bookmarkStart w:id="172" w:name="_Toc246997083"/>
      <w:bookmarkStart w:id="173" w:name="_Toc179632789"/>
      <w:bookmarkStart w:id="174" w:name="_Toc152042554"/>
      <w:bookmarkStart w:id="175" w:name="_Toc514858705"/>
      <w:r>
        <w:rPr>
          <w:rFonts w:hint="eastAsia" w:ascii="宋体" w:hAnsi="宋体" w:cs="宋体"/>
          <w:highlight w:val="none"/>
        </w:rPr>
        <w:t xml:space="preserve"> 工程量清单</w:t>
      </w:r>
      <w:bookmarkEnd w:id="166"/>
      <w:bookmarkEnd w:id="167"/>
      <w:bookmarkEnd w:id="168"/>
      <w:bookmarkEnd w:id="169"/>
      <w:bookmarkEnd w:id="170"/>
      <w:bookmarkEnd w:id="171"/>
      <w:bookmarkEnd w:id="172"/>
      <w:bookmarkEnd w:id="173"/>
      <w:bookmarkEnd w:id="174"/>
      <w:bookmarkEnd w:id="175"/>
    </w:p>
    <w:p>
      <w:pPr>
        <w:rPr>
          <w:rFonts w:hint="eastAsia" w:ascii="宋体" w:hAnsi="宋体" w:cs="宋体"/>
          <w:highlight w:val="none"/>
        </w:rPr>
      </w:pPr>
    </w:p>
    <w:tbl>
      <w:tblPr>
        <w:tblStyle w:val="42"/>
        <w:tblW w:w="820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5"/>
        <w:gridCol w:w="1518"/>
        <w:gridCol w:w="1770"/>
        <w:gridCol w:w="630"/>
        <w:gridCol w:w="930"/>
        <w:gridCol w:w="142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5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设备类型</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设备型号</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含税单价（元）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含税总价（元）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交换机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华为S7706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交换机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华为S6506 B</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交换机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华为S7706</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交换机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华为S3328TP-EI</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交换机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华为S6502-B</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交换机</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华为S6502-A</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防火墙</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 5310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防火墙</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 5310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防火墙</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 5310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防火墙</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 5350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态势感知安全管理平台</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华为CIS</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态势感知探针</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华为USG6555E</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下联防火墙</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华为USG9560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防火墙</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华为USG6655E</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出口防火墙</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华为USG6655E</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态势感知探针</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华为USG6555E</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态势感知探针</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华为USG6555E</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收费核心防火墙</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华为USG6625E</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收费核心防火墙</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华为USG6550E</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1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下联防火墙</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华为 USG9560</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月*台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trPr>
        <w:tc>
          <w:tcPr>
            <w:tcW w:w="52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合计（元），税率6%</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r>
    </w:tbl>
    <w:p>
      <w:pPr>
        <w:rPr>
          <w:rFonts w:hint="eastAsia"/>
          <w:lang w:eastAsia="zh-CN"/>
        </w:rPr>
      </w:pPr>
    </w:p>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bookmarkStart w:id="176" w:name="_Toc247096438"/>
      <w:bookmarkStart w:id="177" w:name="_Toc179632800"/>
      <w:bookmarkStart w:id="178" w:name="_Toc152045782"/>
      <w:bookmarkStart w:id="179" w:name="_Toc246997093"/>
      <w:bookmarkStart w:id="180" w:name="_Toc246996350"/>
      <w:bookmarkStart w:id="181" w:name="_Toc144974851"/>
      <w:bookmarkStart w:id="182" w:name="_Toc152042571"/>
      <w:bookmarkStart w:id="183" w:name="_Toc247085866"/>
    </w:p>
    <w:bookmarkEnd w:id="176"/>
    <w:bookmarkEnd w:id="177"/>
    <w:bookmarkEnd w:id="178"/>
    <w:bookmarkEnd w:id="179"/>
    <w:bookmarkEnd w:id="180"/>
    <w:bookmarkEnd w:id="181"/>
    <w:bookmarkEnd w:id="182"/>
    <w:bookmarkEnd w:id="183"/>
    <w:p>
      <w:pPr>
        <w:spacing w:line="400" w:lineRule="exact"/>
        <w:rPr>
          <w:rFonts w:hint="eastAsia" w:ascii="宋体" w:hAnsi="宋体" w:cs="宋体"/>
          <w:highlight w:val="none"/>
        </w:rPr>
      </w:pPr>
      <w:bookmarkStart w:id="184" w:name="_Toc152042574"/>
      <w:bookmarkStart w:id="185" w:name="_Toc152045785"/>
      <w:bookmarkStart w:id="186" w:name="_Toc144974854"/>
    </w:p>
    <w:p>
      <w:pPr>
        <w:pStyle w:val="3"/>
        <w:spacing w:before="0" w:after="0" w:line="360" w:lineRule="auto"/>
        <w:jc w:val="center"/>
        <w:rPr>
          <w:rFonts w:hint="eastAsia" w:ascii="宋体" w:hAnsi="宋体" w:cs="宋体"/>
          <w:highlight w:val="none"/>
        </w:rPr>
      </w:pPr>
      <w:bookmarkStart w:id="187" w:name="_Toc246997096"/>
      <w:bookmarkStart w:id="188" w:name="_Toc247085870"/>
      <w:bookmarkStart w:id="189" w:name="_Toc513633964"/>
      <w:bookmarkStart w:id="190" w:name="_Toc447827049"/>
      <w:bookmarkStart w:id="191" w:name="_Toc503951043"/>
      <w:bookmarkStart w:id="192" w:name="_Toc514858707"/>
      <w:bookmarkStart w:id="193" w:name="_Toc246996353"/>
      <w:bookmarkStart w:id="194" w:name="_Toc10887"/>
      <w:bookmarkStart w:id="195" w:name="_Toc179632804"/>
      <w:bookmarkStart w:id="196" w:name="_Toc2000411"/>
      <w:r>
        <w:rPr>
          <w:rFonts w:hint="eastAsia" w:ascii="宋体" w:hAnsi="宋体" w:cs="宋体"/>
          <w:highlight w:val="none"/>
        </w:rPr>
        <w:t>第</w:t>
      </w:r>
      <w:r>
        <w:rPr>
          <w:rFonts w:hint="eastAsia" w:ascii="宋体" w:hAnsi="宋体" w:cs="宋体"/>
          <w:highlight w:val="none"/>
          <w:lang w:val="en-US" w:eastAsia="zh-CN"/>
        </w:rPr>
        <w:t>六</w:t>
      </w:r>
      <w:r>
        <w:rPr>
          <w:rFonts w:hint="eastAsia" w:ascii="宋体" w:hAnsi="宋体" w:cs="宋体"/>
          <w:highlight w:val="none"/>
        </w:rPr>
        <w:t>章  技术标准和工作要求</w:t>
      </w:r>
      <w:bookmarkEnd w:id="184"/>
      <w:bookmarkEnd w:id="185"/>
      <w:bookmarkEnd w:id="186"/>
      <w:bookmarkEnd w:id="187"/>
      <w:bookmarkEnd w:id="188"/>
      <w:bookmarkEnd w:id="189"/>
      <w:bookmarkEnd w:id="190"/>
      <w:bookmarkEnd w:id="191"/>
      <w:bookmarkEnd w:id="192"/>
      <w:bookmarkEnd w:id="193"/>
      <w:bookmarkEnd w:id="194"/>
      <w:bookmarkEnd w:id="195"/>
      <w:bookmarkEnd w:id="196"/>
    </w:p>
    <w:bookmarkEnd w:id="159"/>
    <w:bookmarkEnd w:id="160"/>
    <w:bookmarkEnd w:id="161"/>
    <w:bookmarkEnd w:id="162"/>
    <w:bookmarkEnd w:id="163"/>
    <w:bookmarkEnd w:id="164"/>
    <w:bookmarkEnd w:id="165"/>
    <w:p>
      <w:pPr>
        <w:pStyle w:val="13"/>
        <w:adjustRightInd w:val="0"/>
        <w:spacing w:line="400" w:lineRule="exact"/>
        <w:jc w:val="both"/>
        <w:rPr>
          <w:rFonts w:hint="eastAsia" w:ascii="宋体" w:hAnsi="宋体" w:cs="宋体"/>
          <w:b/>
          <w:bCs/>
          <w:szCs w:val="21"/>
          <w:highlight w:val="none"/>
          <w:lang w:val="en-US" w:eastAsia="zh-CN"/>
        </w:rPr>
      </w:pPr>
      <w:bookmarkStart w:id="197" w:name="_Toc514858708"/>
      <w:bookmarkStart w:id="198" w:name="_Toc514430114"/>
      <w:bookmarkStart w:id="199" w:name="_Toc12089"/>
      <w:bookmarkStart w:id="200" w:name="_Toc2000412"/>
      <w:bookmarkStart w:id="201" w:name="_Toc246996355"/>
      <w:bookmarkStart w:id="202" w:name="_Toc247085873"/>
      <w:bookmarkStart w:id="203" w:name="_Toc507320039"/>
      <w:bookmarkStart w:id="204" w:name="_Toc152042576"/>
      <w:bookmarkStart w:id="205" w:name="_Toc246997098"/>
      <w:bookmarkStart w:id="206" w:name="_Toc144974856"/>
      <w:bookmarkStart w:id="207" w:name="_Toc152045787"/>
      <w:bookmarkStart w:id="208" w:name="_Toc179632807"/>
    </w:p>
    <w:p>
      <w:pPr>
        <w:pStyle w:val="13"/>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一、</w:t>
      </w:r>
      <w:r>
        <w:rPr>
          <w:rFonts w:hint="eastAsia" w:ascii="宋体" w:hAnsi="宋体" w:cs="宋体"/>
          <w:b/>
          <w:bCs/>
          <w:szCs w:val="21"/>
          <w:highlight w:val="none"/>
        </w:rPr>
        <w:t>项目概况</w:t>
      </w:r>
      <w:r>
        <w:rPr>
          <w:rFonts w:hint="eastAsia" w:ascii="宋体" w:hAnsi="宋体" w:cs="宋体"/>
          <w:b/>
          <w:bCs/>
          <w:szCs w:val="21"/>
          <w:highlight w:val="none"/>
          <w:lang w:val="en-US" w:eastAsia="zh-CN"/>
        </w:rPr>
        <w:t>及服务内容：</w:t>
      </w:r>
    </w:p>
    <w:p>
      <w:pPr>
        <w:spacing w:line="360" w:lineRule="auto"/>
        <w:ind w:firstLine="420" w:firstLineChars="200"/>
        <w:rPr>
          <w:rFonts w:hint="default"/>
          <w:lang w:val="en-US" w:eastAsia="zh-CN"/>
        </w:rPr>
      </w:pPr>
      <w:r>
        <w:rPr>
          <w:rFonts w:hint="eastAsia" w:ascii="宋体" w:hAnsi="宋体" w:cs="宋体"/>
          <w:highlight w:val="none"/>
          <w:lang w:val="en-US" w:eastAsia="zh-CN"/>
        </w:rPr>
        <w:t>服务</w:t>
      </w:r>
      <w:r>
        <w:rPr>
          <w:rFonts w:hint="eastAsia" w:ascii="宋体" w:hAnsi="宋体" w:cs="宋体"/>
          <w:highlight w:val="none"/>
        </w:rPr>
        <w:t>地点：</w:t>
      </w:r>
      <w:r>
        <w:rPr>
          <w:rFonts w:hint="eastAsia" w:ascii="宋体" w:hAnsi="宋体" w:cs="宋体"/>
          <w:highlight w:val="none"/>
          <w:lang w:val="en-US" w:eastAsia="zh-CN"/>
        </w:rPr>
        <w:t>重庆市渝北区</w:t>
      </w:r>
      <w:r>
        <w:rPr>
          <w:rFonts w:hint="eastAsia" w:ascii="宋体" w:hAnsi="宋体" w:cs="宋体"/>
          <w:highlight w:val="none"/>
          <w:lang w:eastAsia="zh-CN"/>
        </w:rPr>
        <w:t>。</w:t>
      </w:r>
    </w:p>
    <w:p>
      <w:pPr>
        <w:pStyle w:val="13"/>
        <w:adjustRightInd w:val="0"/>
        <w:spacing w:line="400" w:lineRule="exact"/>
        <w:jc w:val="both"/>
        <w:rPr>
          <w:rFonts w:hint="default" w:ascii="宋体" w:hAnsi="宋体" w:eastAsia="宋体" w:cs="宋体"/>
          <w:kern w:val="2"/>
          <w:sz w:val="21"/>
          <w:szCs w:val="24"/>
          <w:highlight w:val="none"/>
          <w:lang w:val="en-US" w:eastAsia="zh-CN" w:bidi="ar-SA"/>
        </w:rPr>
      </w:pPr>
      <w:r>
        <w:rPr>
          <w:rFonts w:hint="eastAsia" w:ascii="宋体" w:hAnsi="宋体" w:cs="宋体"/>
          <w:szCs w:val="21"/>
          <w:highlight w:val="none"/>
        </w:rPr>
        <w:t>项目概况：</w:t>
      </w:r>
      <w:r>
        <w:rPr>
          <w:rFonts w:hint="eastAsia" w:ascii="宋体" w:hAnsi="宋体" w:cs="宋体"/>
          <w:highlight w:val="none"/>
          <w:lang w:val="en-US" w:eastAsia="zh-CN"/>
        </w:rPr>
        <w:tab/>
      </w:r>
      <w:r>
        <w:rPr>
          <w:rFonts w:hint="eastAsia" w:ascii="宋体" w:hAnsi="宋体" w:cs="宋体"/>
          <w:highlight w:val="none"/>
          <w:lang w:val="en-US" w:eastAsia="zh-CN"/>
        </w:rPr>
        <w:tab/>
      </w:r>
      <w:r>
        <w:rPr>
          <w:rFonts w:hint="eastAsia" w:ascii="宋体" w:hAnsi="宋体" w:cs="宋体"/>
          <w:highlight w:val="none"/>
          <w:lang w:val="en-US" w:eastAsia="zh-CN"/>
        </w:rPr>
        <w:t>对重庆高速集团112机房、监控总中心所涉</w:t>
      </w:r>
      <w:r>
        <w:rPr>
          <w:rFonts w:hint="eastAsia" w:ascii="宋体" w:hAnsi="宋体" w:eastAsia="宋体" w:cs="宋体"/>
          <w:kern w:val="2"/>
          <w:sz w:val="21"/>
          <w:szCs w:val="24"/>
          <w:highlight w:val="none"/>
          <w:lang w:val="en-US" w:eastAsia="zh-CN" w:bidi="ar-SA"/>
        </w:rPr>
        <w:t>涉华为交换机及网络安全设备进行维护。</w:t>
      </w:r>
    </w:p>
    <w:p>
      <w:pPr>
        <w:spacing w:line="400" w:lineRule="exact"/>
        <w:ind w:firstLine="420" w:firstLineChars="200"/>
        <w:rPr>
          <w:rFonts w:hint="eastAsia" w:ascii="宋体" w:hAnsi="宋体" w:cs="宋体"/>
          <w:highlight w:val="none"/>
          <w:lang w:val="en-US" w:eastAsia="zh-CN"/>
        </w:rPr>
      </w:pPr>
      <w:r>
        <w:rPr>
          <w:rFonts w:hint="eastAsia" w:ascii="宋体" w:hAnsi="宋体" w:cs="宋体"/>
          <w:highlight w:val="none"/>
          <w:lang w:val="en-US" w:eastAsia="zh-CN"/>
        </w:rPr>
        <w:t>服务内容：对重庆高速集团112机房、监控总中心机房涉华为交换机及网络安全设备例行保养、维护、维修；对路段华为设备接入需求进行配合调试；完成日常巡检、季度巡检；定期软件版本更新及授权定期系统漏洞检查及修复；重保期间应急处置保障。</w:t>
      </w:r>
    </w:p>
    <w:p>
      <w:pPr>
        <w:spacing w:line="400" w:lineRule="exact"/>
        <w:ind w:firstLine="420" w:firstLineChars="200"/>
        <w:rPr>
          <w:rFonts w:hint="eastAsia" w:ascii="宋体" w:hAnsi="宋体" w:eastAsia="宋体" w:cs="宋体"/>
          <w:b w:val="0"/>
          <w:bCs w:val="0"/>
          <w:kern w:val="2"/>
          <w:sz w:val="21"/>
          <w:szCs w:val="24"/>
          <w:highlight w:val="none"/>
          <w:lang w:val="en-US" w:eastAsia="zh-CN" w:bidi="ar-SA"/>
        </w:rPr>
      </w:pPr>
      <w:r>
        <w:rPr>
          <w:rFonts w:hint="eastAsia" w:ascii="宋体" w:hAnsi="宋体" w:cs="宋体"/>
          <w:b w:val="0"/>
          <w:bCs w:val="0"/>
          <w:kern w:val="2"/>
          <w:sz w:val="21"/>
          <w:szCs w:val="24"/>
          <w:highlight w:val="none"/>
          <w:lang w:val="en-US" w:eastAsia="zh-CN" w:bidi="ar-SA"/>
        </w:rPr>
        <w:t>服务期限：</w:t>
      </w:r>
      <w:r>
        <w:rPr>
          <w:rFonts w:hint="eastAsia" w:ascii="宋体" w:hAnsi="宋体" w:cs="宋体"/>
          <w:b w:val="0"/>
          <w:bCs w:val="0"/>
          <w:kern w:val="2"/>
          <w:sz w:val="21"/>
          <w:szCs w:val="24"/>
          <w:highlight w:val="none"/>
          <w:lang w:val="en-US" w:eastAsia="zh-CN" w:bidi="ar-SA"/>
        </w:rPr>
        <w:tab/>
      </w:r>
      <w:r>
        <w:rPr>
          <w:rFonts w:hint="eastAsia" w:ascii="宋体" w:hAnsi="宋体" w:cs="宋体"/>
          <w:b w:val="0"/>
          <w:bCs w:val="0"/>
          <w:kern w:val="2"/>
          <w:sz w:val="21"/>
          <w:szCs w:val="24"/>
          <w:highlight w:val="none"/>
          <w:lang w:val="en-US" w:eastAsia="zh-CN" w:bidi="ar-SA"/>
        </w:rPr>
        <w:t>2025年2月1日至2025年12月31日</w:t>
      </w:r>
    </w:p>
    <w:p>
      <w:pPr>
        <w:pStyle w:val="13"/>
        <w:numPr>
          <w:ilvl w:val="0"/>
          <w:numId w:val="3"/>
        </w:numPr>
        <w:adjustRightInd w:val="0"/>
        <w:spacing w:line="400" w:lineRule="exact"/>
        <w:jc w:val="both"/>
        <w:rPr>
          <w:rFonts w:hint="eastAsia" w:ascii="宋体" w:hAnsi="宋体" w:cs="宋体"/>
          <w:b/>
          <w:bCs/>
          <w:szCs w:val="21"/>
          <w:highlight w:val="none"/>
          <w:lang w:val="en-US" w:eastAsia="zh-CN"/>
        </w:rPr>
      </w:pPr>
      <w:r>
        <w:rPr>
          <w:rFonts w:hint="eastAsia" w:ascii="宋体" w:hAnsi="宋体" w:cs="宋体"/>
          <w:b/>
          <w:bCs/>
          <w:szCs w:val="21"/>
          <w:highlight w:val="none"/>
          <w:lang w:val="en-US" w:eastAsia="zh-CN"/>
        </w:rPr>
        <w:t>维护要求：</w:t>
      </w:r>
    </w:p>
    <w:p>
      <w:pPr>
        <w:pStyle w:val="13"/>
        <w:numPr>
          <w:ilvl w:val="0"/>
          <w:numId w:val="4"/>
        </w:numPr>
        <w:adjustRightInd w:val="0"/>
        <w:spacing w:line="400" w:lineRule="exact"/>
        <w:ind w:left="420" w:leftChars="200" w:firstLine="0" w:firstLineChars="0"/>
        <w:jc w:val="both"/>
        <w:rPr>
          <w:rFonts w:hint="eastAsia" w:ascii="宋体" w:hAnsi="宋体" w:eastAsia="宋体" w:cs="宋体"/>
          <w:szCs w:val="21"/>
          <w:highlight w:val="none"/>
        </w:rPr>
      </w:pPr>
      <w:r>
        <w:rPr>
          <w:rFonts w:hint="eastAsia" w:ascii="宋体" w:hAnsi="宋体" w:eastAsia="宋体" w:cs="宋体"/>
          <w:szCs w:val="21"/>
          <w:highlight w:val="none"/>
        </w:rPr>
        <w:t>每季度例行对</w:t>
      </w:r>
      <w:r>
        <w:rPr>
          <w:rFonts w:hint="eastAsia" w:ascii="宋体" w:hAnsi="宋体" w:eastAsia="宋体" w:cs="宋体"/>
          <w:kern w:val="2"/>
          <w:sz w:val="21"/>
          <w:szCs w:val="24"/>
          <w:highlight w:val="none"/>
          <w:lang w:val="en-US" w:eastAsia="zh-CN" w:bidi="ar-SA"/>
        </w:rPr>
        <w:t>华为交换机及网络安全设备</w:t>
      </w:r>
      <w:r>
        <w:rPr>
          <w:rFonts w:hint="eastAsia" w:ascii="宋体" w:hAnsi="宋体" w:eastAsia="宋体" w:cs="宋体"/>
          <w:szCs w:val="21"/>
          <w:highlight w:val="none"/>
        </w:rPr>
        <w:t>进行专项巡检、维护、保养；</w:t>
      </w:r>
      <w:r>
        <w:rPr>
          <w:rFonts w:hint="eastAsia" w:ascii="宋体" w:hAnsi="宋体" w:eastAsia="宋体" w:cs="宋体"/>
          <w:szCs w:val="21"/>
          <w:highlight w:val="none"/>
        </w:rPr>
        <w:br w:type="textWrapping"/>
      </w:r>
      <w:r>
        <w:rPr>
          <w:rFonts w:hint="eastAsia" w:ascii="宋体" w:hAnsi="宋体" w:eastAsia="宋体" w:cs="宋体"/>
          <w:szCs w:val="21"/>
          <w:highlight w:val="none"/>
        </w:rPr>
        <w:t>2、故障设备需两小时到达现场进行维修处理；</w:t>
      </w:r>
      <w:r>
        <w:rPr>
          <w:rFonts w:hint="eastAsia" w:ascii="宋体" w:hAnsi="宋体" w:eastAsia="宋体" w:cs="宋体"/>
          <w:szCs w:val="21"/>
          <w:highlight w:val="none"/>
        </w:rPr>
        <w:br w:type="textWrapping"/>
      </w:r>
      <w:r>
        <w:rPr>
          <w:rFonts w:hint="eastAsia" w:ascii="宋体" w:hAnsi="宋体" w:eastAsia="宋体" w:cs="宋体"/>
          <w:szCs w:val="21"/>
          <w:highlight w:val="none"/>
        </w:rPr>
        <w:t>3、重大节假日节前巡检；</w:t>
      </w:r>
      <w:r>
        <w:rPr>
          <w:rFonts w:hint="eastAsia" w:ascii="宋体" w:hAnsi="宋体" w:eastAsia="宋体" w:cs="宋体"/>
          <w:szCs w:val="21"/>
          <w:highlight w:val="none"/>
        </w:rPr>
        <w:br w:type="textWrapping"/>
      </w:r>
      <w:r>
        <w:rPr>
          <w:rFonts w:hint="eastAsia" w:ascii="宋体" w:hAnsi="宋体" w:eastAsia="宋体" w:cs="宋体"/>
          <w:szCs w:val="21"/>
          <w:highlight w:val="none"/>
        </w:rPr>
        <w:t>4、每季度按时完整提交维护计划、维护资料</w:t>
      </w:r>
    </w:p>
    <w:p>
      <w:pPr>
        <w:pStyle w:val="13"/>
        <w:numPr>
          <w:ilvl w:val="0"/>
          <w:numId w:val="0"/>
        </w:numPr>
        <w:adjustRightInd w:val="0"/>
        <w:spacing w:line="400" w:lineRule="exact"/>
        <w:ind w:leftChars="200"/>
        <w:jc w:val="both"/>
        <w:rPr>
          <w:rFonts w:hint="eastAsia" w:ascii="宋体" w:hAnsi="宋体" w:eastAsia="宋体" w:cs="宋体"/>
          <w:szCs w:val="21"/>
          <w:highlight w:val="none"/>
        </w:rPr>
      </w:pPr>
      <w:r>
        <w:rPr>
          <w:rFonts w:hint="eastAsia" w:ascii="宋体" w:hAnsi="宋体" w:eastAsia="宋体" w:cs="宋体"/>
          <w:szCs w:val="21"/>
          <w:highlight w:val="none"/>
          <w:lang w:val="en-US" w:eastAsia="zh-CN"/>
        </w:rPr>
        <w:t>5、详细要求详见合同</w:t>
      </w:r>
      <w:r>
        <w:rPr>
          <w:rFonts w:hint="eastAsia" w:ascii="宋体" w:hAnsi="宋体" w:eastAsia="宋体" w:cs="宋体"/>
          <w:szCs w:val="21"/>
          <w:highlight w:val="none"/>
        </w:rPr>
        <w:t>。</w:t>
      </w:r>
    </w:p>
    <w:p>
      <w:pPr>
        <w:pStyle w:val="13"/>
        <w:numPr>
          <w:ilvl w:val="0"/>
          <w:numId w:val="0"/>
        </w:numPr>
        <w:adjustRightInd w:val="0"/>
        <w:spacing w:line="400" w:lineRule="exact"/>
        <w:ind w:leftChars="200"/>
        <w:jc w:val="both"/>
        <w:rPr>
          <w:rFonts w:hint="eastAsia" w:ascii="宋体" w:hAnsi="宋体" w:eastAsia="宋体" w:cs="宋体"/>
          <w:szCs w:val="21"/>
          <w:highlight w:val="none"/>
        </w:rPr>
      </w:pPr>
    </w:p>
    <w:p>
      <w:pPr>
        <w:pStyle w:val="3"/>
        <w:spacing w:before="0" w:after="0" w:line="360" w:lineRule="auto"/>
        <w:jc w:val="center"/>
        <w:rPr>
          <w:rFonts w:hint="default" w:ascii="宋体" w:hAnsi="宋体" w:eastAsia="宋体" w:cs="宋体"/>
          <w:highlight w:val="none"/>
          <w:lang w:val="en-US" w:eastAsia="zh-CN"/>
        </w:rPr>
      </w:pPr>
      <w:r>
        <w:rPr>
          <w:rFonts w:hint="eastAsia" w:ascii="宋体" w:hAnsi="宋体" w:cs="宋体"/>
          <w:highlight w:val="none"/>
        </w:rPr>
        <w:br w:type="page"/>
      </w:r>
      <w:r>
        <w:rPr>
          <w:rFonts w:hint="eastAsia" w:ascii="宋体" w:hAnsi="宋体" w:cs="宋体"/>
          <w:highlight w:val="none"/>
        </w:rPr>
        <w:t>第</w:t>
      </w:r>
      <w:r>
        <w:rPr>
          <w:rFonts w:hint="eastAsia" w:ascii="宋体" w:hAnsi="宋体" w:cs="宋体"/>
          <w:highlight w:val="none"/>
          <w:lang w:val="en-US" w:eastAsia="zh-CN"/>
        </w:rPr>
        <w:t>七</w:t>
      </w:r>
      <w:r>
        <w:rPr>
          <w:rFonts w:hint="eastAsia" w:ascii="宋体" w:hAnsi="宋体" w:cs="宋体"/>
          <w:highlight w:val="none"/>
        </w:rPr>
        <w:t xml:space="preserve">章  </w:t>
      </w:r>
      <w:bookmarkEnd w:id="197"/>
      <w:bookmarkEnd w:id="198"/>
      <w:bookmarkEnd w:id="199"/>
      <w:bookmarkEnd w:id="200"/>
      <w:r>
        <w:rPr>
          <w:rFonts w:hint="eastAsia" w:ascii="宋体" w:hAnsi="宋体" w:cs="宋体"/>
          <w:highlight w:val="none"/>
          <w:lang w:val="en-US" w:eastAsia="zh-CN"/>
        </w:rPr>
        <w:t>合同范本</w:t>
      </w:r>
    </w:p>
    <w:p>
      <w:pPr>
        <w:rPr>
          <w:rFonts w:hint="eastAsia"/>
          <w:lang w:val="en-US" w:eastAsia="zh-CN"/>
        </w:rPr>
      </w:pPr>
      <w:bookmarkStart w:id="209" w:name="_Toc513633965"/>
    </w:p>
    <w:p>
      <w:pPr>
        <w:rPr>
          <w:rFonts w:hint="eastAsia"/>
          <w:lang w:val="en-US" w:eastAsia="zh-CN"/>
        </w:rPr>
      </w:pPr>
      <w:r>
        <w:rPr>
          <w:rFonts w:hint="eastAsia"/>
          <w:lang w:val="en-US" w:eastAsia="zh-CN"/>
        </w:rPr>
        <w:t>详见附件。</w:t>
      </w:r>
    </w:p>
    <w:p>
      <w:pPr>
        <w:rPr>
          <w:rFonts w:hint="eastAsia"/>
          <w:lang w:val="en-US" w:eastAsia="zh-CN"/>
        </w:rPr>
      </w:pPr>
    </w:p>
    <w:p>
      <w:pPr>
        <w:rPr>
          <w:rFonts w:hint="eastAsia"/>
          <w:lang w:val="en-US" w:eastAsia="zh-CN"/>
        </w:rPr>
      </w:pPr>
      <w:r>
        <w:rPr>
          <w:rFonts w:hint="eastAsia"/>
          <w:lang w:val="en-US" w:eastAsia="zh-CN"/>
        </w:rPr>
        <w:br w:type="page"/>
      </w:r>
    </w:p>
    <w:p>
      <w:pPr>
        <w:pStyle w:val="2"/>
        <w:rPr>
          <w:rFonts w:hint="default"/>
          <w:lang w:val="en-US" w:eastAsia="zh-CN"/>
        </w:rPr>
      </w:pPr>
    </w:p>
    <w:p>
      <w:pPr>
        <w:pStyle w:val="3"/>
        <w:spacing w:before="0" w:after="0" w:line="360" w:lineRule="auto"/>
        <w:jc w:val="center"/>
        <w:rPr>
          <w:rFonts w:hint="eastAsia" w:ascii="宋体" w:hAnsi="宋体" w:cs="宋体"/>
          <w:highlight w:val="none"/>
        </w:rPr>
      </w:pPr>
      <w:bookmarkStart w:id="210" w:name="_Toc2000413"/>
      <w:bookmarkStart w:id="211" w:name="_Toc514858709"/>
      <w:bookmarkStart w:id="212" w:name="_Toc24853"/>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209"/>
      <w:bookmarkEnd w:id="210"/>
      <w:bookmarkEnd w:id="211"/>
      <w:bookmarkEnd w:id="212"/>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213" w:name="_Toc503971829"/>
      <w:bookmarkStart w:id="214" w:name="_Toc513633967"/>
      <w:bookmarkStart w:id="215" w:name="_Toc514858710"/>
      <w:bookmarkStart w:id="216" w:name="_Toc513646738"/>
      <w:bookmarkStart w:id="217" w:name="_Toc503951046"/>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213"/>
      <w:bookmarkEnd w:id="214"/>
      <w:bookmarkEnd w:id="215"/>
      <w:bookmarkEnd w:id="216"/>
      <w:bookmarkEnd w:id="217"/>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4"/>
        <w:jc w:val="center"/>
        <w:rPr>
          <w:rFonts w:hint="eastAsia" w:ascii="宋体" w:hAnsi="宋体" w:eastAsia="宋体" w:cs="宋体"/>
          <w:highlight w:val="none"/>
        </w:rPr>
      </w:pPr>
      <w:bookmarkStart w:id="218" w:name="_Toc28780"/>
      <w:bookmarkStart w:id="219" w:name="_Toc11329273"/>
      <w:bookmarkStart w:id="220" w:name="_Toc5459"/>
      <w:bookmarkStart w:id="221" w:name="_Toc1368"/>
      <w:r>
        <w:rPr>
          <w:rFonts w:hint="eastAsia" w:ascii="宋体" w:hAnsi="宋体" w:eastAsia="宋体" w:cs="宋体"/>
          <w:highlight w:val="none"/>
        </w:rPr>
        <w:t>目    录</w:t>
      </w:r>
      <w:bookmarkEnd w:id="201"/>
      <w:bookmarkEnd w:id="202"/>
      <w:bookmarkEnd w:id="203"/>
      <w:bookmarkEnd w:id="204"/>
      <w:bookmarkEnd w:id="205"/>
      <w:bookmarkEnd w:id="206"/>
      <w:bookmarkEnd w:id="207"/>
      <w:bookmarkEnd w:id="208"/>
      <w:bookmarkEnd w:id="218"/>
      <w:bookmarkEnd w:id="219"/>
      <w:bookmarkEnd w:id="220"/>
      <w:bookmarkEnd w:id="221"/>
    </w:p>
    <w:p>
      <w:pPr>
        <w:numPr>
          <w:ilvl w:val="0"/>
          <w:numId w:val="5"/>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竞争比选响应声明书</w:t>
      </w:r>
    </w:p>
    <w:p>
      <w:pPr>
        <w:numPr>
          <w:ilvl w:val="0"/>
          <w:numId w:val="5"/>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、报价人基本信息及其他材料</w:t>
      </w:r>
    </w:p>
    <w:p>
      <w:p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五、报价人承诺书</w:t>
      </w:r>
    </w:p>
    <w:p>
      <w:pPr>
        <w:spacing w:line="400" w:lineRule="exact"/>
        <w:rPr>
          <w:rFonts w:hint="eastAsia" w:ascii="宋体" w:hAnsi="宋体" w:eastAsia="宋体" w:cs="宋体"/>
          <w:highlight w:val="none"/>
          <w:lang w:val="en-US" w:eastAsia="zh-CN"/>
        </w:rPr>
      </w:pPr>
      <w:r>
        <w:rPr>
          <w:rFonts w:hint="eastAsia" w:ascii="宋体" w:hAnsi="宋体" w:eastAsia="宋体" w:cs="宋体"/>
          <w:highlight w:val="none"/>
          <w:lang w:val="en-US" w:eastAsia="zh-CN"/>
        </w:rPr>
        <w:t>六、低价风险担保提交承诺书（如有）</w:t>
      </w:r>
    </w:p>
    <w:p>
      <w:pPr>
        <w:spacing w:line="400" w:lineRule="exact"/>
        <w:rPr>
          <w:rFonts w:hint="default" w:ascii="宋体" w:hAnsi="宋体" w:cs="宋体"/>
          <w:highlight w:val="none"/>
          <w:lang w:val="en-US" w:eastAsia="zh-CN"/>
        </w:rPr>
      </w:pPr>
      <w:r>
        <w:rPr>
          <w:rFonts w:hint="eastAsia" w:ascii="宋体" w:hAnsi="宋体" w:cs="宋体"/>
          <w:highlight w:val="none"/>
          <w:lang w:val="en-US" w:eastAsia="zh-CN"/>
        </w:rPr>
        <w:t>七、其他</w:t>
      </w:r>
    </w:p>
    <w:p>
      <w:pPr>
        <w:spacing w:line="400" w:lineRule="exact"/>
        <w:rPr>
          <w:rFonts w:hint="eastAsia" w:ascii="宋体" w:hAnsi="宋体" w:cs="宋体"/>
          <w:highlight w:val="none"/>
        </w:rPr>
      </w:pP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4"/>
        <w:spacing w:before="0" w:after="0" w:line="360" w:lineRule="auto"/>
        <w:jc w:val="center"/>
        <w:rPr>
          <w:rFonts w:hint="eastAsia" w:ascii="宋体" w:hAnsi="宋体" w:eastAsia="宋体" w:cs="宋体"/>
          <w:sz w:val="28"/>
          <w:highlight w:val="none"/>
        </w:rPr>
      </w:pPr>
      <w:bookmarkStart w:id="222" w:name="_Toc8870"/>
      <w:bookmarkStart w:id="223" w:name="_Toc11329274"/>
      <w:bookmarkStart w:id="224" w:name="_Toc15863"/>
      <w:bookmarkStart w:id="225" w:name="_Toc29547"/>
      <w:bookmarkStart w:id="226" w:name="_Toc25874"/>
      <w:bookmarkStart w:id="227" w:name="_Toc447827053"/>
      <w:bookmarkStart w:id="228" w:name="_Toc503951048"/>
      <w:bookmarkStart w:id="229" w:name="_Toc513633969"/>
      <w:r>
        <w:rPr>
          <w:rFonts w:hint="eastAsia" w:ascii="宋体" w:hAnsi="宋体" w:eastAsia="宋体" w:cs="宋体"/>
          <w:sz w:val="28"/>
          <w:highlight w:val="none"/>
        </w:rPr>
        <w:t>一、</w:t>
      </w:r>
      <w:bookmarkEnd w:id="222"/>
      <w:bookmarkEnd w:id="223"/>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24"/>
      <w:bookmarkEnd w:id="225"/>
      <w:bookmarkEnd w:id="226"/>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我方已仔细研究了</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ab/>
      </w:r>
      <w:r>
        <w:rPr>
          <w:rFonts w:hint="eastAsia" w:asciiTheme="minorEastAsia" w:hAnsiTheme="minorEastAsia" w:eastAsiaTheme="minorEastAsia" w:cstheme="minorEastAsia"/>
          <w:color w:val="000000"/>
          <w:sz w:val="24"/>
          <w:szCs w:val="24"/>
          <w:highlight w:val="none"/>
          <w:u w:val="single"/>
        </w:rPr>
        <w:t>（项目名称）</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的全部内容，对</w:t>
      </w:r>
      <w:r>
        <w:rPr>
          <w:rFonts w:hint="eastAsia" w:asciiTheme="minorEastAsia" w:hAnsiTheme="minorEastAsia" w:eastAsiaTheme="minorEastAsia" w:cstheme="minorEastAsia"/>
          <w:color w:val="000000"/>
          <w:sz w:val="24"/>
          <w:szCs w:val="24"/>
          <w:highlight w:val="none"/>
          <w:lang w:val="en-US" w:eastAsia="zh-CN"/>
        </w:rPr>
        <w:t>响应性</w:t>
      </w:r>
      <w:r>
        <w:rPr>
          <w:rFonts w:hint="eastAsia" w:asciiTheme="minorEastAsia" w:hAnsiTheme="minorEastAsia" w:eastAsiaTheme="minorEastAsia" w:cstheme="minorEastAsia"/>
          <w:color w:val="000000"/>
          <w:sz w:val="24"/>
          <w:szCs w:val="24"/>
          <w:highlight w:val="none"/>
        </w:rPr>
        <w:t>文件中响应</w:t>
      </w:r>
      <w:r>
        <w:rPr>
          <w:rFonts w:hint="eastAsia" w:asciiTheme="minorEastAsia" w:hAnsiTheme="minorEastAsia" w:eastAsiaTheme="minorEastAsia" w:cstheme="minorEastAsia"/>
          <w:color w:val="000000"/>
          <w:sz w:val="24"/>
          <w:szCs w:val="24"/>
          <w:highlight w:val="none"/>
          <w:lang w:val="en-US" w:eastAsia="zh-CN"/>
        </w:rPr>
        <w:t>竞争性比选</w:t>
      </w:r>
      <w:r>
        <w:rPr>
          <w:rFonts w:hint="eastAsia" w:asciiTheme="minorEastAsia" w:hAnsiTheme="minorEastAsia" w:eastAsiaTheme="minorEastAsia" w:cstheme="minorEastAsia"/>
          <w:color w:val="000000"/>
          <w:sz w:val="24"/>
          <w:szCs w:val="24"/>
          <w:highlight w:val="none"/>
        </w:rPr>
        <w:t>文件商务、技术要求的</w:t>
      </w:r>
      <w:r>
        <w:rPr>
          <w:rFonts w:hint="eastAsia" w:asciiTheme="minorEastAsia" w:hAnsiTheme="minorEastAsia" w:eastAsiaTheme="minorEastAsia" w:cstheme="minorEastAsia"/>
          <w:color w:val="000000"/>
          <w:sz w:val="24"/>
          <w:szCs w:val="24"/>
          <w:highlight w:val="none"/>
          <w:lang w:val="en-US" w:eastAsia="zh-CN"/>
        </w:rPr>
        <w:t>服务</w:t>
      </w:r>
      <w:r>
        <w:rPr>
          <w:rFonts w:hint="eastAsia" w:asciiTheme="minorEastAsia" w:hAnsiTheme="minorEastAsia" w:eastAsiaTheme="minorEastAsia" w:cstheme="minorEastAsia"/>
          <w:color w:val="000000"/>
          <w:sz w:val="24"/>
          <w:szCs w:val="24"/>
          <w:highlight w:val="none"/>
        </w:rPr>
        <w:t>，愿意以下列方式进行报价：</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ind w:firstLine="480" w:firstLineChars="200"/>
        <w:textAlignment w:val="auto"/>
        <w:rPr>
          <w:rFonts w:hint="eastAsia" w:ascii="Arial" w:hAnsi="Arial" w:cs="Arial"/>
          <w:color w:val="000000"/>
          <w:sz w:val="24"/>
          <w:highlight w:val="none"/>
          <w:u w:val="single"/>
        </w:rPr>
      </w:pPr>
      <w:r>
        <w:rPr>
          <w:rFonts w:hint="eastAsia" w:asciiTheme="minorEastAsia" w:hAnsiTheme="minorEastAsia" w:eastAsiaTheme="minorEastAsia" w:cstheme="minorEastAsia"/>
          <w:color w:val="000000"/>
          <w:sz w:val="24"/>
          <w:szCs w:val="24"/>
          <w:highlight w:val="none"/>
          <w:u w:val="single"/>
        </w:rPr>
        <w:t xml:space="preserve">以人民币：              元（大写  </w:t>
      </w:r>
      <w:r>
        <w:rPr>
          <w:rFonts w:hint="eastAsia" w:ascii="Arial" w:hAnsi="Arial" w:cs="Arial"/>
          <w:color w:val="000000"/>
          <w:sz w:val="24"/>
          <w:highlight w:val="none"/>
          <w:u w:val="single"/>
        </w:rPr>
        <w:t xml:space="preserve">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维护内容</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据此函，签字代表宣布同意如下：</w:t>
      </w:r>
    </w:p>
    <w:p>
      <w:pPr>
        <w:keepNext w:val="0"/>
        <w:keepLines w:val="0"/>
        <w:pageBreakBefore w:val="0"/>
        <w:widowControl w:val="0"/>
        <w:tabs>
          <w:tab w:val="left" w:pos="540"/>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响应单位将按</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文件规定履行合同责任和义务。</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响应单位已详细审查全部</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文件，包括修改文件（如有的话）以及全部参考资料和相关附件。我们完全理解并同意放弃对这方面有不明及误解的权利。</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3、</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响应单位同意提供</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人可能要求的与其</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响应文件有关的一切数据或资料，完全理解</w:t>
      </w:r>
      <w:r>
        <w:rPr>
          <w:rFonts w:hint="eastAsia" w:asciiTheme="minorEastAsia" w:hAnsiTheme="minorEastAsia" w:eastAsiaTheme="minorEastAsia" w:cstheme="minorEastAsia"/>
          <w:color w:val="000000"/>
          <w:sz w:val="24"/>
          <w:szCs w:val="24"/>
          <w:highlight w:val="none"/>
          <w:lang w:val="en-US" w:eastAsia="zh-CN"/>
        </w:rPr>
        <w:t>采购</w:t>
      </w:r>
      <w:r>
        <w:rPr>
          <w:rFonts w:hint="eastAsia" w:asciiTheme="minorEastAsia" w:hAnsiTheme="minorEastAsia" w:eastAsiaTheme="minorEastAsia" w:cstheme="minorEastAsia"/>
          <w:color w:val="000000"/>
          <w:sz w:val="24"/>
          <w:szCs w:val="24"/>
          <w:highlight w:val="none"/>
        </w:rPr>
        <w:t>人不一定要接受最低报价的</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响应或收到的任何</w:t>
      </w:r>
      <w:r>
        <w:rPr>
          <w:rFonts w:hint="eastAsia" w:asciiTheme="minorEastAsia" w:hAnsiTheme="minorEastAsia" w:eastAsiaTheme="minorEastAsia" w:cstheme="minorEastAsia"/>
          <w:color w:val="000000"/>
          <w:sz w:val="24"/>
          <w:szCs w:val="24"/>
          <w:highlight w:val="none"/>
          <w:lang w:val="en-US" w:eastAsia="zh-CN"/>
        </w:rPr>
        <w:t>报价</w:t>
      </w:r>
      <w:r>
        <w:rPr>
          <w:rFonts w:hint="eastAsia" w:asciiTheme="minorEastAsia" w:hAnsiTheme="minorEastAsia" w:eastAsiaTheme="minorEastAsia" w:cstheme="minorEastAsia"/>
          <w:color w:val="000000"/>
          <w:sz w:val="24"/>
          <w:szCs w:val="24"/>
          <w:highlight w:val="none"/>
        </w:rPr>
        <w:t>。</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4、与本</w:t>
      </w:r>
      <w:r>
        <w:rPr>
          <w:rFonts w:hint="eastAsia" w:asciiTheme="minorEastAsia" w:hAnsiTheme="minorEastAsia" w:eastAsiaTheme="minorEastAsia" w:cstheme="minorEastAsia"/>
          <w:color w:val="000000"/>
          <w:sz w:val="24"/>
          <w:szCs w:val="24"/>
          <w:highlight w:val="none"/>
          <w:lang w:eastAsia="zh-CN"/>
        </w:rPr>
        <w:t>竞争比选</w:t>
      </w:r>
      <w:r>
        <w:rPr>
          <w:rFonts w:hint="eastAsia" w:asciiTheme="minorEastAsia" w:hAnsiTheme="minorEastAsia" w:eastAsiaTheme="minorEastAsia" w:cstheme="minorEastAsia"/>
          <w:color w:val="000000"/>
          <w:sz w:val="24"/>
          <w:szCs w:val="24"/>
          <w:highlight w:val="none"/>
        </w:rPr>
        <w:t>响应有关的一切正式往来通讯请寄：</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color w:val="000000"/>
          <w:sz w:val="24"/>
          <w:szCs w:val="24"/>
          <w:highlight w:val="none"/>
        </w:rPr>
        <w:t>地址：</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邮编：</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b/>
          <w:color w:val="000000"/>
          <w:sz w:val="24"/>
          <w:szCs w:val="24"/>
          <w:highlight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         传真：</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法定代表人或授权代表人（签字）：</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法定代表人或授权代表人</w:t>
      </w:r>
      <w:r>
        <w:rPr>
          <w:rFonts w:hint="eastAsia" w:asciiTheme="minorEastAsia" w:hAnsiTheme="minorEastAsia" w:eastAsiaTheme="minorEastAsia" w:cstheme="minorEastAsia"/>
          <w:color w:val="auto"/>
          <w:sz w:val="24"/>
          <w:szCs w:val="24"/>
          <w:highlight w:val="none"/>
        </w:rPr>
        <w:t>职务：</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highlight w:val="none"/>
          <w:u w:val="non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sz w:val="24"/>
          <w:szCs w:val="24"/>
          <w:highlight w:val="none"/>
          <w:lang w:eastAsia="zh-CN"/>
        </w:rPr>
        <w:t>竞争比选</w:t>
      </w:r>
      <w:r>
        <w:rPr>
          <w:rFonts w:hint="eastAsia" w:asciiTheme="minorEastAsia" w:hAnsiTheme="minorEastAsia" w:eastAsiaTheme="minorEastAsia" w:cstheme="minorEastAsia"/>
          <w:color w:val="auto"/>
          <w:sz w:val="24"/>
          <w:szCs w:val="24"/>
          <w:highlight w:val="none"/>
        </w:rPr>
        <w:t>响应单位</w:t>
      </w:r>
      <w:r>
        <w:rPr>
          <w:rFonts w:hint="eastAsia" w:asciiTheme="minorEastAsia" w:hAnsiTheme="minorEastAsia" w:eastAsiaTheme="minorEastAsia" w:cstheme="minorEastAsia"/>
          <w:color w:val="auto"/>
          <w:sz w:val="24"/>
          <w:szCs w:val="24"/>
          <w:highlight w:val="none"/>
          <w:lang w:eastAsia="zh-CN"/>
        </w:rPr>
        <w:t>名称</w:t>
      </w:r>
      <w:r>
        <w:rPr>
          <w:rFonts w:hint="eastAsia" w:asciiTheme="minorEastAsia" w:hAnsiTheme="minorEastAsia" w:eastAsiaTheme="minorEastAsia" w:cstheme="minorEastAsia"/>
          <w:color w:val="auto"/>
          <w:sz w:val="24"/>
          <w:szCs w:val="24"/>
          <w:highlight w:val="none"/>
        </w:rPr>
        <w:t>（加盖公章）：</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rPr>
        <w:t xml:space="preserve">                  </w:t>
      </w:r>
    </w:p>
    <w:p>
      <w:pPr>
        <w:keepNext w:val="0"/>
        <w:keepLines w:val="0"/>
        <w:pageBreakBefore w:val="0"/>
        <w:widowControl w:val="0"/>
        <w:tabs>
          <w:tab w:val="left" w:pos="900"/>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日期：</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rPr>
        <w:t xml:space="preserve">日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2"/>
        <w:rPr>
          <w:rFonts w:hint="eastAsia"/>
        </w:rPr>
      </w:pPr>
    </w:p>
    <w:p>
      <w:pPr>
        <w:pStyle w:val="4"/>
        <w:jc w:val="center"/>
        <w:rPr>
          <w:rFonts w:hint="eastAsia" w:ascii="宋体" w:hAnsi="宋体" w:eastAsia="宋体" w:cs="宋体"/>
          <w:sz w:val="28"/>
          <w:szCs w:val="28"/>
          <w:highlight w:val="none"/>
        </w:rPr>
      </w:pPr>
      <w:bookmarkStart w:id="230" w:name="_Toc27815"/>
      <w:bookmarkStart w:id="231" w:name="_Toc491883232"/>
      <w:r>
        <w:rPr>
          <w:rFonts w:hint="eastAsia" w:ascii="宋体" w:hAnsi="宋体" w:eastAsia="宋体" w:cs="宋体"/>
          <w:sz w:val="28"/>
          <w:szCs w:val="28"/>
          <w:highlight w:val="none"/>
        </w:rPr>
        <w:t>二、法定代表人身份证明或法定代表人授权委托书</w:t>
      </w:r>
      <w:bookmarkEnd w:id="230"/>
    </w:p>
    <w:p>
      <w:pPr>
        <w:pStyle w:val="4"/>
        <w:jc w:val="center"/>
        <w:rPr>
          <w:rFonts w:hint="eastAsia" w:ascii="宋体" w:hAnsi="宋体" w:eastAsia="宋体" w:cs="宋体"/>
          <w:sz w:val="24"/>
          <w:szCs w:val="24"/>
          <w:highlight w:val="none"/>
        </w:rPr>
      </w:pPr>
      <w:bookmarkStart w:id="232" w:name="_Toc14141"/>
      <w:r>
        <w:rPr>
          <w:rFonts w:hint="eastAsia" w:ascii="宋体" w:hAnsi="宋体" w:eastAsia="宋体" w:cs="宋体"/>
          <w:sz w:val="24"/>
          <w:szCs w:val="24"/>
          <w:highlight w:val="none"/>
        </w:rPr>
        <w:t>（一）法定代表人身份证明</w:t>
      </w:r>
      <w:bookmarkEnd w:id="231"/>
      <w:bookmarkEnd w:id="232"/>
    </w:p>
    <w:p>
      <w:pPr>
        <w:spacing w:line="440" w:lineRule="exact"/>
        <w:rPr>
          <w:rFonts w:ascii="宋体" w:hAnsi="宋体"/>
          <w:sz w:val="24"/>
          <w:szCs w:val="24"/>
          <w:highlight w:val="none"/>
        </w:rPr>
      </w:pPr>
      <w:r>
        <w:rPr>
          <w:rFonts w:hint="eastAsia" w:ascii="宋体" w:hAnsi="宋体"/>
          <w:sz w:val="24"/>
          <w:szCs w:val="24"/>
          <w:highlight w:val="none"/>
          <w:lang w:eastAsia="zh-CN"/>
        </w:rPr>
        <w:t>报价人</w:t>
      </w:r>
      <w:r>
        <w:rPr>
          <w:rFonts w:ascii="宋体" w:hAnsi="宋体"/>
          <w:sz w:val="24"/>
          <w:szCs w:val="24"/>
          <w:highlight w:val="none"/>
        </w:rPr>
        <w:t>名称：</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姓名：</w:t>
      </w:r>
      <w:r>
        <w:rPr>
          <w:rFonts w:ascii="宋体" w:hAnsi="宋体"/>
          <w:sz w:val="24"/>
          <w:szCs w:val="24"/>
          <w:highlight w:val="none"/>
          <w:u w:val="single"/>
        </w:rPr>
        <w:t xml:space="preserve">                </w:t>
      </w:r>
      <w:r>
        <w:rPr>
          <w:rFonts w:ascii="宋体" w:hAnsi="宋体"/>
          <w:sz w:val="24"/>
          <w:szCs w:val="24"/>
          <w:highlight w:val="none"/>
        </w:rPr>
        <w:t>性别：</w:t>
      </w:r>
      <w:bookmarkStart w:id="233" w:name="_Toc27897"/>
      <w:bookmarkStart w:id="234" w:name="_Toc352691662"/>
      <w:bookmarkStart w:id="235" w:name="_Toc369531698"/>
      <w:r>
        <w:rPr>
          <w:rFonts w:ascii="宋体" w:hAnsi="宋体"/>
          <w:sz w:val="24"/>
          <w:szCs w:val="24"/>
          <w:highlight w:val="none"/>
          <w:u w:val="single"/>
        </w:rPr>
        <w:t xml:space="preserve">        </w:t>
      </w:r>
      <w:r>
        <w:rPr>
          <w:rFonts w:ascii="宋体" w:hAnsi="宋体"/>
          <w:sz w:val="24"/>
          <w:szCs w:val="24"/>
          <w:highlight w:val="none"/>
        </w:rPr>
        <w:t>年</w:t>
      </w:r>
      <w:bookmarkEnd w:id="233"/>
      <w:bookmarkEnd w:id="234"/>
      <w:bookmarkEnd w:id="235"/>
      <w:r>
        <w:rPr>
          <w:rFonts w:ascii="宋体" w:hAnsi="宋体"/>
          <w:sz w:val="24"/>
          <w:szCs w:val="24"/>
          <w:highlight w:val="none"/>
        </w:rPr>
        <w:t>龄</w:t>
      </w:r>
      <w:bookmarkStart w:id="236" w:name="_Toc300835211"/>
      <w:bookmarkStart w:id="237" w:name="_Toc152042578"/>
      <w:bookmarkStart w:id="238" w:name="_Toc361508754"/>
      <w:bookmarkStart w:id="239" w:name="_Toc247527829"/>
      <w:bookmarkStart w:id="240" w:name="_Toc144974858"/>
      <w:bookmarkStart w:id="241" w:name="_Toc384308377"/>
      <w:bookmarkStart w:id="242" w:name="_Toc369531699"/>
      <w:bookmarkStart w:id="243" w:name="_Toc152045789"/>
      <w:bookmarkStart w:id="244" w:name="_Toc247514248"/>
      <w:bookmarkStart w:id="245" w:name="_Toc352691663"/>
      <w:bookmarkStart w:id="246" w:name="_Toc15573"/>
      <w:r>
        <w:rPr>
          <w:rFonts w:ascii="宋体" w:hAnsi="宋体"/>
          <w:sz w:val="24"/>
          <w:szCs w:val="24"/>
          <w:highlight w:val="none"/>
        </w:rPr>
        <w:t>：</w:t>
      </w:r>
      <w:bookmarkEnd w:id="236"/>
      <w:bookmarkEnd w:id="237"/>
      <w:bookmarkEnd w:id="238"/>
      <w:bookmarkEnd w:id="239"/>
      <w:bookmarkEnd w:id="240"/>
      <w:bookmarkEnd w:id="241"/>
      <w:bookmarkEnd w:id="242"/>
      <w:bookmarkEnd w:id="243"/>
      <w:bookmarkEnd w:id="244"/>
      <w:bookmarkEnd w:id="245"/>
      <w:bookmarkEnd w:id="246"/>
      <w:r>
        <w:rPr>
          <w:rFonts w:ascii="宋体" w:hAnsi="宋体"/>
          <w:sz w:val="24"/>
          <w:szCs w:val="24"/>
          <w:highlight w:val="none"/>
          <w:u w:val="single"/>
        </w:rPr>
        <w:t xml:space="preserve">        </w:t>
      </w:r>
      <w:r>
        <w:rPr>
          <w:rFonts w:ascii="宋体" w:hAnsi="宋体"/>
          <w:sz w:val="24"/>
          <w:szCs w:val="24"/>
          <w:highlight w:val="none"/>
        </w:rPr>
        <w:t>职务：</w:t>
      </w:r>
      <w:r>
        <w:rPr>
          <w:rFonts w:ascii="宋体" w:hAnsi="宋体"/>
          <w:sz w:val="24"/>
          <w:szCs w:val="24"/>
          <w:highlight w:val="none"/>
          <w:u w:val="single"/>
        </w:rPr>
        <w:t xml:space="preserve">        </w:t>
      </w:r>
    </w:p>
    <w:p>
      <w:pPr>
        <w:spacing w:line="440" w:lineRule="exact"/>
        <w:rPr>
          <w:rFonts w:ascii="宋体" w:hAnsi="宋体"/>
          <w:sz w:val="24"/>
          <w:szCs w:val="24"/>
          <w:highlight w:val="none"/>
        </w:rPr>
      </w:pPr>
      <w:r>
        <w:rPr>
          <w:rFonts w:ascii="宋体" w:hAnsi="宋体"/>
          <w:sz w:val="24"/>
          <w:szCs w:val="24"/>
          <w:highlight w:val="none"/>
        </w:rPr>
        <w:t>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w:t>
      </w:r>
    </w:p>
    <w:p>
      <w:pPr>
        <w:spacing w:line="440" w:lineRule="exact"/>
        <w:ind w:firstLine="480" w:firstLineChars="200"/>
        <w:rPr>
          <w:rFonts w:ascii="宋体" w:hAnsi="宋体"/>
          <w:sz w:val="24"/>
          <w:szCs w:val="24"/>
          <w:highlight w:val="none"/>
        </w:rPr>
      </w:pPr>
      <w:r>
        <w:rPr>
          <w:rFonts w:ascii="宋体" w:hAnsi="宋体"/>
          <w:sz w:val="24"/>
          <w:szCs w:val="24"/>
          <w:highlight w:val="none"/>
        </w:rPr>
        <w:t>特此证明。</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w:t>
      </w:r>
      <w:r>
        <w:rPr>
          <w:rFonts w:hint="eastAsia" w:ascii="宋体" w:hAnsi="宋体"/>
          <w:sz w:val="24"/>
          <w:szCs w:val="24"/>
          <w:highlight w:val="none"/>
        </w:rPr>
        <w:t>（正、反面）</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jc w:val="center"/>
        <w:rPr>
          <w:rFonts w:ascii="宋体" w:hAnsi="宋体"/>
          <w:sz w:val="24"/>
          <w:szCs w:val="24"/>
          <w:highlight w:val="none"/>
        </w:rPr>
      </w:pPr>
      <w:r>
        <w:rPr>
          <w:rFonts w:ascii="宋体" w:hAnsi="宋体"/>
          <w:sz w:val="24"/>
          <w:szCs w:val="24"/>
          <w:highlight w:val="none"/>
        </w:rPr>
        <w:t xml:space="preserve">                              </w:t>
      </w:r>
      <w:r>
        <w:rPr>
          <w:rFonts w:hint="eastAsia" w:ascii="宋体" w:hAnsi="宋体"/>
          <w:sz w:val="24"/>
          <w:szCs w:val="24"/>
          <w:highlight w:val="none"/>
          <w:lang w:eastAsia="zh-CN"/>
        </w:rPr>
        <w:t>报价人</w:t>
      </w:r>
      <w:r>
        <w:rPr>
          <w:rFonts w:ascii="宋体" w:hAnsi="宋体"/>
          <w:sz w:val="24"/>
          <w:szCs w:val="24"/>
          <w:highlight w:val="none"/>
        </w:rPr>
        <w:t>：</w:t>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4"/>
          <w:szCs w:val="24"/>
          <w:highlight w:val="none"/>
        </w:rPr>
      </w:pPr>
    </w:p>
    <w:p>
      <w:pPr>
        <w:spacing w:line="440" w:lineRule="exact"/>
        <w:ind w:firstLine="5280" w:firstLineChars="2200"/>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注：本身份证明需由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4"/>
        <w:jc w:val="center"/>
        <w:rPr>
          <w:rFonts w:ascii="宋体" w:hAnsi="宋体"/>
          <w:sz w:val="28"/>
          <w:szCs w:val="28"/>
          <w:highlight w:val="none"/>
        </w:rPr>
      </w:pPr>
      <w:bookmarkStart w:id="247" w:name="_Toc491883233"/>
      <w:bookmarkStart w:id="248" w:name="_Toc58"/>
      <w:r>
        <w:rPr>
          <w:rFonts w:hint="eastAsia" w:ascii="宋体" w:hAnsi="宋体" w:eastAsia="宋体" w:cs="宋体"/>
          <w:sz w:val="24"/>
          <w:szCs w:val="24"/>
          <w:highlight w:val="none"/>
        </w:rPr>
        <w:t>（二）</w:t>
      </w:r>
      <w:bookmarkEnd w:id="247"/>
      <w:r>
        <w:rPr>
          <w:rFonts w:hint="eastAsia" w:ascii="宋体" w:hAnsi="宋体" w:eastAsia="宋体" w:cs="宋体"/>
          <w:sz w:val="24"/>
          <w:szCs w:val="24"/>
          <w:highlight w:val="none"/>
        </w:rPr>
        <w:t>法定代表人授权委托书</w:t>
      </w:r>
      <w:bookmarkEnd w:id="248"/>
    </w:p>
    <w:p>
      <w:pPr>
        <w:topLinePunct/>
        <w:spacing w:line="440" w:lineRule="exact"/>
        <w:ind w:firstLine="480" w:firstLineChars="200"/>
        <w:rPr>
          <w:rFonts w:ascii="宋体" w:hAnsi="宋体"/>
          <w:sz w:val="24"/>
          <w:szCs w:val="24"/>
          <w:highlight w:val="none"/>
        </w:rPr>
      </w:pPr>
      <w:r>
        <w:rPr>
          <w:rFonts w:ascii="宋体" w:hAnsi="宋体"/>
          <w:sz w:val="24"/>
          <w:szCs w:val="24"/>
          <w:highlight w:val="none"/>
        </w:rPr>
        <w:t>本人</w:t>
      </w:r>
      <w:r>
        <w:rPr>
          <w:rFonts w:ascii="宋体" w:hAnsi="宋体"/>
          <w:sz w:val="24"/>
          <w:szCs w:val="24"/>
          <w:highlight w:val="none"/>
          <w:u w:val="single"/>
        </w:rPr>
        <w:t xml:space="preserve">              </w:t>
      </w:r>
      <w:r>
        <w:rPr>
          <w:rFonts w:ascii="宋体" w:hAnsi="宋体"/>
          <w:sz w:val="24"/>
          <w:szCs w:val="24"/>
          <w:highlight w:val="none"/>
        </w:rPr>
        <w:t>（姓名）系</w:t>
      </w:r>
      <w:r>
        <w:rPr>
          <w:rFonts w:ascii="宋体" w:hAnsi="宋体"/>
          <w:sz w:val="24"/>
          <w:szCs w:val="24"/>
          <w:highlight w:val="none"/>
          <w:u w:val="single"/>
        </w:rPr>
        <w:t xml:space="preserve">                    </w:t>
      </w:r>
      <w:r>
        <w:rPr>
          <w:rFonts w:ascii="宋体" w:hAnsi="宋体"/>
          <w:sz w:val="24"/>
          <w:szCs w:val="24"/>
          <w:highlight w:val="none"/>
        </w:rPr>
        <w:t>（</w:t>
      </w:r>
      <w:r>
        <w:rPr>
          <w:rFonts w:hint="eastAsia" w:ascii="宋体" w:hAnsi="宋体"/>
          <w:sz w:val="24"/>
          <w:szCs w:val="24"/>
          <w:highlight w:val="none"/>
          <w:lang w:eastAsia="zh-CN"/>
        </w:rPr>
        <w:t>报价人</w:t>
      </w:r>
      <w:r>
        <w:rPr>
          <w:rFonts w:ascii="宋体" w:hAnsi="宋体"/>
          <w:sz w:val="24"/>
          <w:szCs w:val="24"/>
          <w:highlight w:val="none"/>
        </w:rPr>
        <w:t>名称）的法定代表人，现委托</w:t>
      </w:r>
      <w:r>
        <w:rPr>
          <w:rFonts w:ascii="宋体" w:hAnsi="宋体"/>
          <w:sz w:val="24"/>
          <w:szCs w:val="24"/>
          <w:highlight w:val="none"/>
          <w:u w:val="single"/>
        </w:rPr>
        <w:t xml:space="preserve">            </w:t>
      </w:r>
      <w:r>
        <w:rPr>
          <w:rFonts w:ascii="宋体" w:hAnsi="宋体"/>
          <w:sz w:val="24"/>
          <w:szCs w:val="24"/>
          <w:highlight w:val="none"/>
        </w:rPr>
        <w:t>（姓名）为我方代理人。代理人根据授权，以我方名义签署、澄清确认、递交、撤回、修改招标项目</w:t>
      </w:r>
      <w:r>
        <w:rPr>
          <w:rFonts w:hint="eastAsia" w:ascii="宋体" w:hAnsi="宋体"/>
          <w:sz w:val="24"/>
          <w:szCs w:val="24"/>
          <w:highlight w:val="none"/>
          <w:lang w:val="en-US" w:eastAsia="zh-CN"/>
        </w:rPr>
        <w:t>比选</w:t>
      </w:r>
      <w:r>
        <w:rPr>
          <w:rFonts w:ascii="宋体" w:hAnsi="宋体"/>
          <w:sz w:val="24"/>
          <w:szCs w:val="24"/>
          <w:highlight w:val="none"/>
        </w:rPr>
        <w:t>文件、签订合同和处理有关事宜，其法律后果由我方承担。</w:t>
      </w:r>
    </w:p>
    <w:p>
      <w:pPr>
        <w:spacing w:line="440" w:lineRule="exact"/>
        <w:rPr>
          <w:rFonts w:ascii="宋体" w:hAnsi="宋体"/>
          <w:sz w:val="24"/>
          <w:szCs w:val="24"/>
          <w:highlight w:val="none"/>
        </w:rPr>
      </w:pPr>
      <w:r>
        <w:rPr>
          <w:rFonts w:ascii="宋体" w:hAnsi="宋体"/>
          <w:sz w:val="24"/>
          <w:szCs w:val="24"/>
          <w:highlight w:val="none"/>
        </w:rPr>
        <w:t>委托期限：</w:t>
      </w:r>
      <w:r>
        <w:rPr>
          <w:rFonts w:ascii="宋体" w:hAnsi="宋体"/>
          <w:sz w:val="24"/>
          <w:szCs w:val="24"/>
          <w:highlight w:val="none"/>
          <w:u w:val="single"/>
        </w:rPr>
        <w:t xml:space="preserve">                       </w:t>
      </w:r>
      <w:r>
        <w:rPr>
          <w:rFonts w:ascii="宋体" w:hAnsi="宋体"/>
          <w:sz w:val="24"/>
          <w:szCs w:val="24"/>
          <w:highlight w:val="none"/>
        </w:rPr>
        <w:t>。</w:t>
      </w:r>
    </w:p>
    <w:p>
      <w:pPr>
        <w:spacing w:line="440" w:lineRule="exact"/>
        <w:ind w:firstLine="480" w:firstLineChars="200"/>
        <w:rPr>
          <w:rFonts w:ascii="宋体" w:hAnsi="宋体"/>
          <w:sz w:val="24"/>
          <w:szCs w:val="24"/>
          <w:highlight w:val="none"/>
        </w:rPr>
      </w:pPr>
      <w:r>
        <w:rPr>
          <w:rFonts w:ascii="宋体" w:hAnsi="宋体"/>
          <w:sz w:val="24"/>
          <w:szCs w:val="24"/>
          <w:highlight w:val="none"/>
        </w:rPr>
        <w:t>代理人无转委托权。</w:t>
      </w:r>
    </w:p>
    <w:p>
      <w:pPr>
        <w:spacing w:line="440" w:lineRule="exact"/>
        <w:ind w:firstLine="480" w:firstLineChars="200"/>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附：法定代表人身份证复印件及委托代理人身份证复印件</w:t>
      </w:r>
      <w:r>
        <w:rPr>
          <w:rFonts w:hint="eastAsia" w:ascii="宋体" w:hAnsi="宋体"/>
          <w:sz w:val="24"/>
          <w:szCs w:val="24"/>
          <w:highlight w:val="none"/>
        </w:rPr>
        <w:t>（正、反面）</w:t>
      </w: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rPr>
          <w:rFonts w:ascii="宋体" w:hAnsi="宋体"/>
          <w:sz w:val="24"/>
          <w:szCs w:val="24"/>
          <w:highlight w:val="none"/>
        </w:rPr>
      </w:pPr>
    </w:p>
    <w:p>
      <w:pPr>
        <w:spacing w:line="440" w:lineRule="exact"/>
        <w:ind w:firstLine="3076" w:firstLineChars="1282"/>
        <w:rPr>
          <w:rFonts w:ascii="宋体" w:hAnsi="宋体"/>
          <w:sz w:val="24"/>
          <w:szCs w:val="24"/>
          <w:highlight w:val="none"/>
        </w:rPr>
      </w:pPr>
      <w:r>
        <w:rPr>
          <w:rFonts w:hint="eastAsia" w:ascii="宋体" w:hAnsi="宋体"/>
          <w:sz w:val="24"/>
          <w:szCs w:val="24"/>
          <w:highlight w:val="none"/>
          <w:lang w:eastAsia="zh-CN"/>
        </w:rPr>
        <w:t>报  价  人</w:t>
      </w:r>
      <w:r>
        <w:rPr>
          <w:rFonts w:ascii="宋体" w:hAnsi="宋体"/>
          <w:sz w:val="24"/>
          <w:szCs w:val="24"/>
          <w:highlight w:val="none"/>
        </w:rPr>
        <w:t>：</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w:t>
      </w:r>
      <w:r>
        <w:rPr>
          <w:rFonts w:hint="eastAsia" w:ascii="宋体" w:hAnsi="宋体"/>
          <w:sz w:val="24"/>
          <w:szCs w:val="24"/>
          <w:highlight w:val="none"/>
        </w:rPr>
        <w:t>盖</w:t>
      </w:r>
      <w:r>
        <w:rPr>
          <w:rFonts w:ascii="宋体" w:hAnsi="宋体"/>
          <w:sz w:val="24"/>
          <w:szCs w:val="24"/>
          <w:highlight w:val="none"/>
        </w:rPr>
        <w:t>单位</w:t>
      </w:r>
      <w:r>
        <w:rPr>
          <w:rFonts w:hint="eastAsia" w:ascii="宋体" w:hAnsi="宋体"/>
          <w:sz w:val="24"/>
          <w:szCs w:val="24"/>
          <w:highlight w:val="none"/>
        </w:rPr>
        <w:t>公章</w:t>
      </w:r>
      <w:r>
        <w:rPr>
          <w:rFonts w:ascii="宋体" w:hAnsi="宋体"/>
          <w:sz w:val="24"/>
          <w:szCs w:val="24"/>
          <w:highlight w:val="none"/>
        </w:rPr>
        <w:t>）</w:t>
      </w:r>
    </w:p>
    <w:p>
      <w:pPr>
        <w:spacing w:line="440" w:lineRule="exact"/>
        <w:ind w:firstLine="3074" w:firstLineChars="1281"/>
        <w:jc w:val="left"/>
        <w:rPr>
          <w:rFonts w:ascii="宋体" w:hAnsi="宋体"/>
          <w:sz w:val="24"/>
          <w:szCs w:val="24"/>
          <w:highlight w:val="none"/>
        </w:rPr>
      </w:pPr>
      <w:r>
        <w:rPr>
          <w:rFonts w:ascii="宋体" w:hAnsi="宋体"/>
          <w:sz w:val="24"/>
          <w:szCs w:val="24"/>
          <w:highlight w:val="none"/>
        </w:rPr>
        <w:t>法定代表人：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 xml:space="preserve"> </w:t>
      </w:r>
      <w:r>
        <w:rPr>
          <w:rFonts w:hint="eastAsia"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r>
        <w:rPr>
          <w:rFonts w:hint="eastAsia" w:ascii="宋体" w:hAnsi="宋体"/>
          <w:sz w:val="24"/>
          <w:szCs w:val="24"/>
          <w:highlight w:val="none"/>
        </w:rPr>
        <w:t xml:space="preserve"> </w:t>
      </w:r>
      <w:r>
        <w:rPr>
          <w:rFonts w:ascii="宋体" w:hAnsi="宋体"/>
          <w:sz w:val="24"/>
          <w:szCs w:val="24"/>
          <w:highlight w:val="none"/>
        </w:rPr>
        <w:t>）</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r>
        <w:rPr>
          <w:rFonts w:ascii="宋体" w:hAnsi="宋体"/>
          <w:sz w:val="24"/>
          <w:szCs w:val="24"/>
          <w:highlight w:val="none"/>
        </w:rPr>
        <w:t>委托代理人：</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r>
        <w:rPr>
          <w:rFonts w:ascii="宋体" w:hAnsi="宋体"/>
          <w:sz w:val="24"/>
          <w:szCs w:val="24"/>
          <w:highlight w:val="none"/>
        </w:rPr>
        <w:t>（签字）</w:t>
      </w:r>
    </w:p>
    <w:p>
      <w:pPr>
        <w:spacing w:line="440" w:lineRule="exact"/>
        <w:ind w:firstLine="3076" w:firstLineChars="1282"/>
        <w:rPr>
          <w:rFonts w:ascii="宋体" w:hAnsi="宋体"/>
          <w:sz w:val="24"/>
          <w:szCs w:val="24"/>
          <w:highlight w:val="none"/>
        </w:rPr>
      </w:pPr>
      <w:r>
        <w:rPr>
          <w:rFonts w:ascii="宋体" w:hAnsi="宋体"/>
          <w:sz w:val="24"/>
          <w:szCs w:val="24"/>
          <w:highlight w:val="none"/>
        </w:rPr>
        <w:t>身份证号码：</w:t>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ab/>
      </w:r>
      <w:r>
        <w:rPr>
          <w:rFonts w:ascii="宋体" w:hAnsi="宋体"/>
          <w:sz w:val="24"/>
          <w:szCs w:val="24"/>
          <w:highlight w:val="none"/>
          <w:u w:val="single"/>
        </w:rPr>
        <w:t xml:space="preserve">                            </w:t>
      </w:r>
      <w:r>
        <w:rPr>
          <w:rFonts w:ascii="宋体" w:hAnsi="宋体"/>
          <w:sz w:val="24"/>
          <w:szCs w:val="24"/>
          <w:highlight w:val="none"/>
          <w:u w:val="single"/>
        </w:rPr>
        <w:tab/>
      </w:r>
    </w:p>
    <w:p>
      <w:pPr>
        <w:spacing w:line="440" w:lineRule="exact"/>
        <w:ind w:firstLine="3076" w:firstLineChars="1282"/>
        <w:rPr>
          <w:rFonts w:ascii="宋体" w:hAnsi="宋体"/>
          <w:sz w:val="24"/>
          <w:szCs w:val="24"/>
          <w:highlight w:val="none"/>
        </w:rPr>
      </w:pPr>
    </w:p>
    <w:p>
      <w:pPr>
        <w:spacing w:line="440" w:lineRule="exact"/>
        <w:ind w:firstLine="4636" w:firstLineChars="1932"/>
        <w:jc w:val="right"/>
        <w:rPr>
          <w:rFonts w:ascii="宋体" w:hAnsi="宋体"/>
          <w:sz w:val="24"/>
          <w:szCs w:val="24"/>
          <w:highlight w:val="none"/>
        </w:rPr>
      </w:pPr>
      <w:r>
        <w:rPr>
          <w:rFonts w:ascii="宋体" w:hAnsi="宋体"/>
          <w:sz w:val="24"/>
          <w:szCs w:val="24"/>
          <w:highlight w:val="none"/>
          <w:u w:val="single"/>
        </w:rPr>
        <w:t xml:space="preserve">       </w:t>
      </w:r>
      <w:r>
        <w:rPr>
          <w:rFonts w:ascii="宋体" w:hAnsi="宋体"/>
          <w:sz w:val="24"/>
          <w:szCs w:val="24"/>
          <w:highlight w:val="none"/>
        </w:rPr>
        <w:t>年</w:t>
      </w:r>
      <w:r>
        <w:rPr>
          <w:rFonts w:ascii="宋体" w:hAnsi="宋体"/>
          <w:sz w:val="24"/>
          <w:szCs w:val="24"/>
          <w:highlight w:val="none"/>
          <w:u w:val="single"/>
        </w:rPr>
        <w:t xml:space="preserve">       </w:t>
      </w:r>
      <w:r>
        <w:rPr>
          <w:rFonts w:ascii="宋体" w:hAnsi="宋体"/>
          <w:sz w:val="24"/>
          <w:szCs w:val="24"/>
          <w:highlight w:val="none"/>
        </w:rPr>
        <w:t>月</w:t>
      </w:r>
      <w:r>
        <w:rPr>
          <w:rFonts w:ascii="宋体" w:hAnsi="宋体"/>
          <w:sz w:val="24"/>
          <w:szCs w:val="24"/>
          <w:highlight w:val="none"/>
          <w:u w:val="single"/>
        </w:rPr>
        <w:t xml:space="preserve">       </w:t>
      </w:r>
      <w:r>
        <w:rPr>
          <w:rFonts w:ascii="宋体" w:hAnsi="宋体"/>
          <w:sz w:val="24"/>
          <w:szCs w:val="24"/>
          <w:highlight w:val="none"/>
        </w:rPr>
        <w:t>日</w:t>
      </w:r>
    </w:p>
    <w:p>
      <w:pPr>
        <w:rPr>
          <w:rFonts w:ascii="宋体" w:hAnsi="宋体"/>
          <w:sz w:val="24"/>
          <w:szCs w:val="24"/>
          <w:highlight w:val="none"/>
        </w:rPr>
      </w:pPr>
    </w:p>
    <w:p>
      <w:pPr>
        <w:rPr>
          <w:rFonts w:ascii="宋体" w:hAnsi="宋体"/>
          <w:sz w:val="24"/>
          <w:szCs w:val="24"/>
          <w:highlight w:val="none"/>
        </w:rPr>
      </w:pPr>
    </w:p>
    <w:p>
      <w:pPr>
        <w:spacing w:line="440" w:lineRule="exact"/>
        <w:rPr>
          <w:rFonts w:ascii="宋体" w:hAnsi="宋体"/>
          <w:sz w:val="24"/>
          <w:szCs w:val="24"/>
          <w:highlight w:val="none"/>
        </w:rPr>
      </w:pPr>
      <w:r>
        <w:rPr>
          <w:rFonts w:ascii="宋体" w:hAnsi="宋体"/>
          <w:sz w:val="24"/>
          <w:szCs w:val="24"/>
          <w:highlight w:val="none"/>
        </w:rPr>
        <w:t>注：本授权委托书需由</w:t>
      </w:r>
      <w:r>
        <w:rPr>
          <w:rFonts w:hint="eastAsia" w:ascii="宋体" w:hAnsi="宋体"/>
          <w:sz w:val="24"/>
          <w:szCs w:val="24"/>
          <w:highlight w:val="none"/>
          <w:lang w:eastAsia="zh-CN"/>
        </w:rPr>
        <w:t>报价人</w:t>
      </w:r>
      <w:r>
        <w:rPr>
          <w:rFonts w:ascii="宋体" w:hAnsi="宋体"/>
          <w:sz w:val="24"/>
          <w:szCs w:val="24"/>
          <w:highlight w:val="none"/>
        </w:rPr>
        <w:t>加盖单位</w:t>
      </w:r>
      <w:r>
        <w:rPr>
          <w:rFonts w:hint="eastAsia" w:ascii="宋体" w:hAnsi="宋体"/>
          <w:sz w:val="24"/>
          <w:szCs w:val="24"/>
          <w:highlight w:val="none"/>
        </w:rPr>
        <w:t>公章</w:t>
      </w:r>
      <w:r>
        <w:rPr>
          <w:rFonts w:ascii="宋体" w:hAnsi="宋体"/>
          <w:sz w:val="24"/>
          <w:szCs w:val="24"/>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49"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27"/>
      <w:bookmarkEnd w:id="228"/>
      <w:bookmarkEnd w:id="229"/>
      <w:bookmarkEnd w:id="249"/>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8"/>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Arial" w:hAnsi="Arial" w:cs="Arial"/>
          <w:color w:val="000000"/>
          <w:sz w:val="24"/>
          <w:highlight w:val="none"/>
          <w:u w:val="single"/>
          <w:lang w:val="en-US" w:eastAsia="zh-CN"/>
        </w:rPr>
        <w:t>2025年2月-12月总中心华为交换机及网络安全设备维护采购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ascii="宋体" w:hAnsi="宋体" w:cs="宋体"/>
          <w:kern w:val="0"/>
          <w:szCs w:val="21"/>
          <w:highlight w:val="none"/>
        </w:rPr>
      </w:pPr>
    </w:p>
    <w:p>
      <w:pPr>
        <w:rPr>
          <w:rFonts w:hint="eastAsia" w:ascii="宋体" w:hAnsi="宋体" w:cs="宋体"/>
          <w:kern w:val="0"/>
          <w:szCs w:val="21"/>
          <w:highlight w:val="none"/>
        </w:rPr>
      </w:pPr>
    </w:p>
    <w:p>
      <w:pPr>
        <w:pStyle w:val="17"/>
        <w:rPr>
          <w:rFonts w:hint="eastAsia"/>
        </w:rPr>
      </w:pPr>
    </w:p>
    <w:p>
      <w:pPr>
        <w:pStyle w:val="4"/>
        <w:spacing w:before="0" w:after="0" w:line="360" w:lineRule="auto"/>
        <w:jc w:val="center"/>
        <w:rPr>
          <w:rFonts w:hint="eastAsia" w:ascii="宋体" w:hAnsi="宋体" w:eastAsia="宋体" w:cs="宋体"/>
          <w:sz w:val="28"/>
          <w:highlight w:val="none"/>
          <w:lang w:val="en-US" w:eastAsia="zh-CN"/>
        </w:rPr>
      </w:pPr>
      <w:bookmarkStart w:id="250" w:name="_Toc513633971"/>
      <w:bookmarkStart w:id="251" w:name="_Toc503951050"/>
      <w:bookmarkStart w:id="252" w:name="_Toc11329278"/>
      <w:bookmarkStart w:id="253" w:name="_Toc152042592"/>
      <w:bookmarkStart w:id="254" w:name="_Toc152045803"/>
      <w:bookmarkStart w:id="255" w:name="_Toc179632823"/>
      <w:bookmarkStart w:id="256" w:name="_Toc246997112"/>
      <w:bookmarkStart w:id="257" w:name="_Toc246996369"/>
      <w:bookmarkStart w:id="258" w:name="_Toc447827058"/>
      <w:bookmarkStart w:id="259" w:name="_Toc247085887"/>
      <w:bookmarkStart w:id="260" w:name="_Toc144974871"/>
      <w:r>
        <w:rPr>
          <w:rFonts w:hint="eastAsia" w:ascii="宋体" w:hAnsi="宋体" w:eastAsia="宋体" w:cs="宋体"/>
          <w:sz w:val="28"/>
          <w:highlight w:val="none"/>
          <w:lang w:val="en-US" w:eastAsia="zh-CN"/>
        </w:rPr>
        <w:t>四</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5"/>
        <w:spacing w:before="0" w:after="0" w:line="360" w:lineRule="auto"/>
        <w:jc w:val="center"/>
        <w:rPr>
          <w:sz w:val="28"/>
          <w:szCs w:val="28"/>
        </w:rPr>
      </w:pPr>
      <w:r>
        <w:rPr>
          <w:rFonts w:hint="eastAsia"/>
          <w:sz w:val="28"/>
          <w:szCs w:val="28"/>
          <w:lang w:eastAsia="zh-CN"/>
        </w:rPr>
        <w:t>（</w:t>
      </w:r>
      <w:r>
        <w:rPr>
          <w:rFonts w:hint="eastAsia"/>
          <w:sz w:val="28"/>
          <w:szCs w:val="28"/>
          <w:lang w:val="en-US" w:eastAsia="zh-CN"/>
        </w:rPr>
        <w:t>一</w:t>
      </w:r>
      <w:r>
        <w:rPr>
          <w:rFonts w:hint="eastAsia"/>
          <w:sz w:val="28"/>
          <w:szCs w:val="28"/>
          <w:lang w:eastAsia="zh-CN"/>
        </w:rPr>
        <w:t>）</w:t>
      </w:r>
      <w:r>
        <w:rPr>
          <w:rFonts w:hint="eastAsia"/>
          <w:sz w:val="28"/>
          <w:szCs w:val="28"/>
        </w:rPr>
        <w:t>报价人基本信息表</w:t>
      </w:r>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w:t>
            </w:r>
            <w:r>
              <w:rPr>
                <w:rFonts w:hint="eastAsia" w:ascii="宋体" w:hAnsi="宋体" w:cs="宋体"/>
                <w:color w:val="000000"/>
                <w:szCs w:val="21"/>
                <w:lang w:val="en-US" w:eastAsia="zh-CN"/>
              </w:rPr>
              <w:t xml:space="preserve"> </w:t>
            </w:r>
            <w:r>
              <w:rPr>
                <w:rFonts w:hint="eastAsia" w:ascii="宋体" w:hAnsi="宋体" w:cs="宋体"/>
                <w:color w:val="000000"/>
                <w:szCs w:val="21"/>
              </w:rPr>
              <w:t>月</w:t>
            </w:r>
            <w:r>
              <w:rPr>
                <w:rFonts w:hint="eastAsia" w:ascii="宋体" w:hAnsi="宋体" w:cs="宋体"/>
                <w:color w:val="000000"/>
                <w:szCs w:val="21"/>
                <w:lang w:val="en-US" w:eastAsia="zh-CN"/>
              </w:rPr>
              <w:t xml:space="preserve"> </w:t>
            </w:r>
            <w:r>
              <w:rPr>
                <w:rFonts w:hint="eastAsia" w:ascii="宋体" w:hAnsi="宋体" w:cs="宋体"/>
                <w:color w:val="000000"/>
                <w:szCs w:val="21"/>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both"/>
        <w:rPr>
          <w:rFonts w:hint="eastAsia" w:ascii="宋体" w:hAnsi="宋体" w:cs="宋体"/>
          <w:sz w:val="28"/>
          <w:highlight w:val="none"/>
          <w:lang w:eastAsia="zh-CN"/>
        </w:rPr>
      </w:pPr>
    </w:p>
    <w:p>
      <w:pPr>
        <w:rPr>
          <w:rFonts w:hint="eastAsia"/>
          <w:lang w:eastAsia="zh-CN"/>
        </w:rPr>
      </w:pPr>
    </w:p>
    <w:p>
      <w:pPr>
        <w:pStyle w:val="5"/>
        <w:numPr>
          <w:ilvl w:val="0"/>
          <w:numId w:val="6"/>
        </w:numPr>
        <w:jc w:val="center"/>
        <w:rPr>
          <w:rFonts w:hint="eastAsia"/>
          <w:lang w:val="en-US" w:eastAsia="zh-CN"/>
        </w:rPr>
      </w:pPr>
      <w:r>
        <w:rPr>
          <w:rFonts w:hint="eastAsia" w:ascii="宋体" w:hAnsi="宋体" w:cs="宋体"/>
          <w:sz w:val="28"/>
          <w:highlight w:val="none"/>
          <w:lang w:val="en-US" w:eastAsia="zh-CN"/>
        </w:rPr>
        <w:t>基本材料</w:t>
      </w:r>
    </w:p>
    <w:p>
      <w:pPr>
        <w:spacing w:line="400" w:lineRule="exact"/>
        <w:ind w:firstLine="480" w:firstLineChars="200"/>
        <w:rPr>
          <w:rFonts w:hint="eastAsia"/>
          <w:lang w:val="en-US" w:eastAsia="zh-CN"/>
        </w:rPr>
      </w:pPr>
      <w:r>
        <w:rPr>
          <w:rFonts w:hint="eastAsia" w:ascii="宋体" w:hAnsi="宋体" w:cs="宋体"/>
          <w:b w:val="0"/>
          <w:bCs w:val="0"/>
          <w:kern w:val="0"/>
          <w:sz w:val="24"/>
          <w:szCs w:val="24"/>
          <w:highlight w:val="none"/>
          <w:lang w:val="en-US" w:eastAsia="zh-CN" w:bidi="ar-SA"/>
        </w:rPr>
        <w:t>1.</w:t>
      </w:r>
      <w:r>
        <w:rPr>
          <w:rFonts w:hint="eastAsia" w:ascii="宋体" w:hAnsi="宋体" w:eastAsia="宋体" w:cs="宋体"/>
          <w:b w:val="0"/>
          <w:bCs w:val="0"/>
          <w:kern w:val="0"/>
          <w:sz w:val="24"/>
          <w:szCs w:val="24"/>
          <w:highlight w:val="none"/>
          <w:lang w:val="en-US" w:eastAsia="zh-CN" w:bidi="ar-SA"/>
        </w:rPr>
        <w:t>报价人具有</w:t>
      </w:r>
      <w:r>
        <w:rPr>
          <w:rFonts w:hint="eastAsia" w:ascii="宋体" w:hAnsi="宋体" w:eastAsia="宋体" w:cs="宋体"/>
          <w:b w:val="0"/>
          <w:bCs w:val="0"/>
          <w:kern w:val="0"/>
          <w:sz w:val="24"/>
          <w:szCs w:val="24"/>
          <w:highlight w:val="none"/>
          <w:lang w:val="en-US" w:eastAsia="zh-CN" w:bidi="ar-SA"/>
        </w:rPr>
        <w:tab/>
      </w:r>
      <w:r>
        <w:rPr>
          <w:rFonts w:hint="eastAsia" w:ascii="宋体" w:hAnsi="宋体" w:eastAsia="宋体" w:cs="宋体"/>
          <w:b w:val="0"/>
          <w:bCs w:val="0"/>
          <w:kern w:val="0"/>
          <w:sz w:val="24"/>
          <w:szCs w:val="24"/>
          <w:highlight w:val="none"/>
          <w:lang w:val="en-US" w:eastAsia="zh-CN" w:bidi="ar-SA"/>
        </w:rPr>
        <w:t>独立法人资格，有效营业执照。</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注：提供营业执照扫描件并加盖公章。</w:t>
      </w:r>
    </w:p>
    <w:p>
      <w:pPr>
        <w:rPr>
          <w:rFonts w:hint="eastAsia"/>
          <w:lang w:val="en-US" w:eastAsia="zh-CN"/>
        </w:rPr>
      </w:pPr>
    </w:p>
    <w:p>
      <w:pPr>
        <w:numPr>
          <w:ilvl w:val="0"/>
          <w:numId w:val="7"/>
        </w:numPr>
        <w:spacing w:line="400" w:lineRule="exact"/>
        <w:ind w:firstLine="480" w:firstLineChars="200"/>
        <w:rPr>
          <w:rFonts w:hint="eastAsia" w:ascii="宋体" w:hAnsi="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报价人具有需为具有华为生产厂家出具项目授权的代理商。</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注：提供</w:t>
      </w:r>
      <w:r>
        <w:rPr>
          <w:rFonts w:hint="eastAsia" w:ascii="宋体" w:hAnsi="宋体" w:eastAsia="宋体" w:cs="宋体"/>
          <w:b w:val="0"/>
          <w:bCs w:val="0"/>
          <w:kern w:val="0"/>
          <w:sz w:val="24"/>
          <w:szCs w:val="24"/>
          <w:highlight w:val="none"/>
          <w:lang w:val="en-US" w:eastAsia="zh-CN" w:bidi="ar-SA"/>
        </w:rPr>
        <w:t>华为生产厂家出具的</w:t>
      </w:r>
      <w:r>
        <w:rPr>
          <w:rFonts w:hint="eastAsia" w:ascii="宋体" w:hAnsi="宋体" w:eastAsia="宋体" w:cs="宋体"/>
          <w:b w:val="0"/>
          <w:bCs w:val="0"/>
          <w:sz w:val="24"/>
          <w:szCs w:val="24"/>
          <w:highlight w:val="none"/>
          <w:lang w:val="en-US" w:eastAsia="zh-CN"/>
        </w:rPr>
        <w:t>项目授权书并加盖报价人公章。</w:t>
      </w:r>
    </w:p>
    <w:p>
      <w:pPr>
        <w:pStyle w:val="2"/>
        <w:numPr>
          <w:ilvl w:val="0"/>
          <w:numId w:val="0"/>
        </w:numPr>
        <w:rPr>
          <w:rFonts w:hint="eastAsia"/>
          <w:lang w:val="en-US"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leftChars="0" w:firstLine="482" w:firstLineChars="200"/>
        <w:jc w:val="left"/>
        <w:textAlignment w:val="auto"/>
        <w:rPr>
          <w:rFonts w:hint="eastAsia"/>
          <w:sz w:val="24"/>
          <w:szCs w:val="24"/>
        </w:rPr>
      </w:pPr>
      <w:r>
        <w:rPr>
          <w:rFonts w:hint="eastAsia" w:ascii="宋体" w:hAnsi="宋体" w:eastAsia="宋体" w:cs="宋体"/>
          <w:sz w:val="24"/>
          <w:szCs w:val="24"/>
          <w:highlight w:val="none"/>
        </w:rPr>
        <w:br w:type="page"/>
      </w:r>
      <w:bookmarkEnd w:id="250"/>
      <w:bookmarkEnd w:id="251"/>
      <w:bookmarkEnd w:id="252"/>
    </w:p>
    <w:p>
      <w:pPr>
        <w:pStyle w:val="5"/>
        <w:numPr>
          <w:ilvl w:val="0"/>
          <w:numId w:val="6"/>
        </w:numPr>
        <w:jc w:val="center"/>
        <w:rPr>
          <w:rFonts w:hint="eastAsia" w:ascii="宋体" w:hAnsi="宋体" w:cs="宋体"/>
          <w:b/>
          <w:szCs w:val="21"/>
          <w:highlight w:val="none"/>
        </w:rPr>
      </w:pPr>
      <w:r>
        <w:rPr>
          <w:rFonts w:hint="eastAsia" w:ascii="宋体" w:hAnsi="宋体" w:cs="宋体"/>
          <w:sz w:val="28"/>
          <w:highlight w:val="none"/>
          <w:lang w:val="en-US" w:eastAsia="zh-CN"/>
        </w:rPr>
        <w:t>人员资料</w:t>
      </w:r>
    </w:p>
    <w:bookmarkEnd w:id="253"/>
    <w:bookmarkEnd w:id="254"/>
    <w:bookmarkEnd w:id="255"/>
    <w:bookmarkEnd w:id="256"/>
    <w:bookmarkEnd w:id="257"/>
    <w:bookmarkEnd w:id="258"/>
    <w:bookmarkEnd w:id="259"/>
    <w:bookmarkEnd w:id="260"/>
    <w:p>
      <w:pPr>
        <w:pStyle w:val="5"/>
        <w:numPr>
          <w:ilvl w:val="0"/>
          <w:numId w:val="0"/>
        </w:numPr>
        <w:jc w:val="both"/>
        <w:rPr>
          <w:rFonts w:hint="eastAsia" w:ascii="宋体" w:hAnsi="宋体" w:cs="宋体"/>
          <w:b/>
          <w:szCs w:val="21"/>
          <w:highlight w:val="none"/>
        </w:rPr>
      </w:pPr>
      <w:r>
        <w:rPr>
          <w:rFonts w:hint="eastAsia" w:ascii="宋体" w:hAnsi="宋体" w:cs="宋体"/>
          <w:sz w:val="28"/>
          <w:highlight w:val="none"/>
          <w:lang w:val="en-US" w:eastAsia="zh-CN"/>
        </w:rPr>
        <w:t>业绩资料</w:t>
      </w:r>
    </w:p>
    <w:p>
      <w:pPr>
        <w:spacing w:line="400" w:lineRule="exact"/>
        <w:ind w:firstLine="480" w:firstLineChars="200"/>
        <w:rPr>
          <w:rFonts w:hint="eastAsia" w:ascii="宋体" w:hAnsi="宋体" w:cs="宋体"/>
          <w:szCs w:val="21"/>
          <w:highlight w:val="none"/>
          <w:shd w:val="clear" w:color="auto" w:fill="FFFFFF"/>
          <w:lang w:val="en-US" w:eastAsia="zh-CN"/>
        </w:rPr>
      </w:pPr>
      <w:r>
        <w:rPr>
          <w:rFonts w:hint="eastAsia" w:ascii="宋体" w:hAnsi="宋体" w:eastAsia="宋体" w:cs="宋体"/>
          <w:b w:val="0"/>
          <w:bCs w:val="0"/>
          <w:sz w:val="24"/>
          <w:szCs w:val="28"/>
          <w:highlight w:val="none"/>
        </w:rPr>
        <w:t>业绩要求：</w:t>
      </w:r>
      <w:r>
        <w:rPr>
          <w:rFonts w:hint="eastAsia" w:ascii="宋体" w:hAnsi="宋体" w:eastAsia="宋体" w:cs="宋体"/>
          <w:b w:val="0"/>
          <w:bCs w:val="0"/>
          <w:sz w:val="24"/>
          <w:szCs w:val="28"/>
          <w:highlight w:val="none"/>
          <w:lang w:val="en-US" w:eastAsia="zh-CN"/>
        </w:rPr>
        <w:tab/>
      </w:r>
      <w:r>
        <w:rPr>
          <w:rFonts w:hint="eastAsia" w:ascii="宋体" w:hAnsi="宋体" w:eastAsia="宋体" w:cs="宋体"/>
          <w:b w:val="0"/>
          <w:bCs w:val="0"/>
          <w:sz w:val="24"/>
          <w:szCs w:val="28"/>
          <w:highlight w:val="none"/>
          <w:lang w:val="en-US" w:eastAsia="zh-CN"/>
        </w:rPr>
        <w:tab/>
      </w:r>
      <w:r>
        <w:rPr>
          <w:rFonts w:hint="eastAsia" w:ascii="宋体" w:hAnsi="宋体" w:eastAsia="宋体" w:cs="宋体"/>
          <w:b w:val="0"/>
          <w:bCs w:val="0"/>
          <w:sz w:val="24"/>
          <w:szCs w:val="28"/>
          <w:highlight w:val="none"/>
          <w:lang w:val="en-US" w:eastAsia="zh-CN"/>
        </w:rPr>
        <w:tab/>
      </w:r>
      <w:r>
        <w:rPr>
          <w:rFonts w:hint="eastAsia" w:ascii="宋体" w:hAnsi="宋体" w:eastAsia="宋体" w:cs="宋体"/>
          <w:b w:val="0"/>
          <w:bCs w:val="0"/>
          <w:sz w:val="24"/>
          <w:szCs w:val="28"/>
          <w:highlight w:val="none"/>
          <w:lang w:val="en-US" w:eastAsia="zh-CN"/>
        </w:rPr>
        <w:t>2022年1月1日至报价截止日期（以合同签订时间为准）至少承担一项交换机或网络安全设备维护或销售业绩。</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8"/>
          <w:highlight w:val="none"/>
          <w:lang w:val="en-US" w:eastAsia="zh-CN"/>
        </w:rPr>
      </w:pP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32"/>
          <w:lang w:val="en-US" w:eastAsia="zh-CN"/>
        </w:rPr>
      </w:pPr>
      <w:r>
        <w:rPr>
          <w:rFonts w:hint="eastAsia" w:ascii="宋体" w:hAnsi="宋体" w:cs="宋体"/>
          <w:b w:val="0"/>
          <w:bCs w:val="0"/>
          <w:sz w:val="24"/>
          <w:szCs w:val="28"/>
          <w:highlight w:val="none"/>
          <w:lang w:val="en-US" w:eastAsia="zh-CN"/>
        </w:rPr>
        <w:t>注：须提供合同复印件或关键页，关键页包括但不限于合同首尾页、签章页、金额金额，关键页需能充分体现以上业绩要求各项要素。提供有关资料，加盖报价单位鲜公章。不满足上述业绩要求的业绩视为无效。</w:t>
      </w: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rPr>
          <w:rFonts w:hint="eastAsia"/>
          <w:highlight w:val="none"/>
        </w:rPr>
      </w:pPr>
    </w:p>
    <w:p>
      <w:pPr>
        <w:pStyle w:val="17"/>
        <w:rPr>
          <w:rFonts w:hint="eastAsia"/>
          <w:highlight w:val="none"/>
        </w:rPr>
      </w:pPr>
    </w:p>
    <w:p>
      <w:pPr>
        <w:pStyle w:val="4"/>
        <w:spacing w:before="0" w:after="0" w:line="360" w:lineRule="auto"/>
        <w:jc w:val="center"/>
        <w:rPr>
          <w:rFonts w:hint="eastAsia" w:ascii="宋体" w:hAnsi="宋体" w:eastAsia="宋体" w:cs="宋体"/>
          <w:sz w:val="28"/>
        </w:rPr>
      </w:pPr>
      <w:bookmarkStart w:id="261" w:name="_Toc503951058"/>
      <w:bookmarkStart w:id="262" w:name="_Toc513633974"/>
      <w:r>
        <w:rPr>
          <w:rFonts w:hint="eastAsia" w:ascii="宋体" w:hAnsi="宋体" w:eastAsia="宋体" w:cs="宋体"/>
          <w:sz w:val="28"/>
        </w:rPr>
        <w:t>五、报价人承诺</w:t>
      </w:r>
    </w:p>
    <w:p>
      <w:pPr>
        <w:pStyle w:val="2"/>
        <w:keepNext w:val="0"/>
        <w:keepLines w:val="0"/>
        <w:widowControl w:val="0"/>
        <w:suppressLineNumbers w:val="0"/>
        <w:spacing w:before="0" w:beforeAutospacing="1" w:after="120" w:afterAutospacing="0"/>
        <w:ind w:left="0" w:right="0"/>
        <w:jc w:val="both"/>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bidi="ar"/>
        </w:rPr>
        <w:t xml:space="preserve"> </w:t>
      </w:r>
    </w:p>
    <w:p>
      <w:pPr>
        <w:pStyle w:val="38"/>
        <w:keepNext w:val="0"/>
        <w:keepLines w:val="0"/>
        <w:pageBreakBefore w:val="0"/>
        <w:widowControl w:val="0"/>
        <w:kinsoku/>
        <w:wordWrap/>
        <w:overflowPunct/>
        <w:topLinePunct w:val="0"/>
        <w:bidi w:val="0"/>
        <w:spacing w:line="480" w:lineRule="auto"/>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u w:val="single"/>
          <w:lang w:eastAsia="zh-CN"/>
        </w:rPr>
        <w:t>重庆首讯科技股份有限公司</w:t>
      </w:r>
    </w:p>
    <w:p>
      <w:pPr>
        <w:rPr>
          <w:rFonts w:hint="eastAsia" w:ascii="宋体" w:hAnsi="宋体" w:eastAsia="宋体" w:cs="宋体"/>
          <w:sz w:val="24"/>
          <w:szCs w:val="24"/>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在研究</w:t>
      </w:r>
      <w:r>
        <w:rPr>
          <w:rFonts w:hint="eastAsia" w:ascii="宋体" w:hAnsi="宋体" w:cs="宋体"/>
          <w:color w:val="000000"/>
          <w:sz w:val="24"/>
          <w:szCs w:val="24"/>
          <w:highlight w:val="none"/>
          <w:lang w:val="en-US" w:eastAsia="zh-CN"/>
        </w:rPr>
        <w:t>2025年2月-12月总中心华为交换机及网络安全设备维护采购</w:t>
      </w:r>
      <w:r>
        <w:rPr>
          <w:rFonts w:hint="eastAsia" w:ascii="宋体" w:hAnsi="宋体" w:eastAsia="宋体" w:cs="宋体"/>
          <w:color w:val="000000"/>
          <w:sz w:val="24"/>
          <w:szCs w:val="24"/>
          <w:highlight w:val="none"/>
          <w:lang w:val="en-US" w:eastAsia="zh-CN"/>
        </w:rPr>
        <w:t>竞争性比选文件后，在此郑重承诺我司满足本项目一切报价内容、报价及服务期限等相关要求，</w:t>
      </w:r>
      <w:r>
        <w:rPr>
          <w:rFonts w:hint="eastAsia" w:ascii="宋体" w:hAnsi="宋体" w:cs="宋体"/>
          <w:color w:val="000000"/>
          <w:sz w:val="24"/>
          <w:szCs w:val="24"/>
          <w:highlight w:val="none"/>
          <w:lang w:val="en-US" w:eastAsia="zh-CN"/>
        </w:rPr>
        <w:t>承诺提供采购人所需服务，</w:t>
      </w:r>
      <w:r>
        <w:rPr>
          <w:rFonts w:hint="eastAsia" w:ascii="宋体" w:hAnsi="宋体" w:eastAsia="宋体" w:cs="宋体"/>
          <w:color w:val="000000"/>
          <w:sz w:val="24"/>
          <w:szCs w:val="24"/>
          <w:highlight w:val="none"/>
          <w:lang w:val="en-US" w:eastAsia="zh-CN"/>
        </w:rPr>
        <w:t>响应</w:t>
      </w:r>
      <w:r>
        <w:rPr>
          <w:rFonts w:hint="eastAsia" w:ascii="宋体" w:hAnsi="宋体" w:cs="宋体"/>
          <w:color w:val="000000"/>
          <w:sz w:val="24"/>
          <w:szCs w:val="24"/>
          <w:highlight w:val="none"/>
          <w:lang w:val="en-US" w:eastAsia="zh-CN"/>
        </w:rPr>
        <w:t>竞争性</w:t>
      </w:r>
      <w:r>
        <w:rPr>
          <w:rFonts w:hint="eastAsia" w:ascii="宋体" w:hAnsi="宋体" w:eastAsia="宋体" w:cs="宋体"/>
          <w:color w:val="000000"/>
          <w:sz w:val="24"/>
          <w:szCs w:val="24"/>
          <w:highlight w:val="none"/>
          <w:lang w:val="en-US" w:eastAsia="zh-CN"/>
        </w:rPr>
        <w:t>比选</w:t>
      </w:r>
      <w:r>
        <w:rPr>
          <w:rFonts w:hint="eastAsia" w:ascii="宋体" w:hAnsi="宋体" w:cs="宋体"/>
          <w:color w:val="000000"/>
          <w:sz w:val="24"/>
          <w:szCs w:val="24"/>
          <w:highlight w:val="none"/>
          <w:lang w:val="en-US" w:eastAsia="zh-CN"/>
        </w:rPr>
        <w:t>文件</w:t>
      </w:r>
      <w:r>
        <w:rPr>
          <w:rFonts w:hint="eastAsia" w:ascii="宋体" w:hAnsi="宋体" w:eastAsia="宋体" w:cs="宋体"/>
          <w:color w:val="000000"/>
          <w:sz w:val="24"/>
          <w:szCs w:val="24"/>
          <w:highlight w:val="none"/>
          <w:lang w:val="en-US" w:eastAsia="zh-CN"/>
        </w:rPr>
        <w:t>的一切内容。若我司中标本项目且无法满足业主相关需求，我司愿承担由此给采购人造成的一切损失。</w:t>
      </w:r>
      <w:r>
        <w:rPr>
          <w:rFonts w:hint="eastAsia" w:ascii="宋体" w:hAnsi="宋体" w:cs="宋体"/>
          <w:color w:val="000000"/>
          <w:sz w:val="24"/>
          <w:szCs w:val="24"/>
          <w:highlight w:val="none"/>
          <w:lang w:val="en-US" w:eastAsia="zh-CN"/>
        </w:rPr>
        <w:t>同时承诺以下内容：</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1、在收到中标通知书后，在中标通知书规定的期限内与你方签订合同；</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2、在签订合同时不向你方提出附加条件；</w:t>
      </w:r>
    </w:p>
    <w:p>
      <w:pPr>
        <w:keepNext w:val="0"/>
        <w:keepLines w:val="0"/>
        <w:widowControl w:val="0"/>
        <w:suppressLineNumbers w:val="0"/>
        <w:autoSpaceDE w:val="0"/>
        <w:autoSpaceDN w:val="0"/>
        <w:adjustRightInd w:val="0"/>
        <w:snapToGrid w:val="0"/>
        <w:spacing w:before="0" w:beforeAutospacing="0" w:after="0" w:afterAutospacing="0" w:line="480" w:lineRule="auto"/>
        <w:ind w:left="0" w:right="0" w:firstLine="480" w:firstLineChars="200"/>
        <w:jc w:val="both"/>
        <w:rPr>
          <w:rFonts w:hint="eastAsia" w:ascii="宋体" w:hAnsi="宋体" w:eastAsia="宋体" w:cs="宋体"/>
          <w:color w:val="000000"/>
          <w:kern w:val="2"/>
          <w:sz w:val="24"/>
          <w:szCs w:val="24"/>
          <w:highlight w:val="none"/>
          <w:u w:val="none"/>
          <w:lang w:val="en-US" w:eastAsia="zh-CN" w:bidi="ar"/>
        </w:rPr>
      </w:pPr>
      <w:r>
        <w:rPr>
          <w:rFonts w:hint="eastAsia" w:ascii="宋体" w:hAnsi="宋体" w:eastAsia="宋体" w:cs="宋体"/>
          <w:color w:val="000000"/>
          <w:kern w:val="2"/>
          <w:sz w:val="24"/>
          <w:szCs w:val="24"/>
          <w:highlight w:val="none"/>
          <w:u w:val="none"/>
          <w:lang w:val="en-US" w:eastAsia="zh-CN" w:bidi="ar"/>
        </w:rPr>
        <w:t>3、在合同约定的期限内完成合同规定的全部义务。</w:t>
      </w:r>
    </w:p>
    <w:p>
      <w:pPr>
        <w:pStyle w:val="17"/>
        <w:keepNext w:val="0"/>
        <w:keepLines w:val="0"/>
        <w:pageBreakBefore w:val="0"/>
        <w:widowControl w:val="0"/>
        <w:kinsoku/>
        <w:wordWrap/>
        <w:overflowPunct/>
        <w:topLinePunct w:val="0"/>
        <w:bidi w:val="0"/>
        <w:spacing w:line="480" w:lineRule="auto"/>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报价</w:t>
      </w:r>
      <w:r>
        <w:rPr>
          <w:rFonts w:hint="eastAsia" w:ascii="宋体" w:hAnsi="宋体" w:eastAsia="宋体" w:cs="宋体"/>
          <w:color w:val="000000"/>
          <w:sz w:val="24"/>
          <w:szCs w:val="24"/>
          <w:highlight w:val="none"/>
          <w:lang w:val="en-US" w:eastAsia="zh-CN"/>
        </w:rPr>
        <w:t>人：</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（盖单位公章）</w:t>
      </w:r>
    </w:p>
    <w:bookmarkEnd w:id="261"/>
    <w:bookmarkEnd w:id="262"/>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rFonts w:hint="eastAsia" w:ascii="宋体" w:hAnsi="宋体" w:eastAsia="宋体" w:cs="宋体"/>
          <w:sz w:val="28"/>
          <w:highlight w:val="none"/>
          <w:lang w:val="en-US" w:eastAsia="zh-CN"/>
        </w:rPr>
      </w:pPr>
      <w:r>
        <w:rPr>
          <w:rFonts w:hint="eastAsia" w:ascii="宋体" w:hAnsi="宋体" w:eastAsia="宋体" w:cs="宋体"/>
          <w:sz w:val="28"/>
          <w:highlight w:val="none"/>
          <w:lang w:val="en-US" w:eastAsia="zh-CN"/>
        </w:rPr>
        <w:br w:type="page"/>
      </w:r>
    </w:p>
    <w:p>
      <w:pPr>
        <w:autoSpaceDE w:val="0"/>
        <w:autoSpaceDN w:val="0"/>
        <w:adjustRightInd w:val="0"/>
        <w:snapToGrid w:val="0"/>
        <w:spacing w:line="360" w:lineRule="auto"/>
        <w:jc w:val="center"/>
        <w:rPr>
          <w:rFonts w:hint="eastAsia" w:ascii="宋体" w:hAnsi="宋体" w:eastAsia="宋体" w:cs="宋体"/>
          <w:b/>
          <w:bCs/>
          <w:kern w:val="0"/>
          <w:sz w:val="28"/>
          <w:szCs w:val="32"/>
          <w:highlight w:val="none"/>
          <w:lang w:val="en-US" w:eastAsia="zh-CN" w:bidi="ar-SA"/>
        </w:rPr>
      </w:pPr>
      <w:r>
        <w:rPr>
          <w:rFonts w:hint="eastAsia" w:ascii="宋体" w:hAnsi="宋体" w:eastAsia="宋体" w:cs="宋体"/>
          <w:b/>
          <w:bCs/>
          <w:kern w:val="0"/>
          <w:sz w:val="28"/>
          <w:szCs w:val="32"/>
          <w:highlight w:val="none"/>
          <w:lang w:val="en-US" w:eastAsia="zh-CN" w:bidi="ar-SA"/>
        </w:rPr>
        <w:t>六、低价风险担保提交承诺书（如有）</w:t>
      </w:r>
    </w:p>
    <w:p>
      <w:pPr>
        <w:rPr>
          <w:color w:val="auto"/>
          <w:highlight w:val="none"/>
        </w:rPr>
      </w:pPr>
    </w:p>
    <w:p>
      <w:pPr>
        <w:autoSpaceDE w:val="0"/>
        <w:autoSpaceDN w:val="0"/>
        <w:adjustRightInd w:val="0"/>
        <w:snapToGrid w:val="0"/>
        <w:spacing w:line="360" w:lineRule="auto"/>
        <w:jc w:val="center"/>
        <w:rPr>
          <w:rFonts w:ascii="宋体" w:hAnsi="宋体"/>
          <w:snapToGrid w:val="0"/>
          <w:color w:val="auto"/>
          <w:kern w:val="0"/>
          <w:sz w:val="32"/>
          <w:szCs w:val="32"/>
          <w:highlight w:val="none"/>
        </w:rPr>
      </w:pPr>
      <w:r>
        <w:rPr>
          <w:rFonts w:hint="eastAsia" w:ascii="宋体" w:hAnsi="宋体"/>
          <w:snapToGrid w:val="0"/>
          <w:color w:val="auto"/>
          <w:kern w:val="0"/>
          <w:sz w:val="32"/>
          <w:szCs w:val="32"/>
          <w:highlight w:val="none"/>
        </w:rPr>
        <w:t>（报价低于项目最高限价的85%时采用）</w:t>
      </w:r>
    </w:p>
    <w:p>
      <w:pPr>
        <w:autoSpaceDE w:val="0"/>
        <w:autoSpaceDN w:val="0"/>
        <w:adjustRightInd w:val="0"/>
        <w:snapToGrid w:val="0"/>
        <w:spacing w:line="360" w:lineRule="auto"/>
        <w:jc w:val="center"/>
        <w:rPr>
          <w:rFonts w:ascii="宋体" w:hAnsi="宋体"/>
          <w:snapToGrid w:val="0"/>
          <w:color w:val="auto"/>
          <w:kern w:val="0"/>
          <w:sz w:val="32"/>
          <w:szCs w:val="32"/>
          <w:highlight w:val="none"/>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采购</w:t>
      </w:r>
      <w:r>
        <w:rPr>
          <w:rFonts w:hint="eastAsia" w:ascii="宋体" w:hAnsi="宋体" w:eastAsia="宋体" w:cs="宋体"/>
          <w:color w:val="000000"/>
          <w:sz w:val="24"/>
          <w:szCs w:val="24"/>
          <w:highlight w:val="none"/>
          <w:lang w:val="en-US" w:eastAsia="zh-CN"/>
        </w:rPr>
        <w:t>人名称）：</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        （报价人名称）参加了你单位        （项目名称）的投标。我公司投标报价低于最高限价的85%，若获得中选资格，我公司承诺按照竞争性比选文件的规定递交低价风险担保。同时，我公司已落实低价风险担保的提交方案，承诺如采用保函形式提交低价风险担保，保函的格式和内容符合招标文件的要求。否则，我公司愿承担竞争性比选文件中约定的，因未按规定递交低价风险担保的相应责任。</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特此承诺。</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报价人：     （盖单位公章）</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righ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年    月    日</w:t>
      </w:r>
    </w:p>
    <w:p>
      <w:pPr>
        <w:rPr>
          <w:color w:val="auto"/>
          <w:highlight w:val="none"/>
        </w:rPr>
      </w:pPr>
    </w:p>
    <w:p>
      <w:pPr>
        <w:rPr>
          <w:rFonts w:hint="eastAsia"/>
          <w:highlight w:val="none"/>
          <w:lang w:eastAsia="zh-CN"/>
        </w:rPr>
      </w:pPr>
      <w:r>
        <w:rPr>
          <w:rFonts w:hint="eastAsia"/>
          <w:highlight w:val="none"/>
          <w:lang w:eastAsia="zh-CN"/>
        </w:rPr>
        <w:br w:type="page"/>
      </w:r>
    </w:p>
    <w:p>
      <w:pPr>
        <w:pStyle w:val="2"/>
        <w:rPr>
          <w:rFonts w:hint="eastAsia"/>
          <w:lang w:eastAsia="zh-CN"/>
        </w:rPr>
      </w:pPr>
    </w:p>
    <w:p>
      <w:pPr>
        <w:pStyle w:val="4"/>
        <w:spacing w:before="0" w:after="0" w:line="360" w:lineRule="auto"/>
        <w:jc w:val="center"/>
        <w:rPr>
          <w:rFonts w:hint="eastAsia" w:ascii="宋体" w:hAnsi="宋体" w:eastAsia="宋体" w:cs="宋体"/>
          <w:sz w:val="28"/>
          <w:highlight w:val="none"/>
          <w:lang w:val="en-US" w:eastAsia="zh-CN"/>
        </w:rPr>
      </w:pPr>
      <w:r>
        <w:rPr>
          <w:rFonts w:hint="eastAsia" w:ascii="宋体" w:hAnsi="宋体" w:eastAsia="宋体" w:cs="宋体"/>
          <w:b/>
          <w:bCs/>
          <w:kern w:val="0"/>
          <w:sz w:val="28"/>
          <w:szCs w:val="32"/>
          <w:highlight w:val="none"/>
          <w:lang w:val="en-US" w:eastAsia="zh-CN" w:bidi="ar-SA"/>
        </w:rPr>
        <w:t>七、</w:t>
      </w:r>
      <w:r>
        <w:rPr>
          <w:rFonts w:hint="eastAsia" w:ascii="宋体" w:hAnsi="宋体" w:eastAsia="宋体" w:cs="宋体"/>
          <w:sz w:val="28"/>
          <w:highlight w:val="none"/>
          <w:lang w:val="en-US" w:eastAsia="zh-CN"/>
        </w:rPr>
        <w:t>其他</w:t>
      </w:r>
    </w:p>
    <w:p>
      <w:pPr>
        <w:keepNext w:val="0"/>
        <w:keepLines w:val="0"/>
        <w:pageBreakBefore w:val="0"/>
        <w:widowControl w:val="0"/>
        <w:numPr>
          <w:ilvl w:val="0"/>
          <w:numId w:val="0"/>
        </w:numPr>
        <w:tabs>
          <w:tab w:val="left" w:pos="1680"/>
          <w:tab w:val="left" w:pos="4215"/>
          <w:tab w:val="left" w:pos="4305"/>
          <w:tab w:val="left" w:pos="8000"/>
        </w:tabs>
        <w:kinsoku/>
        <w:wordWrap/>
        <w:overflowPunct/>
        <w:topLinePunct w:val="0"/>
        <w:autoSpaceDE w:val="0"/>
        <w:autoSpaceDN w:val="0"/>
        <w:bidi w:val="0"/>
        <w:adjustRightInd w:val="0"/>
        <w:snapToGrid w:val="0"/>
        <w:spacing w:line="480" w:lineRule="auto"/>
        <w:ind w:firstLine="720" w:firstLineChars="30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如有。</w:t>
      </w: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3C7D9C61-AED7-43F5-B183-FD3D0D310906}"/>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0"/>
    <w:family w:val="auto"/>
    <w:pitch w:val="default"/>
    <w:sig w:usb0="00000000" w:usb1="00000000" w:usb2="00000000" w:usb3="00000000" w:csb0="80000000" w:csb1="00000000"/>
    <w:embedRegular r:id="rId2" w:fontKey="{E884E5AF-875D-4830-87A6-C2BC1E94FEC6}"/>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B0653"/>
    <w:multiLevelType w:val="singleLevel"/>
    <w:tmpl w:val="D71B0653"/>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CCDB24E"/>
    <w:multiLevelType w:val="singleLevel"/>
    <w:tmpl w:val="0CCDB24E"/>
    <w:lvl w:ilvl="0" w:tentative="0">
      <w:start w:val="2"/>
      <w:numFmt w:val="chineseCounting"/>
      <w:suff w:val="nothing"/>
      <w:lvlText w:val="%1、"/>
      <w:lvlJc w:val="left"/>
      <w:rPr>
        <w:rFonts w:hint="eastAsia"/>
      </w:rPr>
    </w:lvl>
  </w:abstractNum>
  <w:abstractNum w:abstractNumId="3">
    <w:nsid w:val="0DD75B47"/>
    <w:multiLevelType w:val="singleLevel"/>
    <w:tmpl w:val="0DD75B47"/>
    <w:lvl w:ilvl="0" w:tentative="0">
      <w:start w:val="5"/>
      <w:numFmt w:val="chineseCounting"/>
      <w:suff w:val="space"/>
      <w:lvlText w:val="第%1章"/>
      <w:lvlJc w:val="left"/>
      <w:rPr>
        <w:rFonts w:hint="eastAsia"/>
      </w:rPr>
    </w:lvl>
  </w:abstractNum>
  <w:abstractNum w:abstractNumId="4">
    <w:nsid w:val="3871CE1D"/>
    <w:multiLevelType w:val="singleLevel"/>
    <w:tmpl w:val="3871CE1D"/>
    <w:lvl w:ilvl="0" w:tentative="0">
      <w:start w:val="1"/>
      <w:numFmt w:val="chineseCounting"/>
      <w:suff w:val="nothing"/>
      <w:lvlText w:val="%1、"/>
      <w:lvlJc w:val="left"/>
      <w:rPr>
        <w:rFonts w:hint="eastAsia"/>
      </w:rPr>
    </w:lvl>
  </w:abstractNum>
  <w:abstractNum w:abstractNumId="5">
    <w:nsid w:val="388F96AE"/>
    <w:multiLevelType w:val="singleLevel"/>
    <w:tmpl w:val="388F96AE"/>
    <w:lvl w:ilvl="0" w:tentative="0">
      <w:start w:val="2"/>
      <w:numFmt w:val="decimal"/>
      <w:lvlText w:val="%1."/>
      <w:lvlJc w:val="left"/>
      <w:pPr>
        <w:tabs>
          <w:tab w:val="left" w:pos="312"/>
        </w:tabs>
      </w:pPr>
    </w:lvl>
  </w:abstractNum>
  <w:abstractNum w:abstractNumId="6">
    <w:nsid w:val="511A757A"/>
    <w:multiLevelType w:val="singleLevel"/>
    <w:tmpl w:val="511A757A"/>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jYmZhZDM3NGJmNGU0ZTQ0ZTdlMzcxNDk2MGJhMjA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3046"/>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1A1794"/>
    <w:rsid w:val="037D0CD2"/>
    <w:rsid w:val="038B3366"/>
    <w:rsid w:val="03981B5E"/>
    <w:rsid w:val="03996EAD"/>
    <w:rsid w:val="03F60BFA"/>
    <w:rsid w:val="04023CC8"/>
    <w:rsid w:val="042674F4"/>
    <w:rsid w:val="042D3C13"/>
    <w:rsid w:val="046D61FC"/>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B59B5"/>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BA632B"/>
    <w:rsid w:val="0FFF5930"/>
    <w:rsid w:val="108465A8"/>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0409B"/>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B71B1D"/>
    <w:rsid w:val="15E63361"/>
    <w:rsid w:val="160B0227"/>
    <w:rsid w:val="16864176"/>
    <w:rsid w:val="16E04880"/>
    <w:rsid w:val="16F86032"/>
    <w:rsid w:val="17081A7A"/>
    <w:rsid w:val="17292C0C"/>
    <w:rsid w:val="176F50FE"/>
    <w:rsid w:val="1798574C"/>
    <w:rsid w:val="17D10049"/>
    <w:rsid w:val="17DD0B49"/>
    <w:rsid w:val="17F1563C"/>
    <w:rsid w:val="17F23C73"/>
    <w:rsid w:val="180F3B80"/>
    <w:rsid w:val="181B1411"/>
    <w:rsid w:val="181C1400"/>
    <w:rsid w:val="18223BBF"/>
    <w:rsid w:val="18406E44"/>
    <w:rsid w:val="185C1918"/>
    <w:rsid w:val="1880349D"/>
    <w:rsid w:val="18D435BC"/>
    <w:rsid w:val="18E261BC"/>
    <w:rsid w:val="18F8081B"/>
    <w:rsid w:val="19193365"/>
    <w:rsid w:val="19261639"/>
    <w:rsid w:val="19302FAE"/>
    <w:rsid w:val="195D5C0E"/>
    <w:rsid w:val="19B64CC2"/>
    <w:rsid w:val="19BA69A5"/>
    <w:rsid w:val="19DF6D3F"/>
    <w:rsid w:val="19E24459"/>
    <w:rsid w:val="1A305FF4"/>
    <w:rsid w:val="1A3D7EBE"/>
    <w:rsid w:val="1A4353A0"/>
    <w:rsid w:val="1A557489"/>
    <w:rsid w:val="1AF45443"/>
    <w:rsid w:val="1AFB11A4"/>
    <w:rsid w:val="1B075A0C"/>
    <w:rsid w:val="1B67066F"/>
    <w:rsid w:val="1B7229E4"/>
    <w:rsid w:val="1B7A5EC7"/>
    <w:rsid w:val="1B8E5EC0"/>
    <w:rsid w:val="1CB33990"/>
    <w:rsid w:val="1CF6260F"/>
    <w:rsid w:val="1CF83AEA"/>
    <w:rsid w:val="1CF911FC"/>
    <w:rsid w:val="1D140F94"/>
    <w:rsid w:val="1D6914D5"/>
    <w:rsid w:val="1D7C7A22"/>
    <w:rsid w:val="1D7E09CF"/>
    <w:rsid w:val="1D9D3AF3"/>
    <w:rsid w:val="1D9F1A69"/>
    <w:rsid w:val="1DE41480"/>
    <w:rsid w:val="1E2139B7"/>
    <w:rsid w:val="1E611358"/>
    <w:rsid w:val="1E7A14A8"/>
    <w:rsid w:val="1E7F32B0"/>
    <w:rsid w:val="1EBA058B"/>
    <w:rsid w:val="1EBB622E"/>
    <w:rsid w:val="1EE25F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1531"/>
    <w:rsid w:val="219A6D4B"/>
    <w:rsid w:val="21C2735E"/>
    <w:rsid w:val="21E57FA3"/>
    <w:rsid w:val="21FB5A74"/>
    <w:rsid w:val="226827C0"/>
    <w:rsid w:val="227C6EFF"/>
    <w:rsid w:val="228A10DC"/>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4EA11A8"/>
    <w:rsid w:val="251418FC"/>
    <w:rsid w:val="25A845B3"/>
    <w:rsid w:val="25EB71B7"/>
    <w:rsid w:val="26154215"/>
    <w:rsid w:val="261A0BE6"/>
    <w:rsid w:val="263C7691"/>
    <w:rsid w:val="265E2776"/>
    <w:rsid w:val="26666FDC"/>
    <w:rsid w:val="26AB763C"/>
    <w:rsid w:val="26B267E7"/>
    <w:rsid w:val="26E12091"/>
    <w:rsid w:val="26F131DC"/>
    <w:rsid w:val="26F65310"/>
    <w:rsid w:val="27052D05"/>
    <w:rsid w:val="27082804"/>
    <w:rsid w:val="270832AE"/>
    <w:rsid w:val="27357F9F"/>
    <w:rsid w:val="275F5FDE"/>
    <w:rsid w:val="27A4553F"/>
    <w:rsid w:val="27D35135"/>
    <w:rsid w:val="27EF1935"/>
    <w:rsid w:val="280A1B75"/>
    <w:rsid w:val="28273E1D"/>
    <w:rsid w:val="283962F8"/>
    <w:rsid w:val="287A36F4"/>
    <w:rsid w:val="288458E7"/>
    <w:rsid w:val="289E5740"/>
    <w:rsid w:val="28A33A20"/>
    <w:rsid w:val="28A47F17"/>
    <w:rsid w:val="290212C1"/>
    <w:rsid w:val="290D5ED8"/>
    <w:rsid w:val="29656DCE"/>
    <w:rsid w:val="298B4B23"/>
    <w:rsid w:val="29B71FDB"/>
    <w:rsid w:val="29CF18DD"/>
    <w:rsid w:val="29D65D23"/>
    <w:rsid w:val="29D875FE"/>
    <w:rsid w:val="2A0B100E"/>
    <w:rsid w:val="2A194E5D"/>
    <w:rsid w:val="2A21554B"/>
    <w:rsid w:val="2A594BC2"/>
    <w:rsid w:val="2A9F7561"/>
    <w:rsid w:val="2AA90FA0"/>
    <w:rsid w:val="2AB31CE2"/>
    <w:rsid w:val="2AB55266"/>
    <w:rsid w:val="2AEE35C9"/>
    <w:rsid w:val="2B487382"/>
    <w:rsid w:val="2B552F60"/>
    <w:rsid w:val="2B7841A6"/>
    <w:rsid w:val="2B7915CB"/>
    <w:rsid w:val="2BB367B9"/>
    <w:rsid w:val="2BBA33A9"/>
    <w:rsid w:val="2C13380B"/>
    <w:rsid w:val="2C184D47"/>
    <w:rsid w:val="2C796A89"/>
    <w:rsid w:val="2C9203B4"/>
    <w:rsid w:val="2CBD3A96"/>
    <w:rsid w:val="2CC74339"/>
    <w:rsid w:val="2CCC23F7"/>
    <w:rsid w:val="2CCE1414"/>
    <w:rsid w:val="2CF93ABF"/>
    <w:rsid w:val="2D09758D"/>
    <w:rsid w:val="2D1E27A3"/>
    <w:rsid w:val="2D394FF5"/>
    <w:rsid w:val="2D766528"/>
    <w:rsid w:val="2D83203C"/>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18389A"/>
    <w:rsid w:val="316B2857"/>
    <w:rsid w:val="31832D29"/>
    <w:rsid w:val="319D5339"/>
    <w:rsid w:val="319F2F47"/>
    <w:rsid w:val="31D20CDE"/>
    <w:rsid w:val="31F37E23"/>
    <w:rsid w:val="31FE689A"/>
    <w:rsid w:val="32223DC6"/>
    <w:rsid w:val="325A02A1"/>
    <w:rsid w:val="32894C60"/>
    <w:rsid w:val="329032EF"/>
    <w:rsid w:val="329970EF"/>
    <w:rsid w:val="32B35AAA"/>
    <w:rsid w:val="33135210"/>
    <w:rsid w:val="3326373F"/>
    <w:rsid w:val="334459AC"/>
    <w:rsid w:val="33705A64"/>
    <w:rsid w:val="33A055AF"/>
    <w:rsid w:val="33A51E80"/>
    <w:rsid w:val="33A557F0"/>
    <w:rsid w:val="33EE589E"/>
    <w:rsid w:val="340329A9"/>
    <w:rsid w:val="342645AD"/>
    <w:rsid w:val="342B057B"/>
    <w:rsid w:val="34335C8F"/>
    <w:rsid w:val="34617CD8"/>
    <w:rsid w:val="34753860"/>
    <w:rsid w:val="34A61339"/>
    <w:rsid w:val="34CC3006"/>
    <w:rsid w:val="34F3793E"/>
    <w:rsid w:val="35574E9C"/>
    <w:rsid w:val="356848D7"/>
    <w:rsid w:val="35712E34"/>
    <w:rsid w:val="35ED793B"/>
    <w:rsid w:val="35F84740"/>
    <w:rsid w:val="36383125"/>
    <w:rsid w:val="366C082D"/>
    <w:rsid w:val="368C388A"/>
    <w:rsid w:val="36C90DD1"/>
    <w:rsid w:val="374634AB"/>
    <w:rsid w:val="37704489"/>
    <w:rsid w:val="37710026"/>
    <w:rsid w:val="37925427"/>
    <w:rsid w:val="37A55DCC"/>
    <w:rsid w:val="37CA04FF"/>
    <w:rsid w:val="37D30771"/>
    <w:rsid w:val="37EC0BB8"/>
    <w:rsid w:val="38DD7694"/>
    <w:rsid w:val="39366B6E"/>
    <w:rsid w:val="394C68A5"/>
    <w:rsid w:val="395E479A"/>
    <w:rsid w:val="39675804"/>
    <w:rsid w:val="39A36C2D"/>
    <w:rsid w:val="39AA29B9"/>
    <w:rsid w:val="39E71AEC"/>
    <w:rsid w:val="39F60058"/>
    <w:rsid w:val="3A104089"/>
    <w:rsid w:val="3A8217DE"/>
    <w:rsid w:val="3A822B01"/>
    <w:rsid w:val="3A8D457C"/>
    <w:rsid w:val="3AB8426E"/>
    <w:rsid w:val="3ACF765C"/>
    <w:rsid w:val="3AD278CD"/>
    <w:rsid w:val="3AFA4BE5"/>
    <w:rsid w:val="3B2A44B8"/>
    <w:rsid w:val="3B2B6476"/>
    <w:rsid w:val="3BBC038E"/>
    <w:rsid w:val="3BFE3F02"/>
    <w:rsid w:val="3C2972FD"/>
    <w:rsid w:val="3C476DC4"/>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E67BB5"/>
    <w:rsid w:val="3EF65530"/>
    <w:rsid w:val="3EF9D3F1"/>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2F55A5"/>
    <w:rsid w:val="416C142E"/>
    <w:rsid w:val="41FD121E"/>
    <w:rsid w:val="421A7627"/>
    <w:rsid w:val="4233112B"/>
    <w:rsid w:val="42401E98"/>
    <w:rsid w:val="42872311"/>
    <w:rsid w:val="428B5762"/>
    <w:rsid w:val="42D47C2B"/>
    <w:rsid w:val="42DA32B5"/>
    <w:rsid w:val="433543AC"/>
    <w:rsid w:val="43420FE8"/>
    <w:rsid w:val="434513F0"/>
    <w:rsid w:val="43702851"/>
    <w:rsid w:val="43841C03"/>
    <w:rsid w:val="43CA4F48"/>
    <w:rsid w:val="44036E4B"/>
    <w:rsid w:val="4424604A"/>
    <w:rsid w:val="442967DE"/>
    <w:rsid w:val="445014AB"/>
    <w:rsid w:val="44617F49"/>
    <w:rsid w:val="44CE660D"/>
    <w:rsid w:val="454F0B76"/>
    <w:rsid w:val="45795008"/>
    <w:rsid w:val="4579514B"/>
    <w:rsid w:val="457E2BBE"/>
    <w:rsid w:val="457F72E8"/>
    <w:rsid w:val="45A1746C"/>
    <w:rsid w:val="45C456EA"/>
    <w:rsid w:val="45DE083B"/>
    <w:rsid w:val="45E076C0"/>
    <w:rsid w:val="45F36067"/>
    <w:rsid w:val="460C0745"/>
    <w:rsid w:val="46123556"/>
    <w:rsid w:val="463122D8"/>
    <w:rsid w:val="4632053D"/>
    <w:rsid w:val="46577675"/>
    <w:rsid w:val="4662415A"/>
    <w:rsid w:val="4662498C"/>
    <w:rsid w:val="466851C0"/>
    <w:rsid w:val="46A022D9"/>
    <w:rsid w:val="46A9554B"/>
    <w:rsid w:val="46B21457"/>
    <w:rsid w:val="46BE1A6C"/>
    <w:rsid w:val="46BE6647"/>
    <w:rsid w:val="46EE3897"/>
    <w:rsid w:val="471B3499"/>
    <w:rsid w:val="4730142A"/>
    <w:rsid w:val="476C4D46"/>
    <w:rsid w:val="478E4BD2"/>
    <w:rsid w:val="47B13E7A"/>
    <w:rsid w:val="47DD756D"/>
    <w:rsid w:val="48037A8A"/>
    <w:rsid w:val="48377D23"/>
    <w:rsid w:val="486634EE"/>
    <w:rsid w:val="48807890"/>
    <w:rsid w:val="48A64B98"/>
    <w:rsid w:val="48BC156D"/>
    <w:rsid w:val="48F765BE"/>
    <w:rsid w:val="490445F2"/>
    <w:rsid w:val="490935A0"/>
    <w:rsid w:val="49320F23"/>
    <w:rsid w:val="49DD73AE"/>
    <w:rsid w:val="49F95BD6"/>
    <w:rsid w:val="4AA73240"/>
    <w:rsid w:val="4AB72272"/>
    <w:rsid w:val="4AD703A4"/>
    <w:rsid w:val="4B305E1B"/>
    <w:rsid w:val="4BB92D8E"/>
    <w:rsid w:val="4BD07B58"/>
    <w:rsid w:val="4BE87BA5"/>
    <w:rsid w:val="4C3176AB"/>
    <w:rsid w:val="4C415DC1"/>
    <w:rsid w:val="4C6E278E"/>
    <w:rsid w:val="4CFF538B"/>
    <w:rsid w:val="4D1F3BC5"/>
    <w:rsid w:val="4D4D7800"/>
    <w:rsid w:val="4D7251FF"/>
    <w:rsid w:val="4DE50C0B"/>
    <w:rsid w:val="4E11105D"/>
    <w:rsid w:val="4E16225A"/>
    <w:rsid w:val="4E253AB8"/>
    <w:rsid w:val="4E472C92"/>
    <w:rsid w:val="4E824D97"/>
    <w:rsid w:val="4E9D5C2D"/>
    <w:rsid w:val="4EBA57C1"/>
    <w:rsid w:val="4F047E0A"/>
    <w:rsid w:val="4F477F24"/>
    <w:rsid w:val="4F9863D6"/>
    <w:rsid w:val="4FA91AAC"/>
    <w:rsid w:val="4FBD0FF5"/>
    <w:rsid w:val="4FC854D7"/>
    <w:rsid w:val="50142DE1"/>
    <w:rsid w:val="5015687B"/>
    <w:rsid w:val="501926CA"/>
    <w:rsid w:val="503109FF"/>
    <w:rsid w:val="505E3D68"/>
    <w:rsid w:val="50BD7558"/>
    <w:rsid w:val="50D13748"/>
    <w:rsid w:val="515245C0"/>
    <w:rsid w:val="516A440A"/>
    <w:rsid w:val="518F1AAB"/>
    <w:rsid w:val="51BA5A6F"/>
    <w:rsid w:val="51C42E16"/>
    <w:rsid w:val="52024ABF"/>
    <w:rsid w:val="525351F4"/>
    <w:rsid w:val="525A6FBC"/>
    <w:rsid w:val="526C0997"/>
    <w:rsid w:val="52855A65"/>
    <w:rsid w:val="52DC4B00"/>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6F5440"/>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A716104"/>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EFE5025"/>
    <w:rsid w:val="5F3815EE"/>
    <w:rsid w:val="5F5C32D6"/>
    <w:rsid w:val="5FA92D9F"/>
    <w:rsid w:val="5FAC2DE4"/>
    <w:rsid w:val="5FB10E83"/>
    <w:rsid w:val="600E788A"/>
    <w:rsid w:val="6011673F"/>
    <w:rsid w:val="60176E46"/>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0772E"/>
    <w:rsid w:val="66653739"/>
    <w:rsid w:val="666C4EE6"/>
    <w:rsid w:val="66792487"/>
    <w:rsid w:val="66CC1F8B"/>
    <w:rsid w:val="66FB0FDC"/>
    <w:rsid w:val="66FC5AFF"/>
    <w:rsid w:val="6709462E"/>
    <w:rsid w:val="6777196F"/>
    <w:rsid w:val="677A6D77"/>
    <w:rsid w:val="678A1ED0"/>
    <w:rsid w:val="67AB61F8"/>
    <w:rsid w:val="67BA7741"/>
    <w:rsid w:val="67E6170C"/>
    <w:rsid w:val="680D0CA5"/>
    <w:rsid w:val="68463EED"/>
    <w:rsid w:val="688E5F84"/>
    <w:rsid w:val="68A45648"/>
    <w:rsid w:val="68A5668C"/>
    <w:rsid w:val="68D27297"/>
    <w:rsid w:val="6911241F"/>
    <w:rsid w:val="69901C30"/>
    <w:rsid w:val="699C1F2D"/>
    <w:rsid w:val="69B67115"/>
    <w:rsid w:val="69B82DF4"/>
    <w:rsid w:val="69DB6795"/>
    <w:rsid w:val="69EF53B4"/>
    <w:rsid w:val="6A126DD2"/>
    <w:rsid w:val="6A420E56"/>
    <w:rsid w:val="6A8A330A"/>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AE084F"/>
    <w:rsid w:val="6CDD0DD0"/>
    <w:rsid w:val="6CFA7DB1"/>
    <w:rsid w:val="6D0127E4"/>
    <w:rsid w:val="6D135E16"/>
    <w:rsid w:val="6D1C168A"/>
    <w:rsid w:val="6D347A31"/>
    <w:rsid w:val="6D3668DD"/>
    <w:rsid w:val="6D471CAB"/>
    <w:rsid w:val="6DAC0977"/>
    <w:rsid w:val="6DB941BD"/>
    <w:rsid w:val="6DC43F89"/>
    <w:rsid w:val="6DC60F63"/>
    <w:rsid w:val="6E195C1B"/>
    <w:rsid w:val="6E4C770B"/>
    <w:rsid w:val="6E5F1098"/>
    <w:rsid w:val="6E6F2793"/>
    <w:rsid w:val="6E703D8E"/>
    <w:rsid w:val="6E84323D"/>
    <w:rsid w:val="6E942A76"/>
    <w:rsid w:val="6EA41FA2"/>
    <w:rsid w:val="6EB44AD4"/>
    <w:rsid w:val="6EF2F120"/>
    <w:rsid w:val="6F313FE8"/>
    <w:rsid w:val="6F381CAC"/>
    <w:rsid w:val="6F6128C1"/>
    <w:rsid w:val="6F9C6902"/>
    <w:rsid w:val="6FA0729C"/>
    <w:rsid w:val="6FEF4FB0"/>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CE62CA"/>
    <w:rsid w:val="74DE73F5"/>
    <w:rsid w:val="75071D59"/>
    <w:rsid w:val="751E77AF"/>
    <w:rsid w:val="75D07F8B"/>
    <w:rsid w:val="75EE5669"/>
    <w:rsid w:val="76957051"/>
    <w:rsid w:val="76BD4232"/>
    <w:rsid w:val="76C10199"/>
    <w:rsid w:val="76C57BCB"/>
    <w:rsid w:val="76F927CD"/>
    <w:rsid w:val="773B2934"/>
    <w:rsid w:val="773E064E"/>
    <w:rsid w:val="774E1211"/>
    <w:rsid w:val="777B71D8"/>
    <w:rsid w:val="77915382"/>
    <w:rsid w:val="77A54D53"/>
    <w:rsid w:val="77D75F2B"/>
    <w:rsid w:val="77FC6767"/>
    <w:rsid w:val="781A0BEC"/>
    <w:rsid w:val="78202415"/>
    <w:rsid w:val="78213FC9"/>
    <w:rsid w:val="78701D9C"/>
    <w:rsid w:val="788F7F9B"/>
    <w:rsid w:val="78FA0671"/>
    <w:rsid w:val="78FF170C"/>
    <w:rsid w:val="793A634F"/>
    <w:rsid w:val="79616ECE"/>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B877C3"/>
    <w:rsid w:val="7BD52290"/>
    <w:rsid w:val="7BD568A0"/>
    <w:rsid w:val="7BEF4EB5"/>
    <w:rsid w:val="7BF20E1E"/>
    <w:rsid w:val="7C5728ED"/>
    <w:rsid w:val="7C9408F4"/>
    <w:rsid w:val="7C9C0928"/>
    <w:rsid w:val="7CB83597"/>
    <w:rsid w:val="7CB90CC2"/>
    <w:rsid w:val="7CFB2CE9"/>
    <w:rsid w:val="7D0C34C4"/>
    <w:rsid w:val="7D212CA5"/>
    <w:rsid w:val="7D255EE2"/>
    <w:rsid w:val="7D293184"/>
    <w:rsid w:val="7D43645B"/>
    <w:rsid w:val="7D4B3EE6"/>
    <w:rsid w:val="7D6112EF"/>
    <w:rsid w:val="7D68620F"/>
    <w:rsid w:val="7D69777E"/>
    <w:rsid w:val="7D927DC0"/>
    <w:rsid w:val="7DB34706"/>
    <w:rsid w:val="7DD76CA0"/>
    <w:rsid w:val="7E1A0A9F"/>
    <w:rsid w:val="7E3C401A"/>
    <w:rsid w:val="7E641213"/>
    <w:rsid w:val="7EE33139"/>
    <w:rsid w:val="7EF34773"/>
    <w:rsid w:val="7F0D08DC"/>
    <w:rsid w:val="7F173D26"/>
    <w:rsid w:val="7F3A5791"/>
    <w:rsid w:val="7F5DC674"/>
    <w:rsid w:val="7F666017"/>
    <w:rsid w:val="7F6D5D85"/>
    <w:rsid w:val="7F714EE5"/>
    <w:rsid w:val="7F7F2734"/>
    <w:rsid w:val="7FA63F96"/>
    <w:rsid w:val="7FB9287C"/>
    <w:rsid w:val="7FCC47FD"/>
    <w:rsid w:val="7FD31973"/>
    <w:rsid w:val="7FE15B01"/>
    <w:rsid w:val="7FFA3A11"/>
    <w:rsid w:val="7FFB1B6E"/>
    <w:rsid w:val="C5DB1ABC"/>
    <w:rsid w:val="DDDB8AE3"/>
    <w:rsid w:val="FFB965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2">
    <w:name w:val="Normal (Web)"/>
    <w:basedOn w:val="1"/>
    <w:next w:val="1"/>
    <w:qFormat/>
    <w:uiPriority w:val="99"/>
    <w:pPr>
      <w:widowControl/>
      <w:spacing w:before="100" w:beforeAutospacing="1" w:after="100" w:afterAutospacing="1"/>
      <w:jc w:val="left"/>
    </w:pPr>
    <w:rPr>
      <w:rFonts w:ascii="宋体" w:hAnsi="宋体" w:cs="宋体"/>
      <w:kern w:val="0"/>
      <w:sz w:val="24"/>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next w:val="1"/>
    <w:link w:val="63"/>
    <w:qFormat/>
    <w:uiPriority w:val="0"/>
    <w:pPr>
      <w:spacing w:after="120"/>
    </w:pPr>
    <w:rPr>
      <w:kern w:val="0"/>
      <w:sz w:val="20"/>
    </w:rPr>
  </w:style>
  <w:style w:type="paragraph" w:styleId="18">
    <w:name w:val="Body Text Indent"/>
    <w:basedOn w:val="1"/>
    <w:next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4"/>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4"/>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8"/>
    <w:unhideWhenUsed/>
    <w:qFormat/>
    <w:uiPriority w:val="0"/>
    <w:pPr>
      <w:ind w:firstLine="420"/>
    </w:p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Char"/>
    <w:link w:val="5"/>
    <w:qFormat/>
    <w:uiPriority w:val="0"/>
    <w:rPr>
      <w:rFonts w:ascii="Times New Roman" w:hAnsi="Times New Roman" w:eastAsia="宋体" w:cs="Times New Roman"/>
      <w:b/>
      <w:bCs/>
      <w:sz w:val="32"/>
      <w:szCs w:val="32"/>
    </w:rPr>
  </w:style>
  <w:style w:type="character" w:customStyle="1" w:styleId="56">
    <w:name w:val="批注文字 Char1"/>
    <w:link w:val="15"/>
    <w:semiHidden/>
    <w:qFormat/>
    <w:uiPriority w:val="99"/>
    <w:rPr>
      <w:rFonts w:ascii="Times New Roman" w:hAnsi="Times New Roman" w:eastAsia="宋体" w:cs="Times New Roman"/>
      <w:szCs w:val="24"/>
    </w:rPr>
  </w:style>
  <w:style w:type="character" w:customStyle="1" w:styleId="57">
    <w:name w:val="标题 6 Char"/>
    <w:link w:val="7"/>
    <w:qFormat/>
    <w:uiPriority w:val="0"/>
    <w:rPr>
      <w:rFonts w:ascii="Arial" w:hAnsi="Arial" w:eastAsia="黑体" w:cs="Times New Roman"/>
      <w:b/>
      <w:bCs/>
      <w:kern w:val="0"/>
      <w:sz w:val="24"/>
      <w:szCs w:val="24"/>
    </w:rPr>
  </w:style>
  <w:style w:type="character" w:customStyle="1" w:styleId="58">
    <w:name w:val=" 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Char"/>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Char"/>
    <w:link w:val="17"/>
    <w:qFormat/>
    <w:uiPriority w:val="0"/>
    <w:rPr>
      <w:rFonts w:eastAsia="宋体"/>
      <w:szCs w:val="24"/>
    </w:rPr>
  </w:style>
  <w:style w:type="character" w:customStyle="1" w:styleId="64">
    <w:name w:val="脚注文本 Char"/>
    <w:link w:val="31"/>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Char"/>
    <w:link w:val="40"/>
    <w:qFormat/>
    <w:uiPriority w:val="0"/>
    <w:rPr>
      <w:rFonts w:ascii="Times New Roman" w:hAnsi="Times New Roman" w:eastAsia="宋体" w:cs="Times New Roman"/>
      <w:b/>
      <w:bCs/>
      <w:szCs w:val="24"/>
    </w:rPr>
  </w:style>
  <w:style w:type="character" w:customStyle="1" w:styleId="67">
    <w:name w:val="正文缩进 Char"/>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Char"/>
    <w:link w:val="28"/>
    <w:qFormat/>
    <w:uiPriority w:val="0"/>
    <w:rPr>
      <w:rFonts w:ascii="Times New Roman" w:hAnsi="Times New Roman" w:eastAsia="宋体" w:cs="Times New Roman"/>
      <w:sz w:val="18"/>
      <w:szCs w:val="18"/>
    </w:rPr>
  </w:style>
  <w:style w:type="character" w:customStyle="1" w:styleId="71">
    <w:name w:val="标题 9 Char"/>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Char"/>
    <w:link w:val="18"/>
    <w:qFormat/>
    <w:uiPriority w:val="0"/>
    <w:rPr>
      <w:szCs w:val="24"/>
    </w:rPr>
  </w:style>
  <w:style w:type="character" w:customStyle="1" w:styleId="74">
    <w:name w:val="文档结构图 Char"/>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Char"/>
    <w:link w:val="4"/>
    <w:qFormat/>
    <w:uiPriority w:val="0"/>
    <w:rPr>
      <w:rFonts w:ascii="Arial" w:hAnsi="Arial" w:eastAsia="黑体" w:cs="Times New Roman"/>
      <w:b/>
      <w:bCs/>
      <w:sz w:val="32"/>
      <w:szCs w:val="32"/>
    </w:rPr>
  </w:style>
  <w:style w:type="character" w:customStyle="1" w:styleId="77">
    <w:name w:val="标题 Char"/>
    <w:link w:val="39"/>
    <w:qFormat/>
    <w:uiPriority w:val="0"/>
    <w:rPr>
      <w:rFonts w:ascii="Arial" w:hAnsi="Arial"/>
      <w:b/>
      <w:sz w:val="32"/>
    </w:rPr>
  </w:style>
  <w:style w:type="character" w:customStyle="1" w:styleId="78">
    <w:name w:val="批注框文本 Char"/>
    <w:link w:val="26"/>
    <w:qFormat/>
    <w:uiPriority w:val="0"/>
    <w:rPr>
      <w:rFonts w:ascii="Times New Roman" w:hAnsi="Times New Roman" w:eastAsia="宋体" w:cs="Times New Roman"/>
      <w:sz w:val="18"/>
      <w:szCs w:val="18"/>
    </w:rPr>
  </w:style>
  <w:style w:type="character" w:customStyle="1" w:styleId="79">
    <w:name w:val="标题 8 Char"/>
    <w:link w:val="9"/>
    <w:qFormat/>
    <w:uiPriority w:val="0"/>
    <w:rPr>
      <w:rFonts w:ascii="Arial" w:hAnsi="Arial" w:eastAsia="黑体" w:cs="Times New Roman"/>
      <w:kern w:val="0"/>
      <w:sz w:val="24"/>
      <w:szCs w:val="24"/>
    </w:rPr>
  </w:style>
  <w:style w:type="character" w:customStyle="1" w:styleId="80">
    <w:name w:val="日期 Char"/>
    <w:link w:val="24"/>
    <w:qFormat/>
    <w:uiPriority w:val="0"/>
    <w:rPr>
      <w:rFonts w:ascii="Times New Roman" w:hAnsi="Times New Roman" w:eastAsia="宋体" w:cs="Times New Roman"/>
      <w:sz w:val="24"/>
      <w:szCs w:val="20"/>
    </w:rPr>
  </w:style>
  <w:style w:type="character" w:customStyle="1" w:styleId="81">
    <w:name w:val="标题 1 Char"/>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Char"/>
    <w:link w:val="33"/>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 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 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Char"/>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Char"/>
    <w:link w:val="27"/>
    <w:qFormat/>
    <w:uiPriority w:val="99"/>
    <w:rPr>
      <w:sz w:val="18"/>
      <w:szCs w:val="18"/>
    </w:rPr>
  </w:style>
  <w:style w:type="character" w:customStyle="1" w:styleId="93">
    <w:name w:val=" Char Char7"/>
    <w:qFormat/>
    <w:uiPriority w:val="0"/>
    <w:rPr>
      <w:rFonts w:ascii="Arial" w:hAnsi="Arial" w:eastAsia="黑体"/>
      <w:b/>
      <w:bCs/>
      <w:kern w:val="2"/>
      <w:sz w:val="32"/>
      <w:szCs w:val="32"/>
      <w:lang w:val="en-US" w:eastAsia="zh-CN" w:bidi="ar-SA"/>
    </w:rPr>
  </w:style>
  <w:style w:type="character" w:customStyle="1" w:styleId="94">
    <w:name w:val="HTML 预设格式 Char"/>
    <w:link w:val="37"/>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Char"/>
    <w:link w:val="22"/>
    <w:qFormat/>
    <w:uiPriority w:val="99"/>
    <w:rPr>
      <w:rFonts w:ascii="Courier New" w:hAnsi="Courier New"/>
    </w:rPr>
  </w:style>
  <w:style w:type="character" w:customStyle="1" w:styleId="97">
    <w:name w:val="标题 7 Char"/>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 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List Paragraph"/>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character" w:customStyle="1" w:styleId="167">
    <w:name w:val="font21"/>
    <w:basedOn w:val="44"/>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34</Pages>
  <Words>11270</Words>
  <Characters>11696</Characters>
  <Lines>397</Lines>
  <Paragraphs>112</Paragraphs>
  <TotalTime>1</TotalTime>
  <ScaleCrop>false</ScaleCrop>
  <LinksUpToDate>false</LinksUpToDate>
  <CharactersWithSpaces>12659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2020-04-29T16:16:00Z</dcterms:created>
  <dc:creator>陈桂兰</dc:creator>
  <cp:lastModifiedBy>蒋淇</cp:lastModifiedBy>
  <cp:lastPrinted>2022-06-07T02:51:00Z</cp:lastPrinted>
  <dcterms:modified xsi:type="dcterms:W3CDTF">2025-01-16T07:14:42Z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CA9229BF7F204DA08DD95BC61990121B</vt:lpwstr>
  </property>
</Properties>
</file>