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项目名称：巫云开高速公路项目巫溪至开州段机电工程项目车道检测服务采购</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 xml:space="preserve">5 </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 xml:space="preserve"> 01 </w:t>
      </w:r>
      <w:r>
        <w:rPr>
          <w:rFonts w:hint="eastAsia" w:ascii="宋体" w:hAnsi="宋体" w:cs="宋体"/>
          <w:b/>
          <w:sz w:val="28"/>
          <w:szCs w:val="28"/>
          <w:highlight w:val="none"/>
        </w:rPr>
        <w:t>月</w:t>
      </w:r>
    </w:p>
    <w:p>
      <w:pPr>
        <w:pStyle w:val="29"/>
        <w:jc w:val="center"/>
        <w:rPr>
          <w:rFonts w:ascii="宋体" w:hAnsi="宋体" w:cs="宋体"/>
          <w:szCs w:val="21"/>
          <w:highlight w:val="none"/>
        </w:rPr>
      </w:pPr>
      <w:r>
        <w:rPr>
          <w:highlight w:val="none"/>
        </w:rPr>
        <w:br w:type="page"/>
      </w:r>
      <w:bookmarkStart w:id="0" w:name="_Toc246996898"/>
      <w:bookmarkStart w:id="1" w:name="_Toc247085669"/>
      <w:bookmarkStart w:id="2" w:name="_Toc507319889"/>
      <w:bookmarkStart w:id="3" w:name="_Toc296602400"/>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_Toc16829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_Toc16829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_Toc32402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_Toc32402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_Toc17088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lang w:eastAsia="zh-CN"/>
        </w:rPr>
        <w:t>评审</w:t>
      </w:r>
      <w:r>
        <w:rPr>
          <w:rFonts w:hint="eastAsia" w:ascii="宋体" w:hAnsi="宋体" w:cs="宋体"/>
          <w:highlight w:val="none"/>
        </w:rPr>
        <w:t>办法</w:t>
      </w:r>
      <w:r>
        <w:rPr>
          <w:highlight w:val="none"/>
        </w:rPr>
        <w:tab/>
      </w:r>
      <w:r>
        <w:rPr>
          <w:highlight w:val="none"/>
        </w:rPr>
        <w:fldChar w:fldCharType="begin"/>
      </w:r>
      <w:r>
        <w:rPr>
          <w:highlight w:val="none"/>
        </w:rPr>
        <w:instrText xml:space="preserve"> PAGEREF _Toc17088 \h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_Toc4603 </w:instrText>
      </w:r>
      <w:r>
        <w:rPr>
          <w:rFonts w:hint="eastAsia" w:ascii="宋体" w:hAnsi="宋体" w:cs="宋体"/>
          <w:bCs/>
          <w:caps/>
          <w:highlight w:val="none"/>
        </w:rPr>
        <w:fldChar w:fldCharType="separate"/>
      </w:r>
      <w:r>
        <w:rPr>
          <w:rFonts w:hint="eastAsia" w:ascii="宋体" w:hAnsi="宋体" w:cs="宋体"/>
          <w:highlight w:val="none"/>
        </w:rPr>
        <w:t>第四章 报价说明</w:t>
      </w:r>
      <w:r>
        <w:rPr>
          <w:highlight w:val="none"/>
        </w:rPr>
        <w:tab/>
      </w:r>
      <w:r>
        <w:rPr>
          <w:highlight w:val="none"/>
        </w:rPr>
        <w:fldChar w:fldCharType="begin"/>
      </w:r>
      <w:r>
        <w:rPr>
          <w:highlight w:val="none"/>
        </w:rPr>
        <w:instrText xml:space="preserve"> PAGEREF _Toc4603 \h </w:instrText>
      </w:r>
      <w:r>
        <w:rPr>
          <w:highlight w:val="none"/>
        </w:rPr>
        <w:fldChar w:fldCharType="separate"/>
      </w:r>
      <w:r>
        <w:rPr>
          <w:highlight w:val="none"/>
        </w:rPr>
        <w:t>17</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_Toc9263 </w:instrText>
      </w:r>
      <w:r>
        <w:rPr>
          <w:rFonts w:hint="eastAsia" w:ascii="宋体" w:hAnsi="宋体" w:cs="宋体"/>
          <w:bCs/>
          <w:caps/>
          <w:highlight w:val="none"/>
        </w:rPr>
        <w:fldChar w:fldCharType="separate"/>
      </w:r>
      <w:r>
        <w:rPr>
          <w:rFonts w:hint="eastAsia" w:ascii="宋体" w:hAnsi="宋体" w:cs="宋体"/>
          <w:highlight w:val="none"/>
        </w:rPr>
        <w:t>第五章 采购清单</w:t>
      </w:r>
      <w:r>
        <w:rPr>
          <w:highlight w:val="none"/>
        </w:rPr>
        <w:tab/>
      </w:r>
      <w:r>
        <w:rPr>
          <w:highlight w:val="none"/>
        </w:rPr>
        <w:fldChar w:fldCharType="begin"/>
      </w:r>
      <w:r>
        <w:rPr>
          <w:highlight w:val="none"/>
        </w:rPr>
        <w:instrText xml:space="preserve"> PAGEREF _Toc9263 \h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_Toc25880 </w:instrText>
      </w:r>
      <w:r>
        <w:rPr>
          <w:rFonts w:hint="eastAsia" w:ascii="宋体" w:hAnsi="宋体" w:cs="宋体"/>
          <w:bCs/>
          <w:caps/>
          <w:highlight w:val="none"/>
        </w:rPr>
        <w:fldChar w:fldCharType="separate"/>
      </w:r>
      <w:r>
        <w:rPr>
          <w:rFonts w:hint="eastAsia" w:ascii="宋体" w:hAnsi="宋体" w:cs="宋体"/>
          <w:highlight w:val="none"/>
        </w:rPr>
        <w:t>第六章 技术标准</w:t>
      </w:r>
      <w:r>
        <w:rPr>
          <w:highlight w:val="none"/>
        </w:rPr>
        <w:tab/>
      </w:r>
      <w:r>
        <w:rPr>
          <w:highlight w:val="none"/>
        </w:rPr>
        <w:fldChar w:fldCharType="begin"/>
      </w:r>
      <w:r>
        <w:rPr>
          <w:highlight w:val="none"/>
        </w:rPr>
        <w:instrText xml:space="preserve"> PAGEREF _Toc25880 \h </w:instrText>
      </w:r>
      <w:r>
        <w:rPr>
          <w:highlight w:val="none"/>
        </w:rPr>
        <w:fldChar w:fldCharType="separate"/>
      </w:r>
      <w:r>
        <w:rPr>
          <w:highlight w:val="none"/>
        </w:rPr>
        <w:t>19</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_Toc8705 </w:instrText>
      </w:r>
      <w:r>
        <w:rPr>
          <w:rFonts w:hint="eastAsia" w:ascii="宋体" w:hAnsi="宋体" w:cs="宋体"/>
          <w:bCs/>
          <w:caps/>
          <w:highlight w:val="none"/>
        </w:rPr>
        <w:fldChar w:fldCharType="separate"/>
      </w:r>
      <w:r>
        <w:rPr>
          <w:rFonts w:hint="eastAsia"/>
          <w:highlight w:val="none"/>
        </w:rPr>
        <w:t xml:space="preserve">第七章 </w:t>
      </w:r>
      <w:r>
        <w:rPr>
          <w:rFonts w:hint="eastAsia" w:ascii="宋体" w:hAnsi="宋体" w:cs="宋体"/>
          <w:highlight w:val="none"/>
        </w:rPr>
        <w:t>合同范本</w:t>
      </w:r>
      <w:r>
        <w:rPr>
          <w:highlight w:val="none"/>
        </w:rPr>
        <w:tab/>
      </w:r>
      <w:r>
        <w:rPr>
          <w:highlight w:val="none"/>
        </w:rPr>
        <w:fldChar w:fldCharType="begin"/>
      </w:r>
      <w:r>
        <w:rPr>
          <w:highlight w:val="none"/>
        </w:rPr>
        <w:instrText xml:space="preserve"> PAGEREF _Toc8705 \h </w:instrText>
      </w:r>
      <w:r>
        <w:rPr>
          <w:highlight w:val="none"/>
        </w:rPr>
        <w:fldChar w:fldCharType="separate"/>
      </w:r>
      <w:r>
        <w:rPr>
          <w:highlight w:val="none"/>
        </w:rPr>
        <w:t>22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_Toc31175 </w:instrText>
      </w:r>
      <w:r>
        <w:rPr>
          <w:rFonts w:hint="eastAsia" w:ascii="宋体" w:hAnsi="宋体" w:cs="宋体"/>
          <w:bCs/>
          <w:caps/>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_Toc31175 \h </w:instrText>
      </w:r>
      <w:r>
        <w:rPr>
          <w:highlight w:val="none"/>
        </w:rPr>
        <w:fldChar w:fldCharType="separate"/>
      </w:r>
      <w:r>
        <w:rPr>
          <w:highlight w:val="none"/>
        </w:rPr>
        <w:t>23</w:t>
      </w:r>
      <w:r>
        <w:rPr>
          <w:highlight w:val="none"/>
        </w:rPr>
        <w:fldChar w:fldCharType="end"/>
      </w:r>
      <w:r>
        <w:rPr>
          <w:rFonts w:hint="eastAsia" w:ascii="宋体" w:hAnsi="宋体" w:cs="宋体"/>
          <w:bCs/>
          <w:caps/>
          <w:highlight w:val="none"/>
        </w:rPr>
        <w:fldChar w:fldCharType="end"/>
      </w:r>
    </w:p>
    <w:p>
      <w:pPr>
        <w:pStyle w:val="35"/>
        <w:tabs>
          <w:tab w:val="right" w:leader="dot" w:pos="9638"/>
        </w:tabs>
        <w:rPr>
          <w:highlight w:val="none"/>
        </w:rPr>
      </w:pPr>
    </w:p>
    <w:p>
      <w:pPr>
        <w:pStyle w:val="35"/>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2000404"/>
      <w:bookmarkStart w:id="6" w:name="_Toc247096243"/>
      <w:bookmarkStart w:id="7" w:name="_Toc152042287"/>
      <w:bookmarkStart w:id="8" w:name="_Toc152045511"/>
      <w:bookmarkStart w:id="9" w:name="_Toc179632527"/>
      <w:bookmarkStart w:id="10" w:name="_Toc507319890"/>
      <w:bookmarkStart w:id="11" w:name="_Toc247085671"/>
      <w:bookmarkStart w:id="12" w:name="_Toc246996900"/>
      <w:bookmarkStart w:id="13" w:name="_Toc246996157"/>
      <w:bookmarkStart w:id="14" w:name="_Toc144974479"/>
      <w:bookmarkStart w:id="15" w:name="_Toc16829"/>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2"/>
      <w:bookmarkStart w:id="17" w:name="OLE_LINK3"/>
    </w:p>
    <w:p>
      <w:pPr>
        <w:pStyle w:val="4"/>
        <w:spacing w:before="0" w:after="0" w:line="360" w:lineRule="auto"/>
        <w:rPr>
          <w:rFonts w:ascii="宋体" w:hAnsi="宋体" w:eastAsia="宋体" w:cs="宋体"/>
          <w:highlight w:val="none"/>
        </w:rPr>
      </w:pPr>
      <w:bookmarkStart w:id="18" w:name="_Toc11329213"/>
      <w:bookmarkStart w:id="19" w:name="_Toc179632528"/>
      <w:bookmarkStart w:id="20" w:name="_Toc144974480"/>
      <w:bookmarkStart w:id="21" w:name="_Toc24874"/>
      <w:bookmarkStart w:id="22" w:name="_Toc10076"/>
      <w:bookmarkStart w:id="23" w:name="_Toc507319891"/>
      <w:bookmarkStart w:id="24" w:name="_Toc152045512"/>
      <w:bookmarkStart w:id="25" w:name="_Toc246996158"/>
      <w:bookmarkStart w:id="26" w:name="_Toc152042288"/>
      <w:bookmarkStart w:id="27" w:name="_Toc246996901"/>
      <w:bookmarkStart w:id="28" w:name="_Toc7525"/>
      <w:bookmarkStart w:id="29" w:name="_Toc247085672"/>
      <w:bookmarkStart w:id="30" w:name="_Toc30089"/>
      <w:bookmarkStart w:id="31" w:name="_Toc6549"/>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巫云开高速公路项目巫溪至开州段机电工程项目车道检测服务采购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507319892"/>
      <w:bookmarkStart w:id="33" w:name="_Toc28954"/>
      <w:bookmarkStart w:id="34" w:name="_Toc23060"/>
      <w:bookmarkStart w:id="35" w:name="_Toc247085673"/>
      <w:bookmarkStart w:id="36" w:name="_Toc21343"/>
      <w:bookmarkStart w:id="37" w:name="_Toc179632529"/>
      <w:bookmarkStart w:id="38" w:name="_Toc18109"/>
      <w:bookmarkStart w:id="39" w:name="_Toc10952"/>
      <w:bookmarkStart w:id="40" w:name="_Toc152042289"/>
      <w:bookmarkStart w:id="41" w:name="_Toc246996159"/>
      <w:bookmarkStart w:id="42" w:name="_Toc246996902"/>
      <w:bookmarkStart w:id="43" w:name="_Toc152045513"/>
      <w:bookmarkStart w:id="44" w:name="_Toc11329214"/>
      <w:bookmarkStart w:id="45" w:name="_Toc144974481"/>
      <w:r>
        <w:rPr>
          <w:rFonts w:hint="eastAsia" w:ascii="宋体" w:hAnsi="宋体" w:eastAsia="宋体" w:cs="宋体"/>
          <w:highlight w:val="none"/>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tabs>
          <w:tab w:val="left" w:pos="3840"/>
          <w:tab w:val="left" w:pos="5300"/>
        </w:tabs>
        <w:wordWrap w:val="0"/>
        <w:autoSpaceDE w:val="0"/>
        <w:autoSpaceDN w:val="0"/>
        <w:adjustRightInd w:val="0"/>
        <w:snapToGrid w:val="0"/>
        <w:spacing w:line="360" w:lineRule="auto"/>
        <w:ind w:firstLine="420" w:firstLineChars="200"/>
        <w:jc w:val="left"/>
        <w:rPr>
          <w:rFonts w:hint="eastAsia" w:ascii="宋体" w:hAnsi="宋体" w:cs="宋体"/>
          <w:szCs w:val="21"/>
          <w:highlight w:val="none"/>
        </w:rPr>
      </w:pPr>
      <w:bookmarkStart w:id="46" w:name="_Toc446247226"/>
      <w:r>
        <w:rPr>
          <w:rFonts w:hint="eastAsia" w:ascii="宋体" w:hAnsi="宋体" w:cs="宋体"/>
          <w:highlight w:val="none"/>
        </w:rPr>
        <w:t xml:space="preserve">2.1 </w:t>
      </w:r>
      <w:bookmarkEnd w:id="46"/>
      <w:r>
        <w:rPr>
          <w:rFonts w:hint="eastAsia" w:ascii="宋体" w:hAnsi="宋体" w:cs="宋体"/>
          <w:szCs w:val="21"/>
          <w:highlight w:val="none"/>
        </w:rPr>
        <w:t>项目概况：巫溪至开州高速公路路线全长约118.6公里，特长隧道17528.8m/4座，长隧道19795.68m/11座，中隧道1835m/3座，短隧道873.5m/3座。</w:t>
      </w:r>
    </w:p>
    <w:p>
      <w:pPr>
        <w:spacing w:line="400" w:lineRule="exact"/>
        <w:ind w:firstLine="420" w:firstLineChars="200"/>
        <w:rPr>
          <w:rFonts w:hint="eastAsia" w:ascii="宋体" w:hAnsi="宋体" w:cs="宋体"/>
          <w:highlight w:val="none"/>
          <w:u w:val="single"/>
          <w:lang w:val="en-US" w:eastAsia="zh-CN"/>
        </w:rPr>
      </w:pPr>
      <w:r>
        <w:rPr>
          <w:rFonts w:hint="eastAsia" w:ascii="宋体" w:hAnsi="宋体" w:cs="宋体"/>
          <w:highlight w:val="none"/>
        </w:rPr>
        <w:t>2.2 采购内容：</w:t>
      </w:r>
      <w:r>
        <w:rPr>
          <w:rFonts w:hint="eastAsia" w:ascii="宋体" w:hAnsi="宋体" w:cs="宋体"/>
          <w:highlight w:val="none"/>
          <w:u w:val="single"/>
        </w:rPr>
        <w:t>包括</w:t>
      </w:r>
      <w:r>
        <w:rPr>
          <w:rFonts w:hint="eastAsia" w:ascii="宋体" w:hAnsi="宋体" w:cs="宋体"/>
          <w:highlight w:val="none"/>
          <w:u w:val="single"/>
          <w:lang w:val="en-US" w:eastAsia="zh-CN"/>
        </w:rPr>
        <w:t>沙市</w:t>
      </w:r>
      <w:r>
        <w:rPr>
          <w:rFonts w:hint="eastAsia" w:ascii="宋体" w:hAnsi="宋体" w:cs="宋体"/>
          <w:highlight w:val="none"/>
          <w:u w:val="single"/>
          <w:lang w:eastAsia="zh-CN"/>
        </w:rPr>
        <w:t>、</w:t>
      </w:r>
      <w:r>
        <w:rPr>
          <w:rFonts w:hint="eastAsia" w:ascii="宋体" w:hAnsi="宋体" w:cs="宋体"/>
          <w:highlight w:val="none"/>
          <w:u w:val="single"/>
          <w:lang w:val="en-US" w:eastAsia="zh-CN"/>
        </w:rPr>
        <w:t>金峰</w:t>
      </w:r>
      <w:r>
        <w:rPr>
          <w:rFonts w:hint="eastAsia" w:ascii="宋体" w:hAnsi="宋体" w:cs="宋体"/>
          <w:highlight w:val="none"/>
          <w:u w:val="single"/>
          <w:lang w:eastAsia="zh-CN"/>
        </w:rPr>
        <w:t>、</w:t>
      </w:r>
      <w:r>
        <w:rPr>
          <w:rFonts w:hint="eastAsia" w:ascii="宋体" w:hAnsi="宋体" w:cs="宋体"/>
          <w:highlight w:val="none"/>
          <w:u w:val="single"/>
          <w:lang w:val="en-US" w:eastAsia="zh-CN"/>
        </w:rPr>
        <w:t>双龙</w:t>
      </w:r>
      <w:r>
        <w:rPr>
          <w:rFonts w:hint="eastAsia" w:ascii="宋体" w:hAnsi="宋体" w:cs="宋体"/>
          <w:highlight w:val="none"/>
          <w:u w:val="single"/>
          <w:lang w:eastAsia="zh-CN"/>
        </w:rPr>
        <w:t>、</w:t>
      </w:r>
      <w:r>
        <w:rPr>
          <w:rFonts w:hint="eastAsia" w:ascii="宋体" w:hAnsi="宋体" w:cs="宋体"/>
          <w:highlight w:val="none"/>
          <w:u w:val="single"/>
          <w:lang w:val="en-US" w:eastAsia="zh-CN"/>
        </w:rPr>
        <w:t>金盆</w:t>
      </w:r>
      <w:r>
        <w:rPr>
          <w:rFonts w:hint="eastAsia" w:ascii="宋体" w:hAnsi="宋体" w:cs="宋体"/>
          <w:highlight w:val="none"/>
          <w:u w:val="single"/>
          <w:lang w:eastAsia="zh-CN"/>
        </w:rPr>
        <w:t>、</w:t>
      </w:r>
      <w:r>
        <w:rPr>
          <w:rFonts w:hint="eastAsia" w:ascii="宋体" w:hAnsi="宋体" w:cs="宋体"/>
          <w:highlight w:val="none"/>
          <w:u w:val="single"/>
          <w:lang w:val="en-US" w:eastAsia="zh-CN"/>
        </w:rPr>
        <w:t>朝阳</w:t>
      </w:r>
      <w:r>
        <w:rPr>
          <w:rFonts w:hint="eastAsia" w:ascii="宋体" w:hAnsi="宋体" w:cs="宋体"/>
          <w:highlight w:val="none"/>
          <w:u w:val="single"/>
          <w:lang w:eastAsia="zh-CN"/>
        </w:rPr>
        <w:t>、</w:t>
      </w:r>
      <w:r>
        <w:rPr>
          <w:rFonts w:hint="eastAsia" w:ascii="宋体" w:hAnsi="宋体" w:cs="宋体"/>
          <w:highlight w:val="none"/>
          <w:u w:val="single"/>
          <w:lang w:val="en-US" w:eastAsia="zh-CN"/>
        </w:rPr>
        <w:t>红池坝</w:t>
      </w:r>
      <w:r>
        <w:rPr>
          <w:rFonts w:hint="eastAsia" w:ascii="宋体" w:hAnsi="宋体" w:cs="宋体"/>
          <w:highlight w:val="none"/>
          <w:u w:val="single"/>
          <w:lang w:eastAsia="zh-CN"/>
        </w:rPr>
        <w:t>、</w:t>
      </w:r>
      <w:r>
        <w:rPr>
          <w:rFonts w:hint="eastAsia" w:ascii="宋体" w:hAnsi="宋体" w:cs="宋体"/>
          <w:highlight w:val="none"/>
          <w:u w:val="single"/>
          <w:lang w:val="en-US" w:eastAsia="zh-CN"/>
        </w:rPr>
        <w:t>菱角</w:t>
      </w:r>
      <w:r>
        <w:rPr>
          <w:rFonts w:hint="eastAsia" w:ascii="宋体" w:hAnsi="宋体" w:cs="宋体"/>
          <w:highlight w:val="none"/>
          <w:u w:val="single"/>
          <w:lang w:eastAsia="zh-CN"/>
        </w:rPr>
        <w:t>、</w:t>
      </w:r>
      <w:r>
        <w:rPr>
          <w:rFonts w:hint="eastAsia" w:ascii="宋体" w:hAnsi="宋体" w:cs="宋体"/>
          <w:highlight w:val="none"/>
          <w:u w:val="single"/>
          <w:lang w:val="en-US" w:eastAsia="zh-CN"/>
        </w:rPr>
        <w:t>巫溪西8个收费站， 合计55条车道检测服务。</w:t>
      </w:r>
    </w:p>
    <w:p>
      <w:pPr>
        <w:spacing w:line="400" w:lineRule="exact"/>
        <w:ind w:firstLine="420" w:firstLineChars="200"/>
        <w:rPr>
          <w:rFonts w:hint="default" w:ascii="宋体" w:hAnsi="宋体" w:eastAsia="宋体" w:cs="宋体"/>
          <w:kern w:val="2"/>
          <w:sz w:val="21"/>
          <w:szCs w:val="24"/>
          <w:highlight w:val="none"/>
          <w:u w:val="single"/>
          <w:lang w:val="en-US" w:eastAsia="zh-CN" w:bidi="ar-SA"/>
        </w:rPr>
      </w:pPr>
      <w:r>
        <w:rPr>
          <w:rFonts w:hint="eastAsia" w:ascii="宋体" w:hAnsi="宋体" w:eastAsia="宋体" w:cs="宋体"/>
          <w:kern w:val="2"/>
          <w:sz w:val="21"/>
          <w:szCs w:val="24"/>
          <w:highlight w:val="none"/>
          <w:lang w:val="en-US" w:eastAsia="zh-CN" w:bidi="ar-SA"/>
        </w:rPr>
        <w:t>2.3采购预估金额</w:t>
      </w:r>
      <w:r>
        <w:rPr>
          <w:rFonts w:hint="eastAsia" w:ascii="宋体" w:hAnsi="宋体" w:cs="宋体"/>
          <w:kern w:val="2"/>
          <w:sz w:val="21"/>
          <w:szCs w:val="24"/>
          <w:highlight w:val="none"/>
          <w:lang w:val="en-US" w:eastAsia="zh-CN" w:bidi="ar-SA"/>
        </w:rPr>
        <w:t>：</w:t>
      </w:r>
      <w:r>
        <w:rPr>
          <w:rFonts w:hint="eastAsia" w:ascii="宋体" w:hAnsi="宋体" w:cs="宋体"/>
          <w:kern w:val="2"/>
          <w:sz w:val="21"/>
          <w:szCs w:val="24"/>
          <w:highlight w:val="none"/>
          <w:u w:val="single"/>
          <w:lang w:val="en-US" w:eastAsia="zh-CN" w:bidi="ar-SA"/>
        </w:rPr>
        <w:t xml:space="preserve"> 92593.60 </w:t>
      </w:r>
      <w:r>
        <w:rPr>
          <w:rFonts w:hint="eastAsia" w:ascii="宋体" w:hAnsi="宋体" w:eastAsia="宋体" w:cs="宋体"/>
          <w:kern w:val="2"/>
          <w:sz w:val="21"/>
          <w:szCs w:val="24"/>
          <w:highlight w:val="none"/>
          <w:u w:val="single"/>
          <w:lang w:val="en-US" w:eastAsia="zh-CN" w:bidi="ar-SA"/>
        </w:rPr>
        <w:t>元</w:t>
      </w:r>
    </w:p>
    <w:p>
      <w:pPr>
        <w:spacing w:line="40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cs="宋体"/>
          <w:snapToGrid w:val="0"/>
          <w:color w:val="auto"/>
          <w:kern w:val="0"/>
          <w:szCs w:val="21"/>
          <w:highlight w:val="none"/>
          <w:lang w:val="en-US" w:eastAsia="zh-CN"/>
        </w:rPr>
        <w:t>2</w:t>
      </w:r>
      <w:r>
        <w:rPr>
          <w:rFonts w:hint="eastAsia" w:ascii="宋体" w:hAnsi="宋体" w:eastAsia="宋体" w:cs="宋体"/>
          <w:kern w:val="2"/>
          <w:sz w:val="21"/>
          <w:szCs w:val="24"/>
          <w:highlight w:val="none"/>
          <w:lang w:val="en-US" w:eastAsia="zh-CN" w:bidi="ar-SA"/>
        </w:rPr>
        <w:t>.4服务地点：沙市、金峰、双龙、金盆、朝阳、红池坝、菱角、巫溪西</w:t>
      </w:r>
      <w:r>
        <w:rPr>
          <w:rFonts w:hint="eastAsia" w:ascii="宋体" w:hAnsi="宋体" w:cs="宋体"/>
          <w:kern w:val="2"/>
          <w:sz w:val="21"/>
          <w:szCs w:val="24"/>
          <w:highlight w:val="none"/>
          <w:lang w:val="en-US" w:eastAsia="zh-CN" w:bidi="ar-SA"/>
        </w:rPr>
        <w:t>等8</w:t>
      </w:r>
      <w:r>
        <w:rPr>
          <w:rFonts w:hint="eastAsia" w:ascii="宋体" w:hAnsi="宋体" w:eastAsia="宋体" w:cs="宋体"/>
          <w:kern w:val="2"/>
          <w:sz w:val="21"/>
          <w:szCs w:val="24"/>
          <w:highlight w:val="none"/>
          <w:lang w:val="en-US" w:eastAsia="zh-CN" w:bidi="ar-SA"/>
        </w:rPr>
        <w:t>个收费站。</w:t>
      </w:r>
    </w:p>
    <w:p>
      <w:pPr>
        <w:spacing w:line="400" w:lineRule="exact"/>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2.5服务期限：</w:t>
      </w:r>
      <w:r>
        <w:rPr>
          <w:rFonts w:hint="eastAsia" w:ascii="宋体" w:hAnsi="宋体" w:cs="宋体"/>
          <w:kern w:val="2"/>
          <w:sz w:val="21"/>
          <w:szCs w:val="24"/>
          <w:highlight w:val="none"/>
          <w:lang w:val="en-US" w:eastAsia="zh-CN" w:bidi="ar-SA"/>
        </w:rPr>
        <w:t>以甲方通知为准</w:t>
      </w:r>
      <w:r>
        <w:rPr>
          <w:rFonts w:hint="eastAsia" w:ascii="宋体" w:hAnsi="宋体" w:eastAsia="宋体" w:cs="宋体"/>
          <w:kern w:val="2"/>
          <w:sz w:val="21"/>
          <w:szCs w:val="24"/>
          <w:highlight w:val="none"/>
          <w:lang w:val="en-US" w:eastAsia="zh-CN" w:bidi="ar-SA"/>
        </w:rPr>
        <w:t>。</w:t>
      </w:r>
    </w:p>
    <w:p>
      <w:pPr>
        <w:pStyle w:val="4"/>
        <w:spacing w:before="120" w:after="0" w:line="360" w:lineRule="auto"/>
        <w:rPr>
          <w:rFonts w:ascii="宋体" w:hAnsi="宋体" w:eastAsia="宋体" w:cs="宋体"/>
          <w:highlight w:val="none"/>
        </w:rPr>
      </w:pPr>
      <w:bookmarkStart w:id="47" w:name="_Toc152042290"/>
      <w:bookmarkStart w:id="48" w:name="_Toc23184"/>
      <w:bookmarkStart w:id="49" w:name="_Toc10171"/>
      <w:bookmarkStart w:id="50" w:name="_Toc144974482"/>
      <w:bookmarkStart w:id="51" w:name="_Toc30356"/>
      <w:bookmarkStart w:id="52" w:name="_Toc507319893"/>
      <w:bookmarkStart w:id="53" w:name="_Toc152045514"/>
      <w:bookmarkStart w:id="54" w:name="_Toc246996160"/>
      <w:bookmarkStart w:id="55" w:name="_Toc179632530"/>
      <w:bookmarkStart w:id="56" w:name="_Toc246996903"/>
      <w:bookmarkStart w:id="57" w:name="_Toc247085674"/>
      <w:bookmarkStart w:id="58" w:name="_Toc7065"/>
      <w:bookmarkStart w:id="59" w:name="_Toc11329215"/>
      <w:bookmarkStart w:id="60" w:name="_Toc22522"/>
      <w:r>
        <w:rPr>
          <w:rFonts w:hint="eastAsia" w:ascii="宋体" w:hAnsi="宋体" w:eastAsia="宋体" w:cs="宋体"/>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hint="eastAsia" w:ascii="宋体" w:hAnsi="宋体" w:cs="宋体"/>
          <w:szCs w:val="21"/>
          <w:highlight w:val="none"/>
          <w:shd w:val="clear" w:color="auto" w:fill="FFFFFF"/>
        </w:rPr>
      </w:pPr>
      <w:bookmarkStart w:id="61" w:name="_Toc246996161"/>
      <w:bookmarkStart w:id="62" w:name="_Toc152042291"/>
      <w:bookmarkStart w:id="63" w:name="_Toc152045515"/>
      <w:bookmarkStart w:id="64" w:name="_Toc246996904"/>
      <w:bookmarkStart w:id="65" w:name="_Toc247085675"/>
      <w:bookmarkStart w:id="66" w:name="_Toc179632531"/>
      <w:bookmarkStart w:id="67" w:name="_Toc144974483"/>
      <w:r>
        <w:rPr>
          <w:rFonts w:hint="eastAsia" w:ascii="宋体" w:hAnsi="宋体" w:cs="宋体"/>
          <w:szCs w:val="21"/>
          <w:highlight w:val="none"/>
          <w:shd w:val="clear" w:color="auto" w:fill="FFFFFF"/>
        </w:rPr>
        <w:t>3.1</w:t>
      </w:r>
      <w:r>
        <w:rPr>
          <w:rFonts w:hint="eastAsia" w:ascii="宋体" w:hAnsi="宋体" w:cs="宋体"/>
          <w:color w:val="000000" w:themeColor="text1"/>
          <w:szCs w:val="21"/>
          <w:highlight w:val="none"/>
          <w:shd w:val="clear" w:color="auto" w:fill="FFFFFF"/>
          <w14:textFill>
            <w14:solidFill>
              <w14:schemeClr w14:val="tx1"/>
            </w14:solidFill>
          </w14:textFill>
        </w:rPr>
        <w:t>资质要求：</w:t>
      </w:r>
    </w:p>
    <w:p>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报价人具有独立法人资格，具有有效的营业执照。</w:t>
      </w:r>
    </w:p>
    <w:p>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报价人需具备ISO管理认证体系证书（ISO9001质量管理体系认证证书、ISO14001环境管理体系认证证书、ISO45001职业健康安全管理体系认证证书</w:t>
      </w:r>
      <w:r>
        <w:rPr>
          <w:rFonts w:hint="eastAsia" w:cs="Times New Roman"/>
          <w:lang w:eastAsia="zh-CN"/>
        </w:rPr>
        <w:t>）</w:t>
      </w:r>
      <w:r>
        <w:rPr>
          <w:rFonts w:hint="eastAsia" w:ascii="Times New Roman" w:hAnsi="Times New Roman" w:eastAsia="宋体" w:cs="Times New Roman"/>
          <w:lang w:eastAsia="zh-CN"/>
        </w:rPr>
        <w:t>。</w:t>
      </w:r>
    </w:p>
    <w:p>
      <w:pPr>
        <w:numPr>
          <w:ilvl w:val="0"/>
          <w:numId w:val="2"/>
        </w:numPr>
        <w:spacing w:line="400" w:lineRule="exact"/>
        <w:ind w:firstLine="420" w:firstLineChars="200"/>
        <w:rPr>
          <w:rFonts w:hint="eastAsia" w:ascii="Times New Roman" w:hAnsi="Times New Roman" w:eastAsia="宋体" w:cs="Times New Roman"/>
        </w:rPr>
      </w:pPr>
      <w:r>
        <w:rPr>
          <w:rFonts w:hint="eastAsia" w:ascii="Times New Roman" w:hAnsi="Times New Roman" w:eastAsia="宋体" w:cs="Times New Roman"/>
        </w:rPr>
        <w:t>报价人具有北京中交国通智能交通系统技术有限公司颁发的电子收费专用短程通信车载单元（双算法）产品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p>
      <w:pPr>
        <w:numPr>
          <w:ilvl w:val="0"/>
          <w:numId w:val="0"/>
        </w:numPr>
        <w:spacing w:line="400" w:lineRule="exact"/>
        <w:ind w:firstLine="420" w:firstLineChars="200"/>
        <w:rPr>
          <w:rFonts w:hint="eastAsia"/>
          <w:lang w:val="en-US" w:eastAsia="zh-CN"/>
        </w:rPr>
      </w:pPr>
      <w:r>
        <w:rPr>
          <w:rFonts w:hint="eastAsia" w:ascii="宋体" w:hAnsi="宋体" w:cs="宋体"/>
          <w:szCs w:val="21"/>
          <w:highlight w:val="none"/>
          <w:shd w:val="clear" w:color="auto" w:fill="FFFFFF"/>
          <w:lang w:val="en-US" w:eastAsia="zh-CN"/>
        </w:rPr>
        <w:t>3.2</w:t>
      </w:r>
      <w:r>
        <w:rPr>
          <w:rFonts w:hint="eastAsia" w:ascii="宋体" w:hAnsi="宋体" w:cs="宋体"/>
          <w:szCs w:val="21"/>
          <w:highlight w:val="none"/>
          <w:shd w:val="clear" w:color="auto" w:fill="FFFFFF"/>
        </w:rPr>
        <w:t>业绩要求：2021年1月1日至报价截止日期（以合同签订时间为准）至少独立完成一项合同金额不低于5万元及以上的高速公路车道检测业绩（提供合同扫描件）</w:t>
      </w:r>
      <w:r>
        <w:rPr>
          <w:rFonts w:hint="eastAsia" w:cs="Times New Roman"/>
          <w:lang w:val="en-US" w:eastAsia="zh-CN"/>
        </w:rPr>
        <w:t>。</w:t>
      </w:r>
    </w:p>
    <w:p>
      <w:pPr>
        <w:spacing w:line="400" w:lineRule="exact"/>
        <w:ind w:firstLine="420" w:firstLineChars="200"/>
        <w:rPr>
          <w:rFonts w:hint="eastAsia"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注：需提供合同复印件关键页（包括但不限于合同封面页、合同标的页、合同金额页、合同盖章页、合同时间页及显示项目内容的相关页）</w:t>
      </w:r>
      <w:r>
        <w:rPr>
          <w:rFonts w:hint="eastAsia" w:ascii="宋体" w:hAnsi="宋体" w:eastAsia="宋体" w:cs="宋体"/>
          <w:szCs w:val="21"/>
          <w:highlight w:val="none"/>
          <w:shd w:val="clear" w:color="auto" w:fill="FFFFFF"/>
          <w:lang w:val="en-US" w:eastAsia="zh-CN"/>
        </w:rPr>
        <w:t>并加盖投标人公章。</w:t>
      </w:r>
    </w:p>
    <w:p>
      <w:pPr>
        <w:spacing w:line="400" w:lineRule="exact"/>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lang w:val="en-US" w:eastAsia="zh-CN"/>
        </w:rPr>
        <w:t>3.3人员要求：</w:t>
      </w: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信誉要求：在国家企业信用信息公示系统（http://www.gsxt.gov.cn/）中未被列入严重违法失信企业名单（黑名单）信息；在“信用中国”网站（http://www.creditchina.gov.cn/）中未被列入严重失信主体名单。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报价人须提供采购人要求的所有资质要求、信誉要求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业绩要求等资料</w:t>
      </w:r>
      <w:r>
        <w:rPr>
          <w:rFonts w:hint="eastAsia" w:ascii="宋体" w:hAnsi="宋体" w:cs="宋体"/>
          <w:szCs w:val="21"/>
          <w:highlight w:val="none"/>
          <w:shd w:val="clear" w:color="auto" w:fill="FFFFFF"/>
        </w:rPr>
        <w:t>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highlight w:val="none"/>
          <w:lang w:val="en-US" w:eastAsia="zh-CN"/>
        </w:rPr>
      </w:pPr>
      <w:bookmarkStart w:id="68" w:name="_Toc31574"/>
      <w:bookmarkStart w:id="69" w:name="_Toc12460"/>
      <w:bookmarkStart w:id="70" w:name="_Toc14361"/>
      <w:bookmarkStart w:id="71" w:name="_Toc25619"/>
      <w:bookmarkStart w:id="72" w:name="_Toc23921"/>
      <w:bookmarkStart w:id="73" w:name="_Toc507319894"/>
      <w:bookmarkStart w:id="74" w:name="_Toc11329216"/>
      <w:r>
        <w:rPr>
          <w:rFonts w:hint="eastAsia" w:ascii="宋体" w:hAnsi="宋体" w:eastAsia="宋体" w:cs="宋体"/>
          <w:highlight w:val="none"/>
        </w:rPr>
        <w:t xml:space="preserve">4. </w:t>
      </w:r>
      <w:r>
        <w:rPr>
          <w:rFonts w:hint="eastAsia" w:ascii="宋体" w:hAnsi="宋体" w:eastAsia="宋体" w:cs="宋体"/>
          <w:highlight w:val="none"/>
          <w:lang w:val="en-US" w:eastAsia="zh-CN"/>
        </w:rPr>
        <w:t>评审办法</w:t>
      </w:r>
      <w:bookmarkEnd w:id="68"/>
    </w:p>
    <w:p>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本项目采用经评审的最低投标价法。</w:t>
      </w:r>
    </w:p>
    <w:p>
      <w:pPr>
        <w:pStyle w:val="4"/>
        <w:numPr>
          <w:ilvl w:val="0"/>
          <w:numId w:val="3"/>
        </w:numPr>
        <w:spacing w:before="120" w:after="0" w:line="400" w:lineRule="exact"/>
        <w:rPr>
          <w:rFonts w:ascii="宋体" w:hAnsi="宋体" w:eastAsia="宋体" w:cs="宋体"/>
          <w:highlight w:val="none"/>
        </w:rPr>
      </w:pPr>
      <w:bookmarkStart w:id="75" w:name="_Toc6975"/>
      <w:r>
        <w:rPr>
          <w:rFonts w:hint="eastAsia" w:ascii="宋体" w:hAnsi="宋体" w:eastAsia="宋体" w:cs="宋体"/>
          <w:highlight w:val="none"/>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highlight w:val="none"/>
        </w:rPr>
      </w:pPr>
      <w:bookmarkStart w:id="76" w:name="_Toc144974484"/>
      <w:bookmarkStart w:id="77" w:name="_Toc152045516"/>
      <w:bookmarkStart w:id="78" w:name="_Toc11329217"/>
      <w:bookmarkStart w:id="79" w:name="_Toc507319895"/>
      <w:bookmarkStart w:id="80" w:name="_Toc179632532"/>
      <w:bookmarkStart w:id="81" w:name="_Toc247085676"/>
      <w:bookmarkStart w:id="82" w:name="_Toc246996905"/>
      <w:bookmarkStart w:id="83" w:name="_Toc152042292"/>
      <w:bookmarkStart w:id="84" w:name="_Toc246996162"/>
      <w:r>
        <w:rPr>
          <w:rFonts w:hint="eastAsia" w:ascii="宋体" w:hAnsi="宋体"/>
          <w:szCs w:val="21"/>
          <w:highlight w:val="none"/>
        </w:rPr>
        <w:t>凡愿意参加的潜在报价人，在开标截止日</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 xml:space="preserve"> 01 </w:t>
      </w:r>
      <w:r>
        <w:rPr>
          <w:rFonts w:hint="eastAsia" w:ascii="宋体" w:hAnsi="宋体"/>
          <w:szCs w:val="21"/>
          <w:highlight w:val="none"/>
        </w:rPr>
        <w:t>月</w:t>
      </w:r>
      <w:r>
        <w:rPr>
          <w:rFonts w:hint="eastAsia" w:ascii="宋体" w:hAnsi="宋体"/>
          <w:szCs w:val="21"/>
          <w:highlight w:val="none"/>
          <w:u w:val="single"/>
          <w:lang w:val="en-US" w:eastAsia="zh-CN"/>
        </w:rPr>
        <w:t xml:space="preserve"> 7 </w:t>
      </w:r>
      <w:r>
        <w:rPr>
          <w:rFonts w:hint="eastAsia" w:ascii="宋体" w:hAnsi="宋体"/>
          <w:szCs w:val="21"/>
          <w:highlight w:val="none"/>
        </w:rPr>
        <w:t>日</w:t>
      </w:r>
      <w:r>
        <w:rPr>
          <w:rFonts w:hint="eastAsia" w:ascii="宋体" w:hAnsi="宋体"/>
          <w:szCs w:val="21"/>
          <w:highlight w:val="none"/>
          <w:lang w:val="en-US" w:eastAsia="zh-CN"/>
        </w:rPr>
        <w:t>上午</w:t>
      </w:r>
      <w:r>
        <w:rPr>
          <w:rFonts w:hint="eastAsia" w:ascii="宋体" w:hAnsi="宋体"/>
          <w:szCs w:val="21"/>
          <w:highlight w:val="none"/>
          <w:u w:val="single"/>
          <w:lang w:val="en-US" w:eastAsia="zh-CN"/>
        </w:rPr>
        <w:t xml:space="preserve"> 10：00</w:t>
      </w:r>
      <w:r>
        <w:rPr>
          <w:rFonts w:hint="eastAsia" w:ascii="宋体" w:hAnsi="宋体"/>
          <w:szCs w:val="21"/>
          <w:highlight w:val="none"/>
        </w:rPr>
        <w:t>前，在重庆高速集团官网（http://www.cegc.com.cn/）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5" w:name="_Toc10173"/>
      <w:bookmarkStart w:id="86" w:name="_Toc31493"/>
      <w:bookmarkStart w:id="87" w:name="_Toc4096"/>
      <w:bookmarkStart w:id="88" w:name="_Toc9131"/>
      <w:bookmarkStart w:id="89" w:name="_Toc16686"/>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highlight w:val="none"/>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highlight w:val="none"/>
        </w:rPr>
      </w:pPr>
      <w:bookmarkStart w:id="90" w:name="_Toc246996907"/>
      <w:bookmarkStart w:id="91" w:name="_Toc21615"/>
      <w:bookmarkStart w:id="92" w:name="_Toc247085678"/>
      <w:bookmarkStart w:id="93" w:name="_Toc152042293"/>
      <w:bookmarkStart w:id="94" w:name="_Toc179632534"/>
      <w:bookmarkStart w:id="95" w:name="_Toc507319897"/>
      <w:bookmarkStart w:id="96" w:name="_Toc246996164"/>
      <w:bookmarkStart w:id="97" w:name="_Toc144974485"/>
      <w:bookmarkStart w:id="98" w:name="_Toc11329219"/>
      <w:bookmarkStart w:id="99" w:name="_Toc18402"/>
      <w:bookmarkStart w:id="100" w:name="_Toc11820"/>
      <w:bookmarkStart w:id="101" w:name="_Toc152045517"/>
      <w:bookmarkStart w:id="102" w:name="_Toc393"/>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 xml:space="preserve"> 01 </w:t>
      </w:r>
      <w:r>
        <w:rPr>
          <w:rFonts w:hint="eastAsia" w:ascii="宋体" w:hAnsi="宋体"/>
          <w:szCs w:val="21"/>
          <w:highlight w:val="none"/>
        </w:rPr>
        <w:t>月</w:t>
      </w:r>
      <w:r>
        <w:rPr>
          <w:rFonts w:hint="eastAsia" w:ascii="宋体" w:hAnsi="宋体"/>
          <w:szCs w:val="21"/>
          <w:highlight w:val="none"/>
          <w:u w:val="single"/>
          <w:lang w:val="en-US" w:eastAsia="zh-CN"/>
        </w:rPr>
        <w:t xml:space="preserve"> 7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cs="宋体"/>
          <w:szCs w:val="21"/>
          <w:highlight w:val="none"/>
          <w:u w:val="single"/>
          <w:lang w:val="en-US" w:eastAsia="zh-CN"/>
        </w:rPr>
        <w:t xml:space="preserve"> 10 </w:t>
      </w:r>
      <w:r>
        <w:rPr>
          <w:rFonts w:hint="eastAsia" w:ascii="宋体" w:hAnsi="宋体" w:cs="宋体"/>
          <w:szCs w:val="21"/>
          <w:highlight w:val="none"/>
        </w:rPr>
        <w:t>时</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highlight w:val="none"/>
        </w:rPr>
      </w:pPr>
      <w:r>
        <w:rPr>
          <w:rFonts w:hint="eastAsia" w:ascii="宋体" w:hAnsi="宋体" w:cs="宋体"/>
          <w:szCs w:val="21"/>
          <w:highlight w:val="none"/>
        </w:rPr>
        <w:t>5.2递交地址：报价人将完整的报价资料递交</w:t>
      </w:r>
      <w:r>
        <w:rPr>
          <w:rFonts w:hint="eastAsia" w:ascii="宋体" w:hAnsi="宋体" w:cs="宋体"/>
          <w:szCs w:val="21"/>
          <w:highlight w:val="none"/>
          <w:lang w:val="en-US" w:eastAsia="zh-CN"/>
        </w:rPr>
        <w:t>或邮寄</w:t>
      </w:r>
      <w:r>
        <w:rPr>
          <w:rFonts w:hint="eastAsia" w:ascii="宋体" w:hAnsi="宋体" w:cs="宋体"/>
          <w:szCs w:val="21"/>
          <w:highlight w:val="none"/>
        </w:rPr>
        <w:t>至重庆市渝北区新南路52号东界龙湖一楼重庆首讯科技股份有限公司东界龙湖办公区</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eastAsia="宋体" w:cs="宋体"/>
          <w:highlight w:val="none"/>
        </w:rPr>
      </w:pPr>
      <w:bookmarkStart w:id="103" w:name="_Toc24326"/>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3"/>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地址：重庆市渝北区新南路52号东界龙湖一楼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技术联系人：</w:t>
            </w:r>
            <w:r>
              <w:rPr>
                <w:rFonts w:hint="eastAsia" w:ascii="宋体" w:hAnsi="宋体" w:cs="宋体"/>
                <w:szCs w:val="21"/>
                <w:highlight w:val="none"/>
                <w:lang w:val="en-US" w:eastAsia="zh-CN"/>
              </w:rPr>
              <w:t>曾</w:t>
            </w:r>
            <w:r>
              <w:rPr>
                <w:rFonts w:hint="eastAsia" w:ascii="宋体" w:hAnsi="宋体" w:cs="宋体"/>
                <w:szCs w:val="21"/>
                <w:highlight w:val="none"/>
              </w:rPr>
              <w:t>老师  电 话：</w:t>
            </w:r>
            <w:r>
              <w:rPr>
                <w:rFonts w:hint="eastAsia" w:ascii="宋体" w:hAnsi="宋体" w:cs="宋体"/>
                <w:szCs w:val="21"/>
                <w:highlight w:val="none"/>
                <w:lang w:val="en-US" w:eastAsia="zh-CN"/>
              </w:rPr>
              <w:t>18983816128</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老师  电 话：</w:t>
            </w:r>
            <w:r>
              <w:rPr>
                <w:rFonts w:hint="eastAsia" w:ascii="宋体" w:hAnsi="宋体" w:cs="宋体"/>
                <w:szCs w:val="21"/>
                <w:highlight w:val="none"/>
                <w:lang w:val="en-US" w:eastAsia="zh-CN"/>
              </w:rPr>
              <w:t>18623655450</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ascii="宋体" w:hAnsi="宋体" w:cs="宋体"/>
          <w:highlight w:val="none"/>
        </w:rPr>
      </w:pPr>
      <w:bookmarkStart w:id="104" w:name="_Toc247085687"/>
      <w:bookmarkStart w:id="105" w:name="_Toc152045527"/>
      <w:bookmarkStart w:id="106" w:name="_Toc179632544"/>
      <w:bookmarkStart w:id="107" w:name="_Toc246996916"/>
      <w:bookmarkStart w:id="108" w:name="_Toc144974495"/>
      <w:bookmarkStart w:id="109" w:name="_Toc2000405"/>
      <w:bookmarkStart w:id="110" w:name="_Toc152042303"/>
      <w:bookmarkStart w:id="111" w:name="_Toc246996173"/>
      <w:bookmarkStart w:id="112" w:name="_Toc507319898"/>
      <w:r>
        <w:rPr>
          <w:rFonts w:hint="eastAsia" w:ascii="宋体" w:hAnsi="宋体" w:cs="宋体"/>
          <w:highlight w:val="none"/>
        </w:rPr>
        <w:br w:type="page"/>
      </w:r>
      <w:bookmarkStart w:id="113" w:name="_Toc32402"/>
      <w:r>
        <w:rPr>
          <w:rFonts w:hint="eastAsia" w:ascii="宋体" w:hAnsi="宋体" w:cs="宋体"/>
          <w:highlight w:val="none"/>
        </w:rPr>
        <w:t>第二章 报价人须知</w:t>
      </w:r>
      <w:bookmarkEnd w:id="104"/>
      <w:bookmarkEnd w:id="105"/>
      <w:bookmarkEnd w:id="106"/>
      <w:bookmarkEnd w:id="107"/>
      <w:bookmarkEnd w:id="108"/>
      <w:bookmarkEnd w:id="109"/>
      <w:bookmarkEnd w:id="110"/>
      <w:bookmarkEnd w:id="111"/>
      <w:bookmarkEnd w:id="112"/>
      <w:bookmarkEnd w:id="113"/>
    </w:p>
    <w:p>
      <w:pPr>
        <w:rPr>
          <w:rFonts w:hint="default" w:eastAsia="宋体"/>
          <w:highlight w:val="none"/>
          <w:lang w:val="en-US" w:eastAsia="zh-CN"/>
        </w:rPr>
      </w:pPr>
      <w:r>
        <w:rPr>
          <w:rFonts w:hint="eastAsia"/>
          <w:highlight w:val="none"/>
          <w:lang w:val="en-US" w:eastAsia="zh-CN"/>
        </w:rPr>
        <w:t>报价人须知前附表</w:t>
      </w:r>
    </w:p>
    <w:tbl>
      <w:tblPr>
        <w:tblStyle w:val="4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14"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w:t>
            </w:r>
            <w:r>
              <w:rPr>
                <w:rFonts w:hint="eastAsia" w:ascii="宋体" w:hAnsi="宋体" w:cs="宋体"/>
                <w:szCs w:val="21"/>
                <w:highlight w:val="none"/>
              </w:rPr>
              <w:t>老师</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巫云开高速公路项目巫溪至开州段机电工程项目车道检测服务采购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color w:val="000000" w:themeColor="text1"/>
                <w:kern w:val="0"/>
                <w:szCs w:val="21"/>
                <w:highlight w:val="none"/>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7104" w:type="dxa"/>
            <w:vAlign w:val="top"/>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满足国家现行的相关技术标准及重庆高速公路集团有限公司制定的相关检测规范和要求。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安全目标</w:t>
            </w:r>
          </w:p>
        </w:tc>
        <w:tc>
          <w:tcPr>
            <w:tcW w:w="7104" w:type="dxa"/>
            <w:vAlign w:val="top"/>
          </w:tcPr>
          <w:p>
            <w:pPr>
              <w:spacing w:line="400" w:lineRule="exact"/>
              <w:ind w:firstLine="420" w:firstLineChars="200"/>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报价人资格要求</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default" w:ascii="宋体" w:hAnsi="宋体" w:eastAsia="宋体" w:cs="宋体"/>
                <w:kern w:val="0"/>
                <w:szCs w:val="21"/>
                <w:highlight w:val="none"/>
                <w:lang w:val="en-US" w:eastAsia="zh-CN"/>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97" w:type="dxa"/>
            <w:vAlign w:val="center"/>
          </w:tcPr>
          <w:p>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13</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50"/>
              <w:spacing w:before="72" w:line="400" w:lineRule="exact"/>
              <w:ind w:firstLine="420" w:firstLineChars="200"/>
              <w:jc w:val="both"/>
              <w:rPr>
                <w:rFonts w:hAnsi="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eastAsia="宋体" w:cs="宋体"/>
                <w:kern w:val="0"/>
                <w:sz w:val="21"/>
                <w:szCs w:val="21"/>
                <w:highlight w:val="none"/>
                <w:lang w:val="en-US" w:eastAsia="zh-CN" w:bidi="ar-SA"/>
              </w:rPr>
            </w:pPr>
            <w:bookmarkStart w:id="115" w:name="_Hlt227984024"/>
            <w:bookmarkEnd w:id="115"/>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报价人按照采购人提供的报价清单填写报价。</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lang w:val="en-US" w:eastAsia="zh-CN"/>
              </w:rPr>
              <w:t>报价取</w:t>
            </w:r>
            <w:r>
              <w:rPr>
                <w:rFonts w:hint="eastAsia" w:ascii="宋体" w:hAnsi="宋体" w:cs="宋体"/>
                <w:b/>
                <w:szCs w:val="21"/>
                <w:highlight w:val="none"/>
              </w:rPr>
              <w:t>小数点后</w:t>
            </w:r>
            <w:r>
              <w:rPr>
                <w:rFonts w:hint="eastAsia" w:ascii="宋体" w:hAnsi="宋体" w:cs="宋体"/>
                <w:b/>
                <w:szCs w:val="21"/>
                <w:highlight w:val="none"/>
                <w:lang w:val="en-US" w:eastAsia="zh-CN"/>
              </w:rPr>
              <w:t>二</w:t>
            </w:r>
            <w:r>
              <w:rPr>
                <w:rFonts w:hint="eastAsia" w:ascii="宋体" w:hAnsi="宋体" w:cs="宋体"/>
                <w:b/>
                <w:szCs w:val="21"/>
                <w:highlight w:val="none"/>
              </w:rPr>
              <w:t>位，小数点后第二位四舍五入。</w:t>
            </w:r>
          </w:p>
          <w:p>
            <w:pPr>
              <w:spacing w:line="400" w:lineRule="exact"/>
              <w:ind w:firstLine="422" w:firstLineChars="200"/>
              <w:rPr>
                <w:rFonts w:hAnsi="宋体"/>
                <w:szCs w:val="21"/>
                <w:highlight w:val="none"/>
              </w:rPr>
            </w:pPr>
            <w:r>
              <w:rPr>
                <w:rFonts w:hint="eastAsia" w:ascii="宋体" w:hAnsi="宋体" w:cs="宋体"/>
                <w:b/>
                <w:bCs/>
                <w:szCs w:val="21"/>
                <w:highlight w:val="none"/>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本项目最高</w:t>
            </w:r>
            <w:r>
              <w:rPr>
                <w:rFonts w:hint="default" w:ascii="宋体" w:hAnsi="宋体" w:cs="宋体"/>
                <w:b/>
                <w:color w:val="000000" w:themeColor="text1"/>
                <w:szCs w:val="21"/>
                <w:highlight w:val="none"/>
                <w:lang w:eastAsia="zh-CN"/>
                <w14:textFill>
                  <w14:solidFill>
                    <w14:schemeClr w14:val="tx1"/>
                  </w14:solidFill>
                </w14:textFill>
              </w:rPr>
              <w:t>总</w:t>
            </w:r>
            <w:r>
              <w:rPr>
                <w:rFonts w:hint="eastAsia" w:ascii="宋体" w:hAnsi="宋体" w:cs="宋体"/>
                <w:b/>
                <w:color w:val="000000" w:themeColor="text1"/>
                <w:szCs w:val="21"/>
                <w:highlight w:val="none"/>
                <w14:textFill>
                  <w14:solidFill>
                    <w14:schemeClr w14:val="tx1"/>
                  </w14:solidFill>
                </w14:textFill>
              </w:rPr>
              <w:t>限价为93139.20</w:t>
            </w:r>
            <w:r>
              <w:rPr>
                <w:rFonts w:hint="eastAsia" w:ascii="宋体" w:hAnsi="宋体" w:cs="宋体"/>
                <w:b/>
                <w:color w:val="000000" w:themeColor="text1"/>
                <w:szCs w:val="21"/>
                <w:highlight w:val="none"/>
                <w:lang w:val="en-US" w:eastAsia="zh-CN"/>
                <w14:textFill>
                  <w14:solidFill>
                    <w14:schemeClr w14:val="tx1"/>
                  </w14:solidFill>
                </w14:textFill>
              </w:rPr>
              <w:t>元</w:t>
            </w:r>
            <w:r>
              <w:rPr>
                <w:rFonts w:hint="eastAsia" w:ascii="宋体" w:hAnsi="宋体" w:cs="宋体"/>
                <w:b/>
                <w:color w:val="000000" w:themeColor="text1"/>
                <w:szCs w:val="21"/>
                <w:highlight w:val="none"/>
                <w:lang w:eastAsia="zh-CN"/>
                <w14:textFill>
                  <w14:solidFill>
                    <w14:schemeClr w14:val="tx1"/>
                  </w14:solidFill>
                </w14:textFill>
              </w:rPr>
              <w:t>。</w:t>
            </w:r>
          </w:p>
          <w:p>
            <w:pPr>
              <w:spacing w:line="400" w:lineRule="exact"/>
              <w:ind w:firstLine="422" w:firstLineChars="200"/>
              <w:rPr>
                <w:rFonts w:ascii="宋体" w:hAnsi="宋体" w:cs="宋体"/>
                <w:szCs w:val="21"/>
                <w:highlight w:val="none"/>
              </w:rPr>
            </w:pPr>
            <w:r>
              <w:rPr>
                <w:rFonts w:hint="eastAsia" w:ascii="宋体" w:hAnsi="宋体"/>
                <w:b/>
                <w:bCs/>
                <w:szCs w:val="21"/>
                <w:highlight w:val="none"/>
                <w:u w:val="single"/>
              </w:rPr>
              <w:t>本项目采用单价限价方式，报价人所报单价不得超过采购人发布的单价限价，若有报价高于采购人发布的单价限价或总限价，其竞争性比选响应文件视为重大偏差，竞争性比选响应文件将按否决报价处理。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pStyle w:val="19"/>
              <w:numPr>
                <w:ilvl w:val="0"/>
                <w:numId w:val="0"/>
              </w:numPr>
              <w:ind w:firstLine="420" w:firstLineChars="200"/>
              <w:rPr>
                <w:rFonts w:hint="default" w:ascii="宋体" w:hAnsi="宋体" w:eastAsia="宋体" w:cs="宋体"/>
                <w:color w:val="000000"/>
                <w:kern w:val="0"/>
                <w:sz w:val="21"/>
                <w:szCs w:val="21"/>
                <w:highlight w:val="none"/>
                <w:lang w:val="en-US" w:eastAsia="zh-CN" w:bidi="ar-SA"/>
              </w:rPr>
            </w:pPr>
            <w:r>
              <w:rPr>
                <w:rFonts w:hint="default" w:ascii="宋体" w:hAnsi="宋体" w:eastAsia="宋体" w:cs="宋体"/>
                <w:color w:val="000000"/>
                <w:kern w:val="0"/>
                <w:sz w:val="21"/>
                <w:szCs w:val="21"/>
                <w:highlight w:val="none"/>
                <w:lang w:val="en-US" w:eastAsia="zh-CN" w:bidi="ar-SA"/>
              </w:rPr>
              <w:t>乙方按照甲方工作要求开展车道检测工作，甲方按月对乙方实际检测车道数量进行验收，据实结算，乙方提供检测报告进行验收。</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lang w:val="en-US" w:eastAsia="zh-CN" w:bidi="ar-SA"/>
              </w:rPr>
              <w:t>（1）按月支付，次月支付上月完成合格工程量的100%。</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cs="宋体"/>
                <w:color w:val="000000"/>
                <w:kern w:val="0"/>
                <w:sz w:val="21"/>
                <w:szCs w:val="21"/>
                <w:highlight w:val="none"/>
                <w:lang w:val="en-US" w:eastAsia="zh-CN" w:bidi="ar-SA"/>
              </w:rPr>
              <w:t xml:space="preserve">   </w:t>
            </w:r>
            <w:r>
              <w:rPr>
                <w:rFonts w:hint="eastAsia" w:ascii="宋体" w:hAnsi="宋体" w:eastAsia="宋体" w:cs="宋体"/>
                <w:color w:val="000000"/>
                <w:kern w:val="0"/>
                <w:sz w:val="21"/>
                <w:szCs w:val="21"/>
                <w:highlight w:val="none"/>
                <w:lang w:val="en-US" w:eastAsia="zh-CN" w:bidi="ar-SA"/>
              </w:rPr>
              <w:t>注：甲方支付款项前，乙方应向甲方提供相应金额的合法有效的增值税发票。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50"/>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19</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一、投标保证金</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1、报价人须缴纳投标保证金</w:t>
            </w:r>
            <w:r>
              <w:rPr>
                <w:rFonts w:hint="eastAsia" w:hAnsi="宋体" w:cs="宋体"/>
                <w:sz w:val="21"/>
                <w:szCs w:val="21"/>
                <w:highlight w:val="none"/>
                <w:lang w:val="en-US" w:eastAsia="zh-CN"/>
              </w:rPr>
              <w:t>1000</w:t>
            </w:r>
            <w:r>
              <w:rPr>
                <w:rFonts w:hint="eastAsia" w:ascii="宋体" w:hAnsi="宋体" w:cs="宋体"/>
                <w:sz w:val="21"/>
                <w:szCs w:val="21"/>
                <w:highlight w:val="none"/>
              </w:rPr>
              <w:t>元，由报价人从公司基本账户将投标保证金汇至以下指定账户：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保证金到账截止时间：202</w:t>
            </w:r>
            <w:r>
              <w:rPr>
                <w:rFonts w:hint="eastAsia" w:hAnsi="宋体" w:cs="宋体"/>
                <w:sz w:val="21"/>
                <w:szCs w:val="21"/>
                <w:highlight w:val="none"/>
                <w:lang w:val="en-US" w:eastAsia="zh-CN"/>
              </w:rPr>
              <w:t>5</w:t>
            </w:r>
            <w:r>
              <w:rPr>
                <w:rFonts w:hint="eastAsia" w:ascii="宋体" w:hAnsi="宋体" w:cs="宋体"/>
                <w:sz w:val="21"/>
                <w:szCs w:val="21"/>
                <w:highlight w:val="none"/>
              </w:rPr>
              <w:t>年</w:t>
            </w:r>
            <w:r>
              <w:rPr>
                <w:rFonts w:hint="eastAsia" w:hAnsi="宋体" w:cs="宋体"/>
                <w:sz w:val="21"/>
                <w:szCs w:val="21"/>
                <w:highlight w:val="none"/>
                <w:lang w:val="en-US" w:eastAsia="zh-CN"/>
              </w:rPr>
              <w:t>01</w:t>
            </w:r>
            <w:r>
              <w:rPr>
                <w:rFonts w:hint="eastAsia" w:ascii="宋体" w:hAnsi="宋体" w:cs="宋体"/>
                <w:sz w:val="21"/>
                <w:szCs w:val="21"/>
                <w:highlight w:val="none"/>
              </w:rPr>
              <w:t>月</w:t>
            </w:r>
            <w:r>
              <w:rPr>
                <w:rFonts w:hint="eastAsia" w:hAnsi="宋体" w:cs="宋体"/>
                <w:sz w:val="21"/>
                <w:szCs w:val="21"/>
                <w:highlight w:val="none"/>
                <w:lang w:val="en-US" w:eastAsia="zh-CN"/>
              </w:rPr>
              <w:t>7</w:t>
            </w:r>
            <w:bookmarkStart w:id="238" w:name="_GoBack"/>
            <w:bookmarkEnd w:id="238"/>
            <w:r>
              <w:rPr>
                <w:rFonts w:hint="eastAsia" w:ascii="宋体" w:hAnsi="宋体" w:cs="宋体"/>
                <w:sz w:val="21"/>
                <w:szCs w:val="21"/>
                <w:highlight w:val="none"/>
              </w:rPr>
              <w:t>日</w:t>
            </w:r>
            <w:r>
              <w:rPr>
                <w:rFonts w:hint="eastAsia" w:hAnsi="宋体" w:cs="宋体"/>
                <w:sz w:val="21"/>
                <w:szCs w:val="21"/>
                <w:highlight w:val="none"/>
                <w:lang w:val="en-US" w:eastAsia="zh-CN"/>
              </w:rPr>
              <w:t>10</w:t>
            </w:r>
            <w:r>
              <w:rPr>
                <w:rFonts w:hint="eastAsia" w:ascii="宋体" w:hAnsi="宋体" w:cs="宋体"/>
                <w:sz w:val="21"/>
                <w:szCs w:val="21"/>
                <w:highlight w:val="none"/>
              </w:rPr>
              <w:t>时</w:t>
            </w:r>
            <w:r>
              <w:rPr>
                <w:rFonts w:hint="eastAsia" w:hAnsi="宋体" w:cs="宋体"/>
                <w:sz w:val="21"/>
                <w:szCs w:val="21"/>
                <w:highlight w:val="none"/>
                <w:lang w:val="en-US" w:eastAsia="zh-CN"/>
              </w:rPr>
              <w:t>00</w:t>
            </w:r>
            <w:r>
              <w:rPr>
                <w:rFonts w:hint="eastAsia" w:ascii="宋体" w:hAnsi="宋体" w:cs="宋体"/>
                <w:sz w:val="21"/>
                <w:szCs w:val="21"/>
                <w:highlight w:val="none"/>
              </w:rPr>
              <w:t>分前；</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若竞争性比选响应文件内无投标保证金缴纳凭证，采购人有权作废标处理，若投标保证金存在虚假不实情况，采购人有权作废标处理。</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转款备注：</w:t>
            </w:r>
            <w:r>
              <w:rPr>
                <w:rFonts w:hint="eastAsia" w:hAnsi="宋体" w:cs="宋体"/>
                <w:b/>
                <w:bCs/>
                <w:sz w:val="21"/>
                <w:szCs w:val="21"/>
                <w:highlight w:val="none"/>
                <w:lang w:eastAsia="zh-CN"/>
              </w:rPr>
              <w:t>巫云开高速公路项目巫溪至开州段机电工程项目车道检测服务采购</w:t>
            </w:r>
            <w:r>
              <w:rPr>
                <w:rFonts w:hint="eastAsia" w:hAnsi="宋体" w:cs="宋体"/>
                <w:b/>
                <w:bCs/>
                <w:sz w:val="21"/>
                <w:szCs w:val="21"/>
                <w:highlight w:val="none"/>
                <w:lang w:val="en-US" w:eastAsia="zh-CN"/>
              </w:rPr>
              <w:t>投标保证金</w:t>
            </w:r>
            <w:r>
              <w:rPr>
                <w:rFonts w:hint="eastAsia" w:ascii="宋体" w:hAnsi="宋体" w:cs="宋体"/>
                <w:b/>
                <w:bCs/>
                <w:sz w:val="21"/>
                <w:szCs w:val="21"/>
                <w:highlight w:val="none"/>
              </w:rPr>
              <w:t>。</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2、投标保证金退还方式</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为便于及时退还，报价人在递交响应文件的同时，递交本项目保证金银行回单和公司的开户许可证复印件。</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未中标报价人的投标保证金，于该项目结果公示期结束后15个工作日内无息退还至报价人基本账户。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中标人的投标保证金，自合同签订后15个工作日内无息退还至中标人基本账户。</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二、履约保证金</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1、履约担保作为本项目合同附件；</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2、履约保证金的金额：中标金额的</w:t>
            </w:r>
            <w:r>
              <w:rPr>
                <w:rFonts w:hint="eastAsia" w:hAnsi="宋体" w:cs="宋体"/>
                <w:sz w:val="21"/>
                <w:szCs w:val="21"/>
                <w:highlight w:val="none"/>
                <w:lang w:val="en-US" w:eastAsia="zh-CN"/>
              </w:rPr>
              <w:t>5</w:t>
            </w:r>
            <w:r>
              <w:rPr>
                <w:rFonts w:hint="eastAsia" w:ascii="宋体" w:hAnsi="宋体" w:cs="宋体"/>
                <w:sz w:val="21"/>
                <w:szCs w:val="21"/>
                <w:highlight w:val="none"/>
              </w:rPr>
              <w:t>%；</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3、履约保证金有效期：自双方签订的合同文件生效之日起，至合同约定时间或暂定金额使用完成为止。</w:t>
            </w:r>
          </w:p>
          <w:p>
            <w:pPr>
              <w:pStyle w:val="150"/>
              <w:keepNext w:val="0"/>
              <w:keepLines w:val="0"/>
              <w:pageBreakBefore w:val="0"/>
              <w:suppressLineNumbers w:val="0"/>
              <w:kinsoku/>
              <w:wordWrap/>
              <w:overflowPunct/>
              <w:topLinePunct w:val="0"/>
              <w:bidi w:val="0"/>
              <w:snapToGrid/>
              <w:spacing w:before="0" w:beforeAutospacing="0" w:after="0" w:afterAutospacing="0" w:line="360" w:lineRule="auto"/>
              <w:ind w:left="0" w:right="0" w:firstLine="420" w:firstLineChars="200"/>
              <w:textAlignment w:val="auto"/>
              <w:rPr>
                <w:rFonts w:hint="eastAsia" w:ascii="宋体" w:hAnsi="宋体" w:cs="宋体"/>
                <w:sz w:val="21"/>
                <w:szCs w:val="21"/>
                <w:highlight w:val="none"/>
              </w:rPr>
            </w:pPr>
            <w:r>
              <w:rPr>
                <w:rFonts w:hint="eastAsia" w:hAnsi="宋体"/>
                <w:color w:val="auto"/>
                <w:kern w:val="2"/>
                <w:sz w:val="21"/>
                <w:szCs w:val="21"/>
                <w:highlight w:val="none"/>
                <w:lang w:val="en-US" w:eastAsia="zh-CN"/>
              </w:rPr>
              <w:t>4、履约保证金缴纳方式：现金或保函</w:t>
            </w:r>
          </w:p>
          <w:p>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eastAsia" w:ascii="宋体" w:hAnsi="宋体" w:eastAsia="宋体" w:cs="宋体"/>
                <w:color w:val="000000"/>
                <w:kern w:val="0"/>
                <w:sz w:val="21"/>
                <w:szCs w:val="21"/>
                <w:highlight w:val="none"/>
                <w:lang w:val="en-US" w:eastAsia="zh-CN" w:bidi="ar-SA"/>
              </w:rPr>
            </w:pPr>
            <w:r>
              <w:rPr>
                <w:rFonts w:hint="eastAsia" w:hAnsi="宋体" w:cs="宋体"/>
                <w:sz w:val="21"/>
                <w:szCs w:val="21"/>
                <w:highlight w:val="none"/>
                <w:lang w:val="en-US" w:eastAsia="zh-CN"/>
              </w:rPr>
              <w:t>5</w:t>
            </w:r>
            <w:r>
              <w:rPr>
                <w:rFonts w:hint="eastAsia" w:ascii="宋体" w:hAnsi="宋体" w:cs="宋体"/>
                <w:sz w:val="21"/>
                <w:szCs w:val="21"/>
                <w:highlight w:val="none"/>
              </w:rPr>
              <w:t>、履约保证金的提交：在甲</w:t>
            </w:r>
            <w:r>
              <w:rPr>
                <w:rFonts w:hint="eastAsia" w:ascii="宋体" w:hAnsi="宋体" w:eastAsia="宋体" w:cs="宋体"/>
                <w:color w:val="000000"/>
                <w:kern w:val="0"/>
                <w:sz w:val="21"/>
                <w:szCs w:val="21"/>
                <w:highlight w:val="none"/>
                <w:lang w:val="en-US" w:eastAsia="zh-CN" w:bidi="ar-SA"/>
              </w:rPr>
              <w:t>方发出中标通知书后</w:t>
            </w:r>
            <w:r>
              <w:rPr>
                <w:rFonts w:hint="eastAsia" w:cs="宋体"/>
                <w:color w:val="000000"/>
                <w:kern w:val="0"/>
                <w:sz w:val="21"/>
                <w:szCs w:val="21"/>
                <w:highlight w:val="none"/>
                <w:lang w:val="en-US" w:eastAsia="zh-CN" w:bidi="ar-SA"/>
              </w:rPr>
              <w:t>28</w:t>
            </w:r>
            <w:r>
              <w:rPr>
                <w:rFonts w:hint="eastAsia" w:ascii="宋体" w:hAnsi="宋体" w:eastAsia="宋体" w:cs="宋体"/>
                <w:color w:val="000000"/>
                <w:kern w:val="0"/>
                <w:sz w:val="21"/>
                <w:szCs w:val="21"/>
                <w:highlight w:val="none"/>
                <w:lang w:val="en-US" w:eastAsia="zh-CN" w:bidi="ar-SA"/>
              </w:rPr>
              <w:t>个工作日内，中标人向采购人提供履约保证金缴纳凭证。</w:t>
            </w:r>
            <w:r>
              <w:rPr>
                <w:rFonts w:hint="eastAsia" w:ascii="宋体" w:hAnsi="宋体" w:cs="宋体"/>
                <w:sz w:val="21"/>
                <w:szCs w:val="21"/>
                <w:highlight w:val="none"/>
              </w:rPr>
              <w:t>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int="eastAsia" w:ascii="宋体" w:hAnsi="宋体" w:eastAsia="宋体" w:cs="宋体"/>
                <w:color w:val="000000"/>
                <w:kern w:val="0"/>
                <w:sz w:val="21"/>
                <w:szCs w:val="21"/>
                <w:highlight w:val="none"/>
                <w:lang w:val="en-US" w:eastAsia="zh-CN" w:bidi="ar-SA"/>
              </w:rPr>
              <w:t>若缴纳现金的，则需备注，转款备注</w:t>
            </w:r>
            <w:r>
              <w:rPr>
                <w:rFonts w:hint="eastAsia" w:ascii="宋体" w:hAnsi="宋体" w:cs="宋体"/>
                <w:sz w:val="21"/>
                <w:szCs w:val="21"/>
                <w:highlight w:val="none"/>
              </w:rPr>
              <w:t>：</w:t>
            </w:r>
            <w:r>
              <w:rPr>
                <w:rFonts w:hint="eastAsia" w:cs="宋体"/>
                <w:b/>
                <w:bCs/>
                <w:sz w:val="21"/>
                <w:szCs w:val="21"/>
                <w:highlight w:val="none"/>
                <w:lang w:eastAsia="zh-CN"/>
              </w:rPr>
              <w:t>巫云开高速公路项目巫溪至开州段机电工程项目车道检测服务采购</w:t>
            </w:r>
            <w:r>
              <w:rPr>
                <w:rFonts w:hint="eastAsia" w:ascii="宋体" w:hAnsi="宋体" w:eastAsia="宋体" w:cs="宋体"/>
                <w:color w:val="000000"/>
                <w:kern w:val="0"/>
                <w:sz w:val="21"/>
                <w:szCs w:val="21"/>
                <w:highlight w:val="none"/>
                <w:lang w:val="en-US" w:eastAsia="zh-CN" w:bidi="ar-SA"/>
              </w:rPr>
              <w:t>履约保证金。</w:t>
            </w:r>
          </w:p>
          <w:p>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ascii="宋体" w:hAnsi="宋体" w:eastAsia="宋体" w:cs="宋体"/>
                <w:color w:val="000000"/>
                <w:kern w:val="0"/>
                <w:sz w:val="21"/>
                <w:szCs w:val="21"/>
                <w:highlight w:val="none"/>
                <w:lang w:val="en-US" w:eastAsia="zh-CN" w:bidi="ar-SA"/>
              </w:rPr>
            </w:pPr>
            <w:r>
              <w:rPr>
                <w:rFonts w:hint="eastAsia" w:hAnsi="宋体"/>
                <w:color w:val="auto"/>
                <w:kern w:val="2"/>
                <w:sz w:val="21"/>
                <w:szCs w:val="21"/>
                <w:highlight w:val="none"/>
                <w:lang w:val="en-US" w:eastAsia="zh-CN"/>
              </w:rPr>
              <w:t>6</w:t>
            </w:r>
            <w:r>
              <w:rPr>
                <w:rFonts w:hint="eastAsia" w:ascii="宋体" w:hAnsi="宋体" w:eastAsia="宋体" w:cs="宋体"/>
                <w:color w:val="000000"/>
                <w:kern w:val="0"/>
                <w:sz w:val="21"/>
                <w:szCs w:val="21"/>
                <w:highlight w:val="none"/>
                <w:lang w:val="en-US" w:eastAsia="zh-CN" w:bidi="ar-SA"/>
              </w:rPr>
              <w:t>、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pStyle w:val="150"/>
              <w:spacing w:line="400" w:lineRule="exact"/>
              <w:ind w:firstLine="420" w:firstLineChars="200"/>
              <w:rPr>
                <w:rFonts w:hint="eastAsia" w:ascii="宋体" w:hAnsi="宋体" w:cs="宋体"/>
                <w:sz w:val="21"/>
                <w:szCs w:val="21"/>
                <w:highlight w:val="none"/>
              </w:rPr>
            </w:pPr>
            <w:r>
              <w:rPr>
                <w:rFonts w:hint="eastAsia" w:ascii="宋体" w:hAnsi="宋体" w:eastAsia="宋体" w:cs="宋体"/>
                <w:color w:val="000000"/>
                <w:kern w:val="0"/>
                <w:sz w:val="21"/>
                <w:szCs w:val="21"/>
                <w:highlight w:val="none"/>
                <w:lang w:val="en-US" w:eastAsia="zh-CN" w:bidi="ar-SA"/>
              </w:rPr>
              <w:t>7、</w:t>
            </w:r>
            <w:r>
              <w:rPr>
                <w:rFonts w:hint="default" w:ascii="宋体" w:hAnsi="宋体" w:eastAsia="宋体" w:cs="宋体"/>
                <w:color w:val="000000"/>
                <w:kern w:val="0"/>
                <w:sz w:val="21"/>
                <w:szCs w:val="21"/>
                <w:highlight w:val="none"/>
                <w:lang w:val="en-US" w:eastAsia="zh-CN" w:bidi="ar-SA"/>
              </w:rPr>
              <w:t>履约保证金</w:t>
            </w:r>
            <w:r>
              <w:rPr>
                <w:rFonts w:hint="eastAsia" w:ascii="宋体" w:hAnsi="宋体" w:eastAsia="宋体" w:cs="宋体"/>
                <w:color w:val="000000"/>
                <w:kern w:val="0"/>
                <w:sz w:val="21"/>
                <w:szCs w:val="21"/>
                <w:highlight w:val="none"/>
                <w:lang w:val="en-US" w:eastAsia="zh-CN" w:bidi="ar-SA"/>
              </w:rPr>
              <w:t>的</w:t>
            </w:r>
            <w:r>
              <w:rPr>
                <w:rFonts w:hint="default" w:ascii="宋体" w:hAnsi="宋体" w:eastAsia="宋体" w:cs="宋体"/>
                <w:color w:val="000000"/>
                <w:kern w:val="0"/>
                <w:sz w:val="21"/>
                <w:szCs w:val="21"/>
                <w:highlight w:val="none"/>
                <w:lang w:val="en-US" w:eastAsia="zh-CN" w:bidi="ar-SA"/>
              </w:rPr>
              <w:t>退还：缴纳现金的，在完成合同约定的全部工作内容后</w:t>
            </w:r>
            <w:r>
              <w:rPr>
                <w:rFonts w:hint="eastAsia" w:ascii="宋体" w:hAnsi="宋体" w:cs="宋体"/>
                <w:sz w:val="21"/>
                <w:szCs w:val="21"/>
                <w:highlight w:val="none"/>
              </w:rPr>
              <w:t>由中标人提出申请，</w:t>
            </w:r>
            <w:r>
              <w:rPr>
                <w:rFonts w:hint="default" w:ascii="宋体" w:hAnsi="宋体" w:eastAsia="宋体" w:cs="宋体"/>
                <w:color w:val="000000"/>
                <w:kern w:val="0"/>
                <w:sz w:val="21"/>
                <w:szCs w:val="21"/>
                <w:highlight w:val="none"/>
                <w:lang w:val="en-US" w:eastAsia="zh-CN" w:bidi="ar-SA"/>
              </w:rPr>
              <w:t>28天后无息退还剩余部分。</w:t>
            </w:r>
          </w:p>
          <w:p>
            <w:pPr>
              <w:pStyle w:val="150"/>
              <w:spacing w:line="400" w:lineRule="exact"/>
              <w:ind w:firstLine="420" w:firstLineChars="200"/>
              <w:rPr>
                <w:rFonts w:hint="eastAsia" w:ascii="宋体" w:hAnsi="宋体" w:cs="宋体"/>
                <w:sz w:val="21"/>
                <w:szCs w:val="21"/>
                <w:highlight w:val="none"/>
              </w:rPr>
            </w:pPr>
            <w:r>
              <w:rPr>
                <w:rFonts w:hint="eastAsia" w:hAnsi="宋体" w:cs="宋体"/>
                <w:sz w:val="21"/>
                <w:szCs w:val="21"/>
                <w:highlight w:val="none"/>
                <w:lang w:val="en-US" w:eastAsia="zh-CN"/>
              </w:rPr>
              <w:t>三</w:t>
            </w:r>
            <w:r>
              <w:rPr>
                <w:rFonts w:hint="eastAsia" w:ascii="宋体" w:hAnsi="宋体" w:cs="宋体"/>
                <w:sz w:val="21"/>
                <w:szCs w:val="21"/>
                <w:highlight w:val="none"/>
              </w:rPr>
              <w:t>、采购人指定的开户银行及账号如下：</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账户名称：重庆首讯科技股份有限公司</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开户银行：兴业银行重庆分行营业部</w:t>
            </w:r>
          </w:p>
          <w:p>
            <w:pPr>
              <w:pStyle w:val="15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帐    号：3460 1010 0100 4791 14</w:t>
            </w:r>
          </w:p>
          <w:p>
            <w:pPr>
              <w:pStyle w:val="150"/>
              <w:spacing w:line="400" w:lineRule="exact"/>
              <w:ind w:firstLine="482" w:firstLineChars="200"/>
              <w:rPr>
                <w:rFonts w:hint="eastAsia" w:ascii="宋体" w:hAnsi="宋体" w:cs="宋体"/>
                <w:sz w:val="21"/>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20</w:t>
            </w:r>
          </w:p>
        </w:tc>
        <w:tc>
          <w:tcPr>
            <w:tcW w:w="2106" w:type="dxa"/>
            <w:vAlign w:val="center"/>
          </w:tcPr>
          <w:p>
            <w:pPr>
              <w:pStyle w:val="150"/>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pPr>
              <w:pStyle w:val="150"/>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1</w:t>
            </w:r>
          </w:p>
        </w:tc>
        <w:tc>
          <w:tcPr>
            <w:tcW w:w="2106"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竞争性比选响应文件的组成</w:t>
            </w:r>
          </w:p>
        </w:tc>
        <w:tc>
          <w:tcPr>
            <w:tcW w:w="7104" w:type="dxa"/>
            <w:vAlign w:val="center"/>
          </w:tcPr>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w:t>
            </w:r>
            <w:r>
              <w:rPr>
                <w:rFonts w:hint="eastAsia" w:hAnsi="宋体"/>
                <w:b/>
                <w:bCs/>
                <w:color w:val="auto"/>
                <w:kern w:val="2"/>
                <w:sz w:val="21"/>
                <w:szCs w:val="21"/>
                <w:highlight w:val="none"/>
                <w:lang w:val="en-US" w:eastAsia="zh-CN"/>
              </w:rPr>
              <w:t>扫描件</w:t>
            </w:r>
            <w:r>
              <w:rPr>
                <w:rFonts w:hint="eastAsia" w:hAnsi="宋体"/>
                <w:b/>
                <w:bCs/>
                <w:color w:val="auto"/>
                <w:kern w:val="2"/>
                <w:sz w:val="21"/>
                <w:szCs w:val="21"/>
                <w:highlight w:val="none"/>
              </w:rPr>
              <w:t>PDF</w:t>
            </w:r>
            <w:r>
              <w:rPr>
                <w:rFonts w:hint="eastAsia" w:hAnsi="宋体"/>
                <w:b/>
                <w:bCs/>
                <w:color w:val="auto"/>
                <w:kern w:val="2"/>
                <w:sz w:val="21"/>
                <w:szCs w:val="21"/>
                <w:highlight w:val="none"/>
                <w:lang w:val="en-US" w:eastAsia="zh-CN"/>
              </w:rPr>
              <w:t>格式和excel版本报价清单</w:t>
            </w:r>
            <w:r>
              <w:rPr>
                <w:rFonts w:hint="eastAsia" w:hAnsi="宋体"/>
                <w:color w:val="auto"/>
                <w:kern w:val="2"/>
                <w:sz w:val="21"/>
                <w:szCs w:val="21"/>
                <w:highlight w:val="none"/>
              </w:rPr>
              <w:t>（U盘1份，电子文件内容须包括竞争性比选响应文件全部内容）。当电子文件与纸质版竞争性比选响应文件不一致时，以纸质版竞争性比选响应文件为准，当正本与副本不一致时，以正本为准。</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根据第八章竞争性比选响应文件格式编制。</w:t>
            </w:r>
            <w:r>
              <w:rPr>
                <w:rFonts w:hint="eastAsia" w:hAnsi="宋体"/>
                <w:color w:val="auto"/>
                <w:kern w:val="2"/>
                <w:sz w:val="21"/>
                <w:szCs w:val="21"/>
                <w:highlight w:val="none"/>
              </w:rPr>
              <w:t>（</w:t>
            </w:r>
            <w:r>
              <w:rPr>
                <w:rFonts w:hint="eastAsia" w:hAnsi="宋体"/>
                <w:b/>
                <w:bCs/>
                <w:color w:val="auto"/>
                <w:kern w:val="2"/>
                <w:sz w:val="21"/>
                <w:szCs w:val="21"/>
                <w:highlight w:val="none"/>
              </w:rPr>
              <w:t>注：以上所有文件均须逐页加盖报价人的公章</w:t>
            </w:r>
            <w:r>
              <w:rPr>
                <w:rFonts w:hint="eastAsia" w:hAnsi="宋体"/>
                <w:color w:val="auto"/>
                <w:kern w:val="2"/>
                <w:sz w:val="21"/>
                <w:szCs w:val="21"/>
                <w:highlight w:val="none"/>
              </w:rPr>
              <w:t>）。</w:t>
            </w:r>
          </w:p>
          <w:p>
            <w:pPr>
              <w:pStyle w:val="150"/>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50"/>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lang w:eastAsia="zh-CN"/>
              </w:rPr>
              <w:t>巫云开高速公路项目巫溪至开州段机电工程项目车道检测服务采购</w:t>
            </w:r>
            <w:r>
              <w:rPr>
                <w:rFonts w:hint="eastAsia" w:hAnsi="宋体"/>
                <w:color w:val="auto"/>
                <w:kern w:val="2"/>
                <w:sz w:val="21"/>
                <w:szCs w:val="21"/>
                <w:highlight w:val="none"/>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50"/>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2</w:t>
            </w:r>
          </w:p>
        </w:tc>
        <w:tc>
          <w:tcPr>
            <w:tcW w:w="2106" w:type="dxa"/>
            <w:vAlign w:val="center"/>
          </w:tcPr>
          <w:p>
            <w:pPr>
              <w:spacing w:line="400" w:lineRule="exact"/>
              <w:jc w:val="center"/>
              <w:rPr>
                <w:rFonts w:hAnsi="宋体"/>
                <w:szCs w:val="21"/>
                <w:highlight w:val="none"/>
              </w:rPr>
            </w:pPr>
            <w:r>
              <w:rPr>
                <w:rFonts w:hint="eastAsia"/>
                <w:highlight w:val="none"/>
              </w:rPr>
              <w:t>中标候选人公示</w:t>
            </w:r>
          </w:p>
        </w:tc>
        <w:tc>
          <w:tcPr>
            <w:tcW w:w="7104" w:type="dxa"/>
            <w:vAlign w:val="center"/>
          </w:tcPr>
          <w:p>
            <w:pPr>
              <w:spacing w:line="400" w:lineRule="exact"/>
              <w:ind w:firstLine="420" w:firstLineChars="200"/>
              <w:rPr>
                <w:rFonts w:hAnsi="宋体"/>
                <w:szCs w:val="21"/>
                <w:highlight w:val="none"/>
              </w:rPr>
            </w:pPr>
            <w:r>
              <w:rPr>
                <w:rFonts w:hint="eastAsia"/>
                <w:highlight w:val="none"/>
                <w:lang w:eastAsia="zh-CN"/>
              </w:rPr>
              <w:t>评审</w:t>
            </w:r>
            <w:r>
              <w:rPr>
                <w:rFonts w:hint="eastAsia"/>
                <w:highlight w:val="none"/>
              </w:rPr>
              <w:t>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pPr>
              <w:pStyle w:val="150"/>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50"/>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pPr>
              <w:pStyle w:val="150"/>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截止竞争性比选响应文件递交时间，递交竞争性比选响应文件不足3家的不得开启竞争性比选文件。重新招标后报价人仍少于3个，按法定程序开标和</w:t>
            </w:r>
            <w:r>
              <w:rPr>
                <w:rFonts w:hint="eastAsia" w:hAnsi="宋体"/>
                <w:sz w:val="21"/>
                <w:szCs w:val="21"/>
                <w:highlight w:val="none"/>
                <w:lang w:eastAsia="zh-CN"/>
              </w:rPr>
              <w:t>评审</w:t>
            </w:r>
            <w:r>
              <w:rPr>
                <w:rFonts w:hint="eastAsia" w:hAnsi="宋体"/>
                <w:sz w:val="21"/>
                <w:szCs w:val="21"/>
                <w:highlight w:val="none"/>
              </w:rPr>
              <w:t>，确定中标人。</w:t>
            </w:r>
          </w:p>
        </w:tc>
      </w:tr>
      <w:bookmarkEnd w:id="114"/>
    </w:tbl>
    <w:p>
      <w:pPr>
        <w:pStyle w:val="4"/>
        <w:widowControl/>
        <w:spacing w:before="0" w:after="0" w:line="300" w:lineRule="exact"/>
        <w:rPr>
          <w:rFonts w:hint="eastAsia" w:ascii="黑体" w:hAnsi="宋体" w:cs="黑体"/>
          <w:sz w:val="21"/>
          <w:szCs w:val="21"/>
          <w:highlight w:val="none"/>
        </w:rPr>
      </w:pPr>
      <w:bookmarkStart w:id="116" w:name="_Toc224103317"/>
    </w:p>
    <w:bookmarkEnd w:id="116"/>
    <w:p>
      <w:pPr>
        <w:rPr>
          <w:rFonts w:hint="eastAsia"/>
          <w:b/>
          <w:bCs/>
          <w:sz w:val="28"/>
          <w:szCs w:val="36"/>
          <w:highlight w:val="none"/>
        </w:rPr>
      </w:pPr>
      <w:bookmarkStart w:id="117" w:name="_Toc32070"/>
      <w:bookmarkStart w:id="118" w:name="_Toc14101"/>
      <w:bookmarkStart w:id="119" w:name="_Toc11284"/>
      <w:bookmarkStart w:id="120" w:name="_Toc17532"/>
      <w:bookmarkStart w:id="121" w:name="_Toc11329222"/>
      <w:bookmarkStart w:id="122" w:name="_Toc30198"/>
      <w:r>
        <w:rPr>
          <w:rFonts w:hint="eastAsia"/>
          <w:b/>
          <w:bCs/>
          <w:sz w:val="28"/>
          <w:szCs w:val="36"/>
          <w:highlight w:val="none"/>
        </w:rPr>
        <w:br w:type="page"/>
      </w:r>
    </w:p>
    <w:p>
      <w:pPr>
        <w:jc w:val="center"/>
        <w:rPr>
          <w:b/>
          <w:bCs/>
          <w:sz w:val="28"/>
          <w:szCs w:val="36"/>
          <w:highlight w:val="none"/>
        </w:rPr>
      </w:pPr>
      <w:r>
        <w:rPr>
          <w:rFonts w:hint="eastAsia"/>
          <w:b/>
          <w:bCs/>
          <w:sz w:val="28"/>
          <w:szCs w:val="36"/>
          <w:highlight w:val="none"/>
        </w:rPr>
        <w:t>附录1  报价人资格要求</w:t>
      </w:r>
      <w:bookmarkEnd w:id="117"/>
      <w:bookmarkEnd w:id="118"/>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cs="Times New Roman"/>
                <w:lang w:val="en-US" w:eastAsia="zh-CN"/>
              </w:rPr>
              <w:t>、报价人</w:t>
            </w:r>
            <w:r>
              <w:rPr>
                <w:rFonts w:hint="eastAsia" w:ascii="Times New Roman" w:hAnsi="Times New Roman" w:eastAsia="宋体" w:cs="Times New Roman"/>
              </w:rPr>
              <w:t>具有独立法人资格，具有有效的营业执照。</w:t>
            </w:r>
          </w:p>
          <w:p>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cs="Times New Roman"/>
                <w:lang w:val="en-US" w:eastAsia="zh-CN"/>
              </w:rPr>
              <w:t>报价人</w:t>
            </w:r>
            <w:r>
              <w:rPr>
                <w:rFonts w:hint="eastAsia" w:ascii="Times New Roman" w:hAnsi="Times New Roman" w:eastAsia="宋体" w:cs="Times New Roman"/>
              </w:rPr>
              <w:t>需具备ISO管理认证体系证书（ISO9001质量管理体系认证证书、ISO14001环境管理体系认证证书、ISO45001职业健康安全管理体系认证证书）</w:t>
            </w:r>
            <w:r>
              <w:rPr>
                <w:rFonts w:hint="eastAsia" w:ascii="Times New Roman" w:hAnsi="Times New Roman" w:eastAsia="宋体" w:cs="Times New Roman"/>
                <w:lang w:eastAsia="zh-CN"/>
              </w:rPr>
              <w:t>。</w:t>
            </w:r>
          </w:p>
          <w:p>
            <w:pPr>
              <w:numPr>
                <w:ilvl w:val="0"/>
                <w:numId w:val="0"/>
              </w:numPr>
              <w:spacing w:line="400" w:lineRule="exact"/>
              <w:rPr>
                <w:highlight w:val="none"/>
              </w:rPr>
            </w:pPr>
            <w:r>
              <w:rPr>
                <w:rFonts w:hint="eastAsia" w:ascii="Times New Roman" w:hAnsi="Times New Roman" w:eastAsia="宋体" w:cs="Times New Roman"/>
                <w:lang w:val="en-US" w:eastAsia="zh-CN"/>
              </w:rPr>
              <w:t>3、</w:t>
            </w:r>
            <w:r>
              <w:rPr>
                <w:rFonts w:hint="eastAsia" w:cs="Times New Roman"/>
                <w:lang w:val="en-US" w:eastAsia="zh-CN"/>
              </w:rPr>
              <w:t>报价人</w:t>
            </w:r>
            <w:r>
              <w:rPr>
                <w:rFonts w:hint="eastAsia" w:ascii="Times New Roman" w:hAnsi="Times New Roman" w:eastAsia="宋体" w:cs="Times New Roman"/>
              </w:rPr>
              <w:t>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1、2021年1月1日至报价截止日期（以合同签订时间为准）至少独立完成一项合同金额不低于5万元及以上的高速公路车道检测业绩（提供合同扫描件）。</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shd w:val="clear" w:color="auto" w:fill="FFFFFF"/>
              </w:rPr>
              <w:t>注：须提供合同复印件或关键页，关键页包括但不限于合同首尾页、签章页、金额页、</w:t>
            </w:r>
            <w:r>
              <w:rPr>
                <w:rFonts w:hint="eastAsia" w:ascii="宋体" w:hAnsi="宋体" w:cs="宋体"/>
                <w:b/>
                <w:bCs/>
                <w:szCs w:val="21"/>
                <w:highlight w:val="none"/>
                <w:shd w:val="clear" w:color="auto" w:fill="FFFFFF"/>
              </w:rPr>
              <w:t>单项金额</w:t>
            </w:r>
            <w:r>
              <w:rPr>
                <w:rFonts w:hint="eastAsia" w:ascii="宋体" w:hAnsi="宋体" w:cs="宋体"/>
                <w:szCs w:val="21"/>
                <w:highlight w:val="none"/>
                <w:shd w:val="clear" w:color="auto" w:fill="FFFFFF"/>
              </w:rPr>
              <w:t>页（非单一供货</w:t>
            </w:r>
            <w:r>
              <w:rPr>
                <w:rFonts w:hint="eastAsia" w:ascii="宋体" w:hAnsi="宋体" w:cs="宋体"/>
                <w:szCs w:val="21"/>
                <w:highlight w:val="none"/>
                <w:shd w:val="clear" w:color="auto" w:fill="FFFFFF"/>
                <w:lang w:val="en-US" w:eastAsia="zh-CN"/>
              </w:rPr>
              <w:t>内容业绩</w:t>
            </w:r>
            <w:r>
              <w:rPr>
                <w:rFonts w:hint="eastAsia" w:ascii="宋体" w:hAnsi="宋体" w:cs="宋体"/>
                <w:szCs w:val="21"/>
                <w:highlight w:val="none"/>
                <w:shd w:val="clear" w:color="auto" w:fill="FFFFFF"/>
              </w:rPr>
              <w:t>时提供）以及对应合同</w:t>
            </w:r>
            <w:r>
              <w:rPr>
                <w:rFonts w:hint="eastAsia" w:ascii="宋体" w:hAnsi="宋体" w:cs="宋体"/>
                <w:szCs w:val="21"/>
                <w:highlight w:val="none"/>
                <w:shd w:val="clear" w:color="auto" w:fill="FFFFFF"/>
                <w:lang w:val="en-US" w:eastAsia="zh-CN"/>
              </w:rPr>
              <w:t>不低于5万</w:t>
            </w:r>
            <w:r>
              <w:rPr>
                <w:rFonts w:hint="eastAsia" w:ascii="宋体" w:hAnsi="宋体" w:cs="宋体"/>
                <w:szCs w:val="21"/>
                <w:highlight w:val="none"/>
                <w:shd w:val="clear" w:color="auto" w:fill="FFFFFF"/>
              </w:rPr>
              <w:t>的增值税发票，关键页需能充分体现以上业绩要求各项要素。增值税发票复印件要求：投标人针对该业绩项目开具增值税发票复印件或扫描件（非单一供货</w:t>
            </w:r>
            <w:r>
              <w:rPr>
                <w:rFonts w:hint="eastAsia" w:ascii="宋体" w:hAnsi="宋体" w:cs="宋体"/>
                <w:szCs w:val="21"/>
                <w:highlight w:val="none"/>
                <w:shd w:val="clear" w:color="auto" w:fill="FFFFFF"/>
                <w:lang w:val="en-US" w:eastAsia="zh-CN"/>
              </w:rPr>
              <w:t>内容</w:t>
            </w:r>
            <w:r>
              <w:rPr>
                <w:rFonts w:hint="eastAsia" w:ascii="宋体" w:hAnsi="宋体" w:cs="宋体"/>
                <w:szCs w:val="21"/>
                <w:highlight w:val="none"/>
                <w:shd w:val="clear" w:color="auto" w:fill="FFFFFF"/>
              </w:rPr>
              <w:t>业绩时提供</w:t>
            </w:r>
            <w:r>
              <w:rPr>
                <w:rFonts w:hint="eastAsia" w:ascii="宋体" w:hAnsi="宋体" w:cs="宋体"/>
                <w:b/>
                <w:bCs/>
                <w:szCs w:val="21"/>
                <w:highlight w:val="none"/>
                <w:shd w:val="clear" w:color="auto" w:fill="FFFFFF"/>
              </w:rPr>
              <w:t>单项发票</w:t>
            </w:r>
            <w:r>
              <w:rPr>
                <w:rFonts w:hint="eastAsia" w:ascii="宋体" w:hAnsi="宋体" w:cs="宋体"/>
                <w:szCs w:val="21"/>
                <w:highlight w:val="none"/>
                <w:shd w:val="clear" w:color="auto" w:fill="FFFFFF"/>
              </w:rPr>
              <w:t>）。提供有关资料，加盖报价单位鲜公章。不满足上述业绩要求的业绩视为无效。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1、在国家企业信用信息公示系统（http://www.gsxt.gov.cn/）中未被列入严重违法失信企业名单（黑名单）信息；在“信用中国”网站（http://www.creditchina.gov.cn/）中未被列入严重失信主体名单</w:t>
            </w:r>
            <w:r>
              <w:rPr>
                <w:rFonts w:hint="eastAsia" w:ascii="宋体" w:hAnsi="宋体" w:cs="宋体"/>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highlight w:val="none"/>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400" w:lineRule="exact"/>
              <w:rPr>
                <w:rFonts w:hint="eastAsia" w:ascii="宋体" w:hAnsi="宋体" w:eastAsia="宋体" w:cs="宋体"/>
                <w:szCs w:val="21"/>
                <w:highlight w:val="none"/>
                <w:shd w:val="clear" w:color="auto" w:fill="FFFFFF"/>
              </w:rPr>
            </w:pP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需持有效的智能交通及信息化证书中级及以上职称，检测人员不得少于3名。</w:t>
            </w:r>
          </w:p>
          <w:p>
            <w:pPr>
              <w:pStyle w:val="14"/>
              <w:numPr>
                <w:ilvl w:val="0"/>
                <w:numId w:val="0"/>
              </w:numPr>
              <w:rPr>
                <w:rFonts w:hint="eastAsia"/>
                <w:lang w:val="en-US" w:eastAsia="zh-CN"/>
              </w:rPr>
            </w:pPr>
            <w:r>
              <w:rPr>
                <w:rFonts w:hint="eastAsia"/>
                <w:lang w:val="en-US" w:eastAsia="zh-CN"/>
              </w:rPr>
              <w:t>注：</w:t>
            </w:r>
            <w:r>
              <w:rPr>
                <w:rFonts w:hint="eastAsia" w:ascii="Times New Roman" w:hAnsi="宋体" w:cs="Times New Roman"/>
                <w:b w:val="0"/>
                <w:bCs w:val="0"/>
                <w:color w:val="auto"/>
                <w:sz w:val="21"/>
                <w:szCs w:val="21"/>
                <w:highlight w:val="none"/>
                <w:lang w:val="en-US" w:eastAsia="zh-CN"/>
              </w:rPr>
              <w:t>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eastAsia" w:hAnsi="宋体"/>
          <w:kern w:val="0"/>
          <w:szCs w:val="21"/>
          <w:highlight w:val="none"/>
          <w:lang w:eastAsia="zh-CN"/>
        </w:rPr>
      </w:pP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并加盖单位鲜公章</w:t>
      </w:r>
      <w:r>
        <w:rPr>
          <w:rFonts w:hint="eastAsia" w:hAnsi="宋体"/>
          <w:kern w:val="0"/>
          <w:szCs w:val="21"/>
          <w:highlight w:val="none"/>
          <w:lang w:eastAsia="zh-CN"/>
        </w:rPr>
        <w:t>。</w:t>
      </w:r>
    </w:p>
    <w:bookmarkEnd w:id="119"/>
    <w:bookmarkEnd w:id="120"/>
    <w:bookmarkEnd w:id="121"/>
    <w:bookmarkEnd w:id="122"/>
    <w:p>
      <w:pPr>
        <w:sectPr>
          <w:footerReference r:id="rId7"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numPr>
          <w:ilvl w:val="0"/>
          <w:numId w:val="6"/>
        </w:numPr>
        <w:spacing w:before="0" w:after="0" w:line="360" w:lineRule="auto"/>
        <w:jc w:val="center"/>
        <w:rPr>
          <w:highlight w:val="none"/>
        </w:rPr>
      </w:pPr>
      <w:bookmarkStart w:id="123" w:name="_Toc2000406"/>
      <w:bookmarkStart w:id="124" w:name="_Toc152045587"/>
      <w:bookmarkStart w:id="125" w:name="_Toc17088"/>
      <w:bookmarkStart w:id="126" w:name="_Toc179632605"/>
      <w:bookmarkStart w:id="127" w:name="_Toc144974554"/>
      <w:bookmarkStart w:id="128" w:name="_Toc507319957"/>
      <w:bookmarkStart w:id="129" w:name="_Toc246996973"/>
      <w:bookmarkStart w:id="130" w:name="_Toc246996230"/>
      <w:bookmarkStart w:id="131" w:name="_Toc247085745"/>
      <w:bookmarkStart w:id="132" w:name="_Toc152042364"/>
      <w:r>
        <w:rPr>
          <w:rFonts w:hint="eastAsia" w:ascii="宋体" w:hAnsi="宋体" w:cs="宋体"/>
          <w:highlight w:val="none"/>
          <w:lang w:eastAsia="zh-CN"/>
        </w:rPr>
        <w:t>评审</w:t>
      </w:r>
      <w:r>
        <w:rPr>
          <w:rFonts w:hint="eastAsia" w:ascii="宋体" w:hAnsi="宋体" w:cs="宋体"/>
          <w:highlight w:val="none"/>
        </w:rPr>
        <w:t>办法（</w:t>
      </w:r>
      <w:r>
        <w:rPr>
          <w:rFonts w:hint="eastAsia" w:ascii="宋体" w:hAnsi="宋体" w:cs="宋体"/>
          <w:highlight w:val="none"/>
          <w:lang w:val="en-US" w:eastAsia="zh-CN"/>
        </w:rPr>
        <w:t>经评审的最低投标价法</w:t>
      </w:r>
      <w:r>
        <w:rPr>
          <w:rFonts w:hint="eastAsia" w:ascii="宋体" w:hAnsi="宋体" w:cs="宋体"/>
          <w:highlight w:val="none"/>
        </w:rPr>
        <w:t>）</w:t>
      </w:r>
      <w:bookmarkEnd w:id="123"/>
      <w:bookmarkEnd w:id="124"/>
      <w:bookmarkEnd w:id="125"/>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ascii="宋体" w:hAnsi="宋体"/>
          <w:b/>
          <w:color w:val="auto"/>
          <w:sz w:val="21"/>
          <w:szCs w:val="21"/>
          <w:highlight w:val="none"/>
        </w:rPr>
      </w:pPr>
      <w:bookmarkStart w:id="133" w:name="_Toc15986"/>
      <w:bookmarkStart w:id="134" w:name="_Toc21591"/>
      <w:bookmarkStart w:id="135" w:name="_Toc4500"/>
      <w:bookmarkStart w:id="136" w:name="_Toc2436"/>
      <w:r>
        <w:rPr>
          <w:rFonts w:hint="eastAsia" w:ascii="宋体" w:hAnsi="宋体"/>
          <w:b/>
          <w:color w:val="auto"/>
          <w:sz w:val="21"/>
          <w:szCs w:val="21"/>
          <w:highlight w:val="none"/>
          <w:lang w:eastAsia="zh-CN"/>
        </w:rPr>
        <w:t>评审</w:t>
      </w:r>
      <w:r>
        <w:rPr>
          <w:rFonts w:hint="eastAsia" w:ascii="宋体" w:hAnsi="宋体"/>
          <w:b/>
          <w:color w:val="auto"/>
          <w:sz w:val="21"/>
          <w:szCs w:val="21"/>
          <w:highlight w:val="none"/>
        </w:rPr>
        <w:t>办法前附表</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办法前附表与正文不一致的地方以</w:t>
      </w:r>
      <w:r>
        <w:rPr>
          <w:rFonts w:hint="eastAsia" w:ascii="宋体" w:hAnsi="宋体" w:cs="宋体"/>
          <w:color w:val="auto"/>
          <w:sz w:val="21"/>
          <w:szCs w:val="21"/>
          <w:highlight w:val="none"/>
          <w:lang w:eastAsia="zh-CN"/>
        </w:rPr>
        <w:t>评审</w:t>
      </w:r>
      <w:r>
        <w:rPr>
          <w:rFonts w:hint="eastAsia" w:ascii="宋体" w:hAnsi="宋体" w:cs="宋体"/>
          <w:color w:val="auto"/>
          <w:sz w:val="21"/>
          <w:szCs w:val="21"/>
          <w:highlight w:val="none"/>
        </w:rPr>
        <w:t>办法前附表为准。</w:t>
      </w:r>
    </w:p>
    <w:tbl>
      <w:tblPr>
        <w:tblStyle w:val="44"/>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经评审的最低价，由低到高的顺序确定中标候选人。如出现报价相等时，评审小组按以下原则确定第一中标候选人，以最早提交报价文件的报价人为第一中标候选人；其他测按照最有利于业主的原则进行评标。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highlight w:val="none"/>
              </w:rPr>
              <w:t>与营业执照、资质证书</w:t>
            </w:r>
            <w:r>
              <w:rPr>
                <w:rFonts w:hint="eastAsia"/>
                <w:highlight w:val="none"/>
                <w:lang w:val="en-US" w:eastAsia="zh-CN"/>
              </w:rPr>
              <w:t>等资料</w:t>
            </w:r>
            <w:r>
              <w:rPr>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符合第九章“</w:t>
            </w: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比选响应文件格式”的要求，字迹清晰可辨。</w:t>
            </w:r>
          </w:p>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函的所有数据均符合</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文件的规定；</w:t>
            </w:r>
          </w:p>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符合第五章“工程量清单”给出的范围及数量</w:t>
            </w: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比选响应文件报价表中的报价与</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竞争性</w:t>
            </w:r>
            <w:r>
              <w:rPr>
                <w:color w:val="000000" w:themeColor="text1"/>
                <w:highlight w:val="none"/>
                <w14:textFill>
                  <w14:solidFill>
                    <w14:schemeClr w14:val="tx1"/>
                  </w14:solidFill>
                </w14:textFill>
              </w:rPr>
              <w:t>比选响应文件正本中法定代表人或授权代理人签署姓名齐全，符合</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spacing w:line="440" w:lineRule="exact"/>
              <w:jc w:val="center"/>
              <w:rPr>
                <w:color w:val="000000" w:themeColor="text1"/>
                <w:highlight w:val="none"/>
                <w14:textFill>
                  <w14:solidFill>
                    <w14:schemeClr w14:val="tx1"/>
                  </w14:solidFill>
                </w14:textFill>
              </w:rPr>
            </w:pPr>
            <w:r>
              <w:rPr>
                <w:highlight w:val="none"/>
              </w:rPr>
              <w:t>报价其它要求</w:t>
            </w:r>
          </w:p>
        </w:tc>
        <w:tc>
          <w:tcPr>
            <w:tcW w:w="5004" w:type="dxa"/>
            <w:tcBorders>
              <w:top w:val="single" w:color="auto" w:sz="4" w:space="0"/>
              <w:left w:val="single" w:color="auto" w:sz="4" w:space="0"/>
            </w:tcBorders>
            <w:vAlign w:val="center"/>
          </w:tcPr>
          <w:p>
            <w:pPr>
              <w:spacing w:line="440" w:lineRule="exact"/>
              <w:rPr>
                <w:color w:val="000000" w:themeColor="text1"/>
                <w:highlight w:val="none"/>
                <w14:textFill>
                  <w14:solidFill>
                    <w14:schemeClr w14:val="tx1"/>
                  </w14:solidFill>
                </w14:textFill>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vAlign w:val="center"/>
          </w:tcPr>
          <w:p>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w:t>
            </w:r>
            <w:r>
              <w:rPr>
                <w:color w:val="000000" w:themeColor="text1"/>
                <w:highlight w:val="none"/>
                <w14:textFill>
                  <w14:solidFill>
                    <w14:schemeClr w14:val="tx1"/>
                  </w14:solidFill>
                </w14:textFill>
              </w:rPr>
              <w:t>要求</w:t>
            </w:r>
          </w:p>
        </w:tc>
        <w:tc>
          <w:tcPr>
            <w:tcW w:w="5004" w:type="dxa"/>
            <w:tcBorders>
              <w:top w:val="single" w:color="auto" w:sz="4" w:space="0"/>
              <w:left w:val="single" w:color="auto" w:sz="4" w:space="0"/>
              <w:bottom w:val="single" w:color="auto" w:sz="4" w:space="0"/>
            </w:tcBorders>
            <w:vAlign w:val="center"/>
          </w:tcPr>
          <w:p>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要求</w:t>
            </w:r>
          </w:p>
        </w:tc>
        <w:tc>
          <w:tcPr>
            <w:tcW w:w="5004" w:type="dxa"/>
            <w:tcBorders>
              <w:top w:val="single" w:color="auto" w:sz="4" w:space="0"/>
              <w:left w:val="single" w:color="auto" w:sz="4" w:space="0"/>
              <w:bottom w:val="single" w:color="auto" w:sz="4" w:space="0"/>
            </w:tcBorders>
            <w:vAlign w:val="center"/>
          </w:tcPr>
          <w:p>
            <w:pPr>
              <w:spacing w:line="400" w:lineRule="exact"/>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符合比选文件给出的范围及数量，且报价不得超过</w:t>
            </w:r>
            <w:r>
              <w:rPr>
                <w:rFonts w:hint="eastAsia"/>
                <w:color w:val="000000" w:themeColor="text1"/>
                <w:highlight w:val="none"/>
                <w14:textFill>
                  <w14:solidFill>
                    <w14:schemeClr w14:val="tx1"/>
                  </w14:solidFill>
                </w14:textFill>
              </w:rPr>
              <w:t>采购人</w:t>
            </w:r>
            <w:r>
              <w:rPr>
                <w:color w:val="000000" w:themeColor="text1"/>
                <w:highlight w:val="none"/>
                <w14:textFill>
                  <w14:solidFill>
                    <w14:schemeClr w14:val="tx1"/>
                  </w14:solidFill>
                </w14:textFill>
              </w:rPr>
              <w:t>公布的最高限价，但也不得低于</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符合第二章“</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人须知”第</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补充细化：</w:t>
            </w:r>
          </w:p>
          <w:p>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本项目评标采用经评审的最低投标价法，对通过初步评审、详细评审的</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人按照</w:t>
            </w:r>
            <w:r>
              <w:rPr>
                <w:rFonts w:hint="eastAsia"/>
                <w:color w:val="000000" w:themeColor="text1"/>
                <w:highlight w:val="none"/>
                <w14:textFill>
                  <w14:solidFill>
                    <w14:schemeClr w14:val="tx1"/>
                  </w14:solidFill>
                </w14:textFill>
              </w:rPr>
              <w:t>报</w:t>
            </w:r>
            <w:r>
              <w:rPr>
                <w:color w:val="000000" w:themeColor="text1"/>
                <w:highlight w:val="none"/>
                <w14:textFill>
                  <w14:solidFill>
                    <w14:schemeClr w14:val="tx1"/>
                  </w14:solidFill>
                </w14:textFill>
              </w:rPr>
              <w:t>价从低到高的先后顺序，推荐</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名中标候选人。</w:t>
            </w:r>
          </w:p>
        </w:tc>
      </w:tr>
    </w:tbl>
    <w:p>
      <w:pPr>
        <w:ind w:firstLine="420"/>
        <w:rPr>
          <w:color w:val="auto"/>
          <w:highlight w:val="none"/>
        </w:rPr>
      </w:pP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Style w:val="83"/>
          <w:highlight w:val="none"/>
        </w:rPr>
      </w:pPr>
      <w:r>
        <w:rPr>
          <w:color w:val="auto"/>
          <w:highlight w:val="none"/>
        </w:rPr>
        <w:br w:type="page"/>
      </w:r>
    </w:p>
    <w:p>
      <w:pPr>
        <w:pStyle w:val="3"/>
        <w:numPr>
          <w:ilvl w:val="0"/>
          <w:numId w:val="6"/>
        </w:numPr>
        <w:spacing w:before="0" w:after="0" w:line="360" w:lineRule="auto"/>
        <w:jc w:val="center"/>
        <w:rPr>
          <w:rFonts w:ascii="宋体" w:hAnsi="宋体" w:cs="宋体"/>
          <w:highlight w:val="none"/>
        </w:rPr>
      </w:pPr>
      <w:bookmarkStart w:id="137" w:name="_Toc4603"/>
      <w:r>
        <w:rPr>
          <w:rFonts w:hint="eastAsia" w:ascii="宋体" w:hAnsi="宋体" w:cs="宋体"/>
          <w:highlight w:val="none"/>
        </w:rPr>
        <w:t>报价说明</w:t>
      </w:r>
      <w:bookmarkEnd w:id="137"/>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清单应与本工程竞争性比选文件、技术标准和要求等文件结合起来查阅与理解。</w:t>
      </w:r>
    </w:p>
    <w:p>
      <w:pPr>
        <w:pStyle w:val="29"/>
        <w:spacing w:line="380" w:lineRule="exact"/>
        <w:ind w:firstLine="420" w:firstLineChars="20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rPr>
        <w:t>2、本项目所报含税单位为</w:t>
      </w:r>
      <w:r>
        <w:rPr>
          <w:rFonts w:hint="eastAsia" w:ascii="宋体" w:hAnsi="宋体" w:cs="宋体"/>
          <w:b w:val="0"/>
          <w:bCs w:val="0"/>
          <w:sz w:val="21"/>
          <w:szCs w:val="21"/>
          <w:highlight w:val="none"/>
          <w:lang w:val="en-US" w:eastAsia="zh-CN"/>
        </w:rPr>
        <w:t>综合单价，</w:t>
      </w:r>
      <w:r>
        <w:rPr>
          <w:rFonts w:hint="eastAsia" w:ascii="宋体" w:hAnsi="宋体" w:eastAsia="宋体" w:cs="宋体"/>
          <w:b w:val="0"/>
          <w:bCs w:val="0"/>
          <w:sz w:val="21"/>
          <w:szCs w:val="21"/>
          <w:highlight w:val="none"/>
          <w:lang w:val="en-US" w:eastAsia="zh-CN"/>
        </w:rPr>
        <w:t>综合单价是指完成本项目所包含的全部服务</w:t>
      </w:r>
      <w:r>
        <w:rPr>
          <w:rFonts w:hint="eastAsia" w:ascii="宋体" w:hAnsi="宋体" w:cs="宋体"/>
          <w:b w:val="0"/>
          <w:bCs w:val="0"/>
          <w:sz w:val="21"/>
          <w:szCs w:val="21"/>
          <w:highlight w:val="none"/>
          <w:lang w:val="en-US" w:eastAsia="zh-CN"/>
        </w:rPr>
        <w:t>，包含但不限于</w:t>
      </w:r>
      <w:r>
        <w:rPr>
          <w:rFonts w:hint="eastAsia" w:ascii="宋体" w:hAnsi="宋体" w:eastAsia="宋体" w:cs="宋体"/>
          <w:b w:val="0"/>
          <w:bCs w:val="0"/>
          <w:sz w:val="21"/>
          <w:szCs w:val="21"/>
          <w:highlight w:val="none"/>
          <w:lang w:val="en-US" w:eastAsia="zh-CN"/>
        </w:rPr>
        <w:t>完成工程量清单中一个规定计量单位的分部分项工程量清单费用、措施项目清单费用、其他项目清单费用、规费、税金等完成本项目的一切费用（即本项目的人工费、材料</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设备</w:t>
      </w:r>
      <w:r>
        <w:rPr>
          <w:rFonts w:hint="eastAsia" w:ascii="宋体" w:hAnsi="宋体" w:cs="宋体"/>
          <w:b w:val="0"/>
          <w:bCs w:val="0"/>
          <w:sz w:val="21"/>
          <w:szCs w:val="21"/>
          <w:highlight w:val="none"/>
          <w:lang w:val="en-US" w:eastAsia="zh-CN"/>
        </w:rPr>
        <w:t>、安全生产费</w:t>
      </w:r>
      <w:r>
        <w:rPr>
          <w:rFonts w:hint="eastAsia" w:ascii="宋体" w:hAnsi="宋体" w:eastAsia="宋体" w:cs="宋体"/>
          <w:b w:val="0"/>
          <w:bCs w:val="0"/>
          <w:sz w:val="21"/>
          <w:szCs w:val="21"/>
          <w:highlight w:val="none"/>
          <w:lang w:val="en-US" w:eastAsia="zh-CN"/>
        </w:rPr>
        <w:t>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cs="宋体"/>
          <w:b w:val="0"/>
          <w:bCs w:val="0"/>
          <w:sz w:val="21"/>
          <w:szCs w:val="21"/>
          <w:highlight w:val="none"/>
        </w:rPr>
        <w:t>、对</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清单中的每一个细目，报价人均填单价和合价，对于未填入单价和合价的细目，其费用应视为已包括在</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清单中的其他细目的单价和合价中，报价人必须按采购人指令完成</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清单中未填入单价和合价的细目，但不能得到结算与支付，报价人的总报价应是所有费用的汇总。</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cs="宋体"/>
          <w:b w:val="0"/>
          <w:bCs w:val="0"/>
          <w:sz w:val="21"/>
          <w:szCs w:val="21"/>
          <w:highlight w:val="none"/>
        </w:rPr>
        <w:t>、</w:t>
      </w:r>
      <w:r>
        <w:rPr>
          <w:rFonts w:hint="eastAsia" w:ascii="宋体" w:hAnsi="宋体" w:cs="宋体"/>
          <w:b w:val="0"/>
          <w:bCs w:val="0"/>
          <w:sz w:val="21"/>
          <w:szCs w:val="21"/>
          <w:highlight w:val="none"/>
          <w:lang w:val="en-US" w:eastAsia="zh-CN"/>
        </w:rPr>
        <w:t>服务</w:t>
      </w:r>
      <w:r>
        <w:rPr>
          <w:rFonts w:hint="eastAsia" w:ascii="宋体" w:hAnsi="宋体" w:cs="宋体"/>
          <w:b w:val="0"/>
          <w:bCs w:val="0"/>
          <w:sz w:val="21"/>
          <w:szCs w:val="21"/>
          <w:highlight w:val="none"/>
        </w:rPr>
        <w:t>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cs="宋体"/>
          <w:b w:val="0"/>
          <w:bCs w:val="0"/>
          <w:sz w:val="21"/>
          <w:szCs w:val="21"/>
          <w:highlight w:val="none"/>
        </w:rPr>
        <w:t>、在合同执行过程中，如因国家税务政策调整，当增值税税率提高，含税总价不变；当增值税税率降低，不含税总价不变，并相应减少增值税金额。</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cs="宋体"/>
          <w:b w:val="0"/>
          <w:bCs w:val="0"/>
          <w:sz w:val="21"/>
          <w:szCs w:val="21"/>
          <w:highlight w:val="none"/>
        </w:rPr>
        <w:t>、报价中的单价和合价全部以人民币（元）表示。</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cs="宋体"/>
          <w:b w:val="0"/>
          <w:bCs w:val="0"/>
          <w:sz w:val="21"/>
          <w:szCs w:val="21"/>
          <w:highlight w:val="none"/>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9</w:t>
      </w:r>
      <w:r>
        <w:rPr>
          <w:rFonts w:hint="eastAsia" w:ascii="宋体" w:hAnsi="宋体" w:cs="宋体"/>
          <w:b w:val="0"/>
          <w:bCs w:val="0"/>
          <w:sz w:val="21"/>
          <w:szCs w:val="21"/>
          <w:highlight w:val="none"/>
        </w:rPr>
        <w:t>、合同为单价合同，合同期间不予调价。</w:t>
      </w:r>
    </w:p>
    <w:p>
      <w:pPr>
        <w:pStyle w:val="19"/>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、报价人应严格按照</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清单进行报价，不得随意修改采购人发布的</w:t>
      </w:r>
      <w:r>
        <w:rPr>
          <w:rFonts w:hint="eastAsia" w:ascii="宋体" w:hAnsi="宋体" w:cs="宋体"/>
          <w:b w:val="0"/>
          <w:bCs w:val="0"/>
          <w:sz w:val="21"/>
          <w:szCs w:val="21"/>
          <w:highlight w:val="none"/>
          <w:lang w:val="en-US" w:eastAsia="zh-CN"/>
        </w:rPr>
        <w:t>服务</w:t>
      </w:r>
      <w:r>
        <w:rPr>
          <w:rFonts w:hint="eastAsia" w:ascii="宋体" w:hAnsi="宋体" w:cs="宋体"/>
          <w:sz w:val="21"/>
          <w:szCs w:val="21"/>
          <w:highlight w:val="none"/>
        </w:rPr>
        <w:t>清单数量、公式及相关内容</w:t>
      </w:r>
    </w:p>
    <w:p>
      <w:pPr>
        <w:pStyle w:val="29"/>
        <w:spacing w:line="380" w:lineRule="exact"/>
        <w:ind w:firstLine="420" w:firstLineChars="200"/>
        <w:rPr>
          <w:rFonts w:hint="eastAsia" w:ascii="宋体" w:hAnsi="宋体" w:cs="宋体"/>
          <w:sz w:val="21"/>
          <w:szCs w:val="21"/>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11、</w:t>
      </w:r>
      <w:r>
        <w:rPr>
          <w:rFonts w:hint="eastAsia" w:ascii="宋体" w:hAnsi="宋体" w:cs="宋体"/>
          <w:b w:val="0"/>
          <w:bCs w:val="0"/>
          <w:color w:val="000000" w:themeColor="text1"/>
          <w:sz w:val="21"/>
          <w:szCs w:val="21"/>
          <w:highlight w:val="none"/>
          <w14:textFill>
            <w14:solidFill>
              <w14:schemeClr w14:val="tx1"/>
            </w14:solidFill>
          </w14:textFill>
        </w:rPr>
        <w:t>对于符合要求的竞争性比选响应文件，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w:t>
      </w:r>
      <w:r>
        <w:rPr>
          <w:rFonts w:hint="eastAsia" w:ascii="宋体" w:hAnsi="宋体" w:cs="宋体"/>
          <w:b w:val="0"/>
          <w:bCs w:val="0"/>
          <w:sz w:val="21"/>
          <w:szCs w:val="21"/>
          <w:highlight w:val="none"/>
        </w:rPr>
        <w:t>报价人的同意，并确认修正后的最终报价。如果报价人拒绝确认，则报价做废标处理</w:t>
      </w:r>
      <w:r>
        <w:rPr>
          <w:rFonts w:hint="eastAsia" w:ascii="宋体" w:hAnsi="宋体" w:cs="宋体"/>
          <w:b w:val="0"/>
          <w:bCs w:val="0"/>
          <w:sz w:val="21"/>
          <w:szCs w:val="21"/>
          <w:highlight w:val="none"/>
          <w:lang w:eastAsia="zh-CN"/>
        </w:rPr>
        <w:t>。</w:t>
      </w:r>
    </w:p>
    <w:p>
      <w:pPr>
        <w:rPr>
          <w:rFonts w:hint="eastAsia" w:eastAsia="宋体"/>
          <w:highlight w:val="none"/>
          <w:lang w:eastAsia="zh-CN"/>
        </w:rPr>
      </w:pPr>
    </w:p>
    <w:p>
      <w:pPr>
        <w:pStyle w:val="3"/>
        <w:numPr>
          <w:ilvl w:val="0"/>
          <w:numId w:val="6"/>
        </w:numPr>
        <w:spacing w:before="0" w:after="0" w:line="360" w:lineRule="auto"/>
        <w:jc w:val="center"/>
        <w:rPr>
          <w:highlight w:val="none"/>
        </w:rPr>
      </w:pPr>
      <w:bookmarkStart w:id="138" w:name="_Toc9263"/>
      <w:r>
        <w:rPr>
          <w:rFonts w:hint="eastAsia" w:ascii="宋体" w:hAnsi="宋体" w:cs="宋体"/>
          <w:highlight w:val="none"/>
        </w:rPr>
        <w:t>采购清单</w:t>
      </w:r>
      <w:bookmarkEnd w:id="138"/>
    </w:p>
    <w:p>
      <w:pPr>
        <w:rPr>
          <w:rFonts w:hint="eastAsia" w:ascii="宋体" w:hAnsi="宋体" w:cs="宋体"/>
          <w:highlight w:val="none"/>
          <w:lang w:val="en-US" w:eastAsia="zh-CN"/>
        </w:rPr>
      </w:pPr>
      <w:r>
        <w:rPr>
          <w:rFonts w:hint="eastAsia" w:ascii="宋体" w:hAnsi="宋体" w:cs="宋体"/>
          <w:highlight w:val="none"/>
          <w:lang w:val="en-US" w:eastAsia="zh-CN"/>
        </w:rPr>
        <w:t xml:space="preserve">                                                               </w:t>
      </w:r>
    </w:p>
    <w:p>
      <w:pPr>
        <w:rPr>
          <w:rFonts w:hint="eastAsia" w:ascii="宋体" w:hAnsi="宋体" w:cs="宋体"/>
          <w:highlight w:val="none"/>
          <w:lang w:val="en-US" w:eastAsia="zh-CN"/>
        </w:rPr>
      </w:pPr>
    </w:p>
    <w:tbl>
      <w:tblPr>
        <w:tblStyle w:val="44"/>
        <w:tblW w:w="10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31"/>
        <w:gridCol w:w="1494"/>
        <w:gridCol w:w="1650"/>
        <w:gridCol w:w="1128"/>
        <w:gridCol w:w="746"/>
        <w:gridCol w:w="1462"/>
        <w:gridCol w:w="150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6"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序号</w:t>
            </w:r>
          </w:p>
        </w:tc>
        <w:tc>
          <w:tcPr>
            <w:tcW w:w="931" w:type="dxa"/>
            <w:noWrap w:val="0"/>
            <w:vAlign w:val="center"/>
          </w:tcPr>
          <w:p>
            <w:pPr>
              <w:pStyle w:val="19"/>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标段</w:t>
            </w:r>
          </w:p>
        </w:tc>
        <w:tc>
          <w:tcPr>
            <w:tcW w:w="1494"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收费站</w:t>
            </w:r>
          </w:p>
        </w:tc>
        <w:tc>
          <w:tcPr>
            <w:tcW w:w="1650"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暂定检测时间</w:t>
            </w:r>
          </w:p>
        </w:tc>
        <w:tc>
          <w:tcPr>
            <w:tcW w:w="1128"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车道数量（条）</w:t>
            </w:r>
          </w:p>
        </w:tc>
        <w:tc>
          <w:tcPr>
            <w:tcW w:w="746" w:type="dxa"/>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税率</w:t>
            </w:r>
          </w:p>
        </w:tc>
        <w:tc>
          <w:tcPr>
            <w:tcW w:w="1462" w:type="dxa"/>
            <w:noWrap w:val="0"/>
            <w:vAlign w:val="center"/>
          </w:tcPr>
          <w:p>
            <w:pPr>
              <w:pStyle w:val="19"/>
              <w:widowControl w:val="0"/>
              <w:spacing w:line="320" w:lineRule="exact"/>
              <w:jc w:val="center"/>
              <w:rPr>
                <w:rFonts w:ascii="方正仿宋_GBK" w:eastAsia="方正仿宋_GBK"/>
              </w:rPr>
            </w:pPr>
            <w:r>
              <w:rPr>
                <w:rFonts w:hint="eastAsia" w:ascii="方正仿宋_GBK" w:eastAsia="方正仿宋_GBK"/>
                <w:lang w:val="en-US" w:eastAsia="zh-CN"/>
              </w:rPr>
              <w:t>含税</w:t>
            </w:r>
            <w:r>
              <w:rPr>
                <w:rFonts w:hint="eastAsia" w:ascii="方正仿宋_GBK" w:eastAsia="方正仿宋_GBK"/>
              </w:rPr>
              <w:t>单价</w:t>
            </w:r>
            <w:r>
              <w:rPr>
                <w:rFonts w:hint="eastAsia" w:ascii="方正仿宋_GBK" w:eastAsia="方正仿宋_GBK"/>
                <w:lang w:val="en-US" w:eastAsia="zh-CN"/>
              </w:rPr>
              <w:t>限价</w:t>
            </w:r>
            <w:r>
              <w:rPr>
                <w:rFonts w:hint="eastAsia" w:ascii="方正仿宋_GBK" w:eastAsia="方正仿宋_GBK"/>
              </w:rPr>
              <w:t>（元）</w:t>
            </w:r>
          </w:p>
        </w:tc>
        <w:tc>
          <w:tcPr>
            <w:tcW w:w="1503" w:type="dxa"/>
            <w:noWrap w:val="0"/>
            <w:vAlign w:val="center"/>
          </w:tcPr>
          <w:p>
            <w:pPr>
              <w:pStyle w:val="19"/>
              <w:widowControl w:val="0"/>
              <w:spacing w:line="320" w:lineRule="exact"/>
              <w:jc w:val="center"/>
              <w:rPr>
                <w:rFonts w:ascii="方正仿宋_GBK" w:eastAsia="方正仿宋_GBK"/>
              </w:rPr>
            </w:pPr>
            <w:r>
              <w:rPr>
                <w:rFonts w:hint="eastAsia" w:ascii="方正仿宋_GBK" w:eastAsia="方正仿宋_GBK"/>
                <w:lang w:val="en-US" w:eastAsia="zh-CN"/>
              </w:rPr>
              <w:t>含税限价金额</w:t>
            </w:r>
            <w:r>
              <w:rPr>
                <w:rFonts w:hint="eastAsia" w:ascii="方正仿宋_GBK" w:eastAsia="方正仿宋_GBK"/>
              </w:rPr>
              <w:t>（元）</w:t>
            </w:r>
          </w:p>
        </w:tc>
        <w:tc>
          <w:tcPr>
            <w:tcW w:w="1274" w:type="dxa"/>
            <w:noWrap w:val="0"/>
            <w:vAlign w:val="center"/>
          </w:tcPr>
          <w:p>
            <w:pPr>
              <w:pStyle w:val="19"/>
              <w:widowControl w:val="0"/>
              <w:spacing w:line="320" w:lineRule="exact"/>
              <w:jc w:val="center"/>
              <w:rPr>
                <w:rFonts w:ascii="方正仿宋_GBK" w:eastAsia="方正仿宋_GBK"/>
              </w:rPr>
            </w:pPr>
            <w:r>
              <w:rPr>
                <w:rFonts w:hint="eastAsia" w:ascii="方正仿宋_GBK" w:eastAsia="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31" w:type="dxa"/>
            <w:vMerge w:val="restart"/>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巫云开</w:t>
            </w: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沙市</w:t>
            </w:r>
          </w:p>
        </w:tc>
        <w:tc>
          <w:tcPr>
            <w:tcW w:w="1650" w:type="dxa"/>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shd w:val="clear" w:color="auto" w:fill="FFFFFF"/>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10066</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金峰</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10066</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双龙</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10066</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金盆</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10066</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朝阳</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10066</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红池坝</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10066</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菱角</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6</w:t>
            </w:r>
          </w:p>
        </w:tc>
        <w:tc>
          <w:tcPr>
            <w:tcW w:w="746"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8628</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巫溪西</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1438</w:t>
            </w:r>
            <w:r>
              <w:rPr>
                <w:rFonts w:hint="eastAsia" w:ascii="方正仿宋_GBK" w:eastAsia="方正仿宋_GBK" w:cs="Times New Roman"/>
                <w:kern w:val="0"/>
                <w:sz w:val="20"/>
                <w:szCs w:val="24"/>
                <w:lang w:val="en-US" w:eastAsia="zh-CN" w:bidi="ar-SA"/>
              </w:rPr>
              <w:t>.00</w:t>
            </w:r>
            <w:r>
              <w:rPr>
                <w:rFonts w:hint="eastAsia" w:ascii="方正仿宋_GBK" w:hAnsi="Times New Roman" w:eastAsia="方正仿宋_GBK" w:cs="Times New Roman"/>
                <w:kern w:val="0"/>
                <w:sz w:val="20"/>
                <w:szCs w:val="24"/>
                <w:lang w:val="en-US" w:eastAsia="zh-CN" w:bidi="ar-SA"/>
              </w:rPr>
              <w:t xml:space="preserve"> </w:t>
            </w:r>
          </w:p>
        </w:tc>
        <w:tc>
          <w:tcPr>
            <w:tcW w:w="1503"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10066</w:t>
            </w:r>
            <w:r>
              <w:rPr>
                <w:rFonts w:hint="eastAsia" w:ascii="方正仿宋_GBK" w:hAnsi="Times New Roman" w:eastAsia="方正仿宋_GBK" w:cs="Times New Roman"/>
                <w:kern w:val="0"/>
                <w:sz w:val="20"/>
                <w:szCs w:val="24"/>
                <w:lang w:val="en-US" w:eastAsia="zh-CN" w:bidi="ar-SA"/>
              </w:rPr>
              <w:t xml:space="preserve">.00 </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里程</w:t>
            </w:r>
          </w:p>
        </w:tc>
        <w:tc>
          <w:tcPr>
            <w:tcW w:w="1650" w:type="dxa"/>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暂定数量</w:t>
            </w:r>
          </w:p>
        </w:tc>
        <w:tc>
          <w:tcPr>
            <w:tcW w:w="1128" w:type="dxa"/>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4356</w:t>
            </w:r>
          </w:p>
        </w:tc>
        <w:tc>
          <w:tcPr>
            <w:tcW w:w="746" w:type="dxa"/>
            <w:shd w:val="clear" w:color="auto" w:fill="auto"/>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3.10</w:t>
            </w:r>
          </w:p>
        </w:tc>
        <w:tc>
          <w:tcPr>
            <w:tcW w:w="1503" w:type="dxa"/>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13503.6</w:t>
            </w:r>
            <w:r>
              <w:rPr>
                <w:rFonts w:hint="eastAsia" w:ascii="方正仿宋_GBK" w:eastAsia="方正仿宋_GBK" w:cs="Times New Roman"/>
                <w:kern w:val="0"/>
                <w:sz w:val="20"/>
                <w:szCs w:val="24"/>
                <w:lang w:val="en-US" w:eastAsia="zh-CN" w:bidi="ar-SA"/>
              </w:rPr>
              <w:t>0</w:t>
            </w:r>
          </w:p>
        </w:tc>
        <w:tc>
          <w:tcPr>
            <w:tcW w:w="127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91" w:type="dxa"/>
            <w:gridSpan w:val="4"/>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合计</w:t>
            </w:r>
          </w:p>
        </w:tc>
        <w:tc>
          <w:tcPr>
            <w:tcW w:w="1128" w:type="dxa"/>
            <w:noWrap w:val="0"/>
            <w:vAlign w:val="center"/>
          </w:tcPr>
          <w:p>
            <w:pPr>
              <w:pStyle w:val="19"/>
              <w:widowControl w:val="0"/>
              <w:spacing w:line="320" w:lineRule="exact"/>
              <w:jc w:val="center"/>
              <w:rPr>
                <w:rFonts w:hint="default" w:ascii="方正仿宋_GBK" w:eastAsia="方正仿宋_GBK"/>
                <w:lang w:val="en-US" w:eastAsia="zh-CN"/>
              </w:rPr>
            </w:pPr>
            <w:r>
              <w:rPr>
                <w:rFonts w:hint="eastAsia" w:ascii="方正仿宋_GBK" w:eastAsia="方正仿宋_GBK"/>
                <w:lang w:val="en-US" w:eastAsia="zh-CN"/>
              </w:rPr>
              <w:t>55</w:t>
            </w:r>
          </w:p>
        </w:tc>
        <w:tc>
          <w:tcPr>
            <w:tcW w:w="746" w:type="dxa"/>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462" w:type="dxa"/>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eastAsia="方正仿宋_GBK" w:cs="Times New Roman"/>
                <w:kern w:val="0"/>
                <w:sz w:val="20"/>
                <w:szCs w:val="24"/>
                <w:lang w:val="en-US" w:eastAsia="zh-CN" w:bidi="ar-SA"/>
              </w:rPr>
              <w:t>/</w:t>
            </w:r>
          </w:p>
        </w:tc>
        <w:tc>
          <w:tcPr>
            <w:tcW w:w="1503"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92593.60</w:t>
            </w:r>
          </w:p>
        </w:tc>
        <w:tc>
          <w:tcPr>
            <w:tcW w:w="1274" w:type="dxa"/>
            <w:shd w:val="clear" w:color="auto" w:fill="auto"/>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p>
        </w:tc>
      </w:tr>
    </w:tbl>
    <w:p>
      <w:pPr>
        <w:rPr>
          <w:rFonts w:hint="eastAsia" w:ascii="宋体" w:hAnsi="宋体" w:cs="宋体"/>
          <w:highlight w:val="none"/>
          <w:lang w:val="en-US" w:eastAsia="zh-CN"/>
        </w:rPr>
      </w:pPr>
    </w:p>
    <w:p>
      <w:pPr>
        <w:rPr>
          <w:rFonts w:hint="eastAsia" w:ascii="宋体" w:hAnsi="宋体" w:cs="宋体"/>
          <w:highlight w:val="none"/>
          <w:lang w:val="en-US" w:eastAsia="zh-CN"/>
        </w:rPr>
      </w:pPr>
    </w:p>
    <w:p>
      <w:pPr>
        <w:rPr>
          <w:rFonts w:hint="eastAsia" w:ascii="宋体" w:hAnsi="宋体" w:cs="宋体"/>
          <w:highlight w:val="none"/>
          <w:lang w:val="en-US" w:eastAsia="zh-CN"/>
        </w:rPr>
      </w:pPr>
    </w:p>
    <w:p>
      <w:pPr>
        <w:rPr>
          <w:rFonts w:hint="eastAsia" w:ascii="宋体" w:hAnsi="宋体" w:cs="宋体"/>
          <w:highlight w:val="none"/>
          <w:lang w:val="en-US" w:eastAsia="zh-CN"/>
        </w:rPr>
      </w:pPr>
    </w:p>
    <w:p>
      <w:pPr>
        <w:rPr>
          <w:rFonts w:hint="eastAsia" w:ascii="宋体" w:hAnsi="宋体" w:cs="宋体"/>
          <w:highlight w:val="none"/>
          <w:lang w:val="en-US" w:eastAsia="zh-CN"/>
        </w:rPr>
      </w:pPr>
    </w:p>
    <w:p>
      <w:pPr>
        <w:rPr>
          <w:rFonts w:hint="eastAsia" w:ascii="宋体" w:hAnsi="宋体" w:cs="宋体"/>
          <w:highlight w:val="none"/>
          <w:lang w:val="en-US" w:eastAsia="zh-CN"/>
        </w:rPr>
      </w:pPr>
    </w:p>
    <w:p>
      <w:pPr>
        <w:rPr>
          <w:rFonts w:hint="eastAsia" w:ascii="宋体" w:hAnsi="宋体" w:cs="宋体"/>
          <w:highlight w:val="none"/>
          <w:lang w:val="en-US" w:eastAsia="zh-CN"/>
        </w:rPr>
      </w:pPr>
    </w:p>
    <w:p>
      <w:pPr>
        <w:rPr>
          <w:highlight w:val="none"/>
        </w:rPr>
        <w:sectPr>
          <w:footerReference r:id="rId9"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pPr>
        <w:pStyle w:val="3"/>
        <w:numPr>
          <w:ilvl w:val="0"/>
          <w:numId w:val="6"/>
        </w:numPr>
        <w:spacing w:before="0" w:after="0" w:line="360" w:lineRule="auto"/>
        <w:jc w:val="center"/>
        <w:rPr>
          <w:rFonts w:hint="eastAsia" w:ascii="宋体" w:hAnsi="宋体" w:cs="宋体"/>
          <w:highlight w:val="none"/>
        </w:rPr>
      </w:pPr>
      <w:bookmarkStart w:id="139" w:name="_Toc25880"/>
      <w:bookmarkStart w:id="140" w:name="_Toc152045786"/>
      <w:bookmarkStart w:id="141" w:name="_Toc179632806"/>
      <w:bookmarkStart w:id="142" w:name="_Toc246997097"/>
      <w:bookmarkStart w:id="143" w:name="_Toc246996354"/>
      <w:bookmarkStart w:id="144" w:name="_Toc247085872"/>
      <w:bookmarkStart w:id="145" w:name="_Toc152042575"/>
      <w:bookmarkStart w:id="146" w:name="_Toc144974855"/>
      <w:r>
        <w:rPr>
          <w:rFonts w:hint="eastAsia" w:ascii="宋体" w:hAnsi="宋体" w:cs="宋体"/>
          <w:highlight w:val="none"/>
        </w:rPr>
        <w:t>技术标准</w:t>
      </w:r>
      <w:bookmarkEnd w:id="139"/>
    </w:p>
    <w:bookmarkEnd w:id="140"/>
    <w:bookmarkEnd w:id="141"/>
    <w:bookmarkEnd w:id="142"/>
    <w:bookmarkEnd w:id="143"/>
    <w:bookmarkEnd w:id="144"/>
    <w:bookmarkEnd w:id="145"/>
    <w:bookmarkEnd w:id="146"/>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47" w:name="_Toc2000412"/>
      <w:bookmarkStart w:id="148" w:name="_Toc514858708"/>
      <w:bookmarkStart w:id="149" w:name="_Toc514430114"/>
      <w:bookmarkStart w:id="150" w:name="_Toc247085873"/>
      <w:bookmarkStart w:id="151" w:name="_Toc246996355"/>
      <w:bookmarkStart w:id="152" w:name="_Toc507320039"/>
      <w:bookmarkStart w:id="153" w:name="_Toc152045787"/>
      <w:bookmarkStart w:id="154" w:name="_Toc179632807"/>
      <w:bookmarkStart w:id="155" w:name="_Toc144974856"/>
      <w:bookmarkStart w:id="156" w:name="_Toc152042576"/>
      <w:bookmarkStart w:id="157" w:name="_Toc246997098"/>
      <w:r>
        <w:rPr>
          <w:rFonts w:hint="eastAsia" w:ascii="Times New Roman" w:hAnsi="Times New Roman" w:eastAsia="宋体" w:cs="Times New Roman"/>
          <w:color w:val="auto"/>
          <w:kern w:val="0"/>
          <w:szCs w:val="21"/>
          <w:highlight w:val="none"/>
        </w:rPr>
        <w:t>本项目实施时按照现行的技术规范和设计要求执行，本招标文件不一一罗列。发包人在与承包人签订合同时，可将本项目涉及并执行技术规范、设计要求和认为有必要增加补充技术要求列入合同中，作为合同的组成部分，承包人必须严格执行。</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其主要的国家法规和技术规范有：</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中华人民共和国国家标准；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中华人民共和国行业标准（交通、通信、电子、机械、建设等）；</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国际标准化组织标准；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国际电信联盟标准；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国际电工技术委员会标准；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《通信管道工程施工及验收技术规范》GB50374-2018；</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《公路收费车道控制机》GBT 24968-2010</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《电子收费专用短程通信》GB/T 20851-2019</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 收费用电动栏杆》GB/T 24973-2010</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《环形线圈车辆检测器》GB/T 26942-2011</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《公路电子不停车收费联网运营和服务规范》JTG B10-2014</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《收费公路联网收费技术要求》（原交通部2007年第35号公告）</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《收费公路联网电子不停车收费技术要求》（交通运输部2011年第13号公告）</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《电气装置安装工程电缆线路施工及验收规范》GB50168-2018；</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重庆高速集团《重 庆 高 速 公 路 技 术 标 准》CQ 101-2015</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项目实施内容及要求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58" w:name="_Toc105660207"/>
      <w:r>
        <w:rPr>
          <w:rFonts w:hint="eastAsia" w:ascii="Times New Roman" w:hAnsi="Times New Roman" w:eastAsia="宋体" w:cs="Times New Roman"/>
          <w:color w:val="auto"/>
          <w:kern w:val="0"/>
          <w:szCs w:val="21"/>
          <w:highlight w:val="none"/>
        </w:rPr>
        <w:t>1、实施内容</w:t>
      </w:r>
      <w:bookmarkEnd w:id="158"/>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rPr>
        <w:t>本项目内容主要是渝湘复线高速公路施工机电工程车道检测服务</w:t>
      </w:r>
      <w:r>
        <w:rPr>
          <w:rFonts w:hint="eastAsia" w:ascii="Times New Roman" w:hAnsi="Times New Roman" w:eastAsia="宋体" w:cs="Times New Roman"/>
          <w:color w:val="auto"/>
          <w:kern w:val="0"/>
          <w:szCs w:val="21"/>
          <w:highlight w:val="none"/>
          <w:lang w:eastAsia="zh-CN"/>
        </w:rPr>
        <w:t>，</w:t>
      </w:r>
      <w:r>
        <w:rPr>
          <w:rFonts w:hint="eastAsia" w:ascii="Times New Roman" w:hAnsi="Times New Roman" w:eastAsia="宋体" w:cs="Times New Roman"/>
          <w:color w:val="auto"/>
          <w:kern w:val="0"/>
          <w:szCs w:val="21"/>
          <w:highlight w:val="none"/>
          <w:lang w:val="en-US" w:eastAsia="zh-CN"/>
        </w:rPr>
        <w:t>包括对</w:t>
      </w:r>
      <w:r>
        <w:rPr>
          <w:rFonts w:hint="eastAsia" w:ascii="Times New Roman" w:hAnsi="Times New Roman" w:eastAsia="宋体" w:cs="Times New Roman"/>
          <w:color w:val="auto"/>
          <w:kern w:val="0"/>
          <w:szCs w:val="21"/>
          <w:highlight w:val="none"/>
        </w:rPr>
        <w:t>机电设备（RSU天线、栏杆机、工控机、收费软件、车道环形线圈车辆检测器等）提健康检测的工作</w:t>
      </w:r>
      <w:r>
        <w:rPr>
          <w:rFonts w:hint="eastAsia" w:ascii="Times New Roman" w:hAnsi="Times New Roman" w:eastAsia="宋体" w:cs="Times New Roman"/>
          <w:color w:val="auto"/>
          <w:kern w:val="0"/>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中标人应按国标技术规范及高速集团车道检测的要求，按规对本项目所辖机电设备开展定期健康检测专项检测工作。</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2对车道关键机电设备和软件关键参数进行的专项检测。并及时记录检查结果，将检测结果形成报告。</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应检查关键机电设备参数是否处在正常工作状态和是否存在故障隐患，并应符合下列规定：</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1）ETC车道RSU天线，观察RSU天线及安装抱箍是否锈蚀，并使用专用仪器检测其载波频率、频率容限、调制系数、信号强度、邻道干扰、信号覆盖范围等参数进行检测，并判断设备有无异常。</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2）车道机电硬件设备使用年限，记录车道关键机电设备使用年限，并判断设备使用是否超年限。</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3）车道计算机配置， 通过软件检测计算机配置，判断是否符合相关标准。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4）网络传输带宽，通过软件检测车道与结算中心网络带宽，判断网络质量有无异常。</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5）ETC车道/MTC混合车道单车次总交易时间，通过专业设备检测单车交易时长，判断是否某一交易环节耗时太长。</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6）车道抓拍摄像机，通过检查摄像机抓拍照片，判断摄像机是否正常工作。</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7）车道数据和图片保存时间，通过检查交易日志和抓拍照片保存时间，判断摄像机和车道软件是否正常工作。</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8）车道计算机资源占用率，通过软件检测计算机内存、CPU等核心部件使用情况。</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9）ETC车道重启时间，通过重启车道工控机，记录重启时间，判断工控机是否处于健康状态或者判断重启过程中某一环节耗时过长，并由此进行优化。</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10）车道运行环境，通过观察和设备检测收费亭运行环境是否满足相关要求。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11）车道栏杆机，通过检测栏杆机起落时间，判断栏杆机是否老化，同时发现隐患及时通知机电人员进行排除。</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12）车道环形线圈，通过检测线圈绝缘电阻、电感，车检器灵敏度等参数，判断线圈是否老化或出现隐患。</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13）车道费额提示器，通过设备对费额提示器能否正确显示字符进行检查。</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14）车道供电，检查车道供电是否满足三级供电、供电质量是否满足要求。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15）车道交通标志及安全设施，通过观察，判断交通安全标志是否满足相应规范。</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16）车道土建及附属设施，通过观察，判断土建及附属设施是否满足相应规范。</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中标人应按国标技术规范、高速集团高速公路技术标准开展专项检测工作。</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中标单位对本项目的质量、进度、安全负责。</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59" w:name="_Toc105660208"/>
      <w:r>
        <w:rPr>
          <w:rFonts w:hint="eastAsia" w:ascii="Times New Roman" w:hAnsi="Times New Roman" w:eastAsia="宋体" w:cs="Times New Roman"/>
          <w:color w:val="auto"/>
          <w:kern w:val="0"/>
          <w:szCs w:val="21"/>
          <w:highlight w:val="none"/>
          <w:lang w:val="en-US" w:eastAsia="zh-CN"/>
        </w:rPr>
        <w:t>3</w:t>
      </w:r>
      <w:r>
        <w:rPr>
          <w:rFonts w:hint="eastAsia" w:ascii="Times New Roman" w:hAnsi="Times New Roman" w:eastAsia="宋体" w:cs="Times New Roman"/>
          <w:color w:val="auto"/>
          <w:kern w:val="0"/>
          <w:szCs w:val="21"/>
          <w:highlight w:val="none"/>
        </w:rPr>
        <w:t>、人员要求</w:t>
      </w:r>
      <w:bookmarkEnd w:id="159"/>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在项目实施期间，中标单位应至少安排</w:t>
      </w:r>
      <w:r>
        <w:rPr>
          <w:rFonts w:hint="eastAsia" w:ascii="Times New Roman" w:hAnsi="Times New Roman" w:eastAsia="宋体" w:cs="Times New Roman"/>
          <w:color w:val="auto"/>
          <w:kern w:val="0"/>
          <w:szCs w:val="21"/>
          <w:highlight w:val="none"/>
          <w:lang w:val="en-US" w:eastAsia="zh-CN"/>
        </w:rPr>
        <w:t>一</w:t>
      </w:r>
      <w:r>
        <w:rPr>
          <w:rFonts w:hint="eastAsia" w:ascii="Times New Roman" w:hAnsi="Times New Roman" w:eastAsia="宋体" w:cs="Times New Roman"/>
          <w:color w:val="auto"/>
          <w:kern w:val="0"/>
          <w:szCs w:val="21"/>
          <w:highlight w:val="none"/>
        </w:rPr>
        <w:t>组检测队伍根据各路段气候、地理情况对车道进行健康检测，小组人员不得少于3名，以保证车道健康检测质量。</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在项目实施期间，中标单位指派的全部人员应服从发包单位管理人员的工作安排。</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在项目实施期间，中标单位指派的全部人员应根据检测计划按时到场开展工作，如有要事导致检测工作无法按计划开展的，须提前告知发包单位。</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60" w:name="_Toc105660211"/>
      <w:r>
        <w:rPr>
          <w:rFonts w:hint="eastAsia" w:cs="Times New Roman"/>
          <w:color w:val="auto"/>
          <w:kern w:val="0"/>
          <w:szCs w:val="21"/>
          <w:highlight w:val="none"/>
          <w:lang w:val="en-US" w:eastAsia="zh-CN"/>
        </w:rPr>
        <w:t>4</w:t>
      </w:r>
      <w:r>
        <w:rPr>
          <w:rFonts w:hint="eastAsia" w:ascii="Times New Roman" w:hAnsi="Times New Roman" w:eastAsia="宋体" w:cs="Times New Roman"/>
          <w:color w:val="auto"/>
          <w:kern w:val="0"/>
          <w:szCs w:val="21"/>
          <w:highlight w:val="none"/>
        </w:rPr>
        <w:t>、备品备件的要求</w:t>
      </w:r>
      <w:bookmarkEnd w:id="160"/>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中标人根据实际情况自行采购项目实施所需备品备件，但所采购的备件性能、技术参数、功能实现等必须能实现检测相关参数所需要最低配置，且不能因备品备件原因导致检测工作停滞。</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bookmarkStart w:id="161" w:name="_Toc105660213"/>
      <w:r>
        <w:rPr>
          <w:rFonts w:hint="eastAsia" w:cs="Times New Roman"/>
          <w:color w:val="auto"/>
          <w:kern w:val="0"/>
          <w:szCs w:val="21"/>
          <w:highlight w:val="none"/>
          <w:lang w:val="en-US" w:eastAsia="zh-CN"/>
        </w:rPr>
        <w:t>5</w:t>
      </w:r>
      <w:r>
        <w:rPr>
          <w:rFonts w:hint="eastAsia" w:ascii="Times New Roman" w:hAnsi="Times New Roman" w:eastAsia="宋体" w:cs="Times New Roman"/>
          <w:color w:val="auto"/>
          <w:kern w:val="0"/>
          <w:szCs w:val="21"/>
          <w:highlight w:val="none"/>
        </w:rPr>
        <w:t>、资料的要求</w:t>
      </w:r>
      <w:bookmarkEnd w:id="161"/>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按照甲方要求及时提交检测报告。</w:t>
      </w:r>
    </w:p>
    <w:p>
      <w:pPr>
        <w:pStyle w:val="3"/>
        <w:spacing w:before="0" w:after="0" w:line="360" w:lineRule="auto"/>
        <w:jc w:val="center"/>
        <w:rPr>
          <w:rFonts w:ascii="宋体" w:hAnsi="宋体" w:cs="宋体"/>
          <w:highlight w:val="none"/>
        </w:rPr>
      </w:pPr>
      <w:r>
        <w:rPr>
          <w:rFonts w:hint="eastAsia" w:ascii="宋体" w:hAnsi="宋体" w:cs="宋体"/>
          <w:highlight w:val="none"/>
        </w:rPr>
        <w:br w:type="page"/>
      </w:r>
      <w:bookmarkEnd w:id="147"/>
      <w:bookmarkEnd w:id="148"/>
      <w:bookmarkEnd w:id="149"/>
    </w:p>
    <w:p>
      <w:pPr>
        <w:pStyle w:val="3"/>
        <w:numPr>
          <w:ilvl w:val="0"/>
          <w:numId w:val="6"/>
        </w:numPr>
        <w:spacing w:before="0" w:after="0" w:line="360" w:lineRule="auto"/>
        <w:jc w:val="center"/>
        <w:rPr>
          <w:highlight w:val="none"/>
        </w:rPr>
      </w:pPr>
      <w:r>
        <w:rPr>
          <w:rFonts w:hint="eastAsia" w:ascii="宋体" w:hAnsi="宋体" w:cs="宋体"/>
          <w:highlight w:val="none"/>
        </w:rPr>
        <w:t xml:space="preserve"> </w:t>
      </w:r>
      <w:bookmarkStart w:id="162" w:name="_Toc8705"/>
      <w:r>
        <w:rPr>
          <w:rFonts w:hint="eastAsia" w:ascii="宋体" w:hAnsi="宋体" w:cs="宋体"/>
          <w:highlight w:val="none"/>
        </w:rPr>
        <w:t>合同范本</w:t>
      </w:r>
      <w:bookmarkEnd w:id="162"/>
    </w:p>
    <w:p>
      <w:pPr>
        <w:jc w:val="center"/>
        <w:rPr>
          <w:rFonts w:hint="eastAsia"/>
          <w:highlight w:val="none"/>
          <w:lang w:val="en-US" w:eastAsia="zh-CN"/>
        </w:rPr>
      </w:pPr>
      <w:r>
        <w:rPr>
          <w:rFonts w:hint="eastAsia"/>
          <w:highlight w:val="none"/>
          <w:lang w:val="en-US" w:eastAsia="zh-CN"/>
        </w:rPr>
        <w:t>无</w:t>
      </w:r>
    </w:p>
    <w:p>
      <w:pPr>
        <w:pStyle w:val="6"/>
        <w:rPr>
          <w:rFonts w:hint="eastAsia"/>
          <w:highlight w:val="none"/>
          <w:lang w:val="en-US" w:eastAsia="zh-CN"/>
        </w:rPr>
      </w:pPr>
    </w:p>
    <w:p>
      <w:pPr>
        <w:rPr>
          <w:rFonts w:hint="eastAsia"/>
          <w:highlight w:val="none"/>
          <w:lang w:val="en-US" w:eastAsia="zh-CN"/>
        </w:rPr>
      </w:pPr>
    </w:p>
    <w:p>
      <w:pPr>
        <w:pStyle w:val="6"/>
        <w:rPr>
          <w:rFonts w:hint="eastAsia"/>
          <w:highlight w:val="none"/>
          <w:lang w:val="en-US" w:eastAsia="zh-CN"/>
        </w:rPr>
      </w:pPr>
    </w:p>
    <w:p>
      <w:pPr>
        <w:rPr>
          <w:rFonts w:hint="eastAsia"/>
          <w:highlight w:val="none"/>
          <w:lang w:val="en-US" w:eastAsia="zh-CN"/>
        </w:rPr>
      </w:pPr>
    </w:p>
    <w:p>
      <w:pPr>
        <w:pStyle w:val="6"/>
        <w:rPr>
          <w:rFonts w:hint="eastAsia"/>
          <w:highlight w:val="none"/>
          <w:lang w:val="en-US" w:eastAsia="zh-CN"/>
        </w:rPr>
      </w:pPr>
    </w:p>
    <w:p>
      <w:pPr>
        <w:rPr>
          <w:rFonts w:hint="eastAsia"/>
          <w:highlight w:val="none"/>
          <w:lang w:val="en-US" w:eastAsia="zh-CN"/>
        </w:rPr>
      </w:pPr>
    </w:p>
    <w:p>
      <w:pPr>
        <w:pStyle w:val="6"/>
        <w:rPr>
          <w:rFonts w:hint="eastAsia"/>
          <w:highlight w:val="none"/>
          <w:lang w:val="en-US" w:eastAsia="zh-CN"/>
        </w:rPr>
      </w:pPr>
    </w:p>
    <w:p>
      <w:pPr>
        <w:rPr>
          <w:rFonts w:hint="eastAsia"/>
          <w:highlight w:val="none"/>
          <w:lang w:val="en-US" w:eastAsia="zh-CN"/>
        </w:rPr>
      </w:pPr>
    </w:p>
    <w:p>
      <w:pPr>
        <w:pStyle w:val="6"/>
        <w:rPr>
          <w:rFonts w:hint="eastAsia"/>
          <w:highlight w:val="none"/>
          <w:lang w:val="en-US" w:eastAsia="zh-CN"/>
        </w:rPr>
      </w:pPr>
    </w:p>
    <w:p>
      <w:pPr>
        <w:rPr>
          <w:rFonts w:hint="eastAsia"/>
          <w:highlight w:val="none"/>
          <w:lang w:val="en-US" w:eastAsia="zh-CN"/>
        </w:rPr>
      </w:pPr>
    </w:p>
    <w:p>
      <w:pPr>
        <w:pStyle w:val="6"/>
        <w:rPr>
          <w:rFonts w:hint="eastAsia"/>
          <w:highlight w:val="none"/>
          <w:lang w:val="en-US" w:eastAsia="zh-CN"/>
        </w:rPr>
      </w:pPr>
    </w:p>
    <w:p>
      <w:pPr>
        <w:rPr>
          <w:rFonts w:hint="eastAsia"/>
          <w:highlight w:val="none"/>
          <w:lang w:val="en-US" w:eastAsia="zh-CN"/>
        </w:rPr>
      </w:pPr>
    </w:p>
    <w:p>
      <w:pPr>
        <w:pStyle w:val="6"/>
        <w:rPr>
          <w:highlight w:val="none"/>
        </w:rPr>
      </w:pPr>
    </w:p>
    <w:p>
      <w:pPr>
        <w:rPr>
          <w:highlight w:val="none"/>
        </w:rPr>
      </w:pPr>
    </w:p>
    <w:p>
      <w:pPr>
        <w:pStyle w:val="6"/>
      </w:pPr>
    </w:p>
    <w:p>
      <w:pPr>
        <w:spacing w:line="500" w:lineRule="exact"/>
        <w:jc w:val="center"/>
        <w:rPr>
          <w:b/>
          <w:sz w:val="44"/>
          <w:szCs w:val="44"/>
          <w:highlight w:val="none"/>
        </w:rPr>
      </w:pPr>
    </w:p>
    <w:p>
      <w:pPr>
        <w:rPr>
          <w:highlight w:val="none"/>
        </w:rPr>
      </w:pPr>
      <w:bookmarkStart w:id="163" w:name="_Toc513633965"/>
    </w:p>
    <w:p>
      <w:pPr>
        <w:pStyle w:val="3"/>
        <w:numPr>
          <w:ilvl w:val="0"/>
          <w:numId w:val="6"/>
        </w:numPr>
        <w:spacing w:before="0" w:after="0" w:line="360" w:lineRule="auto"/>
        <w:jc w:val="center"/>
        <w:rPr>
          <w:rFonts w:ascii="宋体" w:hAnsi="宋体" w:cs="宋体"/>
          <w:highlight w:val="none"/>
        </w:rPr>
      </w:pPr>
      <w:bookmarkStart w:id="164" w:name="_Toc514858709"/>
      <w:bookmarkStart w:id="165" w:name="_Toc31175"/>
      <w:bookmarkStart w:id="166" w:name="_Toc2000413"/>
      <w:r>
        <w:rPr>
          <w:rFonts w:hint="eastAsia" w:ascii="宋体" w:hAnsi="宋体" w:cs="宋体"/>
          <w:highlight w:val="none"/>
        </w:rPr>
        <w:t>竞争性比选响应文件格式</w:t>
      </w:r>
      <w:bookmarkEnd w:id="163"/>
      <w:bookmarkEnd w:id="164"/>
      <w:bookmarkEnd w:id="165"/>
      <w:bookmarkEnd w:id="166"/>
    </w:p>
    <w:p>
      <w:pPr>
        <w:rPr>
          <w:rFonts w:ascii="宋体" w:hAnsi="宋体" w:cs="宋体"/>
          <w:highlight w:val="none"/>
        </w:rPr>
      </w:pPr>
    </w:p>
    <w:p>
      <w:pPr>
        <w:rPr>
          <w:rFonts w:ascii="宋体" w:hAnsi="宋体" w:cs="宋体"/>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167" w:name="_Toc514858710"/>
      <w:bookmarkStart w:id="168" w:name="_Toc513646738"/>
      <w:bookmarkStart w:id="169" w:name="_Toc513633967"/>
      <w:bookmarkStart w:id="170" w:name="_Toc503971829"/>
      <w:bookmarkStart w:id="171" w:name="_Toc503951046"/>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67"/>
      <w:bookmarkEnd w:id="168"/>
      <w:bookmarkEnd w:id="169"/>
      <w:bookmarkEnd w:id="170"/>
      <w:bookmarkEnd w:id="171"/>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9"/>
        <w:rPr>
          <w:highlight w:val="none"/>
        </w:rPr>
      </w:pPr>
    </w:p>
    <w:p>
      <w:pPr>
        <w:rPr>
          <w:highlight w:val="none"/>
        </w:rPr>
      </w:pPr>
    </w:p>
    <w:p>
      <w:pPr>
        <w:pStyle w:val="29"/>
        <w:rPr>
          <w:highlight w:val="none"/>
        </w:rPr>
      </w:pPr>
    </w:p>
    <w:p>
      <w:pPr>
        <w:rPr>
          <w:highlight w:val="none"/>
        </w:rPr>
      </w:pPr>
    </w:p>
    <w:p>
      <w:pPr>
        <w:pStyle w:val="29"/>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ascii="宋体" w:hAnsi="宋体" w:eastAsia="宋体" w:cs="宋体"/>
          <w:highlight w:val="none"/>
        </w:rPr>
      </w:pPr>
      <w:bookmarkStart w:id="172" w:name="_Toc26420"/>
      <w:bookmarkStart w:id="173" w:name="_Toc24224"/>
      <w:bookmarkStart w:id="174" w:name="_Toc11329273"/>
      <w:bookmarkStart w:id="175" w:name="_Toc28780"/>
      <w:bookmarkStart w:id="176" w:name="_Toc5459"/>
      <w:bookmarkStart w:id="177" w:name="_Toc1368"/>
      <w:r>
        <w:rPr>
          <w:rFonts w:hint="eastAsia" w:ascii="宋体" w:hAnsi="宋体" w:eastAsia="宋体" w:cs="宋体"/>
          <w:highlight w:val="none"/>
        </w:rPr>
        <w:t>目    录</w:t>
      </w:r>
      <w:bookmarkEnd w:id="150"/>
      <w:bookmarkEnd w:id="151"/>
      <w:bookmarkEnd w:id="152"/>
      <w:bookmarkEnd w:id="153"/>
      <w:bookmarkEnd w:id="154"/>
      <w:bookmarkEnd w:id="155"/>
      <w:bookmarkEnd w:id="156"/>
      <w:bookmarkEnd w:id="157"/>
      <w:bookmarkEnd w:id="172"/>
      <w:bookmarkEnd w:id="173"/>
      <w:bookmarkEnd w:id="174"/>
      <w:bookmarkEnd w:id="175"/>
      <w:bookmarkEnd w:id="176"/>
      <w:bookmarkEnd w:id="177"/>
    </w:p>
    <w:p>
      <w:pPr>
        <w:numPr>
          <w:ilvl w:val="0"/>
          <w:numId w:val="7"/>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7"/>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四、审查资料</w:t>
      </w:r>
    </w:p>
    <w:p>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报价人承诺</w:t>
      </w:r>
    </w:p>
    <w:p>
      <w:pPr>
        <w:spacing w:line="400" w:lineRule="exact"/>
        <w:rPr>
          <w:rFonts w:hint="eastAsia" w:ascii="宋体" w:hAnsi="宋体" w:cs="宋体"/>
          <w:highlight w:val="none"/>
        </w:rPr>
      </w:pPr>
      <w:r>
        <w:rPr>
          <w:rFonts w:hint="eastAsia" w:ascii="宋体" w:hAnsi="宋体" w:cs="宋体"/>
          <w:highlight w:val="none"/>
        </w:rPr>
        <w:t>六、报价人提供的其他资料（如有）</w:t>
      </w:r>
    </w:p>
    <w:p>
      <w:pPr>
        <w:spacing w:line="400" w:lineRule="exact"/>
        <w:rPr>
          <w:rFonts w:hint="eastAsia" w:ascii="宋体" w:hAnsi="宋体" w:cs="宋体"/>
          <w:highlight w:val="none"/>
        </w:rPr>
      </w:pPr>
      <w:r>
        <w:rPr>
          <w:rFonts w:hint="eastAsia" w:ascii="宋体" w:hAnsi="宋体" w:cs="宋体"/>
          <w:highlight w:val="none"/>
        </w:rPr>
        <w:t>七、低价风险担保提交承诺书（如有）</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numPr>
          <w:ilvl w:val="0"/>
          <w:numId w:val="8"/>
        </w:numPr>
        <w:spacing w:before="0" w:after="0" w:line="360" w:lineRule="auto"/>
        <w:jc w:val="center"/>
        <w:rPr>
          <w:rFonts w:ascii="宋体" w:hAnsi="宋体" w:eastAsia="宋体" w:cs="宋体"/>
          <w:sz w:val="28"/>
          <w:highlight w:val="none"/>
        </w:rPr>
      </w:pPr>
      <w:bookmarkStart w:id="178" w:name="_Toc29547"/>
      <w:bookmarkStart w:id="179" w:name="_Toc15863"/>
      <w:bookmarkStart w:id="180" w:name="_Toc25738"/>
      <w:bookmarkStart w:id="181" w:name="_Toc28976"/>
      <w:bookmarkStart w:id="182" w:name="_Toc25874"/>
      <w:bookmarkStart w:id="183" w:name="_Toc513633969"/>
      <w:bookmarkStart w:id="184" w:name="_Toc503951048"/>
      <w:bookmarkStart w:id="185" w:name="_Toc447827053"/>
      <w:r>
        <w:rPr>
          <w:rFonts w:hint="eastAsia" w:ascii="宋体" w:hAnsi="宋体" w:eastAsia="宋体" w:cs="宋体"/>
          <w:sz w:val="28"/>
          <w:highlight w:val="none"/>
        </w:rPr>
        <w:t>竞争比选响应声明书</w:t>
      </w:r>
      <w:bookmarkEnd w:id="178"/>
      <w:bookmarkEnd w:id="179"/>
      <w:bookmarkEnd w:id="180"/>
      <w:bookmarkEnd w:id="181"/>
      <w:bookmarkEnd w:id="182"/>
    </w:p>
    <w:p>
      <w:pPr>
        <w:tabs>
          <w:tab w:val="left" w:pos="900"/>
        </w:tabs>
        <w:spacing w:line="300" w:lineRule="auto"/>
        <w:rPr>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w:t>
      </w:r>
      <w:r>
        <w:rPr>
          <w:rFonts w:hint="eastAsia" w:ascii="Arial" w:hAnsi="Arial" w:cs="Arial"/>
          <w:sz w:val="24"/>
          <w:highlight w:val="none"/>
          <w:u w:val="single"/>
        </w:rPr>
        <w:t>为XXXXX项目</w:t>
      </w:r>
      <w:r>
        <w:rPr>
          <w:rFonts w:hint="eastAsia" w:ascii="Arial" w:hAnsi="Arial" w:cs="Arial"/>
          <w:sz w:val="24"/>
          <w:highlight w:val="none"/>
        </w:rPr>
        <w:t>竞争比选项目</w:t>
      </w:r>
      <w:r>
        <w:rPr>
          <w:rFonts w:hint="eastAsia" w:ascii="Arial" w:hAnsi="Arial" w:cs="Arial"/>
          <w:color w:val="000000"/>
          <w:sz w:val="24"/>
          <w:highlight w:val="none"/>
        </w:rPr>
        <w:t>的竞争比选公告，签字代表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u w:val="single"/>
        </w:rPr>
        <w:t>我方愿以人民币：              元（大写              元）的报价总价，按照竞争比选文件的要求，提供本次竞争比选文件要求的</w:t>
      </w:r>
      <w:r>
        <w:rPr>
          <w:rFonts w:hint="eastAsia" w:ascii="Arial" w:hAnsi="Arial" w:cs="Arial"/>
          <w:color w:val="000000"/>
          <w:sz w:val="24"/>
          <w:highlight w:val="none"/>
          <w:u w:val="single"/>
          <w:lang w:val="en-US" w:eastAsia="zh-CN"/>
        </w:rPr>
        <w:t>材料设备</w:t>
      </w:r>
      <w:r>
        <w:rPr>
          <w:rFonts w:hint="eastAsia" w:ascii="Arial" w:hAnsi="Arial" w:cs="Arial"/>
          <w:color w:val="000000"/>
          <w:sz w:val="24"/>
          <w:highlight w:val="none"/>
          <w:u w:val="single"/>
        </w:rPr>
        <w:t>。</w:t>
      </w:r>
    </w:p>
    <w:p>
      <w:pPr>
        <w:tabs>
          <w:tab w:val="left" w:pos="540"/>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480" w:lineRule="auto"/>
        <w:ind w:firstLine="480" w:firstLineChars="200"/>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48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480" w:lineRule="auto"/>
        <w:ind w:firstLine="480" w:firstLineChars="200"/>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48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480" w:lineRule="auto"/>
        <w:ind w:firstLine="480" w:firstLineChars="200"/>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480" w:lineRule="auto"/>
        <w:ind w:firstLine="480" w:firstLineChars="200"/>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p>
    <w:p>
      <w:pPr>
        <w:pStyle w:val="4"/>
        <w:numPr>
          <w:ilvl w:val="0"/>
          <w:numId w:val="8"/>
        </w:numPr>
        <w:spacing w:before="0" w:after="0" w:line="360" w:lineRule="auto"/>
        <w:jc w:val="center"/>
        <w:rPr>
          <w:rFonts w:ascii="宋体" w:hAnsi="宋体" w:eastAsia="宋体" w:cs="宋体"/>
          <w:sz w:val="28"/>
          <w:highlight w:val="none"/>
        </w:rPr>
      </w:pPr>
      <w:bookmarkStart w:id="186" w:name="_Toc2721"/>
      <w:bookmarkStart w:id="187" w:name="_Toc27815"/>
      <w:bookmarkStart w:id="188" w:name="_Toc16435"/>
      <w:bookmarkStart w:id="189" w:name="_Toc491883232"/>
      <w:r>
        <w:rPr>
          <w:rFonts w:hint="eastAsia" w:ascii="宋体" w:hAnsi="宋体" w:eastAsia="宋体" w:cs="宋体"/>
          <w:sz w:val="28"/>
          <w:highlight w:val="none"/>
        </w:rPr>
        <w:t>法定代表人身份证明或法定代表人授权委托书</w:t>
      </w:r>
      <w:bookmarkEnd w:id="186"/>
      <w:bookmarkEnd w:id="187"/>
      <w:bookmarkEnd w:id="188"/>
    </w:p>
    <w:p>
      <w:pPr>
        <w:pStyle w:val="4"/>
        <w:spacing w:line="480" w:lineRule="auto"/>
        <w:jc w:val="center"/>
        <w:rPr>
          <w:rFonts w:ascii="宋体" w:hAnsi="宋体" w:eastAsia="宋体" w:cs="宋体"/>
          <w:sz w:val="24"/>
          <w:szCs w:val="24"/>
          <w:highlight w:val="none"/>
        </w:rPr>
      </w:pPr>
      <w:bookmarkStart w:id="190" w:name="_Toc14141"/>
      <w:bookmarkStart w:id="191" w:name="_Toc12618"/>
      <w:bookmarkStart w:id="192" w:name="_Toc20985"/>
      <w:r>
        <w:rPr>
          <w:rFonts w:hint="eastAsia" w:ascii="宋体" w:hAnsi="宋体" w:eastAsia="宋体" w:cs="宋体"/>
          <w:sz w:val="24"/>
          <w:szCs w:val="24"/>
          <w:highlight w:val="none"/>
        </w:rPr>
        <w:t>（一）法定代表人身份证明</w:t>
      </w:r>
      <w:bookmarkEnd w:id="189"/>
      <w:bookmarkEnd w:id="190"/>
      <w:bookmarkEnd w:id="191"/>
      <w:bookmarkEnd w:id="192"/>
    </w:p>
    <w:p>
      <w:pPr>
        <w:spacing w:line="480" w:lineRule="auto"/>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80" w:lineRule="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193" w:name="_Toc352691662"/>
      <w:bookmarkStart w:id="194" w:name="_Toc369531698"/>
      <w:bookmarkStart w:id="195" w:name="_Toc27897"/>
      <w:r>
        <w:rPr>
          <w:rFonts w:ascii="宋体" w:hAnsi="宋体"/>
          <w:highlight w:val="none"/>
          <w:u w:val="single"/>
        </w:rPr>
        <w:t xml:space="preserve">        </w:t>
      </w:r>
      <w:r>
        <w:rPr>
          <w:rFonts w:ascii="宋体" w:hAnsi="宋体"/>
          <w:highlight w:val="none"/>
        </w:rPr>
        <w:t>年</w:t>
      </w:r>
      <w:bookmarkEnd w:id="193"/>
      <w:bookmarkEnd w:id="194"/>
      <w:bookmarkEnd w:id="195"/>
      <w:r>
        <w:rPr>
          <w:rFonts w:ascii="宋体" w:hAnsi="宋体"/>
          <w:highlight w:val="none"/>
        </w:rPr>
        <w:t>龄</w:t>
      </w:r>
      <w:bookmarkStart w:id="196" w:name="_Toc152045789"/>
      <w:bookmarkStart w:id="197" w:name="_Toc152042578"/>
      <w:bookmarkStart w:id="198" w:name="_Toc369531699"/>
      <w:bookmarkStart w:id="199" w:name="_Toc144974858"/>
      <w:bookmarkStart w:id="200" w:name="_Toc384308377"/>
      <w:bookmarkStart w:id="201" w:name="_Toc361508754"/>
      <w:bookmarkStart w:id="202" w:name="_Toc247514248"/>
      <w:bookmarkStart w:id="203" w:name="_Toc300835211"/>
      <w:bookmarkStart w:id="204" w:name="_Toc352691663"/>
      <w:bookmarkStart w:id="205" w:name="_Toc15573"/>
      <w:bookmarkStart w:id="206" w:name="_Toc247527829"/>
      <w:r>
        <w:rPr>
          <w:rFonts w:ascii="宋体" w:hAnsi="宋体"/>
          <w:highlight w:val="none"/>
        </w:rPr>
        <w:t>：</w:t>
      </w:r>
      <w:bookmarkEnd w:id="196"/>
      <w:bookmarkEnd w:id="197"/>
      <w:bookmarkEnd w:id="198"/>
      <w:bookmarkEnd w:id="199"/>
      <w:bookmarkEnd w:id="200"/>
      <w:bookmarkEnd w:id="201"/>
      <w:bookmarkEnd w:id="202"/>
      <w:bookmarkEnd w:id="203"/>
      <w:bookmarkEnd w:id="204"/>
      <w:bookmarkEnd w:id="205"/>
      <w:bookmarkEnd w:id="206"/>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80" w:lineRule="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80" w:lineRule="auto"/>
        <w:ind w:firstLine="420" w:firstLineChars="200"/>
        <w:rPr>
          <w:rFonts w:ascii="宋体" w:hAnsi="宋体"/>
          <w:highlight w:val="none"/>
        </w:rPr>
      </w:pPr>
      <w:r>
        <w:rPr>
          <w:rFonts w:ascii="宋体" w:hAnsi="宋体"/>
          <w:highlight w:val="none"/>
        </w:rPr>
        <w:t>特此证明。</w:t>
      </w:r>
    </w:p>
    <w:p>
      <w:pPr>
        <w:spacing w:line="480" w:lineRule="auto"/>
        <w:rPr>
          <w:rFonts w:ascii="宋体" w:hAnsi="宋体"/>
          <w:highlight w:val="none"/>
        </w:rPr>
      </w:pPr>
    </w:p>
    <w:p>
      <w:pPr>
        <w:spacing w:line="480" w:lineRule="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80" w:lineRule="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spacing w:line="480" w:lineRule="auto"/>
        <w:jc w:val="center"/>
        <w:rPr>
          <w:rFonts w:ascii="宋体" w:hAnsi="宋体"/>
          <w:sz w:val="28"/>
          <w:szCs w:val="28"/>
          <w:highlight w:val="none"/>
        </w:rPr>
      </w:pPr>
      <w:bookmarkStart w:id="207" w:name="_Toc491883233"/>
      <w:bookmarkStart w:id="208" w:name="_Toc58"/>
      <w:bookmarkStart w:id="209" w:name="_Toc3882"/>
      <w:bookmarkStart w:id="210" w:name="_Toc22989"/>
      <w:r>
        <w:rPr>
          <w:rFonts w:hint="eastAsia" w:ascii="宋体" w:hAnsi="宋体" w:eastAsia="宋体" w:cs="宋体"/>
          <w:sz w:val="24"/>
          <w:szCs w:val="24"/>
          <w:highlight w:val="none"/>
        </w:rPr>
        <w:t>（二）</w:t>
      </w:r>
      <w:bookmarkEnd w:id="207"/>
      <w:r>
        <w:rPr>
          <w:rFonts w:hint="eastAsia" w:ascii="宋体" w:hAnsi="宋体" w:eastAsia="宋体" w:cs="宋体"/>
          <w:sz w:val="24"/>
          <w:szCs w:val="24"/>
          <w:highlight w:val="none"/>
        </w:rPr>
        <w:t>法定代表人授权委托书</w:t>
      </w:r>
      <w:bookmarkEnd w:id="208"/>
      <w:bookmarkEnd w:id="209"/>
      <w:bookmarkEnd w:id="210"/>
    </w:p>
    <w:p>
      <w:pPr>
        <w:topLinePunct/>
        <w:spacing w:line="480" w:lineRule="auto"/>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80" w:lineRule="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80" w:lineRule="auto"/>
        <w:ind w:firstLine="420" w:firstLineChars="200"/>
        <w:rPr>
          <w:rFonts w:ascii="宋体" w:hAnsi="宋体"/>
          <w:highlight w:val="none"/>
        </w:rPr>
      </w:pPr>
      <w:r>
        <w:rPr>
          <w:rFonts w:ascii="宋体" w:hAnsi="宋体"/>
          <w:highlight w:val="none"/>
        </w:rPr>
        <w:t>代理人无转委托权。</w:t>
      </w:r>
    </w:p>
    <w:p>
      <w:pPr>
        <w:spacing w:line="480" w:lineRule="auto"/>
        <w:ind w:firstLine="420" w:firstLineChars="200"/>
        <w:rPr>
          <w:rFonts w:ascii="宋体" w:hAnsi="宋体"/>
          <w:highlight w:val="none"/>
        </w:rPr>
      </w:pPr>
    </w:p>
    <w:p>
      <w:pPr>
        <w:spacing w:line="480" w:lineRule="auto"/>
        <w:rPr>
          <w:rFonts w:ascii="宋体" w:hAnsi="宋体"/>
          <w:highlight w:val="none"/>
        </w:rPr>
      </w:pPr>
      <w:r>
        <w:rPr>
          <w:rFonts w:ascii="宋体" w:hAnsi="宋体"/>
          <w:highlight w:val="none"/>
        </w:rPr>
        <w:t>附：法定代表人身份证复印件</w:t>
      </w:r>
      <w:r>
        <w:rPr>
          <w:rFonts w:ascii="宋体" w:hAnsi="宋体"/>
          <w:b/>
          <w:bCs/>
          <w:highlight w:val="none"/>
        </w:rPr>
        <w:t>及</w:t>
      </w:r>
      <w:r>
        <w:rPr>
          <w:rFonts w:ascii="宋体" w:hAnsi="宋体"/>
          <w:highlight w:val="none"/>
        </w:rPr>
        <w:t>委托代理人身份证复印件</w:t>
      </w:r>
      <w:r>
        <w:rPr>
          <w:rFonts w:hint="eastAsia" w:ascii="宋体" w:hAnsi="宋体"/>
          <w:highlight w:val="none"/>
        </w:rPr>
        <w:t>（正、反面）</w:t>
      </w:r>
    </w:p>
    <w:p>
      <w:pPr>
        <w:spacing w:line="480" w:lineRule="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cs="宋体"/>
          <w:sz w:val="28"/>
          <w:highlight w:val="none"/>
        </w:rPr>
        <w:sectPr>
          <w:footerReference r:id="rId11" w:type="first"/>
          <w:footerReference r:id="rId10"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19" w:charSpace="0"/>
        </w:sect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211" w:name="_Toc11329275"/>
      <w:bookmarkStart w:id="212" w:name="_Toc29500"/>
    </w:p>
    <w:bookmarkEnd w:id="183"/>
    <w:bookmarkEnd w:id="184"/>
    <w:bookmarkEnd w:id="185"/>
    <w:bookmarkEnd w:id="211"/>
    <w:p>
      <w:pPr>
        <w:pStyle w:val="4"/>
        <w:numPr>
          <w:ilvl w:val="0"/>
          <w:numId w:val="8"/>
        </w:numPr>
        <w:spacing w:before="0" w:after="0" w:line="360" w:lineRule="auto"/>
        <w:jc w:val="center"/>
        <w:rPr>
          <w:rFonts w:ascii="宋体" w:hAnsi="宋体" w:eastAsia="宋体" w:cs="宋体"/>
          <w:sz w:val="28"/>
          <w:highlight w:val="none"/>
        </w:rPr>
      </w:pPr>
      <w:bookmarkStart w:id="213" w:name="_Toc6970"/>
      <w:r>
        <w:rPr>
          <w:rFonts w:hint="eastAsia" w:ascii="宋体" w:hAnsi="宋体" w:eastAsia="宋体" w:cs="宋体"/>
          <w:sz w:val="28"/>
          <w:highlight w:val="none"/>
        </w:rPr>
        <w:t>报价一览表</w:t>
      </w:r>
      <w:bookmarkEnd w:id="212"/>
      <w:bookmarkEnd w:id="213"/>
    </w:p>
    <w:p>
      <w:pPr>
        <w:pStyle w:val="39"/>
        <w:spacing w:line="480" w:lineRule="auto"/>
        <w:jc w:val="both"/>
        <w:rPr>
          <w:rFonts w:hAnsi="宋体"/>
          <w:highlight w:val="none"/>
        </w:rPr>
      </w:pPr>
      <w:r>
        <w:rPr>
          <w:rFonts w:hint="eastAsia" w:hAnsi="宋体"/>
          <w:highlight w:val="none"/>
        </w:rPr>
        <w:t>重庆首讯科技股份有限公司：</w:t>
      </w:r>
    </w:p>
    <w:p>
      <w:pPr>
        <w:spacing w:line="48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rPr>
        <w:t>XXX项目</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p>
    <w:tbl>
      <w:tblPr>
        <w:tblStyle w:val="44"/>
        <w:tblW w:w="10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31"/>
        <w:gridCol w:w="1494"/>
        <w:gridCol w:w="1650"/>
        <w:gridCol w:w="1128"/>
        <w:gridCol w:w="746"/>
        <w:gridCol w:w="1462"/>
        <w:gridCol w:w="150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6"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序号</w:t>
            </w:r>
          </w:p>
        </w:tc>
        <w:tc>
          <w:tcPr>
            <w:tcW w:w="931" w:type="dxa"/>
            <w:noWrap w:val="0"/>
            <w:vAlign w:val="center"/>
          </w:tcPr>
          <w:p>
            <w:pPr>
              <w:pStyle w:val="19"/>
              <w:widowControl w:val="0"/>
              <w:spacing w:line="320" w:lineRule="exact"/>
              <w:jc w:val="center"/>
              <w:rPr>
                <w:rFonts w:hint="default"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标段</w:t>
            </w:r>
          </w:p>
        </w:tc>
        <w:tc>
          <w:tcPr>
            <w:tcW w:w="1494"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收费站</w:t>
            </w:r>
          </w:p>
        </w:tc>
        <w:tc>
          <w:tcPr>
            <w:tcW w:w="1650"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暂定检测时间</w:t>
            </w:r>
          </w:p>
        </w:tc>
        <w:tc>
          <w:tcPr>
            <w:tcW w:w="1128" w:type="dxa"/>
            <w:noWrap w:val="0"/>
            <w:vAlign w:val="center"/>
          </w:tcPr>
          <w:p>
            <w:pPr>
              <w:pStyle w:val="19"/>
              <w:widowControl w:val="0"/>
              <w:spacing w:line="320" w:lineRule="exact"/>
              <w:jc w:val="center"/>
              <w:rPr>
                <w:rFonts w:hint="eastAsia" w:ascii="方正仿宋_GBK" w:hAnsi="Times New Roman" w:eastAsia="方正仿宋_GBK" w:cs="Times New Roman"/>
                <w:kern w:val="0"/>
                <w:sz w:val="20"/>
                <w:szCs w:val="24"/>
                <w:lang w:val="en-US" w:eastAsia="zh-CN" w:bidi="ar-SA"/>
              </w:rPr>
            </w:pPr>
            <w:r>
              <w:rPr>
                <w:rFonts w:hint="eastAsia" w:ascii="方正仿宋_GBK" w:hAnsi="Times New Roman" w:eastAsia="方正仿宋_GBK" w:cs="Times New Roman"/>
                <w:kern w:val="0"/>
                <w:sz w:val="20"/>
                <w:szCs w:val="24"/>
                <w:lang w:val="en-US" w:eastAsia="zh-CN" w:bidi="ar-SA"/>
              </w:rPr>
              <w:t>车道数量（条）</w:t>
            </w:r>
          </w:p>
        </w:tc>
        <w:tc>
          <w:tcPr>
            <w:tcW w:w="746" w:type="dxa"/>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税率</w:t>
            </w:r>
          </w:p>
        </w:tc>
        <w:tc>
          <w:tcPr>
            <w:tcW w:w="1462" w:type="dxa"/>
            <w:noWrap w:val="0"/>
            <w:vAlign w:val="center"/>
          </w:tcPr>
          <w:p>
            <w:pPr>
              <w:pStyle w:val="19"/>
              <w:widowControl w:val="0"/>
              <w:spacing w:line="320" w:lineRule="exact"/>
              <w:jc w:val="center"/>
              <w:rPr>
                <w:rFonts w:ascii="方正仿宋_GBK" w:eastAsia="方正仿宋_GBK"/>
              </w:rPr>
            </w:pPr>
            <w:r>
              <w:rPr>
                <w:rFonts w:hint="eastAsia" w:ascii="方正仿宋_GBK" w:eastAsia="方正仿宋_GBK"/>
                <w:lang w:val="en-US" w:eastAsia="zh-CN"/>
              </w:rPr>
              <w:t>含税</w:t>
            </w:r>
            <w:r>
              <w:rPr>
                <w:rFonts w:hint="eastAsia" w:ascii="方正仿宋_GBK" w:eastAsia="方正仿宋_GBK"/>
              </w:rPr>
              <w:t>单价（元）</w:t>
            </w:r>
          </w:p>
        </w:tc>
        <w:tc>
          <w:tcPr>
            <w:tcW w:w="1503" w:type="dxa"/>
            <w:noWrap w:val="0"/>
            <w:vAlign w:val="center"/>
          </w:tcPr>
          <w:p>
            <w:pPr>
              <w:pStyle w:val="19"/>
              <w:widowControl w:val="0"/>
              <w:spacing w:line="320" w:lineRule="exact"/>
              <w:jc w:val="center"/>
              <w:rPr>
                <w:rFonts w:ascii="方正仿宋_GBK" w:eastAsia="方正仿宋_GBK"/>
              </w:rPr>
            </w:pPr>
            <w:r>
              <w:rPr>
                <w:rFonts w:hint="eastAsia" w:ascii="方正仿宋_GBK" w:eastAsia="方正仿宋_GBK"/>
                <w:lang w:val="en-US" w:eastAsia="zh-CN"/>
              </w:rPr>
              <w:t>含税金额</w:t>
            </w:r>
            <w:r>
              <w:rPr>
                <w:rFonts w:hint="eastAsia" w:ascii="方正仿宋_GBK" w:eastAsia="方正仿宋_GBK"/>
              </w:rPr>
              <w:t>（元）</w:t>
            </w:r>
          </w:p>
        </w:tc>
        <w:tc>
          <w:tcPr>
            <w:tcW w:w="1274" w:type="dxa"/>
            <w:noWrap w:val="0"/>
            <w:vAlign w:val="center"/>
          </w:tcPr>
          <w:p>
            <w:pPr>
              <w:pStyle w:val="19"/>
              <w:widowControl w:val="0"/>
              <w:spacing w:line="320" w:lineRule="exact"/>
              <w:jc w:val="center"/>
              <w:rPr>
                <w:rFonts w:ascii="方正仿宋_GBK" w:eastAsia="方正仿宋_GBK"/>
              </w:rPr>
            </w:pPr>
            <w:r>
              <w:rPr>
                <w:rFonts w:hint="eastAsia" w:ascii="方正仿宋_GBK" w:eastAsia="方正仿宋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931" w:type="dxa"/>
            <w:vMerge w:val="restart"/>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巫云开</w:t>
            </w: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沙市</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noWrap w:val="0"/>
            <w:vAlign w:val="center"/>
          </w:tcPr>
          <w:p>
            <w:pPr>
              <w:keepNext w:val="0"/>
              <w:keepLines w:val="0"/>
              <w:widowControl/>
              <w:suppressLineNumbers w:val="0"/>
              <w:jc w:val="center"/>
              <w:textAlignment w:val="center"/>
              <w:rPr>
                <w:rFonts w:hint="default" w:ascii="方正仿宋_GBK" w:eastAsia="方正仿宋_GBK"/>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金峰</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noWrap w:val="0"/>
            <w:vAlign w:val="center"/>
          </w:tcPr>
          <w:p>
            <w:pPr>
              <w:keepNext w:val="0"/>
              <w:keepLines w:val="0"/>
              <w:widowControl/>
              <w:suppressLineNumbers w:val="0"/>
              <w:jc w:val="center"/>
              <w:textAlignment w:val="center"/>
              <w:rPr>
                <w:rFonts w:ascii="方正仿宋_GBK" w:eastAsia="方正仿宋_GBK"/>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双龙</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金盆</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朝阳</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红池坝</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菱角</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auto"/>
                <w:kern w:val="0"/>
                <w:sz w:val="20"/>
                <w:szCs w:val="20"/>
                <w:highlight w:val="none"/>
                <w:u w:val="none"/>
                <w:lang w:val="en-US" w:eastAsia="zh-CN" w:bidi="ar"/>
              </w:rPr>
              <w:t>6</w:t>
            </w:r>
          </w:p>
        </w:tc>
        <w:tc>
          <w:tcPr>
            <w:tcW w:w="746" w:type="dxa"/>
            <w:shd w:val="clear" w:color="auto" w:fill="auto"/>
            <w:noWrap w:val="0"/>
            <w:vAlign w:val="center"/>
          </w:tcPr>
          <w:p>
            <w:pPr>
              <w:keepNext w:val="0"/>
              <w:keepLines w:val="0"/>
              <w:widowControl/>
              <w:suppressLineNumbers w:val="0"/>
              <w:jc w:val="center"/>
              <w:textAlignment w:val="center"/>
              <w:rPr>
                <w:rFonts w:hint="default"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931" w:type="dxa"/>
            <w:vMerge w:val="continue"/>
            <w:noWrap w:val="0"/>
            <w:vAlign w:val="center"/>
          </w:tcPr>
          <w:p>
            <w:pPr>
              <w:jc w:val="center"/>
              <w:rPr>
                <w:rFonts w:hint="eastAsia" w:ascii="方正仿宋_GBK" w:hAnsi="Times New Roman" w:eastAsia="方正仿宋_GBK" w:cs="Times New Roman"/>
                <w:kern w:val="0"/>
                <w:sz w:val="20"/>
                <w:szCs w:val="24"/>
                <w:lang w:val="en-US" w:eastAsia="zh-CN" w:bidi="ar-SA"/>
              </w:rPr>
            </w:pPr>
          </w:p>
        </w:tc>
        <w:tc>
          <w:tcPr>
            <w:tcW w:w="1494"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巫溪西</w:t>
            </w:r>
          </w:p>
        </w:tc>
        <w:tc>
          <w:tcPr>
            <w:tcW w:w="1650"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甲方通知</w:t>
            </w:r>
          </w:p>
        </w:tc>
        <w:tc>
          <w:tcPr>
            <w:tcW w:w="1128" w:type="dxa"/>
            <w:noWrap w:val="0"/>
            <w:vAlign w:val="center"/>
          </w:tcPr>
          <w:p>
            <w:pPr>
              <w:keepNext w:val="0"/>
              <w:keepLines w:val="0"/>
              <w:widowControl/>
              <w:suppressLineNumbers w:val="0"/>
              <w:jc w:val="center"/>
              <w:textAlignment w:val="center"/>
              <w:rPr>
                <w:rFonts w:hint="eastAsia"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46" w:type="dxa"/>
            <w:shd w:val="clear" w:color="auto" w:fill="auto"/>
            <w:noWrap w:val="0"/>
            <w:vAlign w:val="center"/>
          </w:tcPr>
          <w:p>
            <w:pPr>
              <w:keepNext w:val="0"/>
              <w:keepLines w:val="0"/>
              <w:widowControl/>
              <w:suppressLineNumbers w:val="0"/>
              <w:jc w:val="center"/>
              <w:textAlignment w:val="center"/>
              <w:rPr>
                <w:rFonts w:ascii="方正仿宋_GBK" w:hAnsi="Times New Roman" w:eastAsia="方正仿宋_GBK" w:cs="Times New Roman"/>
                <w:kern w:val="0"/>
                <w:sz w:val="20"/>
                <w:szCs w:val="24"/>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ascii="方正仿宋_GBK" w:eastAsia="方正仿宋_GBK"/>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noWrap w:val="0"/>
            <w:vAlign w:val="center"/>
          </w:tcPr>
          <w:p>
            <w:pPr>
              <w:pStyle w:val="19"/>
              <w:widowControl w:val="0"/>
              <w:spacing w:line="320" w:lineRule="exact"/>
              <w:jc w:val="both"/>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6" w:type="dxa"/>
            <w:noWrap w:val="0"/>
            <w:vAlign w:val="center"/>
          </w:tcPr>
          <w:p>
            <w:pPr>
              <w:keepNext w:val="0"/>
              <w:keepLines w:val="0"/>
              <w:widowControl/>
              <w:suppressLineNumbers w:val="0"/>
              <w:jc w:val="center"/>
              <w:textAlignment w:val="center"/>
              <w:rPr>
                <w:rFonts w:hint="eastAsia" w:ascii="方正仿宋_GBK" w:eastAsia="方正仿宋_GBK"/>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931" w:type="dxa"/>
            <w:vMerge w:val="continue"/>
            <w:noWrap w:val="0"/>
            <w:vAlign w:val="center"/>
          </w:tcPr>
          <w:p>
            <w:pPr>
              <w:jc w:val="center"/>
            </w:pPr>
          </w:p>
        </w:tc>
        <w:tc>
          <w:tcPr>
            <w:tcW w:w="1494" w:type="dxa"/>
            <w:noWrap w:val="0"/>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0"/>
                <w:szCs w:val="20"/>
                <w:u w:val="none"/>
                <w:lang w:val="en-US" w:eastAsia="zh-CN" w:bidi="ar"/>
              </w:rPr>
              <w:t>里程</w:t>
            </w:r>
          </w:p>
        </w:tc>
        <w:tc>
          <w:tcPr>
            <w:tcW w:w="1650" w:type="dxa"/>
            <w:noWrap w:val="0"/>
            <w:vAlign w:val="center"/>
          </w:tcPr>
          <w:p>
            <w:pPr>
              <w:keepNext w:val="0"/>
              <w:keepLines w:val="0"/>
              <w:widowControl/>
              <w:suppressLineNumbers w:val="0"/>
              <w:jc w:val="center"/>
              <w:textAlignment w:val="center"/>
            </w:pPr>
            <w:r>
              <w:rPr>
                <w:rFonts w:hint="eastAsia" w:ascii="方正仿宋_GBK" w:hAnsi="方正仿宋_GBK" w:eastAsia="方正仿宋_GBK" w:cs="方正仿宋_GBK"/>
                <w:i w:val="0"/>
                <w:iCs w:val="0"/>
                <w:color w:val="000000"/>
                <w:kern w:val="0"/>
                <w:sz w:val="20"/>
                <w:szCs w:val="20"/>
                <w:u w:val="none"/>
                <w:lang w:val="en-US" w:eastAsia="zh-CN" w:bidi="ar"/>
              </w:rPr>
              <w:t>暂定数量</w:t>
            </w:r>
          </w:p>
        </w:tc>
        <w:tc>
          <w:tcPr>
            <w:tcW w:w="1128" w:type="dxa"/>
            <w:noWrap w:val="0"/>
            <w:vAlign w:val="center"/>
          </w:tcPr>
          <w:p>
            <w:pPr>
              <w:keepNext w:val="0"/>
              <w:keepLines w:val="0"/>
              <w:widowControl/>
              <w:suppressLineNumbers w:val="0"/>
              <w:jc w:val="center"/>
              <w:textAlignment w:val="center"/>
              <w:rPr>
                <w:rFonts w:hint="default" w:ascii="方正仿宋_GBK" w:eastAsia="方正仿宋_GBK"/>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4356</w:t>
            </w:r>
          </w:p>
        </w:tc>
        <w:tc>
          <w:tcPr>
            <w:tcW w:w="746" w:type="dxa"/>
            <w:noWrap w:val="0"/>
            <w:vAlign w:val="center"/>
          </w:tcPr>
          <w:p>
            <w:pPr>
              <w:keepNext w:val="0"/>
              <w:keepLines w:val="0"/>
              <w:widowControl/>
              <w:suppressLineNumbers w:val="0"/>
              <w:jc w:val="center"/>
              <w:textAlignment w:val="center"/>
              <w:rPr>
                <w:rFonts w:hint="eastAsia" w:ascii="方正仿宋_GBK" w:eastAsia="方正仿宋_GBK"/>
                <w:lang w:val="en-US" w:eastAsia="zh-CN"/>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62" w:type="dxa"/>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503" w:type="dxa"/>
            <w:noWrap w:val="0"/>
            <w:vAlign w:val="center"/>
          </w:tcPr>
          <w:p>
            <w:pPr>
              <w:pStyle w:val="19"/>
              <w:widowControl w:val="0"/>
              <w:spacing w:line="320" w:lineRule="exact"/>
              <w:jc w:val="both"/>
              <w:rPr>
                <w:rFonts w:ascii="方正仿宋_GBK" w:eastAsia="方正仿宋_GBK"/>
              </w:rPr>
            </w:pPr>
          </w:p>
        </w:tc>
        <w:tc>
          <w:tcPr>
            <w:tcW w:w="1274" w:type="dxa"/>
            <w:shd w:val="clear" w:color="auto" w:fill="auto"/>
            <w:noWrap w:val="0"/>
            <w:vAlign w:val="center"/>
          </w:tcPr>
          <w:p>
            <w:pPr>
              <w:pStyle w:val="19"/>
              <w:widowControl w:val="0"/>
              <w:spacing w:line="320" w:lineRule="exact"/>
              <w:jc w:val="center"/>
              <w:rPr>
                <w:rFonts w:ascii="方正仿宋_GBK" w:hAnsi="Times New Roman" w:eastAsia="方正仿宋_GBK" w:cs="Times New Roman"/>
                <w:kern w:val="0"/>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91" w:type="dxa"/>
            <w:gridSpan w:val="4"/>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合计</w:t>
            </w:r>
          </w:p>
        </w:tc>
        <w:tc>
          <w:tcPr>
            <w:tcW w:w="1128" w:type="dxa"/>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55</w:t>
            </w:r>
          </w:p>
        </w:tc>
        <w:tc>
          <w:tcPr>
            <w:tcW w:w="746" w:type="dxa"/>
            <w:noWrap w:val="0"/>
            <w:vAlign w:val="center"/>
          </w:tcPr>
          <w:p>
            <w:pPr>
              <w:pStyle w:val="19"/>
              <w:widowControl w:val="0"/>
              <w:spacing w:line="320" w:lineRule="exact"/>
              <w:jc w:val="center"/>
              <w:rPr>
                <w:rFonts w:hint="eastAsia" w:ascii="方正仿宋_GBK" w:eastAsia="方正仿宋_GBK"/>
                <w:lang w:val="en-US" w:eastAsia="zh-CN"/>
              </w:rPr>
            </w:pPr>
            <w:r>
              <w:rPr>
                <w:rFonts w:hint="eastAsia" w:ascii="方正仿宋_GBK" w:eastAsia="方正仿宋_GBK"/>
                <w:lang w:val="en-US" w:eastAsia="zh-CN"/>
              </w:rPr>
              <w:t>/</w:t>
            </w:r>
          </w:p>
        </w:tc>
        <w:tc>
          <w:tcPr>
            <w:tcW w:w="1462" w:type="dxa"/>
            <w:noWrap w:val="0"/>
            <w:vAlign w:val="center"/>
          </w:tcPr>
          <w:p>
            <w:pPr>
              <w:pStyle w:val="19"/>
              <w:widowControl w:val="0"/>
              <w:spacing w:line="320" w:lineRule="exact"/>
              <w:jc w:val="center"/>
              <w:rPr>
                <w:rFonts w:hint="eastAsia" w:ascii="方正仿宋_GBK" w:eastAsia="方正仿宋_GBK"/>
                <w:lang w:val="en-US" w:eastAsia="zh-CN"/>
              </w:rPr>
            </w:pPr>
          </w:p>
        </w:tc>
        <w:tc>
          <w:tcPr>
            <w:tcW w:w="1503" w:type="dxa"/>
            <w:noWrap w:val="0"/>
            <w:vAlign w:val="center"/>
          </w:tcPr>
          <w:p>
            <w:pPr>
              <w:pStyle w:val="19"/>
              <w:widowControl w:val="0"/>
              <w:spacing w:line="320" w:lineRule="exact"/>
              <w:jc w:val="both"/>
              <w:rPr>
                <w:rFonts w:ascii="方正仿宋_GBK" w:eastAsia="方正仿宋_GBK"/>
              </w:rPr>
            </w:pPr>
          </w:p>
        </w:tc>
        <w:tc>
          <w:tcPr>
            <w:tcW w:w="1274" w:type="dxa"/>
            <w:shd w:val="clear" w:color="auto" w:fill="auto"/>
            <w:noWrap w:val="0"/>
            <w:vAlign w:val="center"/>
          </w:tcPr>
          <w:p>
            <w:pPr>
              <w:pStyle w:val="19"/>
              <w:widowControl w:val="0"/>
              <w:spacing w:line="320" w:lineRule="exact"/>
              <w:jc w:val="center"/>
              <w:rPr>
                <w:rFonts w:ascii="方正仿宋_GBK" w:hAnsi="Times New Roman" w:eastAsia="方正仿宋_GBK" w:cs="Times New Roman"/>
                <w:kern w:val="0"/>
                <w:sz w:val="20"/>
                <w:szCs w:val="24"/>
                <w:lang w:val="en-US" w:eastAsia="zh-CN" w:bidi="ar-SA"/>
              </w:rPr>
            </w:pPr>
          </w:p>
        </w:tc>
      </w:tr>
    </w:tbl>
    <w:p>
      <w:pPr>
        <w:pStyle w:val="12"/>
        <w:rPr>
          <w:highlight w:val="none"/>
        </w:rPr>
      </w:pPr>
    </w:p>
    <w:p>
      <w:pPr>
        <w:pStyle w:val="29"/>
        <w:rPr>
          <w:rFonts w:ascii="宋体" w:hAnsi="宋体" w:cs="宋体"/>
          <w:kern w:val="0"/>
          <w:szCs w:val="21"/>
          <w:highlight w:val="none"/>
        </w:rPr>
      </w:pPr>
    </w:p>
    <w:p>
      <w:pPr>
        <w:rPr>
          <w:rFonts w:ascii="宋体" w:hAnsi="宋体" w:cs="宋体"/>
          <w:kern w:val="0"/>
          <w:szCs w:val="21"/>
          <w:highlight w:val="none"/>
        </w:rPr>
      </w:pPr>
    </w:p>
    <w:p>
      <w:pPr>
        <w:pStyle w:val="29"/>
        <w:rPr>
          <w:highlight w:val="none"/>
        </w:rPr>
        <w:sectPr>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pPr>
    </w:p>
    <w:p>
      <w:pPr>
        <w:pStyle w:val="4"/>
        <w:numPr>
          <w:ilvl w:val="0"/>
          <w:numId w:val="8"/>
        </w:numPr>
        <w:spacing w:before="0" w:after="0" w:line="360" w:lineRule="auto"/>
        <w:jc w:val="center"/>
        <w:rPr>
          <w:rFonts w:ascii="宋体" w:hAnsi="宋体" w:eastAsia="宋体" w:cs="宋体"/>
          <w:sz w:val="28"/>
          <w:highlight w:val="none"/>
        </w:rPr>
      </w:pPr>
      <w:bookmarkStart w:id="214" w:name="_Toc18588"/>
      <w:bookmarkStart w:id="215" w:name="_Toc513633971"/>
      <w:bookmarkStart w:id="216" w:name="_Toc23170"/>
      <w:bookmarkStart w:id="217" w:name="_Toc11961"/>
      <w:bookmarkStart w:id="218" w:name="_Toc503951050"/>
      <w:bookmarkStart w:id="219" w:name="_Toc11329278"/>
      <w:bookmarkStart w:id="220" w:name="_Toc18757"/>
      <w:bookmarkStart w:id="221" w:name="_Toc12910"/>
      <w:bookmarkStart w:id="222" w:name="_Toc447827058"/>
      <w:bookmarkStart w:id="223" w:name="_Toc179632823"/>
      <w:bookmarkStart w:id="224" w:name="_Toc152042592"/>
      <w:bookmarkStart w:id="225" w:name="_Toc247085887"/>
      <w:bookmarkStart w:id="226" w:name="_Toc152045803"/>
      <w:bookmarkStart w:id="227" w:name="_Toc144974871"/>
      <w:bookmarkStart w:id="228" w:name="_Toc246996369"/>
      <w:bookmarkStart w:id="229" w:name="_Toc246997112"/>
      <w:r>
        <w:rPr>
          <w:rFonts w:hint="eastAsia" w:ascii="宋体" w:hAnsi="宋体" w:eastAsia="宋体" w:cs="宋体"/>
          <w:sz w:val="28"/>
          <w:highlight w:val="none"/>
        </w:rPr>
        <w:t>审查资料</w:t>
      </w:r>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p>
      <w:pPr>
        <w:pStyle w:val="5"/>
        <w:spacing w:before="0" w:after="0" w:line="360" w:lineRule="auto"/>
        <w:jc w:val="center"/>
        <w:rPr>
          <w:sz w:val="28"/>
          <w:szCs w:val="28"/>
          <w:highlight w:val="none"/>
        </w:rPr>
      </w:pPr>
      <w:bookmarkStart w:id="230" w:name="_Toc8464"/>
      <w:bookmarkStart w:id="231" w:name="_Toc9880"/>
      <w:bookmarkStart w:id="232" w:name="_Toc30447"/>
      <w:bookmarkStart w:id="233" w:name="_Toc503951058"/>
      <w:bookmarkStart w:id="234" w:name="_Toc513633974"/>
      <w:r>
        <w:rPr>
          <w:rFonts w:hint="eastAsia"/>
          <w:sz w:val="28"/>
          <w:szCs w:val="28"/>
          <w:highlight w:val="none"/>
        </w:rPr>
        <w:t>（一）报价人基本信息表</w:t>
      </w:r>
    </w:p>
    <w:p>
      <w:pPr>
        <w:pStyle w:val="27"/>
        <w:rPr>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rPr>
          <w:rFonts w:hint="eastAsia"/>
          <w:sz w:val="28"/>
          <w:szCs w:val="28"/>
          <w:highlight w:val="none"/>
          <w:lang w:eastAsia="zh-CN"/>
        </w:rPr>
      </w:pPr>
      <w:r>
        <w:rPr>
          <w:rFonts w:hint="eastAsia"/>
          <w:sz w:val="28"/>
          <w:szCs w:val="28"/>
          <w:highlight w:val="none"/>
          <w:lang w:eastAsia="zh-CN"/>
        </w:rPr>
        <w:br w:type="page"/>
      </w:r>
    </w:p>
    <w:bookmarkEnd w:id="230"/>
    <w:bookmarkEnd w:id="231"/>
    <w:p>
      <w:pPr>
        <w:pStyle w:val="5"/>
        <w:spacing w:before="0" w:after="0" w:line="360" w:lineRule="auto"/>
        <w:jc w:val="center"/>
        <w:rPr>
          <w:rFonts w:hint="eastAsia" w:ascii="宋体" w:hAnsi="宋体" w:cs="宋体"/>
          <w:b w:val="0"/>
          <w:bCs w:val="0"/>
          <w:kern w:val="2"/>
          <w:sz w:val="21"/>
          <w:szCs w:val="21"/>
          <w:highlight w:val="none"/>
          <w:shd w:val="clear" w:color="auto" w:fill="FFFFFF"/>
          <w:lang w:val="en-US" w:eastAsia="zh-CN" w:bidi="ar-SA"/>
        </w:rPr>
      </w:pPr>
      <w:r>
        <w:rPr>
          <w:rFonts w:hint="eastAsia"/>
          <w:sz w:val="28"/>
          <w:szCs w:val="28"/>
          <w:highlight w:val="none"/>
        </w:rPr>
        <w:t>（</w:t>
      </w:r>
      <w:r>
        <w:rPr>
          <w:rFonts w:hint="eastAsia"/>
          <w:sz w:val="28"/>
          <w:szCs w:val="28"/>
          <w:highlight w:val="none"/>
          <w:lang w:val="en-US" w:eastAsia="zh-CN"/>
        </w:rPr>
        <w:t>二</w:t>
      </w:r>
      <w:r>
        <w:rPr>
          <w:rFonts w:hint="eastAsia"/>
          <w:sz w:val="28"/>
          <w:szCs w:val="28"/>
          <w:highlight w:val="none"/>
        </w:rPr>
        <w:t>）</w:t>
      </w:r>
      <w:r>
        <w:rPr>
          <w:rFonts w:hint="eastAsia"/>
          <w:sz w:val="28"/>
          <w:szCs w:val="28"/>
          <w:highlight w:val="none"/>
          <w:lang w:val="en-US" w:eastAsia="zh-CN"/>
        </w:rPr>
        <w:t>资格要求</w:t>
      </w:r>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1、</w:t>
            </w:r>
            <w:bookmarkStart w:id="235" w:name="OLE_LINK1"/>
            <w:r>
              <w:rPr>
                <w:rFonts w:hint="eastAsia" w:cs="Times New Roman"/>
                <w:lang w:val="en-US" w:eastAsia="zh-CN"/>
              </w:rPr>
              <w:t>报价人</w:t>
            </w:r>
            <w:bookmarkEnd w:id="235"/>
            <w:r>
              <w:rPr>
                <w:rFonts w:hint="eastAsia" w:ascii="Times New Roman" w:hAnsi="Times New Roman" w:eastAsia="宋体" w:cs="Times New Roman"/>
              </w:rPr>
              <w:t>具有独立法人资格，具有有效的营业执照。</w:t>
            </w:r>
          </w:p>
          <w:p>
            <w:pPr>
              <w:numPr>
                <w:ilvl w:val="0"/>
                <w:numId w:val="0"/>
              </w:num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cs="Times New Roman"/>
                <w:lang w:val="en-US" w:eastAsia="zh-CN"/>
              </w:rPr>
              <w:t>报价人</w:t>
            </w:r>
            <w:r>
              <w:rPr>
                <w:rFonts w:hint="eastAsia" w:ascii="Times New Roman" w:hAnsi="Times New Roman" w:eastAsia="宋体" w:cs="Times New Roman"/>
              </w:rPr>
              <w:t>需具备ISO管理认证体系证书（ISO9001质量管理体系认证证书、ISO14001环境管理体系认证证书、ISO45001职业健康安全管理体系认证证书）</w:t>
            </w:r>
            <w:r>
              <w:rPr>
                <w:rFonts w:hint="eastAsia" w:ascii="Times New Roman" w:hAnsi="Times New Roman" w:eastAsia="宋体" w:cs="Times New Roman"/>
                <w:lang w:eastAsia="zh-CN"/>
              </w:rPr>
              <w:t>。</w:t>
            </w:r>
          </w:p>
          <w:p>
            <w:pPr>
              <w:numPr>
                <w:ilvl w:val="0"/>
                <w:numId w:val="0"/>
              </w:numPr>
              <w:spacing w:line="400" w:lineRule="exact"/>
              <w:rPr>
                <w:highlight w:val="none"/>
              </w:rPr>
            </w:pPr>
            <w:r>
              <w:rPr>
                <w:rFonts w:hint="eastAsia" w:ascii="Times New Roman" w:hAnsi="Times New Roman" w:eastAsia="宋体" w:cs="Times New Roman"/>
                <w:lang w:val="en-US" w:eastAsia="zh-CN"/>
              </w:rPr>
              <w:t>3、</w:t>
            </w:r>
            <w:r>
              <w:rPr>
                <w:rFonts w:hint="eastAsia" w:cs="Times New Roman"/>
                <w:lang w:val="en-US" w:eastAsia="zh-CN"/>
              </w:rPr>
              <w:t>报价人</w:t>
            </w:r>
            <w:r>
              <w:rPr>
                <w:rFonts w:hint="eastAsia" w:ascii="Times New Roman" w:hAnsi="Times New Roman" w:eastAsia="宋体" w:cs="Times New Roman"/>
              </w:rPr>
              <w:t>具有北京中交国通智能交通系统技术有限公司颁发的电子收费专用短程通信车载单元（双算法）产品</w:t>
            </w:r>
            <w:r>
              <w:rPr>
                <w:rFonts w:hint="eastAsia" w:cs="Times New Roman"/>
                <w:lang w:val="en-US" w:eastAsia="zh-CN"/>
              </w:rPr>
              <w:t>或</w:t>
            </w:r>
            <w:r>
              <w:rPr>
                <w:rFonts w:hint="eastAsia" w:ascii="Times New Roman" w:hAnsi="Times New Roman" w:eastAsia="宋体" w:cs="Times New Roman"/>
              </w:rPr>
              <w:t>电子收费专用短程通信路侧单元（双算法）产品有效检测报告。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1、2021年1月1日至报价截止日期（以合同签订时间为准）至少独立完成一项合同金额不低于5万元及以上的高速公路车道检测业绩（提供合同扫描件）。</w:t>
            </w:r>
          </w:p>
          <w:p>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shd w:val="clear" w:color="auto" w:fill="FFFFFF"/>
              </w:rPr>
              <w:t>注：须提供合同复印件或关键页，关键页包括但不限于合同首尾页、签章页、金额页、</w:t>
            </w:r>
            <w:r>
              <w:rPr>
                <w:rFonts w:hint="eastAsia" w:ascii="宋体" w:hAnsi="宋体" w:cs="宋体"/>
                <w:b/>
                <w:bCs/>
                <w:szCs w:val="21"/>
                <w:highlight w:val="none"/>
                <w:shd w:val="clear" w:color="auto" w:fill="FFFFFF"/>
              </w:rPr>
              <w:t>单项金额</w:t>
            </w:r>
            <w:r>
              <w:rPr>
                <w:rFonts w:hint="eastAsia" w:ascii="宋体" w:hAnsi="宋体" w:cs="宋体"/>
                <w:szCs w:val="21"/>
                <w:highlight w:val="none"/>
                <w:shd w:val="clear" w:color="auto" w:fill="FFFFFF"/>
              </w:rPr>
              <w:t>页（非单一供货</w:t>
            </w:r>
            <w:r>
              <w:rPr>
                <w:rFonts w:hint="eastAsia" w:ascii="宋体" w:hAnsi="宋体" w:cs="宋体"/>
                <w:szCs w:val="21"/>
                <w:highlight w:val="none"/>
                <w:shd w:val="clear" w:color="auto" w:fill="FFFFFF"/>
                <w:lang w:val="en-US" w:eastAsia="zh-CN"/>
              </w:rPr>
              <w:t>内容业绩</w:t>
            </w:r>
            <w:r>
              <w:rPr>
                <w:rFonts w:hint="eastAsia" w:ascii="宋体" w:hAnsi="宋体" w:cs="宋体"/>
                <w:szCs w:val="21"/>
                <w:highlight w:val="none"/>
                <w:shd w:val="clear" w:color="auto" w:fill="FFFFFF"/>
              </w:rPr>
              <w:t>时提供）以及对应合同</w:t>
            </w:r>
            <w:r>
              <w:rPr>
                <w:rFonts w:hint="eastAsia" w:ascii="宋体" w:hAnsi="宋体" w:cs="宋体"/>
                <w:szCs w:val="21"/>
                <w:highlight w:val="none"/>
                <w:shd w:val="clear" w:color="auto" w:fill="FFFFFF"/>
                <w:lang w:val="en-US" w:eastAsia="zh-CN"/>
              </w:rPr>
              <w:t>不低于5万</w:t>
            </w:r>
            <w:r>
              <w:rPr>
                <w:rFonts w:hint="eastAsia" w:ascii="宋体" w:hAnsi="宋体" w:cs="宋体"/>
                <w:szCs w:val="21"/>
                <w:highlight w:val="none"/>
                <w:shd w:val="clear" w:color="auto" w:fill="FFFFFF"/>
              </w:rPr>
              <w:t>的增值税发票，关键页需能充分体现以上业绩要求各项要素。增值税发票复印件要求：投标人针对该业绩项目开具增值税发票复印件或扫描件（非单一供货</w:t>
            </w:r>
            <w:r>
              <w:rPr>
                <w:rFonts w:hint="eastAsia" w:ascii="宋体" w:hAnsi="宋体" w:cs="宋体"/>
                <w:szCs w:val="21"/>
                <w:highlight w:val="none"/>
                <w:shd w:val="clear" w:color="auto" w:fill="FFFFFF"/>
                <w:lang w:val="en-US" w:eastAsia="zh-CN"/>
              </w:rPr>
              <w:t>内容</w:t>
            </w:r>
            <w:r>
              <w:rPr>
                <w:rFonts w:hint="eastAsia" w:ascii="宋体" w:hAnsi="宋体" w:cs="宋体"/>
                <w:szCs w:val="21"/>
                <w:highlight w:val="none"/>
                <w:shd w:val="clear" w:color="auto" w:fill="FFFFFF"/>
              </w:rPr>
              <w:t>业绩时提供</w:t>
            </w:r>
            <w:r>
              <w:rPr>
                <w:rFonts w:hint="eastAsia" w:ascii="宋体" w:hAnsi="宋体" w:cs="宋体"/>
                <w:b/>
                <w:bCs/>
                <w:szCs w:val="21"/>
                <w:highlight w:val="none"/>
                <w:shd w:val="clear" w:color="auto" w:fill="FFFFFF"/>
              </w:rPr>
              <w:t>单项发票</w:t>
            </w:r>
            <w:r>
              <w:rPr>
                <w:rFonts w:hint="eastAsia" w:ascii="宋体" w:hAnsi="宋体" w:cs="宋体"/>
                <w:szCs w:val="21"/>
                <w:highlight w:val="none"/>
                <w:shd w:val="clear" w:color="auto" w:fill="FFFFFF"/>
              </w:rPr>
              <w:t>）。提供有关资料，加盖报价单位鲜公章。不满足上述业绩要求的业绩视为无效。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在国家企业信用信息公示系统（http://www.gsxt.gov.cn/）中未被列入严重违法失信企业名单（黑名单）信息（若并非企业，则无需查询）；在“信用中国”网站（http://www.creditchina.gov.cn/）中未被列入严重失信主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highlight w:val="none"/>
              </w:rPr>
            </w:pPr>
            <w:r>
              <w:rPr>
                <w:rFonts w:hint="eastAsia" w:ascii="宋体" w:hAnsi="宋体" w:eastAsia="宋体" w:cs="宋体"/>
                <w:szCs w:val="21"/>
                <w:highlight w:val="none"/>
                <w:shd w:val="clear" w:color="auto" w:fill="FFFFFF"/>
                <w:lang w:val="en-US" w:eastAsia="zh-CN"/>
              </w:rPr>
              <w:t>人员要求</w:t>
            </w:r>
          </w:p>
        </w:tc>
        <w:tc>
          <w:tcPr>
            <w:tcW w:w="6784"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400" w:lineRule="exact"/>
              <w:rPr>
                <w:rFonts w:hint="eastAsia" w:ascii="宋体" w:hAnsi="宋体" w:eastAsia="宋体" w:cs="宋体"/>
                <w:szCs w:val="21"/>
                <w:highlight w:val="none"/>
                <w:shd w:val="clear" w:color="auto" w:fill="FFFFFF"/>
              </w:rPr>
            </w:pPr>
            <w:r>
              <w:rPr>
                <w:rFonts w:hint="eastAsia" w:ascii="宋体" w:hAnsi="宋体" w:cs="宋体"/>
                <w:szCs w:val="21"/>
                <w:highlight w:val="none"/>
                <w:shd w:val="clear" w:color="auto" w:fill="FFFFFF"/>
                <w:lang w:val="en-US" w:eastAsia="zh-CN"/>
              </w:rPr>
              <w:t>项目负责人1名，</w:t>
            </w:r>
            <w:r>
              <w:rPr>
                <w:rFonts w:hint="eastAsia" w:ascii="宋体" w:hAnsi="宋体" w:eastAsia="宋体" w:cs="宋体"/>
                <w:szCs w:val="21"/>
                <w:highlight w:val="none"/>
                <w:shd w:val="clear" w:color="auto" w:fill="FFFFFF"/>
              </w:rPr>
              <w:t>需持有效的智能交通及信息化证书中级及以上职称，检测人员不得少于3名。</w:t>
            </w:r>
          </w:p>
          <w:p>
            <w:pPr>
              <w:pStyle w:val="14"/>
              <w:numPr>
                <w:ilvl w:val="0"/>
                <w:numId w:val="0"/>
              </w:numPr>
              <w:rPr>
                <w:rFonts w:hint="eastAsia"/>
                <w:lang w:val="en-US" w:eastAsia="zh-CN"/>
              </w:rPr>
            </w:pPr>
            <w:r>
              <w:rPr>
                <w:rFonts w:hint="eastAsia"/>
                <w:lang w:val="en-US" w:eastAsia="zh-CN"/>
              </w:rPr>
              <w:t>注：</w:t>
            </w:r>
            <w:r>
              <w:rPr>
                <w:rFonts w:hint="eastAsia" w:ascii="Times New Roman" w:hAnsi="宋体" w:cs="Times New Roman"/>
                <w:b w:val="0"/>
                <w:bCs w:val="0"/>
                <w:color w:val="auto"/>
                <w:sz w:val="21"/>
                <w:szCs w:val="21"/>
                <w:highlight w:val="none"/>
                <w:lang w:val="en-US" w:eastAsia="zh-CN"/>
              </w:rPr>
              <w:t>需提供人员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hAnsi="宋体"/>
          <w:kern w:val="0"/>
          <w:szCs w:val="21"/>
          <w:highlight w:val="none"/>
        </w:rPr>
      </w:pPr>
      <w:r>
        <w:rPr>
          <w:rFonts w:hint="eastAsia" w:ascii="宋体" w:hAnsi="宋体" w:cs="宋体"/>
          <w:szCs w:val="21"/>
          <w:highlight w:val="none"/>
        </w:rPr>
        <w:t xml:space="preserve">  </w:t>
      </w:r>
      <w:r>
        <w:rPr>
          <w:rFonts w:hint="eastAsia" w:hAnsi="宋体"/>
          <w:kern w:val="0"/>
          <w:szCs w:val="21"/>
          <w:highlight w:val="none"/>
        </w:rPr>
        <w:t xml:space="preserve"> 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highlight w:val="none"/>
        </w:rPr>
      </w:pPr>
      <w:r>
        <w:rPr>
          <w:rFonts w:hint="eastAsia" w:hAnsi="宋体"/>
          <w:kern w:val="0"/>
          <w:szCs w:val="21"/>
          <w:highlight w:val="none"/>
          <w:lang w:val="en-US" w:eastAsia="zh-CN"/>
        </w:rPr>
        <w:t>1、</w:t>
      </w:r>
      <w:r>
        <w:rPr>
          <w:rFonts w:hint="eastAsia" w:hAnsi="宋体"/>
          <w:kern w:val="0"/>
          <w:szCs w:val="21"/>
          <w:highlight w:val="none"/>
        </w:rPr>
        <w:t>报价人提供采购人要求的所有资质要求、</w:t>
      </w:r>
      <w:r>
        <w:rPr>
          <w:rFonts w:hint="eastAsia" w:hAnsi="宋体"/>
          <w:kern w:val="0"/>
          <w:szCs w:val="21"/>
          <w:highlight w:val="none"/>
          <w:lang w:val="en-US" w:eastAsia="zh-CN"/>
        </w:rPr>
        <w:t>业绩要求、</w:t>
      </w:r>
      <w:r>
        <w:rPr>
          <w:rFonts w:hint="eastAsia" w:hAnsi="宋体"/>
          <w:kern w:val="0"/>
          <w:szCs w:val="21"/>
          <w:highlight w:val="none"/>
        </w:rPr>
        <w:t>信誉要求</w:t>
      </w:r>
      <w:r>
        <w:rPr>
          <w:rFonts w:hint="eastAsia" w:hAnsi="宋体"/>
          <w:kern w:val="0"/>
          <w:szCs w:val="21"/>
          <w:highlight w:val="none"/>
          <w:lang w:val="en-US" w:eastAsia="zh-CN"/>
        </w:rPr>
        <w:t>等资料</w:t>
      </w:r>
      <w:r>
        <w:rPr>
          <w:rFonts w:hint="eastAsia" w:hAnsi="宋体"/>
          <w:kern w:val="0"/>
          <w:szCs w:val="21"/>
          <w:highlight w:val="none"/>
        </w:rPr>
        <w:t>并加盖单位鲜公章</w:t>
      </w:r>
      <w:r>
        <w:rPr>
          <w:rFonts w:hint="eastAsia" w:hAnsi="宋体"/>
          <w:kern w:val="0"/>
          <w:szCs w:val="21"/>
          <w:highlight w:val="none"/>
          <w:lang w:eastAsia="zh-CN"/>
        </w:rPr>
        <w:t>。</w:t>
      </w:r>
    </w:p>
    <w:p>
      <w:pPr>
        <w:pStyle w:val="14"/>
        <w:rPr>
          <w:rFonts w:hint="eastAsia"/>
        </w:rPr>
      </w:pPr>
    </w:p>
    <w:p>
      <w:pPr>
        <w:pStyle w:val="14"/>
        <w:rPr>
          <w:rFonts w:hint="eastAsia"/>
        </w:rPr>
      </w:pPr>
    </w:p>
    <w:p>
      <w:pPr>
        <w:pStyle w:val="14"/>
        <w:ind w:left="0" w:leftChars="0" w:firstLine="0" w:firstLineChars="0"/>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after="329" w:afterLines="100" w:line="240" w:lineRule="auto"/>
        <w:ind w:firstLine="420" w:firstLineChars="200"/>
        <w:jc w:val="both"/>
        <w:textAlignment w:val="auto"/>
        <w:rPr>
          <w:rFonts w:hint="eastAsia" w:ascii="宋体" w:hAnsi="宋体" w:eastAsia="宋体" w:cs="宋体"/>
          <w:b w:val="0"/>
          <w:bCs w:val="0"/>
          <w:kern w:val="2"/>
          <w:sz w:val="21"/>
          <w:szCs w:val="21"/>
          <w:highlight w:val="none"/>
          <w:shd w:val="clear" w:color="auto" w:fill="FFFFFF"/>
          <w:lang w:val="en-US" w:eastAsia="zh-CN" w:bidi="ar-SA"/>
        </w:rPr>
      </w:pPr>
    </w:p>
    <w:p>
      <w:pPr>
        <w:rPr>
          <w:highlight w:val="none"/>
        </w:rPr>
      </w:pPr>
      <w:r>
        <w:rPr>
          <w:rFonts w:hint="eastAsia"/>
          <w:color w:val="auto"/>
          <w:highlight w:val="none"/>
          <w:lang w:eastAsia="zh-CN"/>
        </w:rPr>
        <w:br w:type="page"/>
      </w:r>
    </w:p>
    <w:p>
      <w:pPr>
        <w:pStyle w:val="4"/>
        <w:numPr>
          <w:ilvl w:val="0"/>
          <w:numId w:val="8"/>
        </w:numPr>
        <w:spacing w:before="0" w:after="0" w:line="360" w:lineRule="auto"/>
        <w:jc w:val="center"/>
        <w:rPr>
          <w:rFonts w:ascii="宋体" w:hAnsi="宋体" w:eastAsia="宋体" w:cs="宋体"/>
          <w:sz w:val="28"/>
          <w:highlight w:val="none"/>
        </w:rPr>
      </w:pPr>
      <w:bookmarkStart w:id="236" w:name="_Toc296"/>
      <w:r>
        <w:rPr>
          <w:rFonts w:hint="eastAsia" w:ascii="宋体" w:hAnsi="宋体" w:eastAsia="宋体" w:cs="宋体"/>
          <w:sz w:val="28"/>
          <w:highlight w:val="none"/>
        </w:rPr>
        <w:t>报价人承诺</w:t>
      </w:r>
      <w:bookmarkEnd w:id="232"/>
      <w:bookmarkEnd w:id="236"/>
    </w:p>
    <w:p>
      <w:pPr>
        <w:pStyle w:val="19"/>
        <w:rPr>
          <w:rFonts w:hint="eastAsia" w:eastAsia="宋体"/>
          <w:highlight w:val="none"/>
          <w:lang w:val="en-US" w:eastAsia="zh-CN"/>
        </w:rPr>
      </w:pPr>
      <w:r>
        <w:rPr>
          <w:rFonts w:hint="eastAsia"/>
          <w:highlight w:val="none"/>
          <w:lang w:val="en-US" w:eastAsia="zh-CN"/>
        </w:rPr>
        <w:t xml:space="preserve"> </w:t>
      </w:r>
    </w:p>
    <w:p>
      <w:pPr>
        <w:pStyle w:val="39"/>
        <w:spacing w:line="480" w:lineRule="auto"/>
        <w:jc w:val="both"/>
        <w:rPr>
          <w:rFonts w:hint="eastAsia" w:ascii="宋体" w:hAnsi="宋体"/>
          <w:color w:val="000000"/>
          <w:sz w:val="24"/>
          <w:highlight w:val="none"/>
        </w:rPr>
      </w:pPr>
      <w:r>
        <w:rPr>
          <w:rFonts w:hint="eastAsia" w:hAnsi="宋体"/>
          <w:highlight w:val="none"/>
        </w:rPr>
        <w:t>致：</w:t>
      </w:r>
      <w:r>
        <w:rPr>
          <w:rFonts w:hint="eastAsia" w:hAnsi="宋体"/>
          <w:highlight w:val="none"/>
          <w:u w:val="single"/>
        </w:rPr>
        <w:t>重庆首讯科技股份有限公司</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hint="eastAsia" w:ascii="宋体" w:hAnsi="宋体"/>
          <w:color w:val="000000"/>
          <w:sz w:val="24"/>
          <w:highlight w:val="none"/>
        </w:rPr>
      </w:pP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在研究XXXX   项目竞争比选文件后，在此郑重承诺我司满足本项目一切服务内容、服务要求、服务时间等相关要求，响应比选函的一切内容，同时申明将按照业主要求组建项目团队。若我司中标本项目且无法满足业主相关需求，我司愿承担由此给采购人造成的一切损失。</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3、在合同约定的期限内完成合同规定的全部义务。</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4、我司承诺按比选文件及响应文件人员组建项目团队，配备至少3人</w:t>
      </w:r>
      <w:r>
        <w:rPr>
          <w:rFonts w:hint="eastAsia" w:ascii="宋体" w:hAnsi="宋体" w:cs="宋体"/>
          <w:color w:val="000000"/>
          <w:kern w:val="2"/>
          <w:sz w:val="24"/>
          <w:szCs w:val="24"/>
          <w:highlight w:val="none"/>
          <w:lang w:val="en-US" w:eastAsia="zh-CN" w:bidi="ar"/>
        </w:rPr>
        <w:t>，满足任职资格要求</w:t>
      </w:r>
      <w:r>
        <w:rPr>
          <w:rFonts w:hint="eastAsia" w:ascii="宋体" w:hAnsi="宋体" w:eastAsia="宋体" w:cs="宋体"/>
          <w:color w:val="000000"/>
          <w:kern w:val="2"/>
          <w:sz w:val="24"/>
          <w:szCs w:val="24"/>
          <w:highlight w:val="none"/>
          <w:lang w:val="en-US" w:eastAsia="zh-CN" w:bidi="ar"/>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both"/>
        <w:textAlignment w:val="auto"/>
        <w:rPr>
          <w:rFonts w:ascii="宋体" w:hAnsi="宋体"/>
          <w:color w:val="000000"/>
          <w:sz w:val="24"/>
          <w:highlight w:val="none"/>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center"/>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right"/>
        <w:textAlignment w:val="auto"/>
        <w:rPr>
          <w:rFonts w:ascii="宋体" w:hAnsi="宋体"/>
          <w:color w:val="000000"/>
          <w:sz w:val="24"/>
          <w:highlight w:val="none"/>
        </w:rPr>
      </w:pPr>
      <w:r>
        <w:rPr>
          <w:rFonts w:hint="eastAsia" w:ascii="宋体" w:hAnsi="宋体"/>
          <w:color w:val="000000"/>
          <w:sz w:val="24"/>
          <w:highlight w:val="none"/>
        </w:rPr>
        <w:t>承诺人：XX公司</w:t>
      </w:r>
    </w:p>
    <w:p>
      <w:pPr>
        <w:pStyle w:val="19"/>
        <w:spacing w:line="480" w:lineRule="auto"/>
        <w:jc w:val="right"/>
        <w:rPr>
          <w:highlight w:val="none"/>
        </w:rPr>
      </w:pPr>
      <w:r>
        <w:rPr>
          <w:rFonts w:hint="eastAsia" w:ascii="宋体" w:hAnsi="宋体"/>
          <w:color w:val="000000"/>
          <w:sz w:val="24"/>
          <w:highlight w:val="none"/>
        </w:rPr>
        <w:t xml:space="preserve">              </w:t>
      </w:r>
      <w:r>
        <w:rPr>
          <w:rFonts w:hint="eastAsia" w:ascii="宋体" w:hAnsi="宋体" w:eastAsia="宋体" w:cs="Times New Roman"/>
          <w:color w:val="000000"/>
          <w:kern w:val="2"/>
          <w:sz w:val="24"/>
          <w:szCs w:val="24"/>
          <w:highlight w:val="none"/>
          <w:lang w:val="en-US" w:eastAsia="zh-CN" w:bidi="ar-SA"/>
        </w:rPr>
        <w:t>日期：</w:t>
      </w:r>
    </w:p>
    <w:p>
      <w:pPr>
        <w:pStyle w:val="19"/>
        <w:rPr>
          <w:rFonts w:ascii="宋体" w:hAnsi="宋体"/>
          <w:color w:val="000000"/>
          <w:sz w:val="24"/>
          <w:highlight w:val="none"/>
        </w:rPr>
      </w:pPr>
    </w:p>
    <w:p>
      <w:pPr>
        <w:rPr>
          <w:rFonts w:ascii="宋体" w:hAnsi="宋体"/>
          <w:color w:val="000000"/>
          <w:sz w:val="24"/>
          <w:highlight w:val="none"/>
        </w:rPr>
      </w:pPr>
    </w:p>
    <w:p>
      <w:pPr>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比选文件中要求报价人自行承诺的，由报价人按比选文件要求内容承诺，格式自拟。</w:t>
      </w:r>
    </w:p>
    <w:p>
      <w:pPr>
        <w:rPr>
          <w:highlight w:val="none"/>
        </w:rPr>
      </w:pPr>
    </w:p>
    <w:p>
      <w:pPr>
        <w:pStyle w:val="6"/>
        <w:rPr>
          <w:highlight w:val="none"/>
        </w:rPr>
      </w:pPr>
    </w:p>
    <w:p>
      <w:pPr>
        <w:pStyle w:val="14"/>
        <w:rPr>
          <w:highlight w:val="none"/>
        </w:rPr>
      </w:pPr>
    </w:p>
    <w:p>
      <w:pPr>
        <w:pStyle w:val="4"/>
        <w:numPr>
          <w:ilvl w:val="0"/>
          <w:numId w:val="8"/>
        </w:numPr>
        <w:spacing w:before="0" w:after="0" w:line="360" w:lineRule="auto"/>
        <w:jc w:val="center"/>
        <w:rPr>
          <w:rFonts w:ascii="宋体" w:hAnsi="宋体" w:eastAsia="宋体" w:cs="宋体"/>
          <w:sz w:val="28"/>
          <w:highlight w:val="none"/>
        </w:rPr>
      </w:pPr>
      <w:bookmarkStart w:id="237" w:name="_Toc5210"/>
      <w:r>
        <w:rPr>
          <w:rFonts w:hint="eastAsia" w:ascii="宋体" w:hAnsi="宋体" w:eastAsia="宋体" w:cs="宋体"/>
          <w:sz w:val="28"/>
          <w:highlight w:val="none"/>
        </w:rPr>
        <w:t>报价人提供的其他资料（如有）</w:t>
      </w:r>
      <w:bookmarkEnd w:id="237"/>
    </w:p>
    <w:bookmarkEnd w:id="233"/>
    <w:bookmarkEnd w:id="234"/>
    <w:p>
      <w:pPr>
        <w:rPr>
          <w:highlight w:val="none"/>
        </w:rPr>
      </w:pP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1、投标保证金银行回执等附件。</w:t>
      </w:r>
    </w:p>
    <w:p>
      <w:pPr>
        <w:rPr>
          <w:rFonts w:hint="eastAsia"/>
          <w:highlight w:val="none"/>
        </w:rPr>
      </w:pPr>
      <w:r>
        <w:rPr>
          <w:rFonts w:hint="eastAsia"/>
          <w:color w:val="000000" w:themeColor="text1"/>
          <w:highlight w:val="none"/>
          <w:lang w:val="en-US" w:eastAsia="zh-CN"/>
          <w14:textFill>
            <w14:solidFill>
              <w14:schemeClr w14:val="tx1"/>
            </w14:solidFill>
          </w14:textFill>
        </w:rPr>
        <w:t>2、其他内容</w:t>
      </w:r>
    </w:p>
    <w:p>
      <w:pPr>
        <w:rPr>
          <w:highlight w:val="none"/>
        </w:rPr>
      </w:pPr>
    </w:p>
    <w:p>
      <w:pPr>
        <w:rPr>
          <w:highlight w:val="none"/>
        </w:rPr>
      </w:pPr>
    </w:p>
    <w:p>
      <w:pPr>
        <w:rPr>
          <w:highlight w:val="none"/>
        </w:rPr>
      </w:pPr>
      <w:r>
        <w:rPr>
          <w:highlight w:val="none"/>
        </w:rPr>
        <w:br w:type="page"/>
      </w:r>
    </w:p>
    <w:p>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r>
        <w:rPr>
          <w:rFonts w:hint="eastAsia" w:ascii="宋体" w:hAnsi="宋体" w:eastAsia="宋体" w:cs="宋体"/>
          <w:b/>
          <w:bCs/>
          <w:kern w:val="0"/>
          <w:sz w:val="28"/>
          <w:szCs w:val="32"/>
          <w:highlight w:val="none"/>
          <w:lang w:val="en-US" w:eastAsia="zh-CN" w:bidi="ar-SA"/>
        </w:rPr>
        <w:t>七、低价风险担保提交承诺书（如有）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jc w:val="right"/>
        <w:rPr>
          <w:rFonts w:hint="eastAsia"/>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highlight w:val="none"/>
        </w:rPr>
      </w:pPr>
    </w:p>
    <w:p>
      <w:pPr>
        <w:rPr>
          <w:highlight w:val="none"/>
        </w:rPr>
      </w:pPr>
    </w:p>
    <w:sectPr>
      <w:footerReference r:id="rId12" w:type="default"/>
      <w:pgSz w:w="11906" w:h="16838"/>
      <w:pgMar w:top="1440" w:right="1576" w:bottom="1440" w:left="1463" w:header="851" w:footer="992" w:gutter="0"/>
      <w:pgBorders>
        <w:top w:val="none" w:sz="0" w:space="0"/>
        <w:left w:val="none" w:sz="0" w:space="0"/>
        <w:bottom w:val="none" w:sz="0" w:space="0"/>
        <w:right w:val="none" w:sz="0" w:space="0"/>
      </w:pgBorders>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753449-28E0-480D-8A31-A539EC8EB442}"/>
  </w:font>
  <w:font w:name="黑体">
    <w:panose1 w:val="02010609060101010101"/>
    <w:charset w:val="86"/>
    <w:family w:val="auto"/>
    <w:pitch w:val="default"/>
    <w:sig w:usb0="800002BF" w:usb1="38CF7CFA" w:usb2="00000016" w:usb3="00000000" w:csb0="00040001" w:csb1="00000000"/>
    <w:embedRegular r:id="rId2" w:fontKey="{40172FE9-3B3A-41AA-B02D-11262B24B2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embedRegular r:id="rId3" w:fontKey="{F31F3036-CB46-4132-BCD3-07F79F2480E2}"/>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8"/>
      </w:rPr>
    </w:pPr>
    <w:r>
      <w:fldChar w:fldCharType="begin"/>
    </w:r>
    <w:r>
      <w:rPr>
        <w:rStyle w:val="48"/>
      </w:rPr>
      <w:instrText xml:space="preserve">PAGE  </w:instrText>
    </w:r>
    <w:r>
      <w:fldChar w:fldCharType="separate"/>
    </w:r>
    <w:r>
      <w:rPr>
        <w:rStyle w:val="48"/>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CFC3C"/>
    <w:multiLevelType w:val="singleLevel"/>
    <w:tmpl w:val="8E7CFC3C"/>
    <w:lvl w:ilvl="0" w:tentative="0">
      <w:start w:val="1"/>
      <w:numFmt w:val="decimal"/>
      <w:suff w:val="nothing"/>
      <w:lvlText w:val="%1、"/>
      <w:lvlJc w:val="left"/>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abstractNum w:abstractNumId="6">
    <w:nsid w:val="40BFADB8"/>
    <w:multiLevelType w:val="singleLevel"/>
    <w:tmpl w:val="40BFADB8"/>
    <w:lvl w:ilvl="0" w:tentative="0">
      <w:start w:val="1"/>
      <w:numFmt w:val="decimal"/>
      <w:suff w:val="nothing"/>
      <w:lvlText w:val="%1、"/>
      <w:lvlJc w:val="left"/>
    </w:lvl>
  </w:abstractNum>
  <w:abstractNum w:abstractNumId="7">
    <w:nsid w:val="55A8649E"/>
    <w:multiLevelType w:val="singleLevel"/>
    <w:tmpl w:val="55A8649E"/>
    <w:lvl w:ilvl="0" w:tentative="0">
      <w:start w:val="1"/>
      <w:numFmt w:val="decimal"/>
      <w:suff w:val="nothing"/>
      <w:lvlText w:val="（%1）"/>
      <w:lvlJc w:val="left"/>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ZWIzODJkYWM5YjA2ZDE5YWVhMjgxZTFhYjA5MT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0D54"/>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247F"/>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2A98"/>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143C"/>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24FE"/>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BB7833"/>
    <w:rsid w:val="01F5332B"/>
    <w:rsid w:val="0211267C"/>
    <w:rsid w:val="02155A13"/>
    <w:rsid w:val="02195A53"/>
    <w:rsid w:val="02225B04"/>
    <w:rsid w:val="029D41FE"/>
    <w:rsid w:val="02A800C5"/>
    <w:rsid w:val="02C6499B"/>
    <w:rsid w:val="02C91CAA"/>
    <w:rsid w:val="02F079B0"/>
    <w:rsid w:val="037D0CD2"/>
    <w:rsid w:val="038B3366"/>
    <w:rsid w:val="03981B5E"/>
    <w:rsid w:val="03996EAD"/>
    <w:rsid w:val="03E0736C"/>
    <w:rsid w:val="03F60BFA"/>
    <w:rsid w:val="04023CC8"/>
    <w:rsid w:val="04074EC0"/>
    <w:rsid w:val="04135492"/>
    <w:rsid w:val="042674F4"/>
    <w:rsid w:val="042D3C13"/>
    <w:rsid w:val="043B10FF"/>
    <w:rsid w:val="04473600"/>
    <w:rsid w:val="04722D72"/>
    <w:rsid w:val="047A0BBC"/>
    <w:rsid w:val="04AC4FC6"/>
    <w:rsid w:val="04C12ED8"/>
    <w:rsid w:val="04DC5749"/>
    <w:rsid w:val="04E26FED"/>
    <w:rsid w:val="04E377CC"/>
    <w:rsid w:val="04E41F94"/>
    <w:rsid w:val="04FD6633"/>
    <w:rsid w:val="052E2B3B"/>
    <w:rsid w:val="05341DD6"/>
    <w:rsid w:val="054416D2"/>
    <w:rsid w:val="054D10EA"/>
    <w:rsid w:val="05507F0F"/>
    <w:rsid w:val="05871A0A"/>
    <w:rsid w:val="058D14E6"/>
    <w:rsid w:val="05A42E7B"/>
    <w:rsid w:val="05A70EA9"/>
    <w:rsid w:val="05C74673"/>
    <w:rsid w:val="05D55D36"/>
    <w:rsid w:val="0608482E"/>
    <w:rsid w:val="060C2525"/>
    <w:rsid w:val="062756FD"/>
    <w:rsid w:val="064061DE"/>
    <w:rsid w:val="065F7A31"/>
    <w:rsid w:val="067C53E7"/>
    <w:rsid w:val="06820F5E"/>
    <w:rsid w:val="068F02DD"/>
    <w:rsid w:val="069A65B0"/>
    <w:rsid w:val="069F5975"/>
    <w:rsid w:val="06AE2ABA"/>
    <w:rsid w:val="06C75368"/>
    <w:rsid w:val="06C75DF5"/>
    <w:rsid w:val="06DD02BB"/>
    <w:rsid w:val="06E71F51"/>
    <w:rsid w:val="06F965AD"/>
    <w:rsid w:val="07050666"/>
    <w:rsid w:val="071C4DB7"/>
    <w:rsid w:val="07362674"/>
    <w:rsid w:val="073B54B2"/>
    <w:rsid w:val="074309F6"/>
    <w:rsid w:val="07537EF9"/>
    <w:rsid w:val="07815EE7"/>
    <w:rsid w:val="079D7527"/>
    <w:rsid w:val="07BC2556"/>
    <w:rsid w:val="07C50B67"/>
    <w:rsid w:val="080D19C3"/>
    <w:rsid w:val="081748AE"/>
    <w:rsid w:val="083420ED"/>
    <w:rsid w:val="08517143"/>
    <w:rsid w:val="08635851"/>
    <w:rsid w:val="087D7F38"/>
    <w:rsid w:val="087E15BA"/>
    <w:rsid w:val="088F5575"/>
    <w:rsid w:val="08B62FD9"/>
    <w:rsid w:val="08C2359B"/>
    <w:rsid w:val="09030534"/>
    <w:rsid w:val="09041814"/>
    <w:rsid w:val="090B017D"/>
    <w:rsid w:val="09137F54"/>
    <w:rsid w:val="092C7B04"/>
    <w:rsid w:val="092D7BDC"/>
    <w:rsid w:val="09332D2B"/>
    <w:rsid w:val="093E2D64"/>
    <w:rsid w:val="09403496"/>
    <w:rsid w:val="09472203"/>
    <w:rsid w:val="09512C23"/>
    <w:rsid w:val="0963712E"/>
    <w:rsid w:val="098B1DA7"/>
    <w:rsid w:val="09907951"/>
    <w:rsid w:val="099F43E4"/>
    <w:rsid w:val="09A31A61"/>
    <w:rsid w:val="09A3752A"/>
    <w:rsid w:val="09BA7A15"/>
    <w:rsid w:val="09BA7A85"/>
    <w:rsid w:val="09DE1094"/>
    <w:rsid w:val="09E2475B"/>
    <w:rsid w:val="09E321FB"/>
    <w:rsid w:val="0A3F34B7"/>
    <w:rsid w:val="0A4B11BE"/>
    <w:rsid w:val="0A71382C"/>
    <w:rsid w:val="0A7B4003"/>
    <w:rsid w:val="0A8E5B8D"/>
    <w:rsid w:val="0AA240FA"/>
    <w:rsid w:val="0AAC0CBB"/>
    <w:rsid w:val="0AB55F8D"/>
    <w:rsid w:val="0AD84BD3"/>
    <w:rsid w:val="0AE448B9"/>
    <w:rsid w:val="0AE941D3"/>
    <w:rsid w:val="0B1061C6"/>
    <w:rsid w:val="0B2B08D5"/>
    <w:rsid w:val="0B315BF7"/>
    <w:rsid w:val="0B96019A"/>
    <w:rsid w:val="0BA35012"/>
    <w:rsid w:val="0BAB4DBC"/>
    <w:rsid w:val="0BB825ED"/>
    <w:rsid w:val="0BC0647C"/>
    <w:rsid w:val="0BD7624B"/>
    <w:rsid w:val="0BDA11FD"/>
    <w:rsid w:val="0BF26817"/>
    <w:rsid w:val="0C22464A"/>
    <w:rsid w:val="0C2B72AE"/>
    <w:rsid w:val="0C5E1E2E"/>
    <w:rsid w:val="0C623EAC"/>
    <w:rsid w:val="0C946488"/>
    <w:rsid w:val="0CAD24AF"/>
    <w:rsid w:val="0CB27F34"/>
    <w:rsid w:val="0CDB6B9C"/>
    <w:rsid w:val="0D0D3F93"/>
    <w:rsid w:val="0D12389F"/>
    <w:rsid w:val="0D2820B7"/>
    <w:rsid w:val="0D662EE5"/>
    <w:rsid w:val="0D860EC5"/>
    <w:rsid w:val="0D9339BE"/>
    <w:rsid w:val="0D975F08"/>
    <w:rsid w:val="0D9E6A67"/>
    <w:rsid w:val="0D9F0DC4"/>
    <w:rsid w:val="0DC02AA1"/>
    <w:rsid w:val="0DDE695A"/>
    <w:rsid w:val="0DF73A5B"/>
    <w:rsid w:val="0E164CA8"/>
    <w:rsid w:val="0E231949"/>
    <w:rsid w:val="0E2624D8"/>
    <w:rsid w:val="0E2D072E"/>
    <w:rsid w:val="0E303356"/>
    <w:rsid w:val="0E3B295D"/>
    <w:rsid w:val="0E455054"/>
    <w:rsid w:val="0E47249B"/>
    <w:rsid w:val="0E551882"/>
    <w:rsid w:val="0E65340B"/>
    <w:rsid w:val="0E7306EC"/>
    <w:rsid w:val="0EAA135B"/>
    <w:rsid w:val="0EB254B2"/>
    <w:rsid w:val="0EF40828"/>
    <w:rsid w:val="0EFB3F5D"/>
    <w:rsid w:val="0F041CC7"/>
    <w:rsid w:val="0F042317"/>
    <w:rsid w:val="0F1209F8"/>
    <w:rsid w:val="0F4C19DA"/>
    <w:rsid w:val="0F4C7D05"/>
    <w:rsid w:val="0F4F31AF"/>
    <w:rsid w:val="0F5F17BD"/>
    <w:rsid w:val="0F90531D"/>
    <w:rsid w:val="0F977B31"/>
    <w:rsid w:val="0FA36571"/>
    <w:rsid w:val="0FAD64B5"/>
    <w:rsid w:val="0FB21FD4"/>
    <w:rsid w:val="0FFF5930"/>
    <w:rsid w:val="10066A65"/>
    <w:rsid w:val="103153E8"/>
    <w:rsid w:val="10646943"/>
    <w:rsid w:val="106D2640"/>
    <w:rsid w:val="1087681D"/>
    <w:rsid w:val="10A265EF"/>
    <w:rsid w:val="10EC4A0F"/>
    <w:rsid w:val="11156FC6"/>
    <w:rsid w:val="111571A1"/>
    <w:rsid w:val="11192AA0"/>
    <w:rsid w:val="11485B0D"/>
    <w:rsid w:val="114C7209"/>
    <w:rsid w:val="1154158B"/>
    <w:rsid w:val="115809F8"/>
    <w:rsid w:val="117076B2"/>
    <w:rsid w:val="119E6579"/>
    <w:rsid w:val="11C97D4A"/>
    <w:rsid w:val="11CE5800"/>
    <w:rsid w:val="11D435DD"/>
    <w:rsid w:val="11DA3C43"/>
    <w:rsid w:val="120E18AC"/>
    <w:rsid w:val="1220326C"/>
    <w:rsid w:val="123A67B6"/>
    <w:rsid w:val="125670E6"/>
    <w:rsid w:val="125C6A25"/>
    <w:rsid w:val="125E1A9C"/>
    <w:rsid w:val="1272218F"/>
    <w:rsid w:val="1276289F"/>
    <w:rsid w:val="1288522D"/>
    <w:rsid w:val="129D6A95"/>
    <w:rsid w:val="12AF4046"/>
    <w:rsid w:val="12CE506D"/>
    <w:rsid w:val="12F65490"/>
    <w:rsid w:val="12F73D2A"/>
    <w:rsid w:val="12F9698E"/>
    <w:rsid w:val="13112273"/>
    <w:rsid w:val="131C7C5D"/>
    <w:rsid w:val="132C0590"/>
    <w:rsid w:val="133D6DA6"/>
    <w:rsid w:val="13511DF6"/>
    <w:rsid w:val="13693592"/>
    <w:rsid w:val="138052F6"/>
    <w:rsid w:val="13807AAF"/>
    <w:rsid w:val="138B4634"/>
    <w:rsid w:val="138F1214"/>
    <w:rsid w:val="13BF412F"/>
    <w:rsid w:val="13D101C7"/>
    <w:rsid w:val="1400440E"/>
    <w:rsid w:val="142669A3"/>
    <w:rsid w:val="143805F9"/>
    <w:rsid w:val="144729D8"/>
    <w:rsid w:val="148E78CB"/>
    <w:rsid w:val="149F4D92"/>
    <w:rsid w:val="14A13420"/>
    <w:rsid w:val="14A13E6D"/>
    <w:rsid w:val="14AB614D"/>
    <w:rsid w:val="14B96C2B"/>
    <w:rsid w:val="14DF663E"/>
    <w:rsid w:val="14EB1A70"/>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190E2C"/>
    <w:rsid w:val="17292C0C"/>
    <w:rsid w:val="174C321D"/>
    <w:rsid w:val="175E3FFB"/>
    <w:rsid w:val="176F50FE"/>
    <w:rsid w:val="178766B7"/>
    <w:rsid w:val="179E3A27"/>
    <w:rsid w:val="17C62EB4"/>
    <w:rsid w:val="17D10049"/>
    <w:rsid w:val="17DB67AF"/>
    <w:rsid w:val="17DD0B49"/>
    <w:rsid w:val="17F1563C"/>
    <w:rsid w:val="17F23C73"/>
    <w:rsid w:val="180F3B80"/>
    <w:rsid w:val="181B1411"/>
    <w:rsid w:val="181C1400"/>
    <w:rsid w:val="18223BBF"/>
    <w:rsid w:val="18303E2C"/>
    <w:rsid w:val="18406E44"/>
    <w:rsid w:val="18463EA2"/>
    <w:rsid w:val="185C1918"/>
    <w:rsid w:val="18787DD4"/>
    <w:rsid w:val="187D188E"/>
    <w:rsid w:val="187F1162"/>
    <w:rsid w:val="187F73B4"/>
    <w:rsid w:val="1880349D"/>
    <w:rsid w:val="18A23FFA"/>
    <w:rsid w:val="18CB47D9"/>
    <w:rsid w:val="18D435BC"/>
    <w:rsid w:val="18E261BC"/>
    <w:rsid w:val="18E611E1"/>
    <w:rsid w:val="18EF6999"/>
    <w:rsid w:val="18F002B2"/>
    <w:rsid w:val="19046FB2"/>
    <w:rsid w:val="19193365"/>
    <w:rsid w:val="19261639"/>
    <w:rsid w:val="195D5C0E"/>
    <w:rsid w:val="19601486"/>
    <w:rsid w:val="19B64CC2"/>
    <w:rsid w:val="19BA69A5"/>
    <w:rsid w:val="19DF6D3F"/>
    <w:rsid w:val="19E24459"/>
    <w:rsid w:val="19E5495D"/>
    <w:rsid w:val="1A28220E"/>
    <w:rsid w:val="1A305FF4"/>
    <w:rsid w:val="1A3D7EBE"/>
    <w:rsid w:val="1A4353A0"/>
    <w:rsid w:val="1A557489"/>
    <w:rsid w:val="1AA34568"/>
    <w:rsid w:val="1AB63184"/>
    <w:rsid w:val="1AC94917"/>
    <w:rsid w:val="1AF45443"/>
    <w:rsid w:val="1B054BA4"/>
    <w:rsid w:val="1B075A0C"/>
    <w:rsid w:val="1B67066F"/>
    <w:rsid w:val="1B7229E4"/>
    <w:rsid w:val="1B7A5EC7"/>
    <w:rsid w:val="1B811695"/>
    <w:rsid w:val="1B8E5EC0"/>
    <w:rsid w:val="1B9915AA"/>
    <w:rsid w:val="1C31192B"/>
    <w:rsid w:val="1CB33990"/>
    <w:rsid w:val="1CF6260F"/>
    <w:rsid w:val="1CF76192"/>
    <w:rsid w:val="1CF83AEA"/>
    <w:rsid w:val="1CF911FC"/>
    <w:rsid w:val="1D6914D5"/>
    <w:rsid w:val="1D784489"/>
    <w:rsid w:val="1D7C7A22"/>
    <w:rsid w:val="1D7E09CF"/>
    <w:rsid w:val="1D9F1A69"/>
    <w:rsid w:val="1DC81497"/>
    <w:rsid w:val="1DE41480"/>
    <w:rsid w:val="1DE60100"/>
    <w:rsid w:val="1DFE0D7B"/>
    <w:rsid w:val="1E2139B7"/>
    <w:rsid w:val="1E7065BE"/>
    <w:rsid w:val="1E7A14A8"/>
    <w:rsid w:val="1E7F32B0"/>
    <w:rsid w:val="1EB277E0"/>
    <w:rsid w:val="1EBA058B"/>
    <w:rsid w:val="1EBB622E"/>
    <w:rsid w:val="1EC34807"/>
    <w:rsid w:val="1ED44256"/>
    <w:rsid w:val="1EEA13A6"/>
    <w:rsid w:val="1EF6594F"/>
    <w:rsid w:val="1EFE64E9"/>
    <w:rsid w:val="1F225822"/>
    <w:rsid w:val="1F6207D0"/>
    <w:rsid w:val="1F7D0570"/>
    <w:rsid w:val="1F813073"/>
    <w:rsid w:val="1F9041EC"/>
    <w:rsid w:val="1FA015EC"/>
    <w:rsid w:val="1FAF449C"/>
    <w:rsid w:val="1FE1627D"/>
    <w:rsid w:val="1FEA603B"/>
    <w:rsid w:val="20133D98"/>
    <w:rsid w:val="201725C8"/>
    <w:rsid w:val="20226856"/>
    <w:rsid w:val="20293E2F"/>
    <w:rsid w:val="20475A9E"/>
    <w:rsid w:val="20665C82"/>
    <w:rsid w:val="20686E43"/>
    <w:rsid w:val="206E3E8E"/>
    <w:rsid w:val="207224C8"/>
    <w:rsid w:val="2076639A"/>
    <w:rsid w:val="207922E0"/>
    <w:rsid w:val="2093114F"/>
    <w:rsid w:val="209B57AA"/>
    <w:rsid w:val="20A121FD"/>
    <w:rsid w:val="20C20004"/>
    <w:rsid w:val="20D07CD4"/>
    <w:rsid w:val="20D83D6E"/>
    <w:rsid w:val="20DE5531"/>
    <w:rsid w:val="20E1180E"/>
    <w:rsid w:val="20EA6084"/>
    <w:rsid w:val="20F01139"/>
    <w:rsid w:val="20F1461D"/>
    <w:rsid w:val="20F14BC7"/>
    <w:rsid w:val="21206119"/>
    <w:rsid w:val="212B522B"/>
    <w:rsid w:val="21736537"/>
    <w:rsid w:val="21977807"/>
    <w:rsid w:val="219A6D4B"/>
    <w:rsid w:val="21C2735E"/>
    <w:rsid w:val="21CE230D"/>
    <w:rsid w:val="21D4251F"/>
    <w:rsid w:val="21E57FA3"/>
    <w:rsid w:val="21FB5A74"/>
    <w:rsid w:val="226827C0"/>
    <w:rsid w:val="227C6EFF"/>
    <w:rsid w:val="22942795"/>
    <w:rsid w:val="22A10D06"/>
    <w:rsid w:val="22B665A5"/>
    <w:rsid w:val="22B85F08"/>
    <w:rsid w:val="22C925E0"/>
    <w:rsid w:val="22E46F4A"/>
    <w:rsid w:val="22F20159"/>
    <w:rsid w:val="23005537"/>
    <w:rsid w:val="232079E6"/>
    <w:rsid w:val="233C2C53"/>
    <w:rsid w:val="233D692C"/>
    <w:rsid w:val="23486890"/>
    <w:rsid w:val="236F1F61"/>
    <w:rsid w:val="23AB4CDF"/>
    <w:rsid w:val="23C37A75"/>
    <w:rsid w:val="24210C40"/>
    <w:rsid w:val="24220F3E"/>
    <w:rsid w:val="2423604B"/>
    <w:rsid w:val="243A3F7E"/>
    <w:rsid w:val="24436391"/>
    <w:rsid w:val="2450121E"/>
    <w:rsid w:val="246C2EE2"/>
    <w:rsid w:val="24714CB4"/>
    <w:rsid w:val="2487622C"/>
    <w:rsid w:val="249146F7"/>
    <w:rsid w:val="24973094"/>
    <w:rsid w:val="24AD6D9A"/>
    <w:rsid w:val="24DE7A25"/>
    <w:rsid w:val="24FB5A20"/>
    <w:rsid w:val="251418FC"/>
    <w:rsid w:val="254554E2"/>
    <w:rsid w:val="25A845B3"/>
    <w:rsid w:val="25EB71B7"/>
    <w:rsid w:val="26154215"/>
    <w:rsid w:val="261A0BE6"/>
    <w:rsid w:val="262C6E4F"/>
    <w:rsid w:val="263C7691"/>
    <w:rsid w:val="265E2776"/>
    <w:rsid w:val="26666FDC"/>
    <w:rsid w:val="266B71CA"/>
    <w:rsid w:val="267703E2"/>
    <w:rsid w:val="26AB763C"/>
    <w:rsid w:val="26B267E7"/>
    <w:rsid w:val="26F131DC"/>
    <w:rsid w:val="26F176CF"/>
    <w:rsid w:val="26F65310"/>
    <w:rsid w:val="2702368A"/>
    <w:rsid w:val="27052D05"/>
    <w:rsid w:val="27082804"/>
    <w:rsid w:val="270832AE"/>
    <w:rsid w:val="27357F9F"/>
    <w:rsid w:val="27457E9C"/>
    <w:rsid w:val="27552E6C"/>
    <w:rsid w:val="27A4553F"/>
    <w:rsid w:val="27BF5A1F"/>
    <w:rsid w:val="27D35135"/>
    <w:rsid w:val="27EF1935"/>
    <w:rsid w:val="280A1B75"/>
    <w:rsid w:val="283962F8"/>
    <w:rsid w:val="28546167"/>
    <w:rsid w:val="287A36F4"/>
    <w:rsid w:val="288458E7"/>
    <w:rsid w:val="28A33A20"/>
    <w:rsid w:val="28A47F17"/>
    <w:rsid w:val="28E7613D"/>
    <w:rsid w:val="290212C1"/>
    <w:rsid w:val="290D5ED8"/>
    <w:rsid w:val="29310257"/>
    <w:rsid w:val="29656DCE"/>
    <w:rsid w:val="298B4B23"/>
    <w:rsid w:val="29952D9F"/>
    <w:rsid w:val="29955A56"/>
    <w:rsid w:val="29B71FDB"/>
    <w:rsid w:val="29CF18DD"/>
    <w:rsid w:val="29D37560"/>
    <w:rsid w:val="29D65D23"/>
    <w:rsid w:val="29D875FE"/>
    <w:rsid w:val="29EC6874"/>
    <w:rsid w:val="2A0B100E"/>
    <w:rsid w:val="2A194E5D"/>
    <w:rsid w:val="2A21554B"/>
    <w:rsid w:val="2A4B5348"/>
    <w:rsid w:val="2A594BC2"/>
    <w:rsid w:val="2A5F0DF4"/>
    <w:rsid w:val="2A7D60F5"/>
    <w:rsid w:val="2A9F7561"/>
    <w:rsid w:val="2AA90FA0"/>
    <w:rsid w:val="2AB31CE2"/>
    <w:rsid w:val="2AB55266"/>
    <w:rsid w:val="2B22254D"/>
    <w:rsid w:val="2B2A7FEE"/>
    <w:rsid w:val="2B404781"/>
    <w:rsid w:val="2B487382"/>
    <w:rsid w:val="2B552F60"/>
    <w:rsid w:val="2B677BFF"/>
    <w:rsid w:val="2B7841A6"/>
    <w:rsid w:val="2BA61037"/>
    <w:rsid w:val="2BB367B9"/>
    <w:rsid w:val="2C13380B"/>
    <w:rsid w:val="2C184D47"/>
    <w:rsid w:val="2C380015"/>
    <w:rsid w:val="2C514425"/>
    <w:rsid w:val="2C6426F1"/>
    <w:rsid w:val="2C796A89"/>
    <w:rsid w:val="2CB27B09"/>
    <w:rsid w:val="2CBD3A96"/>
    <w:rsid w:val="2CC74339"/>
    <w:rsid w:val="2CCC23F7"/>
    <w:rsid w:val="2CCE1414"/>
    <w:rsid w:val="2CDA0C05"/>
    <w:rsid w:val="2CF93ABF"/>
    <w:rsid w:val="2D1E27A3"/>
    <w:rsid w:val="2D394FF5"/>
    <w:rsid w:val="2D575177"/>
    <w:rsid w:val="2D5B1D46"/>
    <w:rsid w:val="2D5C786C"/>
    <w:rsid w:val="2D6E25C1"/>
    <w:rsid w:val="2D766528"/>
    <w:rsid w:val="2D8A5D09"/>
    <w:rsid w:val="2E19339D"/>
    <w:rsid w:val="2E1F500D"/>
    <w:rsid w:val="2E6A704D"/>
    <w:rsid w:val="2E8A6255"/>
    <w:rsid w:val="2EA017EC"/>
    <w:rsid w:val="2EC310BD"/>
    <w:rsid w:val="2F0B1048"/>
    <w:rsid w:val="2F141AAA"/>
    <w:rsid w:val="2F5F42E6"/>
    <w:rsid w:val="2F677C34"/>
    <w:rsid w:val="2FCA4353"/>
    <w:rsid w:val="2FE55D75"/>
    <w:rsid w:val="2FF23F99"/>
    <w:rsid w:val="2FF859C1"/>
    <w:rsid w:val="3014442E"/>
    <w:rsid w:val="30236367"/>
    <w:rsid w:val="30331BC6"/>
    <w:rsid w:val="303E7E03"/>
    <w:rsid w:val="304A182B"/>
    <w:rsid w:val="305C4B4E"/>
    <w:rsid w:val="30700C52"/>
    <w:rsid w:val="30757C00"/>
    <w:rsid w:val="307D5D65"/>
    <w:rsid w:val="30B34CE3"/>
    <w:rsid w:val="30CB1C83"/>
    <w:rsid w:val="30ED2830"/>
    <w:rsid w:val="310218B2"/>
    <w:rsid w:val="31152BCA"/>
    <w:rsid w:val="31175F84"/>
    <w:rsid w:val="316B2857"/>
    <w:rsid w:val="31832D29"/>
    <w:rsid w:val="31851F7F"/>
    <w:rsid w:val="319D5339"/>
    <w:rsid w:val="319F2F47"/>
    <w:rsid w:val="31D20CDE"/>
    <w:rsid w:val="31E3055C"/>
    <w:rsid w:val="31F37E23"/>
    <w:rsid w:val="31FD0ADA"/>
    <w:rsid w:val="31FE689A"/>
    <w:rsid w:val="32223DC6"/>
    <w:rsid w:val="325A02A1"/>
    <w:rsid w:val="32772700"/>
    <w:rsid w:val="328A47C9"/>
    <w:rsid w:val="329032EF"/>
    <w:rsid w:val="329970EF"/>
    <w:rsid w:val="32B35AAA"/>
    <w:rsid w:val="32BB5035"/>
    <w:rsid w:val="32C263C3"/>
    <w:rsid w:val="33135210"/>
    <w:rsid w:val="33211C5C"/>
    <w:rsid w:val="3326373F"/>
    <w:rsid w:val="334459AC"/>
    <w:rsid w:val="334B63B9"/>
    <w:rsid w:val="336358B7"/>
    <w:rsid w:val="33705A64"/>
    <w:rsid w:val="33A055AF"/>
    <w:rsid w:val="33A51E80"/>
    <w:rsid w:val="33EE589E"/>
    <w:rsid w:val="340329A9"/>
    <w:rsid w:val="34080304"/>
    <w:rsid w:val="341B347D"/>
    <w:rsid w:val="342645AD"/>
    <w:rsid w:val="342B057B"/>
    <w:rsid w:val="34335C8F"/>
    <w:rsid w:val="34617CD8"/>
    <w:rsid w:val="34753860"/>
    <w:rsid w:val="34802092"/>
    <w:rsid w:val="34815534"/>
    <w:rsid w:val="34A42225"/>
    <w:rsid w:val="34A61339"/>
    <w:rsid w:val="34CC3006"/>
    <w:rsid w:val="34F3793E"/>
    <w:rsid w:val="351F4A39"/>
    <w:rsid w:val="35262C3A"/>
    <w:rsid w:val="35574E9C"/>
    <w:rsid w:val="35712E34"/>
    <w:rsid w:val="35EA010B"/>
    <w:rsid w:val="35ED793B"/>
    <w:rsid w:val="35F84740"/>
    <w:rsid w:val="36383125"/>
    <w:rsid w:val="364432DD"/>
    <w:rsid w:val="36610C9C"/>
    <w:rsid w:val="366C082D"/>
    <w:rsid w:val="368C388A"/>
    <w:rsid w:val="36C90DD1"/>
    <w:rsid w:val="36D63C8A"/>
    <w:rsid w:val="371511B8"/>
    <w:rsid w:val="374634AB"/>
    <w:rsid w:val="374E6478"/>
    <w:rsid w:val="37704489"/>
    <w:rsid w:val="37710026"/>
    <w:rsid w:val="37925427"/>
    <w:rsid w:val="379E0F7A"/>
    <w:rsid w:val="37A55DCC"/>
    <w:rsid w:val="37A644AC"/>
    <w:rsid w:val="37C404E8"/>
    <w:rsid w:val="37CA04FF"/>
    <w:rsid w:val="37D30771"/>
    <w:rsid w:val="37EC0BB8"/>
    <w:rsid w:val="384A6C3F"/>
    <w:rsid w:val="386A108F"/>
    <w:rsid w:val="38995839"/>
    <w:rsid w:val="38C524C2"/>
    <w:rsid w:val="392C17E8"/>
    <w:rsid w:val="392E03A9"/>
    <w:rsid w:val="39472CE8"/>
    <w:rsid w:val="394C68A5"/>
    <w:rsid w:val="395D6E46"/>
    <w:rsid w:val="395E479A"/>
    <w:rsid w:val="39675804"/>
    <w:rsid w:val="39A36C2D"/>
    <w:rsid w:val="39AA29B9"/>
    <w:rsid w:val="39DC7D6B"/>
    <w:rsid w:val="39DD3AE3"/>
    <w:rsid w:val="39E71AEC"/>
    <w:rsid w:val="39EF3F42"/>
    <w:rsid w:val="39F60058"/>
    <w:rsid w:val="39FF1CAB"/>
    <w:rsid w:val="3A0E533A"/>
    <w:rsid w:val="3A104089"/>
    <w:rsid w:val="3A2B2AA0"/>
    <w:rsid w:val="3A8217DE"/>
    <w:rsid w:val="3A822B01"/>
    <w:rsid w:val="3A9B19D4"/>
    <w:rsid w:val="3A9F4998"/>
    <w:rsid w:val="3AAF722D"/>
    <w:rsid w:val="3AB8426E"/>
    <w:rsid w:val="3ACF765C"/>
    <w:rsid w:val="3AD278CD"/>
    <w:rsid w:val="3AFA4BE5"/>
    <w:rsid w:val="3B117CED"/>
    <w:rsid w:val="3B2A44B8"/>
    <w:rsid w:val="3B2B6476"/>
    <w:rsid w:val="3B683E93"/>
    <w:rsid w:val="3BBA2067"/>
    <w:rsid w:val="3BBC038E"/>
    <w:rsid w:val="3BFE3F02"/>
    <w:rsid w:val="3C2972FD"/>
    <w:rsid w:val="3C3F7138"/>
    <w:rsid w:val="3C5B4444"/>
    <w:rsid w:val="3C852047"/>
    <w:rsid w:val="3C95467F"/>
    <w:rsid w:val="3CA13116"/>
    <w:rsid w:val="3CA925AE"/>
    <w:rsid w:val="3CF877AB"/>
    <w:rsid w:val="3D0B5F9E"/>
    <w:rsid w:val="3D306CB2"/>
    <w:rsid w:val="3D32729D"/>
    <w:rsid w:val="3D485E54"/>
    <w:rsid w:val="3D667959"/>
    <w:rsid w:val="3D714C6E"/>
    <w:rsid w:val="3D8230F2"/>
    <w:rsid w:val="3D886E2C"/>
    <w:rsid w:val="3DAA5519"/>
    <w:rsid w:val="3DC413E8"/>
    <w:rsid w:val="3DCA34BB"/>
    <w:rsid w:val="3DD83D60"/>
    <w:rsid w:val="3E044CAE"/>
    <w:rsid w:val="3E0B01E0"/>
    <w:rsid w:val="3E12201C"/>
    <w:rsid w:val="3E265AEC"/>
    <w:rsid w:val="3E427218"/>
    <w:rsid w:val="3E520ECC"/>
    <w:rsid w:val="3EA72ABE"/>
    <w:rsid w:val="3EAD4174"/>
    <w:rsid w:val="3EAD7F9C"/>
    <w:rsid w:val="3EB32892"/>
    <w:rsid w:val="3EBC3336"/>
    <w:rsid w:val="3EBD6A03"/>
    <w:rsid w:val="3EDE79C6"/>
    <w:rsid w:val="3EF65530"/>
    <w:rsid w:val="3EF9D3F1"/>
    <w:rsid w:val="3F064AE9"/>
    <w:rsid w:val="3F3B0C43"/>
    <w:rsid w:val="3F4C62B0"/>
    <w:rsid w:val="3F542A99"/>
    <w:rsid w:val="3F7279F0"/>
    <w:rsid w:val="3F9717D1"/>
    <w:rsid w:val="3FB2485B"/>
    <w:rsid w:val="3FC26FB4"/>
    <w:rsid w:val="3FF102E8"/>
    <w:rsid w:val="402A34B8"/>
    <w:rsid w:val="40316936"/>
    <w:rsid w:val="40360CD1"/>
    <w:rsid w:val="40361D66"/>
    <w:rsid w:val="404E573A"/>
    <w:rsid w:val="406060C3"/>
    <w:rsid w:val="40613E30"/>
    <w:rsid w:val="40736573"/>
    <w:rsid w:val="40786313"/>
    <w:rsid w:val="407D7357"/>
    <w:rsid w:val="40866C82"/>
    <w:rsid w:val="409273D5"/>
    <w:rsid w:val="409B4A07"/>
    <w:rsid w:val="40BF6E39"/>
    <w:rsid w:val="40C25B7F"/>
    <w:rsid w:val="40F66678"/>
    <w:rsid w:val="410A7E44"/>
    <w:rsid w:val="410E1C56"/>
    <w:rsid w:val="4120577A"/>
    <w:rsid w:val="4128711A"/>
    <w:rsid w:val="41313EDF"/>
    <w:rsid w:val="416C142E"/>
    <w:rsid w:val="41B66342"/>
    <w:rsid w:val="41EC08E1"/>
    <w:rsid w:val="41FD121E"/>
    <w:rsid w:val="421A7627"/>
    <w:rsid w:val="422378A4"/>
    <w:rsid w:val="42267403"/>
    <w:rsid w:val="4233112B"/>
    <w:rsid w:val="42401E98"/>
    <w:rsid w:val="427A1ACA"/>
    <w:rsid w:val="427B7DB8"/>
    <w:rsid w:val="428611BC"/>
    <w:rsid w:val="42872311"/>
    <w:rsid w:val="428B5762"/>
    <w:rsid w:val="42D47C2B"/>
    <w:rsid w:val="42DA32B5"/>
    <w:rsid w:val="433543AC"/>
    <w:rsid w:val="43420FE8"/>
    <w:rsid w:val="434513F0"/>
    <w:rsid w:val="4355293C"/>
    <w:rsid w:val="43702851"/>
    <w:rsid w:val="43CA4F48"/>
    <w:rsid w:val="440C56F0"/>
    <w:rsid w:val="4424604A"/>
    <w:rsid w:val="442967DE"/>
    <w:rsid w:val="44316F05"/>
    <w:rsid w:val="443A225E"/>
    <w:rsid w:val="444C672F"/>
    <w:rsid w:val="445014AB"/>
    <w:rsid w:val="448E1606"/>
    <w:rsid w:val="44C164DB"/>
    <w:rsid w:val="44CE660D"/>
    <w:rsid w:val="44D750ED"/>
    <w:rsid w:val="454F0B76"/>
    <w:rsid w:val="45795008"/>
    <w:rsid w:val="4579514B"/>
    <w:rsid w:val="457E2BBE"/>
    <w:rsid w:val="457F72E8"/>
    <w:rsid w:val="45806396"/>
    <w:rsid w:val="45DE083B"/>
    <w:rsid w:val="45E076C0"/>
    <w:rsid w:val="45F36067"/>
    <w:rsid w:val="45FF375F"/>
    <w:rsid w:val="460C0745"/>
    <w:rsid w:val="462211FB"/>
    <w:rsid w:val="463122D8"/>
    <w:rsid w:val="4632053D"/>
    <w:rsid w:val="463A1466"/>
    <w:rsid w:val="463D551C"/>
    <w:rsid w:val="464B4966"/>
    <w:rsid w:val="46577675"/>
    <w:rsid w:val="4662415A"/>
    <w:rsid w:val="4662498C"/>
    <w:rsid w:val="46696E2A"/>
    <w:rsid w:val="46886D58"/>
    <w:rsid w:val="46A022D9"/>
    <w:rsid w:val="46A47E62"/>
    <w:rsid w:val="46A71700"/>
    <w:rsid w:val="46A77952"/>
    <w:rsid w:val="46A9554B"/>
    <w:rsid w:val="46AA7AE9"/>
    <w:rsid w:val="46B21457"/>
    <w:rsid w:val="46BE1A6C"/>
    <w:rsid w:val="46BE6647"/>
    <w:rsid w:val="46C96620"/>
    <w:rsid w:val="46D14F7E"/>
    <w:rsid w:val="46EE3897"/>
    <w:rsid w:val="471B3499"/>
    <w:rsid w:val="4730142A"/>
    <w:rsid w:val="478E4BD2"/>
    <w:rsid w:val="479B6AEC"/>
    <w:rsid w:val="47DB78B4"/>
    <w:rsid w:val="47DD756D"/>
    <w:rsid w:val="48037A8A"/>
    <w:rsid w:val="48377D23"/>
    <w:rsid w:val="486634EE"/>
    <w:rsid w:val="48807890"/>
    <w:rsid w:val="48A64B98"/>
    <w:rsid w:val="48BC156D"/>
    <w:rsid w:val="48F765BE"/>
    <w:rsid w:val="490445F2"/>
    <w:rsid w:val="490935A0"/>
    <w:rsid w:val="49183CD0"/>
    <w:rsid w:val="49226434"/>
    <w:rsid w:val="49320F23"/>
    <w:rsid w:val="49BA0254"/>
    <w:rsid w:val="49DD73AE"/>
    <w:rsid w:val="49F95BD6"/>
    <w:rsid w:val="4A485BA0"/>
    <w:rsid w:val="4A670CE8"/>
    <w:rsid w:val="4AA73240"/>
    <w:rsid w:val="4AB10DA0"/>
    <w:rsid w:val="4AB72272"/>
    <w:rsid w:val="4AD44F71"/>
    <w:rsid w:val="4AD703A4"/>
    <w:rsid w:val="4AE33EB1"/>
    <w:rsid w:val="4AF34F14"/>
    <w:rsid w:val="4AF9077E"/>
    <w:rsid w:val="4B1F21AD"/>
    <w:rsid w:val="4B2477C4"/>
    <w:rsid w:val="4B305E1B"/>
    <w:rsid w:val="4B3D6070"/>
    <w:rsid w:val="4B4B2FA2"/>
    <w:rsid w:val="4B6D570B"/>
    <w:rsid w:val="4B920BD1"/>
    <w:rsid w:val="4BB92D8E"/>
    <w:rsid w:val="4BD07B58"/>
    <w:rsid w:val="4BE331DB"/>
    <w:rsid w:val="4BE87BA5"/>
    <w:rsid w:val="4C3176AB"/>
    <w:rsid w:val="4C415DC1"/>
    <w:rsid w:val="4C6E278E"/>
    <w:rsid w:val="4C9837DA"/>
    <w:rsid w:val="4C9C2C3C"/>
    <w:rsid w:val="4CFF538B"/>
    <w:rsid w:val="4D3A5CC6"/>
    <w:rsid w:val="4D4D7800"/>
    <w:rsid w:val="4D7251FF"/>
    <w:rsid w:val="4D7C38E7"/>
    <w:rsid w:val="4DAC3B21"/>
    <w:rsid w:val="4DE50C0B"/>
    <w:rsid w:val="4E11105D"/>
    <w:rsid w:val="4E16225A"/>
    <w:rsid w:val="4E253AB8"/>
    <w:rsid w:val="4E3715BC"/>
    <w:rsid w:val="4E472C92"/>
    <w:rsid w:val="4E510674"/>
    <w:rsid w:val="4E59075B"/>
    <w:rsid w:val="4E824D97"/>
    <w:rsid w:val="4E9D5C2D"/>
    <w:rsid w:val="4EBA57C1"/>
    <w:rsid w:val="4ED50A17"/>
    <w:rsid w:val="4F047E0A"/>
    <w:rsid w:val="4F2D087A"/>
    <w:rsid w:val="4F477F24"/>
    <w:rsid w:val="4F483C6B"/>
    <w:rsid w:val="4FA91AAC"/>
    <w:rsid w:val="4FBD0FF5"/>
    <w:rsid w:val="4FC854D7"/>
    <w:rsid w:val="4FCF1692"/>
    <w:rsid w:val="50120532"/>
    <w:rsid w:val="50142DE1"/>
    <w:rsid w:val="5015687B"/>
    <w:rsid w:val="501926CA"/>
    <w:rsid w:val="502A587C"/>
    <w:rsid w:val="503109FF"/>
    <w:rsid w:val="503D0A00"/>
    <w:rsid w:val="505E3D68"/>
    <w:rsid w:val="508A3F09"/>
    <w:rsid w:val="50CC6933"/>
    <w:rsid w:val="50D13748"/>
    <w:rsid w:val="50F809EE"/>
    <w:rsid w:val="51295BF6"/>
    <w:rsid w:val="514209A3"/>
    <w:rsid w:val="51442498"/>
    <w:rsid w:val="514F30C0"/>
    <w:rsid w:val="51510226"/>
    <w:rsid w:val="515957FB"/>
    <w:rsid w:val="515F40DA"/>
    <w:rsid w:val="516A440A"/>
    <w:rsid w:val="51BA5A6F"/>
    <w:rsid w:val="51C42E16"/>
    <w:rsid w:val="51E14DA1"/>
    <w:rsid w:val="521115A1"/>
    <w:rsid w:val="521E31BF"/>
    <w:rsid w:val="52430B2E"/>
    <w:rsid w:val="524D7600"/>
    <w:rsid w:val="525351F4"/>
    <w:rsid w:val="525A6FBC"/>
    <w:rsid w:val="526C0997"/>
    <w:rsid w:val="52701540"/>
    <w:rsid w:val="52855A65"/>
    <w:rsid w:val="52D95337"/>
    <w:rsid w:val="53311AB3"/>
    <w:rsid w:val="53317F44"/>
    <w:rsid w:val="533D33D1"/>
    <w:rsid w:val="53511F1B"/>
    <w:rsid w:val="535A66C0"/>
    <w:rsid w:val="53670B33"/>
    <w:rsid w:val="537735FB"/>
    <w:rsid w:val="53775B6A"/>
    <w:rsid w:val="538F5737"/>
    <w:rsid w:val="53D43855"/>
    <w:rsid w:val="53D6214F"/>
    <w:rsid w:val="53EE1101"/>
    <w:rsid w:val="53FA7313"/>
    <w:rsid w:val="53FC4E8E"/>
    <w:rsid w:val="541717DC"/>
    <w:rsid w:val="54196C13"/>
    <w:rsid w:val="54271D5C"/>
    <w:rsid w:val="5455279C"/>
    <w:rsid w:val="54976AA9"/>
    <w:rsid w:val="549A3F89"/>
    <w:rsid w:val="549C03CB"/>
    <w:rsid w:val="54DE0134"/>
    <w:rsid w:val="55206C46"/>
    <w:rsid w:val="553920BD"/>
    <w:rsid w:val="553C46BA"/>
    <w:rsid w:val="553C5568"/>
    <w:rsid w:val="5545363C"/>
    <w:rsid w:val="55494082"/>
    <w:rsid w:val="556C6DB9"/>
    <w:rsid w:val="556F357A"/>
    <w:rsid w:val="557D5B60"/>
    <w:rsid w:val="557E5D22"/>
    <w:rsid w:val="55834A19"/>
    <w:rsid w:val="55CF657E"/>
    <w:rsid w:val="55E71858"/>
    <w:rsid w:val="55F27046"/>
    <w:rsid w:val="55F526C6"/>
    <w:rsid w:val="56066DC9"/>
    <w:rsid w:val="564E1228"/>
    <w:rsid w:val="567A2B24"/>
    <w:rsid w:val="56A6131D"/>
    <w:rsid w:val="56A82B00"/>
    <w:rsid w:val="56BC5AD0"/>
    <w:rsid w:val="56D00C68"/>
    <w:rsid w:val="56E12A0D"/>
    <w:rsid w:val="56F47868"/>
    <w:rsid w:val="57022BD1"/>
    <w:rsid w:val="57212B27"/>
    <w:rsid w:val="572809C2"/>
    <w:rsid w:val="57480C4D"/>
    <w:rsid w:val="574C27F3"/>
    <w:rsid w:val="576F5440"/>
    <w:rsid w:val="57895A45"/>
    <w:rsid w:val="57B974E6"/>
    <w:rsid w:val="57BD5228"/>
    <w:rsid w:val="57C5313B"/>
    <w:rsid w:val="57CB4B04"/>
    <w:rsid w:val="57D807D4"/>
    <w:rsid w:val="57EA7969"/>
    <w:rsid w:val="57F740F4"/>
    <w:rsid w:val="57FA3D86"/>
    <w:rsid w:val="58750691"/>
    <w:rsid w:val="58AB575D"/>
    <w:rsid w:val="58BC728D"/>
    <w:rsid w:val="58DD0763"/>
    <w:rsid w:val="59445F91"/>
    <w:rsid w:val="5955073B"/>
    <w:rsid w:val="59815208"/>
    <w:rsid w:val="598633F7"/>
    <w:rsid w:val="599975CF"/>
    <w:rsid w:val="59A044B9"/>
    <w:rsid w:val="59BA75BF"/>
    <w:rsid w:val="59F001A4"/>
    <w:rsid w:val="5A1E2DE7"/>
    <w:rsid w:val="5A20427A"/>
    <w:rsid w:val="5A395FB6"/>
    <w:rsid w:val="5A436A2D"/>
    <w:rsid w:val="5AA179C0"/>
    <w:rsid w:val="5AFB2D6E"/>
    <w:rsid w:val="5B0A066E"/>
    <w:rsid w:val="5B123FA7"/>
    <w:rsid w:val="5B33135D"/>
    <w:rsid w:val="5B507487"/>
    <w:rsid w:val="5B5E18A4"/>
    <w:rsid w:val="5B613C0E"/>
    <w:rsid w:val="5B6B0E16"/>
    <w:rsid w:val="5B955E96"/>
    <w:rsid w:val="5B9B3675"/>
    <w:rsid w:val="5BA26571"/>
    <w:rsid w:val="5BCA6564"/>
    <w:rsid w:val="5BD40D92"/>
    <w:rsid w:val="5BD66D67"/>
    <w:rsid w:val="5BFD01F5"/>
    <w:rsid w:val="5C107D40"/>
    <w:rsid w:val="5C1914C9"/>
    <w:rsid w:val="5C1E3775"/>
    <w:rsid w:val="5C1F025F"/>
    <w:rsid w:val="5C381264"/>
    <w:rsid w:val="5C672644"/>
    <w:rsid w:val="5C7D3074"/>
    <w:rsid w:val="5C8132C7"/>
    <w:rsid w:val="5CA23A25"/>
    <w:rsid w:val="5CA7664F"/>
    <w:rsid w:val="5CC26330"/>
    <w:rsid w:val="5CCC376C"/>
    <w:rsid w:val="5CD67F41"/>
    <w:rsid w:val="5CDF760E"/>
    <w:rsid w:val="5D017C51"/>
    <w:rsid w:val="5D4165A3"/>
    <w:rsid w:val="5D463591"/>
    <w:rsid w:val="5D4F2A78"/>
    <w:rsid w:val="5D792AE4"/>
    <w:rsid w:val="5DC25C67"/>
    <w:rsid w:val="5DD97571"/>
    <w:rsid w:val="5DE52DE2"/>
    <w:rsid w:val="5DF72B16"/>
    <w:rsid w:val="5E0D10AF"/>
    <w:rsid w:val="5E2F58D3"/>
    <w:rsid w:val="5E5A06FD"/>
    <w:rsid w:val="5E631F59"/>
    <w:rsid w:val="5E9342EC"/>
    <w:rsid w:val="5EA27CF7"/>
    <w:rsid w:val="5EB62B27"/>
    <w:rsid w:val="5EBC3C1E"/>
    <w:rsid w:val="5EF84D97"/>
    <w:rsid w:val="5F0E6369"/>
    <w:rsid w:val="5F2416E8"/>
    <w:rsid w:val="5F2E00CC"/>
    <w:rsid w:val="5F3815EE"/>
    <w:rsid w:val="5F5C32D6"/>
    <w:rsid w:val="5F772160"/>
    <w:rsid w:val="5FA92D9F"/>
    <w:rsid w:val="5FAC2DE4"/>
    <w:rsid w:val="5FB10E83"/>
    <w:rsid w:val="600E788A"/>
    <w:rsid w:val="6011673F"/>
    <w:rsid w:val="60261490"/>
    <w:rsid w:val="60351C6F"/>
    <w:rsid w:val="604130CF"/>
    <w:rsid w:val="60502347"/>
    <w:rsid w:val="60663C94"/>
    <w:rsid w:val="60794FD4"/>
    <w:rsid w:val="60814FEF"/>
    <w:rsid w:val="60AE4E89"/>
    <w:rsid w:val="60C85843"/>
    <w:rsid w:val="60D32F5A"/>
    <w:rsid w:val="610E2B4C"/>
    <w:rsid w:val="61227EAA"/>
    <w:rsid w:val="613F749B"/>
    <w:rsid w:val="617618AF"/>
    <w:rsid w:val="61846CDE"/>
    <w:rsid w:val="619945D7"/>
    <w:rsid w:val="61C24BFD"/>
    <w:rsid w:val="61DE43D4"/>
    <w:rsid w:val="61E06967"/>
    <w:rsid w:val="61ED083B"/>
    <w:rsid w:val="624216A0"/>
    <w:rsid w:val="626343A0"/>
    <w:rsid w:val="626736F9"/>
    <w:rsid w:val="626B4082"/>
    <w:rsid w:val="626B6B00"/>
    <w:rsid w:val="626B73B4"/>
    <w:rsid w:val="627F3342"/>
    <w:rsid w:val="628E1BE9"/>
    <w:rsid w:val="62D06FF9"/>
    <w:rsid w:val="62D765EB"/>
    <w:rsid w:val="630D51D7"/>
    <w:rsid w:val="635504CE"/>
    <w:rsid w:val="636B22CC"/>
    <w:rsid w:val="636C198B"/>
    <w:rsid w:val="638C5AAE"/>
    <w:rsid w:val="63B65AC7"/>
    <w:rsid w:val="63C2133D"/>
    <w:rsid w:val="63C33BC6"/>
    <w:rsid w:val="63D7428B"/>
    <w:rsid w:val="63D74F7B"/>
    <w:rsid w:val="63E15DFA"/>
    <w:rsid w:val="63FC0E86"/>
    <w:rsid w:val="64044CE4"/>
    <w:rsid w:val="640C4C0D"/>
    <w:rsid w:val="64331AE1"/>
    <w:rsid w:val="643B5584"/>
    <w:rsid w:val="644E0CF8"/>
    <w:rsid w:val="645830D7"/>
    <w:rsid w:val="64675414"/>
    <w:rsid w:val="647258C3"/>
    <w:rsid w:val="64AA2E73"/>
    <w:rsid w:val="64B8434A"/>
    <w:rsid w:val="64C5008F"/>
    <w:rsid w:val="64E8446E"/>
    <w:rsid w:val="651144BD"/>
    <w:rsid w:val="6533719B"/>
    <w:rsid w:val="65376B47"/>
    <w:rsid w:val="654042F5"/>
    <w:rsid w:val="655A5E64"/>
    <w:rsid w:val="65ED34AD"/>
    <w:rsid w:val="65F30067"/>
    <w:rsid w:val="65F66C79"/>
    <w:rsid w:val="660447CA"/>
    <w:rsid w:val="66112B8D"/>
    <w:rsid w:val="665622BC"/>
    <w:rsid w:val="6660772E"/>
    <w:rsid w:val="66653739"/>
    <w:rsid w:val="666C4EE6"/>
    <w:rsid w:val="66792487"/>
    <w:rsid w:val="667C4500"/>
    <w:rsid w:val="669774DA"/>
    <w:rsid w:val="66A870A3"/>
    <w:rsid w:val="66CF5653"/>
    <w:rsid w:val="66FB0FDC"/>
    <w:rsid w:val="66FC5AFF"/>
    <w:rsid w:val="67073DC9"/>
    <w:rsid w:val="6709462E"/>
    <w:rsid w:val="673B4133"/>
    <w:rsid w:val="6777196F"/>
    <w:rsid w:val="678A1ED0"/>
    <w:rsid w:val="67A21D44"/>
    <w:rsid w:val="67AB61F8"/>
    <w:rsid w:val="67BA7741"/>
    <w:rsid w:val="67E6170C"/>
    <w:rsid w:val="680D0CA5"/>
    <w:rsid w:val="687B6403"/>
    <w:rsid w:val="68A45648"/>
    <w:rsid w:val="68A5668C"/>
    <w:rsid w:val="68C05D65"/>
    <w:rsid w:val="68D27297"/>
    <w:rsid w:val="6911241F"/>
    <w:rsid w:val="696077C1"/>
    <w:rsid w:val="698931BC"/>
    <w:rsid w:val="69B67115"/>
    <w:rsid w:val="69B82DF4"/>
    <w:rsid w:val="69EF53B4"/>
    <w:rsid w:val="69FB258E"/>
    <w:rsid w:val="6A061DFE"/>
    <w:rsid w:val="6A126DD2"/>
    <w:rsid w:val="6A420E56"/>
    <w:rsid w:val="6A6B1D0C"/>
    <w:rsid w:val="6A924E32"/>
    <w:rsid w:val="6A94008C"/>
    <w:rsid w:val="6AA87031"/>
    <w:rsid w:val="6AC00C9E"/>
    <w:rsid w:val="6AC635A8"/>
    <w:rsid w:val="6AE60947"/>
    <w:rsid w:val="6AEF26F5"/>
    <w:rsid w:val="6AEF6EB8"/>
    <w:rsid w:val="6AF7061A"/>
    <w:rsid w:val="6B0B374F"/>
    <w:rsid w:val="6B0E6D92"/>
    <w:rsid w:val="6B17074E"/>
    <w:rsid w:val="6B1F0CCB"/>
    <w:rsid w:val="6B2233D4"/>
    <w:rsid w:val="6B2B2F81"/>
    <w:rsid w:val="6B6234E5"/>
    <w:rsid w:val="6B717FC8"/>
    <w:rsid w:val="6B8C6F93"/>
    <w:rsid w:val="6BA44561"/>
    <w:rsid w:val="6BBD11F5"/>
    <w:rsid w:val="6BCE1834"/>
    <w:rsid w:val="6BD1027A"/>
    <w:rsid w:val="6BD12800"/>
    <w:rsid w:val="6BE17EE8"/>
    <w:rsid w:val="6C0134DD"/>
    <w:rsid w:val="6C022DB1"/>
    <w:rsid w:val="6C105F40"/>
    <w:rsid w:val="6C1F3963"/>
    <w:rsid w:val="6C5E02FC"/>
    <w:rsid w:val="6C721812"/>
    <w:rsid w:val="6C8B0F52"/>
    <w:rsid w:val="6CDD0DD0"/>
    <w:rsid w:val="6CFA7DB1"/>
    <w:rsid w:val="6D0127E4"/>
    <w:rsid w:val="6D135E16"/>
    <w:rsid w:val="6D1A787C"/>
    <w:rsid w:val="6D1C168A"/>
    <w:rsid w:val="6D347A31"/>
    <w:rsid w:val="6D3668DD"/>
    <w:rsid w:val="6D471CAB"/>
    <w:rsid w:val="6D761CA9"/>
    <w:rsid w:val="6DAC0977"/>
    <w:rsid w:val="6DB941BD"/>
    <w:rsid w:val="6DB96F42"/>
    <w:rsid w:val="6DC60F63"/>
    <w:rsid w:val="6DD469CF"/>
    <w:rsid w:val="6E1D0376"/>
    <w:rsid w:val="6E445903"/>
    <w:rsid w:val="6E4678CD"/>
    <w:rsid w:val="6E4C770B"/>
    <w:rsid w:val="6E580C9C"/>
    <w:rsid w:val="6E5F1098"/>
    <w:rsid w:val="6E6F2793"/>
    <w:rsid w:val="6E703D8E"/>
    <w:rsid w:val="6E84323D"/>
    <w:rsid w:val="6E942A76"/>
    <w:rsid w:val="6EA41FA2"/>
    <w:rsid w:val="6EB44AD4"/>
    <w:rsid w:val="6EF2F120"/>
    <w:rsid w:val="6F1A6664"/>
    <w:rsid w:val="6F313FE8"/>
    <w:rsid w:val="6F35524C"/>
    <w:rsid w:val="6F381CAC"/>
    <w:rsid w:val="6F6128C1"/>
    <w:rsid w:val="6F871F4B"/>
    <w:rsid w:val="6F9C6902"/>
    <w:rsid w:val="6FA0729C"/>
    <w:rsid w:val="6FEF4FB0"/>
    <w:rsid w:val="70100CA2"/>
    <w:rsid w:val="70393572"/>
    <w:rsid w:val="70A24D48"/>
    <w:rsid w:val="70B8410C"/>
    <w:rsid w:val="70BA64EF"/>
    <w:rsid w:val="70C900DF"/>
    <w:rsid w:val="70F80524"/>
    <w:rsid w:val="710A2419"/>
    <w:rsid w:val="710C226A"/>
    <w:rsid w:val="71326D32"/>
    <w:rsid w:val="713F760B"/>
    <w:rsid w:val="714C2CD0"/>
    <w:rsid w:val="715A596A"/>
    <w:rsid w:val="715C2F64"/>
    <w:rsid w:val="717C247D"/>
    <w:rsid w:val="717F26E4"/>
    <w:rsid w:val="718129CA"/>
    <w:rsid w:val="71816B8E"/>
    <w:rsid w:val="71832D29"/>
    <w:rsid w:val="71907818"/>
    <w:rsid w:val="71A768D5"/>
    <w:rsid w:val="71AA3CCF"/>
    <w:rsid w:val="71B252F9"/>
    <w:rsid w:val="71BF5724"/>
    <w:rsid w:val="71E95916"/>
    <w:rsid w:val="7203413E"/>
    <w:rsid w:val="720B3FAF"/>
    <w:rsid w:val="7232328B"/>
    <w:rsid w:val="7250588C"/>
    <w:rsid w:val="72556331"/>
    <w:rsid w:val="726F5278"/>
    <w:rsid w:val="727E786A"/>
    <w:rsid w:val="72887FD4"/>
    <w:rsid w:val="72AB7810"/>
    <w:rsid w:val="72BD0544"/>
    <w:rsid w:val="72BD0B0E"/>
    <w:rsid w:val="72C0472D"/>
    <w:rsid w:val="72D11D5C"/>
    <w:rsid w:val="72E85DAD"/>
    <w:rsid w:val="732303D9"/>
    <w:rsid w:val="732B7092"/>
    <w:rsid w:val="73532CC9"/>
    <w:rsid w:val="735A1725"/>
    <w:rsid w:val="737427E7"/>
    <w:rsid w:val="7374444A"/>
    <w:rsid w:val="73A34E7A"/>
    <w:rsid w:val="73D73D11"/>
    <w:rsid w:val="74177616"/>
    <w:rsid w:val="7431692A"/>
    <w:rsid w:val="744975DD"/>
    <w:rsid w:val="746920A5"/>
    <w:rsid w:val="74B3733F"/>
    <w:rsid w:val="74CB1EDB"/>
    <w:rsid w:val="74DE73F5"/>
    <w:rsid w:val="74E8740A"/>
    <w:rsid w:val="74FA5557"/>
    <w:rsid w:val="75181898"/>
    <w:rsid w:val="751E77AF"/>
    <w:rsid w:val="75562367"/>
    <w:rsid w:val="75C8117D"/>
    <w:rsid w:val="75D07F8B"/>
    <w:rsid w:val="75D32CDD"/>
    <w:rsid w:val="75EE5669"/>
    <w:rsid w:val="761D1EEE"/>
    <w:rsid w:val="765C3DE3"/>
    <w:rsid w:val="76646D93"/>
    <w:rsid w:val="76957051"/>
    <w:rsid w:val="76BD4232"/>
    <w:rsid w:val="76C10199"/>
    <w:rsid w:val="76C57BCB"/>
    <w:rsid w:val="76DC12BC"/>
    <w:rsid w:val="76F927CD"/>
    <w:rsid w:val="76FB7612"/>
    <w:rsid w:val="773B2934"/>
    <w:rsid w:val="773E064E"/>
    <w:rsid w:val="774E1211"/>
    <w:rsid w:val="777B71D8"/>
    <w:rsid w:val="777C610E"/>
    <w:rsid w:val="77A427A8"/>
    <w:rsid w:val="77A54D53"/>
    <w:rsid w:val="77D558AA"/>
    <w:rsid w:val="77D75F2B"/>
    <w:rsid w:val="77FB787E"/>
    <w:rsid w:val="77FC6767"/>
    <w:rsid w:val="781A0BEC"/>
    <w:rsid w:val="78202415"/>
    <w:rsid w:val="78213FC9"/>
    <w:rsid w:val="784376FF"/>
    <w:rsid w:val="78701D9C"/>
    <w:rsid w:val="78773A0B"/>
    <w:rsid w:val="789D3974"/>
    <w:rsid w:val="78AD5F33"/>
    <w:rsid w:val="78CD19BA"/>
    <w:rsid w:val="78FA0671"/>
    <w:rsid w:val="793A634F"/>
    <w:rsid w:val="793F0E2D"/>
    <w:rsid w:val="798635EB"/>
    <w:rsid w:val="799A7BDC"/>
    <w:rsid w:val="799B6859"/>
    <w:rsid w:val="79A5750A"/>
    <w:rsid w:val="79B53B59"/>
    <w:rsid w:val="79DE1E27"/>
    <w:rsid w:val="79FC3172"/>
    <w:rsid w:val="79FF6B82"/>
    <w:rsid w:val="7A0C1011"/>
    <w:rsid w:val="7A0E7A81"/>
    <w:rsid w:val="7A321CDB"/>
    <w:rsid w:val="7A567B6E"/>
    <w:rsid w:val="7A6E32C8"/>
    <w:rsid w:val="7A7B26AD"/>
    <w:rsid w:val="7A916D31"/>
    <w:rsid w:val="7AC900CF"/>
    <w:rsid w:val="7ADB314B"/>
    <w:rsid w:val="7B052FBD"/>
    <w:rsid w:val="7B124400"/>
    <w:rsid w:val="7B50232D"/>
    <w:rsid w:val="7B5A5A6C"/>
    <w:rsid w:val="7B5C250E"/>
    <w:rsid w:val="7B6969A9"/>
    <w:rsid w:val="7B6D0F87"/>
    <w:rsid w:val="7B72691F"/>
    <w:rsid w:val="7B783FD8"/>
    <w:rsid w:val="7B9A3DB8"/>
    <w:rsid w:val="7BA113AB"/>
    <w:rsid w:val="7BD52290"/>
    <w:rsid w:val="7BD568A0"/>
    <w:rsid w:val="7BEF4EB5"/>
    <w:rsid w:val="7BF20E1E"/>
    <w:rsid w:val="7C5728ED"/>
    <w:rsid w:val="7C812552"/>
    <w:rsid w:val="7C9408F4"/>
    <w:rsid w:val="7CA5069F"/>
    <w:rsid w:val="7CB83597"/>
    <w:rsid w:val="7CB90CC2"/>
    <w:rsid w:val="7CFB2CE9"/>
    <w:rsid w:val="7D0C34C4"/>
    <w:rsid w:val="7D212CA5"/>
    <w:rsid w:val="7D255EE2"/>
    <w:rsid w:val="7D293184"/>
    <w:rsid w:val="7D2D3A06"/>
    <w:rsid w:val="7D4A23DF"/>
    <w:rsid w:val="7D4B3EE6"/>
    <w:rsid w:val="7D5D0D76"/>
    <w:rsid w:val="7D60202E"/>
    <w:rsid w:val="7D6112EF"/>
    <w:rsid w:val="7D68620F"/>
    <w:rsid w:val="7D69777E"/>
    <w:rsid w:val="7D697D8C"/>
    <w:rsid w:val="7D7C6E9A"/>
    <w:rsid w:val="7D927DC0"/>
    <w:rsid w:val="7DAF38C3"/>
    <w:rsid w:val="7DB34706"/>
    <w:rsid w:val="7DBA5E29"/>
    <w:rsid w:val="7E1A0A9F"/>
    <w:rsid w:val="7E3C401A"/>
    <w:rsid w:val="7E641213"/>
    <w:rsid w:val="7E7A6C06"/>
    <w:rsid w:val="7EA67E97"/>
    <w:rsid w:val="7ECB34D7"/>
    <w:rsid w:val="7EE33139"/>
    <w:rsid w:val="7EF34773"/>
    <w:rsid w:val="7F0D08DC"/>
    <w:rsid w:val="7F173D26"/>
    <w:rsid w:val="7F354658"/>
    <w:rsid w:val="7F5DC674"/>
    <w:rsid w:val="7F666017"/>
    <w:rsid w:val="7F714EE5"/>
    <w:rsid w:val="7F7F2734"/>
    <w:rsid w:val="7F8F1536"/>
    <w:rsid w:val="7FA63F96"/>
    <w:rsid w:val="7FB9287C"/>
    <w:rsid w:val="7FCC47FD"/>
    <w:rsid w:val="7FD31973"/>
    <w:rsid w:val="7FD43B95"/>
    <w:rsid w:val="7FE15B01"/>
    <w:rsid w:val="7FE231CE"/>
    <w:rsid w:val="7FEC5DFB"/>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next w:val="14"/>
    <w:link w:val="69"/>
    <w:qFormat/>
    <w:uiPriority w:val="0"/>
    <w:pPr>
      <w:ind w:firstLine="420" w:firstLineChars="200"/>
    </w:pPr>
  </w:style>
  <w:style w:type="paragraph" w:styleId="14">
    <w:name w:val="Body Text First Indent 2"/>
    <w:basedOn w:val="15"/>
    <w:qFormat/>
    <w:uiPriority w:val="0"/>
    <w:pPr>
      <w:ind w:firstLine="420"/>
    </w:pPr>
    <w:rPr>
      <w:sz w:val="21"/>
    </w:rPr>
  </w:style>
  <w:style w:type="paragraph" w:styleId="15">
    <w:name w:val="Body Text Indent"/>
    <w:basedOn w:val="1"/>
    <w:next w:val="1"/>
    <w:link w:val="75"/>
    <w:qFormat/>
    <w:uiPriority w:val="0"/>
    <w:pPr>
      <w:spacing w:after="120"/>
      <w:ind w:left="420" w:leftChars="200"/>
    </w:pPr>
    <w:rPr>
      <w:kern w:val="0"/>
      <w:sz w:val="20"/>
    </w:rPr>
  </w:style>
  <w:style w:type="paragraph" w:styleId="16">
    <w:name w:val="Document Map"/>
    <w:basedOn w:val="1"/>
    <w:link w:val="76"/>
    <w:qFormat/>
    <w:uiPriority w:val="0"/>
    <w:pPr>
      <w:shd w:val="clear" w:color="auto" w:fill="000080"/>
    </w:pPr>
    <w:rPr>
      <w:kern w:val="0"/>
      <w:sz w:val="20"/>
    </w:rPr>
  </w:style>
  <w:style w:type="paragraph" w:styleId="17">
    <w:name w:val="annotation text"/>
    <w:basedOn w:val="1"/>
    <w:link w:val="58"/>
    <w:unhideWhenUsed/>
    <w:qFormat/>
    <w:uiPriority w:val="99"/>
    <w:pPr>
      <w:jc w:val="left"/>
    </w:pPr>
    <w:rPr>
      <w:kern w:val="0"/>
      <w:sz w:val="20"/>
    </w:rPr>
  </w:style>
  <w:style w:type="paragraph" w:styleId="18">
    <w:name w:val="Body Text 3"/>
    <w:basedOn w:val="1"/>
    <w:link w:val="62"/>
    <w:qFormat/>
    <w:uiPriority w:val="0"/>
    <w:rPr>
      <w:rFonts w:ascii="宋体"/>
      <w:kern w:val="0"/>
      <w:sz w:val="24"/>
      <w:szCs w:val="20"/>
    </w:rPr>
  </w:style>
  <w:style w:type="paragraph" w:styleId="19">
    <w:name w:val="Body Text"/>
    <w:basedOn w:val="1"/>
    <w:link w:val="65"/>
    <w:qFormat/>
    <w:uiPriority w:val="0"/>
    <w:pPr>
      <w:spacing w:after="120"/>
    </w:pPr>
    <w:rPr>
      <w:kern w:val="0"/>
      <w:sz w:val="20"/>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link w:val="98"/>
    <w:qFormat/>
    <w:uiPriority w:val="99"/>
    <w:rPr>
      <w:rFonts w:ascii="Courier New" w:hAnsi="Courier New"/>
      <w:kern w:val="0"/>
      <w:sz w:val="20"/>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82"/>
    <w:qFormat/>
    <w:uiPriority w:val="0"/>
    <w:rPr>
      <w:kern w:val="0"/>
      <w:sz w:val="24"/>
      <w:szCs w:val="20"/>
    </w:rPr>
  </w:style>
  <w:style w:type="paragraph" w:styleId="26">
    <w:name w:val="Balloon Text"/>
    <w:basedOn w:val="1"/>
    <w:link w:val="80"/>
    <w:qFormat/>
    <w:uiPriority w:val="0"/>
    <w:rPr>
      <w:kern w:val="0"/>
      <w:sz w:val="18"/>
      <w:szCs w:val="18"/>
    </w:r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7"/>
    <w:next w:val="17"/>
    <w:link w:val="68"/>
    <w:qFormat/>
    <w:uiPriority w:val="0"/>
    <w:rPr>
      <w:b/>
      <w:bCs/>
    </w:rPr>
  </w:style>
  <w:style w:type="paragraph" w:styleId="42">
    <w:name w:val="Body Text First Indent"/>
    <w:basedOn w:val="19"/>
    <w:next w:val="43"/>
    <w:qFormat/>
    <w:uiPriority w:val="0"/>
    <w:pPr>
      <w:adjustRightInd w:val="0"/>
      <w:spacing w:line="275" w:lineRule="atLeast"/>
      <w:ind w:firstLine="420"/>
      <w:textAlignment w:val="baseline"/>
    </w:pPr>
    <w:rPr>
      <w:rFonts w:ascii="宋体" w:eastAsia="楷体_GB2312"/>
      <w:sz w:val="24"/>
      <w:szCs w:val="20"/>
    </w:rPr>
  </w:style>
  <w:style w:type="paragraph" w:customStyle="1" w:styleId="43">
    <w:name w:val="样式 正文首行缩进 + 首行缩进:  2 字符1 Char Char"/>
    <w:basedOn w:val="1"/>
    <w:qFormat/>
    <w:uiPriority w:val="0"/>
    <w:pPr>
      <w:adjustRightInd w:val="0"/>
      <w:spacing w:line="400" w:lineRule="exact"/>
      <w:textAlignment w:val="baseline"/>
    </w:pPr>
    <w:rPr>
      <w:rFonts w:ascii="宋体" w:hAnsi="宋体" w:eastAsia="仿宋_GB2312" w:cs="宋体"/>
      <w:color w:val="000000"/>
      <w:sz w:val="26"/>
      <w:szCs w:val="20"/>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Hyperlink"/>
    <w:basedOn w:val="46"/>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7">
    <w:name w:val="标题 3 字符"/>
    <w:link w:val="5"/>
    <w:qFormat/>
    <w:uiPriority w:val="0"/>
    <w:rPr>
      <w:rFonts w:ascii="Times New Roman" w:hAnsi="Times New Roman" w:eastAsia="宋体" w:cs="Times New Roman"/>
      <w:b/>
      <w:bCs/>
      <w:sz w:val="32"/>
      <w:szCs w:val="32"/>
    </w:rPr>
  </w:style>
  <w:style w:type="character" w:customStyle="1" w:styleId="58">
    <w:name w:val="批注文字 字符"/>
    <w:link w:val="17"/>
    <w:semiHidden/>
    <w:qFormat/>
    <w:uiPriority w:val="99"/>
    <w:rPr>
      <w:rFonts w:ascii="Times New Roman" w:hAnsi="Times New Roman" w:eastAsia="宋体" w:cs="Times New Roman"/>
      <w:szCs w:val="24"/>
    </w:rPr>
  </w:style>
  <w:style w:type="character" w:customStyle="1" w:styleId="59">
    <w:name w:val="标题 6 字符"/>
    <w:link w:val="7"/>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8"/>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9"/>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3"/>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10"/>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5"/>
    <w:qFormat/>
    <w:uiPriority w:val="0"/>
    <w:rPr>
      <w:szCs w:val="24"/>
    </w:rPr>
  </w:style>
  <w:style w:type="character" w:customStyle="1" w:styleId="76">
    <w:name w:val="文档结构图 字符"/>
    <w:link w:val="16"/>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4"/>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26"/>
    <w:qFormat/>
    <w:uiPriority w:val="0"/>
    <w:rPr>
      <w:rFonts w:ascii="Times New Roman" w:hAnsi="Times New Roman" w:eastAsia="宋体" w:cs="Times New Roman"/>
      <w:sz w:val="18"/>
      <w:szCs w:val="18"/>
    </w:rPr>
  </w:style>
  <w:style w:type="character" w:customStyle="1" w:styleId="81">
    <w:name w:val="标题 8 字符"/>
    <w:link w:val="9"/>
    <w:qFormat/>
    <w:uiPriority w:val="0"/>
    <w:rPr>
      <w:rFonts w:ascii="Arial" w:hAnsi="Arial" w:eastAsia="黑体" w:cs="Times New Roman"/>
      <w:kern w:val="0"/>
      <w:sz w:val="24"/>
      <w:szCs w:val="24"/>
    </w:rPr>
  </w:style>
  <w:style w:type="character" w:customStyle="1" w:styleId="82">
    <w:name w:val="日期 字符"/>
    <w:link w:val="25"/>
    <w:qFormat/>
    <w:uiPriority w:val="0"/>
    <w:rPr>
      <w:rFonts w:ascii="Times New Roman" w:hAnsi="Times New Roman" w:eastAsia="宋体" w:cs="Times New Roman"/>
      <w:sz w:val="24"/>
      <w:szCs w:val="20"/>
    </w:rPr>
  </w:style>
  <w:style w:type="character" w:customStyle="1" w:styleId="83">
    <w:name w:val="标题 1 字符"/>
    <w:link w:val="3"/>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6"/>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3"/>
    <w:qFormat/>
    <w:uiPriority w:val="99"/>
    <w:rPr>
      <w:rFonts w:ascii="Courier New" w:hAnsi="Courier New"/>
    </w:rPr>
  </w:style>
  <w:style w:type="character" w:customStyle="1" w:styleId="99">
    <w:name w:val="标题 7 字符"/>
    <w:link w:val="8"/>
    <w:qFormat/>
    <w:uiPriority w:val="0"/>
    <w:rPr>
      <w:rFonts w:ascii="Times New Roman" w:hAnsi="Times New Roman" w:eastAsia="宋体" w:cs="Times New Roman"/>
      <w:b/>
      <w:bCs/>
      <w:kern w:val="0"/>
      <w:sz w:val="24"/>
      <w:szCs w:val="24"/>
    </w:rPr>
  </w:style>
  <w:style w:type="paragraph" w:customStyle="1" w:styleId="100">
    <w:name w:val="样式4"/>
    <w:basedOn w:val="5"/>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5"/>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3"/>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3"/>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5"/>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9">
    <w:name w:val="样式2"/>
    <w:basedOn w:val="5"/>
    <w:qFormat/>
    <w:uiPriority w:val="0"/>
  </w:style>
  <w:style w:type="character" w:customStyle="1" w:styleId="160">
    <w:name w:val="after"/>
    <w:basedOn w:val="46"/>
    <w:qFormat/>
    <w:uiPriority w:val="0"/>
    <w:rPr>
      <w:bdr w:val="dashed" w:color="auto" w:sz="48" w:space="0"/>
    </w:rPr>
  </w:style>
  <w:style w:type="character" w:customStyle="1" w:styleId="161">
    <w:name w:val="before"/>
    <w:basedOn w:val="46"/>
    <w:qFormat/>
    <w:uiPriority w:val="0"/>
    <w:rPr>
      <w:bdr w:val="single" w:color="auto" w:sz="48" w:space="0"/>
    </w:rPr>
  </w:style>
  <w:style w:type="character" w:customStyle="1" w:styleId="162">
    <w:name w:val="hover48"/>
    <w:basedOn w:val="46"/>
    <w:qFormat/>
    <w:uiPriority w:val="0"/>
    <w:rPr>
      <w:shd w:val="clear" w:color="auto" w:fill="346AC3"/>
    </w:rPr>
  </w:style>
  <w:style w:type="character" w:customStyle="1" w:styleId="163">
    <w:name w:val="hover49"/>
    <w:basedOn w:val="46"/>
    <w:qFormat/>
    <w:uiPriority w:val="0"/>
  </w:style>
  <w:style w:type="character" w:customStyle="1" w:styleId="164">
    <w:name w:val="hover50"/>
    <w:basedOn w:val="46"/>
    <w:qFormat/>
    <w:uiPriority w:val="0"/>
    <w:rPr>
      <w:color w:val="4285F4"/>
      <w:u w:val="none"/>
    </w:rPr>
  </w:style>
  <w:style w:type="character" w:customStyle="1" w:styleId="165">
    <w:name w:val="hover51"/>
    <w:basedOn w:val="46"/>
    <w:qFormat/>
    <w:uiPriority w:val="0"/>
    <w:rPr>
      <w:color w:val="4285F4"/>
    </w:rPr>
  </w:style>
  <w:style w:type="character" w:customStyle="1" w:styleId="166">
    <w:name w:val="hover52"/>
    <w:basedOn w:val="46"/>
    <w:qFormat/>
    <w:uiPriority w:val="0"/>
    <w:rPr>
      <w:color w:val="1A85D7"/>
    </w:rPr>
  </w:style>
  <w:style w:type="character" w:customStyle="1" w:styleId="167">
    <w:name w:val="credit"/>
    <w:basedOn w:val="46"/>
    <w:qFormat/>
    <w:uiPriority w:val="0"/>
    <w:rPr>
      <w:sz w:val="18"/>
      <w:szCs w:val="18"/>
    </w:rPr>
  </w:style>
  <w:style w:type="character" w:customStyle="1" w:styleId="168">
    <w:name w:val="first-child"/>
    <w:basedOn w:val="46"/>
    <w:qFormat/>
    <w:uiPriority w:val="0"/>
  </w:style>
  <w:style w:type="character" w:customStyle="1" w:styleId="169">
    <w:name w:val="font31"/>
    <w:basedOn w:val="46"/>
    <w:qFormat/>
    <w:uiPriority w:val="0"/>
    <w:rPr>
      <w:rFonts w:hint="eastAsia" w:ascii="宋体" w:hAnsi="宋体" w:eastAsia="宋体" w:cs="宋体"/>
      <w:color w:val="000000"/>
      <w:sz w:val="24"/>
      <w:szCs w:val="24"/>
      <w:u w:val="none"/>
    </w:rPr>
  </w:style>
  <w:style w:type="paragraph" w:customStyle="1" w:styleId="170">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1">
    <w:name w:val="表格内正文，无编号"/>
    <w:basedOn w:val="1"/>
    <w:qFormat/>
    <w:uiPriority w:val="0"/>
    <w:pPr>
      <w:spacing w:line="400" w:lineRule="exact"/>
      <w:ind w:firstLine="643"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Table Paragraph"/>
    <w:basedOn w:val="1"/>
    <w:qFormat/>
    <w:uiPriority w:val="1"/>
    <w:rPr>
      <w:rFonts w:ascii="宋体" w:hAnsi="宋体" w:cs="宋体"/>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Arial" w:hAnsi="Arial" w:eastAsia="Arial" w:cs="Arial"/>
      <w:sz w:val="21"/>
      <w:szCs w:val="21"/>
      <w:lang w:val="en-US" w:eastAsia="en-US" w:bidi="ar-SA"/>
    </w:rPr>
  </w:style>
  <w:style w:type="paragraph" w:styleId="17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11761</Words>
  <Characters>12978</Characters>
  <Lines>321</Lines>
  <Paragraphs>90</Paragraphs>
  <TotalTime>0</TotalTime>
  <ScaleCrop>false</ScaleCrop>
  <LinksUpToDate>false</LinksUpToDate>
  <CharactersWithSpaces>14659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Kevin</cp:lastModifiedBy>
  <cp:lastPrinted>2024-03-06T03:31:00Z</cp:lastPrinted>
  <dcterms:modified xsi:type="dcterms:W3CDTF">2025-01-02T09:17:53Z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FC5D6B0DFD114DA4A6FCBB725BA20035</vt:lpwstr>
  </property>
</Properties>
</file>